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20"/>
          <w:szCs w:val="20"/>
        </w:rPr>
      </w:pPr>
    </w:p>
    <w:p>
      <w:pPr>
        <w:spacing w:line="620" w:lineRule="exact" w:before="0"/>
        <w:ind w:left="1641" w:right="2617" w:firstLine="0"/>
        <w:jc w:val="center"/>
        <w:rPr>
          <w:rFonts w:ascii="黑体" w:hAnsi="黑体" w:cs="黑体" w:eastAsia="黑体" w:hint="default"/>
          <w:sz w:val="52"/>
          <w:szCs w:val="52"/>
        </w:rPr>
      </w:pPr>
      <w:r>
        <w:rPr/>
        <w:pict>
          <v:group style="position:absolute;margin-left:55.200001pt;margin-top:-27.693123pt;width:484.95pt;height:.1pt;mso-position-horizontal-relative:page;mso-position-vertical-relative:paragraph;z-index:0" coordorigin="1104,-554" coordsize="9699,2">
            <v:shape style="position:absolute;left:1104;top:-554;width:9699;height:2" coordorigin="1104,-554" coordsize="9699,0" path="m1104,-554l10802,-554e" filled="false" stroked="true" strokeweight=".71997pt" strokecolor="#000000">
              <v:path arrowok="t"/>
            </v:shape>
            <w10:wrap type="none"/>
          </v:group>
        </w:pict>
      </w:r>
      <w:r>
        <w:rPr>
          <w:rFonts w:ascii="黑体" w:hAnsi="黑体" w:cs="黑体" w:eastAsia="黑体" w:hint="default"/>
          <w:b/>
          <w:bCs/>
          <w:spacing w:val="2"/>
          <w:sz w:val="52"/>
          <w:szCs w:val="52"/>
        </w:rPr>
        <w:t>福建榕基软件股份有限公司</w:t>
      </w:r>
      <w:r>
        <w:rPr>
          <w:rFonts w:ascii="黑体" w:hAnsi="黑体" w:cs="黑体" w:eastAsia="黑体" w:hint="default"/>
          <w:sz w:val="52"/>
          <w:szCs w:val="52"/>
        </w:rPr>
      </w:r>
    </w:p>
    <w:p>
      <w:pPr>
        <w:spacing w:before="77"/>
        <w:ind w:left="1640" w:right="2617" w:firstLine="0"/>
        <w:jc w:val="center"/>
        <w:rPr>
          <w:rFonts w:ascii="Arial" w:hAnsi="Arial" w:cs="Arial" w:eastAsia="Arial" w:hint="default"/>
          <w:sz w:val="30"/>
          <w:szCs w:val="30"/>
        </w:rPr>
      </w:pPr>
      <w:r>
        <w:rPr>
          <w:rFonts w:ascii="Arial"/>
          <w:b/>
          <w:sz w:val="30"/>
        </w:rPr>
        <w:t>Fujian Rongji Software Co.,</w:t>
      </w:r>
      <w:r>
        <w:rPr>
          <w:rFonts w:ascii="Arial"/>
          <w:b/>
          <w:spacing w:val="-10"/>
          <w:sz w:val="30"/>
        </w:rPr>
        <w:t> </w:t>
      </w:r>
      <w:r>
        <w:rPr>
          <w:rFonts w:ascii="Arial"/>
          <w:b/>
          <w:spacing w:val="-3"/>
          <w:sz w:val="30"/>
        </w:rPr>
        <w:t>Ltd.</w:t>
      </w:r>
      <w:r>
        <w:rPr>
          <w:rFonts w:ascii="Arial"/>
          <w:spacing w:val="-3"/>
          <w:sz w:val="30"/>
        </w:rPr>
      </w:r>
    </w:p>
    <w:p>
      <w:pPr>
        <w:spacing w:before="68"/>
        <w:ind w:left="1641" w:right="2617" w:firstLine="0"/>
        <w:jc w:val="center"/>
        <w:rPr>
          <w:rFonts w:ascii="黑体" w:hAnsi="黑体" w:cs="黑体" w:eastAsia="黑体" w:hint="default"/>
          <w:sz w:val="32"/>
          <w:szCs w:val="32"/>
        </w:rPr>
      </w:pPr>
      <w:r>
        <w:rPr>
          <w:rFonts w:ascii="黑体" w:hAnsi="黑体" w:cs="黑体" w:eastAsia="黑体" w:hint="default"/>
          <w:b/>
          <w:bCs/>
          <w:spacing w:val="10"/>
          <w:sz w:val="32"/>
          <w:szCs w:val="32"/>
        </w:rPr>
        <w:t>（福州市鼓楼区铜盘路福州软件园产业基地）</w:t>
      </w:r>
      <w:r>
        <w:rPr>
          <w:rFonts w:ascii="黑体" w:hAnsi="黑体" w:cs="黑体" w:eastAsia="黑体" w:hint="default"/>
          <w:sz w:val="32"/>
          <w:szCs w:val="32"/>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11"/>
        <w:rPr>
          <w:rFonts w:ascii="黑体" w:hAnsi="黑体" w:cs="黑体" w:eastAsia="黑体" w:hint="default"/>
          <w:b/>
          <w:bCs/>
          <w:sz w:val="27"/>
          <w:szCs w:val="27"/>
        </w:rPr>
      </w:pPr>
    </w:p>
    <w:p>
      <w:pPr>
        <w:spacing w:line="1857" w:lineRule="exact"/>
        <w:ind w:left="3953" w:right="0" w:firstLine="0"/>
        <w:rPr>
          <w:rFonts w:ascii="黑体" w:hAnsi="黑体" w:cs="黑体" w:eastAsia="黑体" w:hint="default"/>
          <w:sz w:val="20"/>
          <w:szCs w:val="20"/>
        </w:rPr>
      </w:pPr>
      <w:r>
        <w:rPr>
          <w:rFonts w:ascii="黑体" w:hAnsi="黑体" w:cs="黑体" w:eastAsia="黑体" w:hint="default"/>
          <w:position w:val="-36"/>
          <w:sz w:val="20"/>
          <w:szCs w:val="20"/>
        </w:rPr>
        <w:drawing>
          <wp:inline distT="0" distB="0" distL="0" distR="0">
            <wp:extent cx="1295265" cy="1179385"/>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1295265" cy="1179385"/>
                    </a:xfrm>
                    <a:prstGeom prst="rect">
                      <a:avLst/>
                    </a:prstGeom>
                  </pic:spPr>
                </pic:pic>
              </a:graphicData>
            </a:graphic>
          </wp:inline>
        </w:drawing>
      </w:r>
      <w:r>
        <w:rPr>
          <w:rFonts w:ascii="黑体" w:hAnsi="黑体" w:cs="黑体" w:eastAsia="黑体" w:hint="default"/>
          <w:position w:val="-36"/>
          <w:sz w:val="20"/>
          <w:szCs w:val="20"/>
        </w:rPr>
      </w: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7"/>
        <w:rPr>
          <w:rFonts w:ascii="黑体" w:hAnsi="黑体" w:cs="黑体" w:eastAsia="黑体" w:hint="default"/>
          <w:b/>
          <w:bCs/>
          <w:sz w:val="24"/>
          <w:szCs w:val="24"/>
        </w:rPr>
      </w:pPr>
    </w:p>
    <w:p>
      <w:pPr>
        <w:spacing w:line="871" w:lineRule="exact" w:before="0"/>
        <w:ind w:left="2636" w:right="2239" w:firstLine="0"/>
        <w:jc w:val="left"/>
        <w:rPr>
          <w:rFonts w:ascii="黑体" w:hAnsi="黑体" w:cs="黑体" w:eastAsia="黑体" w:hint="default"/>
          <w:sz w:val="72"/>
          <w:szCs w:val="72"/>
        </w:rPr>
      </w:pPr>
      <w:r>
        <w:rPr>
          <w:rFonts w:ascii="Arial" w:hAnsi="Arial" w:cs="Arial" w:eastAsia="Arial" w:hint="default"/>
          <w:b/>
          <w:bCs/>
          <w:sz w:val="72"/>
          <w:szCs w:val="72"/>
        </w:rPr>
        <w:t>2019</w:t>
      </w:r>
      <w:r>
        <w:rPr>
          <w:rFonts w:ascii="Arial" w:hAnsi="Arial" w:cs="Arial" w:eastAsia="Arial" w:hint="default"/>
          <w:b/>
          <w:bCs/>
          <w:spacing w:val="-27"/>
          <w:sz w:val="72"/>
          <w:szCs w:val="72"/>
        </w:rPr>
        <w:t> </w:t>
      </w:r>
      <w:r>
        <w:rPr>
          <w:rFonts w:ascii="黑体" w:hAnsi="黑体" w:cs="黑体" w:eastAsia="黑体" w:hint="default"/>
          <w:b/>
          <w:bCs/>
          <w:sz w:val="72"/>
          <w:szCs w:val="72"/>
        </w:rPr>
        <w:t>年度报告</w:t>
      </w:r>
      <w:r>
        <w:rPr>
          <w:rFonts w:ascii="黑体" w:hAnsi="黑体" w:cs="黑体" w:eastAsia="黑体" w:hint="default"/>
          <w:sz w:val="72"/>
          <w:szCs w:val="72"/>
        </w:rPr>
      </w:r>
    </w:p>
    <w:p>
      <w:pPr>
        <w:spacing w:line="240" w:lineRule="auto" w:before="0"/>
        <w:rPr>
          <w:rFonts w:ascii="黑体" w:hAnsi="黑体" w:cs="黑体" w:eastAsia="黑体" w:hint="default"/>
          <w:b/>
          <w:bCs/>
          <w:sz w:val="76"/>
          <w:szCs w:val="76"/>
        </w:rPr>
      </w:pPr>
    </w:p>
    <w:p>
      <w:pPr>
        <w:spacing w:line="240" w:lineRule="auto" w:before="0"/>
        <w:rPr>
          <w:rFonts w:ascii="黑体" w:hAnsi="黑体" w:cs="黑体" w:eastAsia="黑体" w:hint="default"/>
          <w:b/>
          <w:bCs/>
          <w:sz w:val="76"/>
          <w:szCs w:val="76"/>
        </w:rPr>
      </w:pPr>
    </w:p>
    <w:p>
      <w:pPr>
        <w:spacing w:line="240" w:lineRule="auto" w:before="0"/>
        <w:rPr>
          <w:rFonts w:ascii="黑体" w:hAnsi="黑体" w:cs="黑体" w:eastAsia="黑体" w:hint="default"/>
          <w:b/>
          <w:bCs/>
          <w:sz w:val="76"/>
          <w:szCs w:val="76"/>
        </w:rPr>
      </w:pPr>
    </w:p>
    <w:p>
      <w:pPr>
        <w:spacing w:line="290" w:lineRule="auto" w:before="507"/>
        <w:ind w:left="5056" w:right="2239" w:firstLine="25"/>
        <w:jc w:val="left"/>
        <w:rPr>
          <w:rFonts w:ascii="Microsoft JhengHei" w:hAnsi="Microsoft JhengHei" w:cs="Microsoft JhengHei" w:eastAsia="Microsoft JhengHei" w:hint="default"/>
          <w:sz w:val="28"/>
          <w:szCs w:val="28"/>
        </w:rPr>
      </w:pPr>
      <w:r>
        <w:rPr>
          <w:rFonts w:ascii="Microsoft JhengHei" w:hAnsi="Microsoft JhengHei" w:cs="Microsoft JhengHei" w:eastAsia="Microsoft JhengHei" w:hint="default"/>
          <w:b/>
          <w:bCs/>
          <w:sz w:val="28"/>
          <w:szCs w:val="28"/>
        </w:rPr>
        <w:t>公告编号：</w:t>
      </w:r>
      <w:r>
        <w:rPr>
          <w:rFonts w:ascii="Arial" w:hAnsi="Arial" w:cs="Arial" w:eastAsia="Arial" w:hint="default"/>
          <w:b/>
          <w:bCs/>
          <w:sz w:val="28"/>
          <w:szCs w:val="28"/>
        </w:rPr>
        <w:t>2020-020</w:t>
      </w:r>
      <w:r>
        <w:rPr>
          <w:rFonts w:ascii="Arial" w:hAnsi="Arial" w:cs="Arial" w:eastAsia="Arial" w:hint="default"/>
          <w:b/>
          <w:bCs/>
          <w:w w:val="99"/>
          <w:sz w:val="28"/>
          <w:szCs w:val="28"/>
        </w:rPr>
        <w:t> </w:t>
      </w:r>
      <w:r>
        <w:rPr>
          <w:rFonts w:ascii="Microsoft JhengHei" w:hAnsi="Microsoft JhengHei" w:cs="Microsoft JhengHei" w:eastAsia="Microsoft JhengHei" w:hint="default"/>
          <w:b/>
          <w:bCs/>
          <w:sz w:val="28"/>
          <w:szCs w:val="28"/>
        </w:rPr>
        <w:t>证券代码：</w:t>
      </w:r>
      <w:r>
        <w:rPr>
          <w:rFonts w:ascii="Arial" w:hAnsi="Arial" w:cs="Arial" w:eastAsia="Arial" w:hint="default"/>
          <w:b/>
          <w:bCs/>
          <w:sz w:val="28"/>
          <w:szCs w:val="28"/>
        </w:rPr>
        <w:t>002474</w:t>
      </w:r>
      <w:r>
        <w:rPr>
          <w:rFonts w:ascii="Arial" w:hAnsi="Arial" w:cs="Arial" w:eastAsia="Arial" w:hint="default"/>
          <w:b/>
          <w:bCs/>
          <w:w w:val="99"/>
          <w:sz w:val="28"/>
          <w:szCs w:val="28"/>
        </w:rPr>
        <w:t> </w:t>
      </w:r>
      <w:r>
        <w:rPr>
          <w:rFonts w:ascii="Microsoft JhengHei" w:hAnsi="Microsoft JhengHei" w:cs="Microsoft JhengHei" w:eastAsia="Microsoft JhengHei" w:hint="default"/>
          <w:b/>
          <w:bCs/>
          <w:sz w:val="28"/>
          <w:szCs w:val="28"/>
        </w:rPr>
        <w:t>证券简称：榕基软件</w:t>
      </w:r>
      <w:r>
        <w:rPr>
          <w:rFonts w:ascii="Microsoft JhengHei" w:hAnsi="Microsoft JhengHei" w:cs="Microsoft JhengHei" w:eastAsia="Microsoft JhengHei" w:hint="default"/>
          <w:b/>
          <w:bCs/>
          <w:w w:val="99"/>
          <w:sz w:val="28"/>
          <w:szCs w:val="28"/>
        </w:rPr>
        <w:t> </w:t>
      </w:r>
      <w:r>
        <w:rPr>
          <w:rFonts w:ascii="Microsoft JhengHei" w:hAnsi="Microsoft JhengHei" w:cs="Microsoft JhengHei" w:eastAsia="Microsoft JhengHei" w:hint="default"/>
          <w:b/>
          <w:bCs/>
          <w:spacing w:val="-8"/>
          <w:sz w:val="28"/>
          <w:szCs w:val="28"/>
        </w:rPr>
        <w:t>披露日期：</w:t>
      </w:r>
      <w:r>
        <w:rPr>
          <w:rFonts w:ascii="Arial" w:hAnsi="Arial" w:cs="Arial" w:eastAsia="Arial" w:hint="default"/>
          <w:b/>
          <w:bCs/>
          <w:spacing w:val="-8"/>
          <w:sz w:val="28"/>
          <w:szCs w:val="28"/>
        </w:rPr>
        <w:t>2020 </w:t>
      </w:r>
      <w:r>
        <w:rPr>
          <w:rFonts w:ascii="Microsoft JhengHei" w:hAnsi="Microsoft JhengHei" w:cs="Microsoft JhengHei" w:eastAsia="Microsoft JhengHei" w:hint="default"/>
          <w:b/>
          <w:bCs/>
          <w:sz w:val="28"/>
          <w:szCs w:val="28"/>
        </w:rPr>
        <w:t>年 </w:t>
      </w:r>
      <w:r>
        <w:rPr>
          <w:rFonts w:ascii="Arial" w:hAnsi="Arial" w:cs="Arial" w:eastAsia="Arial" w:hint="default"/>
          <w:b/>
          <w:bCs/>
          <w:sz w:val="28"/>
          <w:szCs w:val="28"/>
        </w:rPr>
        <w:t>4 </w:t>
      </w:r>
      <w:r>
        <w:rPr>
          <w:rFonts w:ascii="Microsoft JhengHei" w:hAnsi="Microsoft JhengHei" w:cs="Microsoft JhengHei" w:eastAsia="Microsoft JhengHei" w:hint="default"/>
          <w:b/>
          <w:bCs/>
          <w:sz w:val="28"/>
          <w:szCs w:val="28"/>
        </w:rPr>
        <w:t>月 </w:t>
      </w:r>
      <w:r>
        <w:rPr>
          <w:rFonts w:ascii="Arial" w:hAnsi="Arial" w:cs="Arial" w:eastAsia="Arial" w:hint="default"/>
          <w:b/>
          <w:bCs/>
          <w:sz w:val="28"/>
          <w:szCs w:val="28"/>
        </w:rPr>
        <w:t>29</w:t>
      </w:r>
      <w:r>
        <w:rPr>
          <w:rFonts w:ascii="Arial" w:hAnsi="Arial" w:cs="Arial" w:eastAsia="Arial" w:hint="default"/>
          <w:b/>
          <w:bCs/>
          <w:spacing w:val="-15"/>
          <w:sz w:val="28"/>
          <w:szCs w:val="28"/>
        </w:rPr>
        <w:t> </w:t>
      </w:r>
      <w:r>
        <w:rPr>
          <w:rFonts w:ascii="Microsoft JhengHei" w:hAnsi="Microsoft JhengHei" w:cs="Microsoft JhengHei" w:eastAsia="Microsoft JhengHei" w:hint="default"/>
          <w:b/>
          <w:bCs/>
          <w:sz w:val="28"/>
          <w:szCs w:val="28"/>
        </w:rPr>
        <w:t>日</w:t>
      </w:r>
      <w:r>
        <w:rPr>
          <w:rFonts w:ascii="Microsoft JhengHei" w:hAnsi="Microsoft JhengHei" w:cs="Microsoft JhengHei" w:eastAsia="Microsoft JhengHei" w:hint="default"/>
          <w:sz w:val="28"/>
          <w:szCs w:val="28"/>
        </w:rPr>
      </w:r>
    </w:p>
    <w:p>
      <w:pPr>
        <w:spacing w:after="0" w:line="290" w:lineRule="auto"/>
        <w:jc w:val="left"/>
        <w:rPr>
          <w:rFonts w:ascii="Microsoft JhengHei" w:hAnsi="Microsoft JhengHei" w:cs="Microsoft JhengHei" w:eastAsia="Microsoft JhengHei" w:hint="default"/>
          <w:sz w:val="28"/>
          <w:szCs w:val="28"/>
        </w:rPr>
        <w:sectPr>
          <w:headerReference w:type="default" r:id="rId5"/>
          <w:footerReference w:type="default" r:id="rId6"/>
          <w:type w:val="continuous"/>
          <w:pgSz w:w="11910" w:h="16840"/>
          <w:pgMar w:header="747" w:footer="982" w:top="1060" w:bottom="1180" w:left="980" w:right="0"/>
        </w:sectPr>
      </w:pPr>
    </w:p>
    <w:p>
      <w:pPr>
        <w:spacing w:line="240" w:lineRule="auto" w:before="3"/>
        <w:rPr>
          <w:rFonts w:ascii="Microsoft JhengHei" w:hAnsi="Microsoft JhengHei" w:cs="Microsoft JhengHei" w:eastAsia="Microsoft JhengHei" w:hint="default"/>
          <w:b/>
          <w:bCs/>
          <w:sz w:val="2"/>
          <w:szCs w:val="2"/>
        </w:rPr>
      </w:pPr>
    </w:p>
    <w:p>
      <w:pPr>
        <w:spacing w:line="20" w:lineRule="exact"/>
        <w:ind w:left="116" w:right="0" w:firstLine="0"/>
        <w:rPr>
          <w:rFonts w:ascii="Microsoft JhengHei" w:hAnsi="Microsoft JhengHei" w:cs="Microsoft JhengHei" w:eastAsia="Microsoft JhengHei" w:hint="default"/>
          <w:sz w:val="2"/>
          <w:szCs w:val="2"/>
        </w:rPr>
      </w:pPr>
      <w:r>
        <w:rPr>
          <w:rFonts w:ascii="Microsoft JhengHei" w:hAnsi="Microsoft JhengHei" w:cs="Microsoft JhengHei" w:eastAsia="Microsoft JhengHei"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Microsoft JhengHei" w:hAnsi="Microsoft JhengHei" w:cs="Microsoft JhengHei" w:eastAsia="Microsoft JhengHei" w:hint="default"/>
          <w:sz w:val="2"/>
          <w:szCs w:val="2"/>
        </w:rPr>
      </w:r>
    </w:p>
    <w:p>
      <w:pPr>
        <w:spacing w:line="240" w:lineRule="auto" w:before="0"/>
        <w:rPr>
          <w:rFonts w:ascii="Microsoft JhengHei" w:hAnsi="Microsoft JhengHei" w:cs="Microsoft JhengHei" w:eastAsia="Microsoft JhengHei" w:hint="default"/>
          <w:b/>
          <w:bCs/>
          <w:sz w:val="20"/>
          <w:szCs w:val="20"/>
        </w:rPr>
      </w:pPr>
    </w:p>
    <w:p>
      <w:pPr>
        <w:spacing w:line="240" w:lineRule="auto" w:before="9"/>
        <w:rPr>
          <w:rFonts w:ascii="Microsoft JhengHei" w:hAnsi="Microsoft JhengHei" w:cs="Microsoft JhengHei" w:eastAsia="Microsoft JhengHei" w:hint="default"/>
          <w:b/>
          <w:bCs/>
          <w:sz w:val="18"/>
          <w:szCs w:val="18"/>
        </w:rPr>
      </w:pPr>
    </w:p>
    <w:p>
      <w:pPr>
        <w:pStyle w:val="Heading1"/>
        <w:spacing w:line="240" w:lineRule="auto"/>
        <w:ind w:left="2885" w:right="2239"/>
        <w:jc w:val="left"/>
        <w:rPr>
          <w:b w:val="0"/>
          <w:bCs w:val="0"/>
        </w:rPr>
      </w:pPr>
      <w:bookmarkStart w:name="_TOC_250012" w:id="1"/>
      <w:r>
        <w:rPr/>
        <w:t>第一节重要提示、目录和释义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1"/>
        <w:ind w:left="153" w:right="1127" w:firstLine="561"/>
        <w:jc w:val="both"/>
        <w:rPr>
          <w:rFonts w:ascii="宋体" w:hAnsi="宋体" w:cs="宋体" w:eastAsia="宋体" w:hint="default"/>
          <w:sz w:val="28"/>
          <w:szCs w:val="28"/>
        </w:rPr>
      </w:pPr>
      <w:r>
        <w:rPr>
          <w:rFonts w:ascii="宋体" w:hAnsi="宋体" w:cs="宋体" w:eastAsia="宋体" w:hint="default"/>
          <w:b/>
          <w:bCs/>
          <w:spacing w:val="4"/>
          <w:w w:val="95"/>
          <w:sz w:val="28"/>
          <w:szCs w:val="28"/>
        </w:rPr>
        <w:t>公司董事会、监事会及董事、监事、高级管理人员保证年度报告内容的真</w:t>
      </w:r>
      <w:r>
        <w:rPr>
          <w:rFonts w:ascii="宋体" w:hAnsi="宋体" w:cs="宋体" w:eastAsia="宋体" w:hint="default"/>
          <w:b/>
          <w:bCs/>
          <w:spacing w:val="4"/>
          <w:w w:val="99"/>
          <w:sz w:val="28"/>
          <w:szCs w:val="28"/>
        </w:rPr>
        <w:t> </w:t>
      </w:r>
      <w:r>
        <w:rPr>
          <w:rFonts w:ascii="宋体" w:hAnsi="宋体" w:cs="宋体" w:eastAsia="宋体" w:hint="default"/>
          <w:b/>
          <w:bCs/>
          <w:spacing w:val="3"/>
          <w:w w:val="95"/>
          <w:sz w:val="28"/>
          <w:szCs w:val="28"/>
        </w:rPr>
        <w:t>实、准确、完整，不存在虚假记载、误导性陈述或重大遗漏，并承担个别和连</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带的法律责任。</w:t>
      </w:r>
      <w:r>
        <w:rPr>
          <w:rFonts w:ascii="宋体" w:hAnsi="宋体" w:cs="宋体" w:eastAsia="宋体" w:hint="default"/>
          <w:sz w:val="28"/>
          <w:szCs w:val="28"/>
        </w:rPr>
      </w:r>
    </w:p>
    <w:p>
      <w:pPr>
        <w:spacing w:line="388" w:lineRule="auto" w:before="160"/>
        <w:ind w:left="153" w:right="1131" w:firstLine="561"/>
        <w:jc w:val="both"/>
        <w:rPr>
          <w:rFonts w:ascii="宋体" w:hAnsi="宋体" w:cs="宋体" w:eastAsia="宋体" w:hint="default"/>
          <w:sz w:val="28"/>
          <w:szCs w:val="28"/>
        </w:rPr>
      </w:pPr>
      <w:r>
        <w:rPr>
          <w:rFonts w:ascii="宋体" w:hAnsi="宋体" w:cs="宋体" w:eastAsia="宋体" w:hint="default"/>
          <w:b/>
          <w:bCs/>
          <w:w w:val="95"/>
          <w:sz w:val="28"/>
          <w:szCs w:val="28"/>
        </w:rPr>
        <w:t>公司负责人鲁峰、主管会计工作负责人侯伟及会计机构负责人</w:t>
      </w:r>
      <w:r>
        <w:rPr>
          <w:rFonts w:ascii="Arial" w:hAnsi="Arial" w:cs="Arial" w:eastAsia="Arial" w:hint="default"/>
          <w:b/>
          <w:bCs/>
          <w:w w:val="95"/>
          <w:sz w:val="28"/>
          <w:szCs w:val="28"/>
        </w:rPr>
        <w:t>(</w:t>
      </w:r>
      <w:r>
        <w:rPr>
          <w:rFonts w:ascii="宋体" w:hAnsi="宋体" w:cs="宋体" w:eastAsia="宋体" w:hint="default"/>
          <w:b/>
          <w:bCs/>
          <w:w w:val="95"/>
          <w:sz w:val="28"/>
          <w:szCs w:val="28"/>
        </w:rPr>
        <w:t>会计主管人</w:t>
      </w:r>
      <w:r>
        <w:rPr>
          <w:rFonts w:ascii="宋体" w:hAnsi="宋体" w:cs="宋体" w:eastAsia="宋体" w:hint="default"/>
          <w:b/>
          <w:bCs/>
          <w:spacing w:val="1"/>
          <w:w w:val="99"/>
          <w:sz w:val="28"/>
          <w:szCs w:val="28"/>
        </w:rPr>
        <w:t> </w:t>
      </w:r>
      <w:r>
        <w:rPr>
          <w:rFonts w:ascii="宋体" w:hAnsi="宋体" w:cs="宋体" w:eastAsia="宋体" w:hint="default"/>
          <w:b/>
          <w:bCs/>
          <w:sz w:val="28"/>
          <w:szCs w:val="28"/>
        </w:rPr>
        <w:t>员</w:t>
      </w:r>
      <w:r>
        <w:rPr>
          <w:rFonts w:ascii="Arial" w:hAnsi="Arial" w:cs="Arial" w:eastAsia="Arial" w:hint="default"/>
          <w:b/>
          <w:bCs/>
          <w:sz w:val="28"/>
          <w:szCs w:val="28"/>
        </w:rPr>
        <w:t>)</w:t>
      </w:r>
      <w:r>
        <w:rPr>
          <w:rFonts w:ascii="宋体" w:hAnsi="宋体" w:cs="宋体" w:eastAsia="宋体" w:hint="default"/>
          <w:b/>
          <w:bCs/>
          <w:sz w:val="28"/>
          <w:szCs w:val="28"/>
        </w:rPr>
        <w:t>镇千金声明：保证年度报告中财务报告的真实、准确、完整。</w:t>
      </w:r>
      <w:r>
        <w:rPr>
          <w:rFonts w:ascii="宋体" w:hAnsi="宋体" w:cs="宋体" w:eastAsia="宋体" w:hint="default"/>
          <w:sz w:val="28"/>
          <w:szCs w:val="28"/>
        </w:rPr>
      </w:r>
    </w:p>
    <w:p>
      <w:pPr>
        <w:spacing w:line="472" w:lineRule="auto" w:before="144"/>
        <w:ind w:left="715" w:right="0" w:firstLine="0"/>
        <w:jc w:val="left"/>
        <w:rPr>
          <w:rFonts w:ascii="宋体" w:hAnsi="宋体" w:cs="宋体" w:eastAsia="宋体" w:hint="default"/>
          <w:sz w:val="28"/>
          <w:szCs w:val="28"/>
        </w:rPr>
      </w:pPr>
      <w:r>
        <w:rPr>
          <w:rFonts w:ascii="宋体" w:hAnsi="宋体" w:cs="宋体" w:eastAsia="宋体" w:hint="default"/>
          <w:b/>
          <w:bCs/>
          <w:sz w:val="28"/>
          <w:szCs w:val="28"/>
        </w:rPr>
        <w:t>所有董事均已出席了审议本报告的董事会会议。</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本年度报告涉及未来计划等前瞻性陈述，并不代表公司对未来年度的盈利</w:t>
      </w:r>
      <w:r>
        <w:rPr>
          <w:rFonts w:ascii="宋体" w:hAnsi="宋体" w:cs="宋体" w:eastAsia="宋体" w:hint="default"/>
          <w:sz w:val="28"/>
          <w:szCs w:val="28"/>
        </w:rPr>
      </w:r>
    </w:p>
    <w:p>
      <w:pPr>
        <w:spacing w:line="472" w:lineRule="auto" w:before="0"/>
        <w:ind w:left="715" w:right="0" w:hanging="562"/>
        <w:jc w:val="left"/>
        <w:rPr>
          <w:rFonts w:ascii="宋体" w:hAnsi="宋体" w:cs="宋体" w:eastAsia="宋体" w:hint="default"/>
          <w:sz w:val="28"/>
          <w:szCs w:val="28"/>
        </w:rPr>
      </w:pPr>
      <w:r>
        <w:rPr>
          <w:rFonts w:ascii="宋体" w:hAnsi="宋体" w:cs="宋体" w:eastAsia="宋体" w:hint="default"/>
          <w:b/>
          <w:bCs/>
          <w:sz w:val="28"/>
          <w:szCs w:val="28"/>
        </w:rPr>
        <w:t>预测及对投资者的实质承诺，请投资者注意投资风险。</w:t>
      </w:r>
      <w:r>
        <w:rPr>
          <w:rFonts w:ascii="宋体" w:hAnsi="宋体" w:cs="宋体" w:eastAsia="宋体" w:hint="default"/>
          <w:b/>
          <w:bCs/>
          <w:spacing w:val="1"/>
          <w:w w:val="99"/>
          <w:sz w:val="28"/>
          <w:szCs w:val="28"/>
        </w:rPr>
        <w:t> </w:t>
      </w:r>
      <w:r>
        <w:rPr>
          <w:rFonts w:ascii="宋体" w:hAnsi="宋体" w:cs="宋体" w:eastAsia="宋体" w:hint="default"/>
          <w:b/>
          <w:bCs/>
          <w:spacing w:val="4"/>
          <w:w w:val="95"/>
          <w:sz w:val="28"/>
          <w:szCs w:val="28"/>
        </w:rPr>
        <w:t>公司已在本报告中详细描述未来将面临的主要风险及应对措施，详情请查</w:t>
      </w:r>
      <w:r>
        <w:rPr>
          <w:rFonts w:ascii="宋体" w:hAnsi="宋体" w:cs="宋体" w:eastAsia="宋体" w:hint="default"/>
          <w:sz w:val="28"/>
          <w:szCs w:val="28"/>
        </w:rPr>
      </w:r>
    </w:p>
    <w:p>
      <w:pPr>
        <w:spacing w:line="398" w:lineRule="auto" w:before="0"/>
        <w:ind w:left="153" w:right="1129" w:firstLine="0"/>
        <w:jc w:val="both"/>
        <w:rPr>
          <w:rFonts w:ascii="宋体" w:hAnsi="宋体" w:cs="宋体" w:eastAsia="宋体" w:hint="default"/>
          <w:sz w:val="28"/>
          <w:szCs w:val="28"/>
        </w:rPr>
      </w:pPr>
      <w:r>
        <w:rPr>
          <w:rFonts w:ascii="宋体" w:hAnsi="宋体" w:cs="宋体" w:eastAsia="宋体" w:hint="default"/>
          <w:b/>
          <w:bCs/>
          <w:spacing w:val="3"/>
          <w:w w:val="95"/>
          <w:sz w:val="28"/>
          <w:szCs w:val="28"/>
        </w:rPr>
        <w:t>阅本报告</w:t>
      </w:r>
      <w:r>
        <w:rPr>
          <w:rFonts w:ascii="Arial" w:hAnsi="Arial" w:cs="Arial" w:eastAsia="Arial" w:hint="default"/>
          <w:b/>
          <w:bCs/>
          <w:spacing w:val="3"/>
          <w:w w:val="95"/>
          <w:sz w:val="28"/>
          <w:szCs w:val="28"/>
        </w:rPr>
        <w:t>“</w:t>
      </w:r>
      <w:r>
        <w:rPr>
          <w:rFonts w:ascii="宋体" w:hAnsi="宋体" w:cs="宋体" w:eastAsia="宋体" w:hint="default"/>
          <w:b/>
          <w:bCs/>
          <w:spacing w:val="3"/>
          <w:w w:val="95"/>
          <w:sz w:val="28"/>
          <w:szCs w:val="28"/>
        </w:rPr>
        <w:t>第四节经营情况讨论与分析</w:t>
      </w:r>
      <w:r>
        <w:rPr>
          <w:rFonts w:ascii="Arial" w:hAnsi="Arial" w:cs="Arial" w:eastAsia="Arial" w:hint="default"/>
          <w:b/>
          <w:bCs/>
          <w:spacing w:val="3"/>
          <w:w w:val="95"/>
          <w:sz w:val="28"/>
          <w:szCs w:val="28"/>
        </w:rPr>
        <w:t>”</w:t>
      </w:r>
      <w:r>
        <w:rPr>
          <w:rFonts w:ascii="宋体" w:hAnsi="宋体" w:cs="宋体" w:eastAsia="宋体" w:hint="default"/>
          <w:b/>
          <w:bCs/>
          <w:spacing w:val="3"/>
          <w:w w:val="95"/>
          <w:sz w:val="28"/>
          <w:szCs w:val="28"/>
        </w:rPr>
        <w:t>。公司在发展过程中，存在人力资源风</w:t>
      </w:r>
      <w:r>
        <w:rPr>
          <w:rFonts w:ascii="宋体" w:hAnsi="宋体" w:cs="宋体" w:eastAsia="宋体" w:hint="default"/>
          <w:b/>
          <w:bCs/>
          <w:spacing w:val="20"/>
          <w:w w:val="95"/>
          <w:sz w:val="28"/>
          <w:szCs w:val="28"/>
        </w:rPr>
        <w:t> </w:t>
      </w:r>
      <w:r>
        <w:rPr>
          <w:rFonts w:ascii="宋体" w:hAnsi="宋体" w:cs="宋体" w:eastAsia="宋体" w:hint="default"/>
          <w:b/>
          <w:bCs/>
          <w:spacing w:val="3"/>
          <w:w w:val="95"/>
          <w:sz w:val="28"/>
          <w:szCs w:val="28"/>
        </w:rPr>
        <w:t>险、行业技术风险、公司管理能力风险、新业务投入风险等风险因素，敬请广</w:t>
      </w:r>
      <w:r>
        <w:rPr>
          <w:rFonts w:ascii="宋体" w:hAnsi="宋体" w:cs="宋体" w:eastAsia="宋体" w:hint="default"/>
          <w:b/>
          <w:bCs/>
          <w:spacing w:val="20"/>
          <w:w w:val="95"/>
          <w:sz w:val="28"/>
          <w:szCs w:val="28"/>
        </w:rPr>
        <w:t> </w:t>
      </w:r>
      <w:r>
        <w:rPr>
          <w:rFonts w:ascii="宋体" w:hAnsi="宋体" w:cs="宋体" w:eastAsia="宋体" w:hint="default"/>
          <w:b/>
          <w:bCs/>
          <w:spacing w:val="20"/>
          <w:w w:val="95"/>
          <w:sz w:val="28"/>
          <w:szCs w:val="28"/>
        </w:rPr>
      </w:r>
      <w:r>
        <w:rPr>
          <w:rFonts w:ascii="宋体" w:hAnsi="宋体" w:cs="宋体" w:eastAsia="宋体" w:hint="default"/>
          <w:b/>
          <w:bCs/>
          <w:sz w:val="28"/>
          <w:szCs w:val="28"/>
        </w:rPr>
        <w:t>大投资者注意投资风险。</w:t>
      </w:r>
      <w:r>
        <w:rPr>
          <w:rFonts w:ascii="宋体" w:hAnsi="宋体" w:cs="宋体" w:eastAsia="宋体" w:hint="default"/>
          <w:sz w:val="28"/>
          <w:szCs w:val="28"/>
        </w:rPr>
      </w:r>
    </w:p>
    <w:p>
      <w:pPr>
        <w:spacing w:line="398" w:lineRule="auto" w:before="172"/>
        <w:ind w:left="153" w:right="1124" w:firstLine="561"/>
        <w:jc w:val="both"/>
        <w:rPr>
          <w:rFonts w:ascii="宋体" w:hAnsi="宋体" w:cs="宋体" w:eastAsia="宋体" w:hint="default"/>
          <w:sz w:val="28"/>
          <w:szCs w:val="28"/>
        </w:rPr>
      </w:pPr>
      <w:r>
        <w:rPr>
          <w:rFonts w:ascii="宋体" w:hAnsi="宋体" w:cs="宋体" w:eastAsia="宋体" w:hint="default"/>
          <w:b/>
          <w:bCs/>
          <w:spacing w:val="5"/>
          <w:sz w:val="28"/>
          <w:szCs w:val="28"/>
        </w:rPr>
        <w:t>公司经本次董事会审议通过的利润分配预案为：</w:t>
      </w:r>
      <w:r>
        <w:rPr>
          <w:rFonts w:ascii="Arial" w:hAnsi="Arial" w:cs="Arial" w:eastAsia="Arial" w:hint="default"/>
          <w:b/>
          <w:bCs/>
          <w:spacing w:val="5"/>
          <w:sz w:val="28"/>
          <w:szCs w:val="28"/>
        </w:rPr>
        <w:t>2019</w:t>
      </w:r>
      <w:r>
        <w:rPr>
          <w:rFonts w:ascii="Arial" w:hAnsi="Arial" w:cs="Arial" w:eastAsia="Arial" w:hint="default"/>
          <w:b/>
          <w:bCs/>
          <w:spacing w:val="33"/>
          <w:sz w:val="28"/>
          <w:szCs w:val="28"/>
        </w:rPr>
        <w:t> </w:t>
      </w:r>
      <w:r>
        <w:rPr>
          <w:rFonts w:ascii="宋体" w:hAnsi="宋体" w:cs="宋体" w:eastAsia="宋体" w:hint="default"/>
          <w:b/>
          <w:bCs/>
          <w:spacing w:val="7"/>
          <w:sz w:val="28"/>
          <w:szCs w:val="28"/>
        </w:rPr>
        <w:t>年度不派发现金红</w:t>
      </w:r>
      <w:r>
        <w:rPr>
          <w:rFonts w:ascii="宋体" w:hAnsi="宋体" w:cs="宋体" w:eastAsia="宋体" w:hint="default"/>
          <w:b/>
          <w:bCs/>
          <w:spacing w:val="7"/>
          <w:w w:val="99"/>
          <w:sz w:val="28"/>
          <w:szCs w:val="28"/>
        </w:rPr>
        <w:t> </w:t>
      </w:r>
      <w:r>
        <w:rPr>
          <w:rFonts w:ascii="宋体" w:hAnsi="宋体" w:cs="宋体" w:eastAsia="宋体" w:hint="default"/>
          <w:b/>
          <w:bCs/>
          <w:spacing w:val="3"/>
          <w:w w:val="95"/>
          <w:sz w:val="28"/>
          <w:szCs w:val="28"/>
        </w:rPr>
        <w:t>利，不送红股，不以公积金转增股本，将留存的未分配利润用于满足公司日常</w:t>
      </w:r>
      <w:r>
        <w:rPr>
          <w:rFonts w:ascii="宋体" w:hAnsi="宋体" w:cs="宋体" w:eastAsia="宋体" w:hint="default"/>
          <w:b/>
          <w:bCs/>
          <w:spacing w:val="19"/>
          <w:w w:val="95"/>
          <w:sz w:val="28"/>
          <w:szCs w:val="28"/>
        </w:rPr>
        <w:t> </w:t>
      </w:r>
      <w:r>
        <w:rPr>
          <w:rFonts w:ascii="宋体" w:hAnsi="宋体" w:cs="宋体" w:eastAsia="宋体" w:hint="default"/>
          <w:b/>
          <w:bCs/>
          <w:spacing w:val="19"/>
          <w:w w:val="95"/>
          <w:sz w:val="28"/>
          <w:szCs w:val="28"/>
        </w:rPr>
      </w:r>
      <w:r>
        <w:rPr>
          <w:rFonts w:ascii="宋体" w:hAnsi="宋体" w:cs="宋体" w:eastAsia="宋体" w:hint="default"/>
          <w:b/>
          <w:bCs/>
          <w:sz w:val="28"/>
          <w:szCs w:val="28"/>
        </w:rPr>
        <w:t>经营和项目投资需要。</w:t>
      </w:r>
      <w:r>
        <w:rPr>
          <w:rFonts w:ascii="宋体" w:hAnsi="宋体" w:cs="宋体" w:eastAsia="宋体" w:hint="default"/>
          <w:sz w:val="28"/>
          <w:szCs w:val="28"/>
        </w:rPr>
      </w:r>
    </w:p>
    <w:p>
      <w:pPr>
        <w:spacing w:after="0" w:line="398" w:lineRule="auto"/>
        <w:jc w:val="both"/>
        <w:rPr>
          <w:rFonts w:ascii="宋体" w:hAnsi="宋体" w:cs="宋体" w:eastAsia="宋体" w:hint="default"/>
          <w:sz w:val="28"/>
          <w:szCs w:val="28"/>
        </w:rPr>
        <w:sectPr>
          <w:footerReference w:type="default" r:id="rId8"/>
          <w:pgSz w:w="11910" w:h="16840"/>
          <w:pgMar w:footer="982" w:header="747" w:top="1060" w:bottom="1180" w:left="980" w:right="0"/>
          <w:pgNumType w:start="2"/>
        </w:sectPr>
      </w:pPr>
    </w:p>
    <w:p>
      <w:pPr>
        <w:spacing w:line="240" w:lineRule="auto" w:before="12"/>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9;height:2" coordorigin="7,7" coordsize="9699,2">
              <v:shape style="position:absolute;left:7;top:7;width:9699;height:2" coordorigin="7,7" coordsize="9699,0" path="m7,7l9706,7e" filled="false" stroked="true" strokeweight=".72003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25"/>
          <w:szCs w:val="25"/>
        </w:rPr>
      </w:pPr>
    </w:p>
    <w:p>
      <w:pPr>
        <w:spacing w:line="460" w:lineRule="exact" w:before="0"/>
        <w:ind w:left="1641" w:right="2617"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8"/>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2" w:val="right" w:leader="dot"/>
            </w:tabs>
            <w:spacing w:line="240" w:lineRule="auto" w:before="0"/>
            <w:ind w:left="154"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2">
            <w:r>
              <w:rPr/>
              <w:t>第一节重要提示、目录和释义</w:t>
            </w:r>
            <w:r>
              <w:rPr>
                <w:rFonts w:ascii="Times New Roman" w:hAnsi="Times New Roman" w:cs="Times New Roman" w:eastAsia="Times New Roman" w:hint="default"/>
              </w:rPr>
              <w:tab/>
              <w:t>2</w:t>
            </w:r>
          </w:hyperlink>
        </w:p>
        <w:p>
          <w:pPr>
            <w:pStyle w:val="TOC1"/>
            <w:tabs>
              <w:tab w:pos="9782" w:val="right" w:leader="dot"/>
            </w:tabs>
            <w:spacing w:line="240" w:lineRule="auto"/>
            <w:ind w:right="0"/>
            <w:jc w:val="left"/>
            <w:rPr>
              <w:rFonts w:ascii="Times New Roman" w:hAnsi="Times New Roman" w:cs="Times New Roman" w:eastAsia="Times New Roman" w:hint="default"/>
            </w:rPr>
          </w:pPr>
          <w:hyperlink w:history="true" w:anchor="_TOC_250011">
            <w:r>
              <w:rPr/>
              <w:t>第二节公司简介和主要财务指标</w:t>
            </w:r>
            <w:r>
              <w:rPr>
                <w:rFonts w:ascii="Times New Roman" w:hAnsi="Times New Roman" w:cs="Times New Roman" w:eastAsia="Times New Roman" w:hint="default"/>
              </w:rPr>
              <w:tab/>
              <w:t>6</w:t>
            </w:r>
          </w:hyperlink>
        </w:p>
        <w:p>
          <w:pPr>
            <w:pStyle w:val="TOC1"/>
            <w:tabs>
              <w:tab w:pos="9780" w:val="right" w:leader="dot"/>
            </w:tabs>
            <w:spacing w:line="240" w:lineRule="auto" w:before="277"/>
            <w:ind w:right="0"/>
            <w:jc w:val="left"/>
            <w:rPr>
              <w:rFonts w:ascii="Times New Roman" w:hAnsi="Times New Roman" w:cs="Times New Roman" w:eastAsia="Times New Roman" w:hint="default"/>
            </w:rPr>
          </w:pPr>
          <w:hyperlink w:history="true" w:anchor="_TOC_250010">
            <w:r>
              <w:rPr/>
              <w:t>第三节公司业务概要</w:t>
            </w:r>
            <w:r>
              <w:rPr>
                <w:rFonts w:ascii="Times New Roman" w:hAnsi="Times New Roman" w:cs="Times New Roman" w:eastAsia="Times New Roman" w:hint="default"/>
              </w:rPr>
              <w:tab/>
              <w:t>10</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9">
            <w:r>
              <w:rPr/>
              <w:t>第四节经营情况讨论与分析</w:t>
            </w:r>
            <w:r>
              <w:rPr>
                <w:rFonts w:ascii="Times New Roman" w:hAnsi="Times New Roman" w:cs="Times New Roman" w:eastAsia="Times New Roman" w:hint="default"/>
              </w:rPr>
              <w:tab/>
              <w:t>15</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8">
            <w:r>
              <w:rPr/>
              <w:t>第五节重要事项</w:t>
            </w:r>
            <w:r>
              <w:rPr>
                <w:rFonts w:ascii="Times New Roman" w:hAnsi="Times New Roman" w:cs="Times New Roman" w:eastAsia="Times New Roman" w:hint="default"/>
              </w:rPr>
              <w:tab/>
              <w:t>33</w:t>
            </w:r>
          </w:hyperlink>
        </w:p>
        <w:p>
          <w:pPr>
            <w:pStyle w:val="TOC1"/>
            <w:tabs>
              <w:tab w:pos="9780" w:val="right" w:leader="dot"/>
            </w:tabs>
            <w:spacing w:line="240" w:lineRule="auto" w:before="277"/>
            <w:ind w:right="0"/>
            <w:jc w:val="left"/>
            <w:rPr>
              <w:rFonts w:ascii="Times New Roman" w:hAnsi="Times New Roman" w:cs="Times New Roman" w:eastAsia="Times New Roman" w:hint="default"/>
            </w:rPr>
          </w:pPr>
          <w:hyperlink w:history="true" w:anchor="_TOC_250007">
            <w:r>
              <w:rPr/>
              <w:t>第六节股份变动及股东情况</w:t>
            </w:r>
            <w:r>
              <w:rPr>
                <w:rFonts w:ascii="Times New Roman" w:hAnsi="Times New Roman" w:cs="Times New Roman" w:eastAsia="Times New Roman" w:hint="default"/>
              </w:rPr>
              <w:tab/>
              <w:t>60</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6">
            <w:r>
              <w:rPr/>
              <w:t>第七节优先股相关情况</w:t>
            </w:r>
            <w:r>
              <w:rPr>
                <w:rFonts w:ascii="Times New Roman" w:hAnsi="Times New Roman" w:cs="Times New Roman" w:eastAsia="Times New Roman" w:hint="default"/>
              </w:rPr>
              <w:tab/>
              <w:t>65</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5">
            <w:r>
              <w:rPr/>
              <w:t>第八节可转换公司债券相关情况</w:t>
            </w:r>
            <w:r>
              <w:rPr>
                <w:rFonts w:ascii="Times New Roman" w:hAnsi="Times New Roman" w:cs="Times New Roman" w:eastAsia="Times New Roman" w:hint="default"/>
              </w:rPr>
              <w:tab/>
              <w:t>66</w:t>
            </w:r>
          </w:hyperlink>
        </w:p>
        <w:p>
          <w:pPr>
            <w:pStyle w:val="TOC1"/>
            <w:tabs>
              <w:tab w:pos="9780" w:val="right" w:leader="dot"/>
            </w:tabs>
            <w:spacing w:line="240" w:lineRule="auto" w:before="277"/>
            <w:ind w:right="0"/>
            <w:jc w:val="left"/>
            <w:rPr>
              <w:rFonts w:ascii="Times New Roman" w:hAnsi="Times New Roman" w:cs="Times New Roman" w:eastAsia="Times New Roman" w:hint="default"/>
            </w:rPr>
          </w:pPr>
          <w:hyperlink w:history="true" w:anchor="_TOC_250004">
            <w:r>
              <w:rPr/>
              <w:t>第九节董事、监事、高级管理人员和员工情况</w:t>
            </w:r>
            <w:r>
              <w:rPr>
                <w:rFonts w:ascii="Times New Roman" w:hAnsi="Times New Roman" w:cs="Times New Roman" w:eastAsia="Times New Roman" w:hint="default"/>
              </w:rPr>
              <w:tab/>
              <w:t>67</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3">
            <w:r>
              <w:rPr/>
              <w:t>第十节公司治理</w:t>
            </w:r>
            <w:r>
              <w:rPr>
                <w:rFonts w:ascii="Times New Roman" w:hAnsi="Times New Roman" w:cs="Times New Roman" w:eastAsia="Times New Roman" w:hint="default"/>
              </w:rPr>
              <w:tab/>
              <w:t>76</w:t>
            </w:r>
          </w:hyperlink>
        </w:p>
        <w:p>
          <w:pPr>
            <w:pStyle w:val="TOC1"/>
            <w:tabs>
              <w:tab w:pos="9780" w:val="right" w:leader="dot"/>
            </w:tabs>
            <w:spacing w:line="240" w:lineRule="auto"/>
            <w:ind w:right="0"/>
            <w:jc w:val="left"/>
            <w:rPr>
              <w:rFonts w:ascii="Times New Roman" w:hAnsi="Times New Roman" w:cs="Times New Roman" w:eastAsia="Times New Roman" w:hint="default"/>
            </w:rPr>
          </w:pPr>
          <w:hyperlink w:history="true" w:anchor="_TOC_250002">
            <w:r>
              <w:rPr/>
              <w:t>第十一节公司债券相关情况</w:t>
            </w:r>
            <w:r>
              <w:rPr>
                <w:rFonts w:ascii="Times New Roman" w:hAnsi="Times New Roman" w:cs="Times New Roman" w:eastAsia="Times New Roman" w:hint="default"/>
              </w:rPr>
              <w:tab/>
              <w:t>81</w:t>
            </w:r>
          </w:hyperlink>
        </w:p>
        <w:p>
          <w:pPr>
            <w:pStyle w:val="TOC1"/>
            <w:tabs>
              <w:tab w:pos="9780" w:val="right" w:leader="dot"/>
            </w:tabs>
            <w:spacing w:line="240" w:lineRule="auto" w:before="277"/>
            <w:ind w:right="0"/>
            <w:jc w:val="left"/>
            <w:rPr>
              <w:rFonts w:ascii="Times New Roman" w:hAnsi="Times New Roman" w:cs="Times New Roman" w:eastAsia="Times New Roman" w:hint="default"/>
            </w:rPr>
          </w:pPr>
          <w:hyperlink w:history="true" w:anchor="_TOC_250001">
            <w:r>
              <w:rPr/>
              <w:t>第十二节 财务报告</w:t>
            </w:r>
            <w:r>
              <w:rPr>
                <w:rFonts w:ascii="Times New Roman" w:hAnsi="Times New Roman" w:cs="Times New Roman" w:eastAsia="Times New Roman" w:hint="default"/>
              </w:rPr>
              <w:tab/>
              <w:t>82</w:t>
            </w:r>
          </w:hyperlink>
        </w:p>
        <w:p>
          <w:pPr>
            <w:pStyle w:val="TOC1"/>
            <w:tabs>
              <w:tab w:pos="9781" w:val="right" w:leader="dot"/>
            </w:tabs>
            <w:spacing w:line="240" w:lineRule="auto"/>
            <w:ind w:right="0"/>
            <w:jc w:val="left"/>
            <w:rPr>
              <w:rFonts w:ascii="Times New Roman" w:hAnsi="Times New Roman" w:cs="Times New Roman" w:eastAsia="Times New Roman" w:hint="default"/>
            </w:rPr>
          </w:pPr>
          <w:hyperlink w:history="true" w:anchor="_TOC_250000">
            <w:r>
              <w:rPr/>
              <w:t>第十三节 备查文件目录</w:t>
            </w:r>
            <w:r>
              <w:rPr>
                <w:rFonts w:ascii="Times New Roman" w:hAnsi="Times New Roman" w:cs="Times New Roman" w:eastAsia="Times New Roman" w:hint="default"/>
              </w:rPr>
              <w:tab/>
              <w:t>218</w:t>
            </w:r>
          </w:hyperlink>
        </w:p>
        <w:p>
          <w:pPr/>
          <w:r>
            <w:fldChar w:fldCharType="end"/>
          </w:r>
        </w:p>
      </w:sdtContent>
    </w:sdt>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5"/>
        <w:rPr>
          <w:rFonts w:ascii="Times New Roman" w:hAnsi="Times New Roman" w:cs="Times New Roman" w:eastAsia="Times New Roman" w:hint="default"/>
          <w:sz w:val="30"/>
          <w:szCs w:val="30"/>
        </w:rPr>
      </w:pPr>
    </w:p>
    <w:p>
      <w:pPr>
        <w:spacing w:before="0"/>
        <w:ind w:left="1641" w:right="2617"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7"/>
          <w:szCs w:val="17"/>
        </w:rPr>
      </w:pPr>
    </w:p>
    <w:p>
      <w:pPr>
        <w:pStyle w:val="BodyText"/>
        <w:spacing w:line="240" w:lineRule="auto"/>
        <w:ind w:left="0" w:right="1139"/>
        <w:jc w:val="right"/>
      </w:pPr>
      <w:r>
        <w:rPr/>
        <w:pict>
          <v:shape style="position:absolute;margin-left:56.459999pt;margin-top:-492.047974pt;width:479.2pt;height:592.15pt;mso-position-horizontal-relative:page;mso-position-vertical-relative:paragraph;z-index:10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10"/>
                    <w:gridCol w:w="5435"/>
                  </w:tblGrid>
                  <w:tr>
                    <w:trPr>
                      <w:trHeight w:val="402" w:hRule="exact"/>
                    </w:trPr>
                    <w:tc>
                      <w:tcPr>
                        <w:tcW w:w="35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释义项</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公司、本公司、榕基软件</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福建榕基软件股份有限公司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上海榕基</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上海榕基软件开发有限公司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创华公司</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福州创华电气自动化有限公司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浙江榕基</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浙江榕基信息技术有限公司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五一公司</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榕基五一（北京）信息技术有限公司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榕基工程</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福建榕基软件工程有限公司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河南榕基</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河南榕基信息技术有限公司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中榕基公司</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北京中榕基信息技术有限公司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马鞍山榕基</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马鞍山榕基软件信息科技有限公司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榕基投资</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福建榕基投资有限公司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信阳榕基</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信阳榕基信息技术有限公司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榕基国际</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榕基国际控股有限公司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亿榕信息</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星云大数据</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福建省星云大数据应用服务有限公司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星榕基</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福建星榕基信息科技有限责任公司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容大物联</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福建容大物联网科技有限公司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福水智联</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福水智联技术有限公司</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福建证监局</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中国证券监督管理委员会福建监管局</w:t>
                        </w:r>
                      </w:p>
                    </w:tc>
                  </w:tr>
                  <w:tr>
                    <w:trPr>
                      <w:trHeight w:val="402" w:hRule="exact"/>
                    </w:trPr>
                    <w:tc>
                      <w:tcPr>
                        <w:tcW w:w="352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公司主营业务领域、五大业务领域</w:t>
                        </w:r>
                      </w:p>
                    </w:tc>
                    <w:tc>
                      <w:tcPr>
                        <w:tcW w:w="6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52"/>
                          <w:ind w:left="27" w:right="0"/>
                          <w:jc w:val="left"/>
                          <w:rPr>
                            <w:rFonts w:ascii="宋体" w:hAnsi="宋体" w:cs="宋体" w:eastAsia="宋体" w:hint="default"/>
                            <w:sz w:val="18"/>
                            <w:szCs w:val="18"/>
                          </w:rPr>
                        </w:pPr>
                        <w:r>
                          <w:rPr>
                            <w:rFonts w:ascii="宋体" w:hAnsi="宋体" w:cs="宋体" w:eastAsia="宋体" w:hint="default"/>
                            <w:sz w:val="18"/>
                            <w:szCs w:val="18"/>
                          </w:rPr>
                          <w:t>电子政务、协同管理、信息安全、大数据、物联网等</w:t>
                        </w:r>
                      </w:p>
                    </w:tc>
                  </w:tr>
                  <w:tr>
                    <w:trPr>
                      <w:trHeight w:val="358" w:hRule="exact"/>
                    </w:trPr>
                    <w:tc>
                      <w:tcPr>
                        <w:tcW w:w="3524" w:type="dxa"/>
                        <w:tcBorders>
                          <w:top w:val="single" w:sz="4" w:space="0" w:color="000000"/>
                          <w:left w:val="single" w:sz="4" w:space="0" w:color="000000"/>
                          <w:bottom w:val="nil" w:sz="6" w:space="0" w:color="auto"/>
                          <w:right w:val="single" w:sz="4" w:space="0" w:color="000000"/>
                        </w:tcBorders>
                      </w:tcPr>
                      <w:p>
                        <w:pPr/>
                      </w:p>
                    </w:tc>
                    <w:tc>
                      <w:tcPr>
                        <w:tcW w:w="610" w:type="dxa"/>
                        <w:vMerge w:val="restart"/>
                        <w:tcBorders>
                          <w:top w:val="single" w:sz="4" w:space="0" w:color="000000"/>
                          <w:left w:val="single" w:sz="4" w:space="0" w:color="000000"/>
                          <w:right w:val="single" w:sz="4" w:space="0" w:color="000000"/>
                        </w:tcBorders>
                        <w:shd w:val="clear" w:color="auto" w:fill="D3D3D3"/>
                      </w:tcPr>
                      <w:p>
                        <w:pPr/>
                      </w:p>
                    </w:tc>
                    <w:tc>
                      <w:tcPr>
                        <w:tcW w:w="54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pacing w:val="-2"/>
                            <w:sz w:val="18"/>
                            <w:szCs w:val="18"/>
                          </w:rPr>
                          <w:t>公共管理组织在政务活动中，综合运用现代信息技术，实现服务职能</w:t>
                        </w:r>
                      </w:p>
                    </w:tc>
                  </w:tr>
                  <w:tr>
                    <w:trPr>
                      <w:trHeight w:val="271" w:hRule="exact"/>
                    </w:trPr>
                    <w:tc>
                      <w:tcPr>
                        <w:tcW w:w="3524" w:type="dxa"/>
                        <w:tcBorders>
                          <w:top w:val="nil" w:sz="6" w:space="0" w:color="auto"/>
                          <w:left w:val="single" w:sz="4" w:space="0" w:color="000000"/>
                          <w:bottom w:val="nil" w:sz="6" w:space="0" w:color="auto"/>
                          <w:right w:val="single" w:sz="4" w:space="0" w:color="000000"/>
                        </w:tcBorders>
                      </w:tcPr>
                      <w:p>
                        <w:pPr/>
                      </w:p>
                    </w:tc>
                    <w:tc>
                      <w:tcPr>
                        <w:tcW w:w="610" w:type="dxa"/>
                        <w:vMerge/>
                        <w:tcBorders>
                          <w:left w:val="single" w:sz="4" w:space="0" w:color="000000"/>
                          <w:bottom w:val="nil" w:sz="6" w:space="0" w:color="auto"/>
                          <w:right w:val="single" w:sz="4" w:space="0" w:color="000000"/>
                        </w:tcBorders>
                        <w:shd w:val="clear" w:color="auto" w:fill="D3D3D3"/>
                      </w:tcPr>
                      <w:p>
                        <w:pPr/>
                      </w:p>
                    </w:tc>
                    <w:tc>
                      <w:tcPr>
                        <w:tcW w:w="543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34" w:right="0"/>
                          <w:jc w:val="left"/>
                          <w:rPr>
                            <w:rFonts w:ascii="宋体" w:hAnsi="宋体" w:cs="宋体" w:eastAsia="宋体" w:hint="default"/>
                            <w:sz w:val="18"/>
                            <w:szCs w:val="18"/>
                          </w:rPr>
                        </w:pPr>
                        <w:r>
                          <w:rPr>
                            <w:rFonts w:ascii="宋体" w:hAnsi="宋体" w:cs="宋体" w:eastAsia="宋体" w:hint="default"/>
                            <w:spacing w:val="-2"/>
                            <w:sz w:val="18"/>
                            <w:szCs w:val="18"/>
                          </w:rPr>
                          <w:t>和管理职能重组优化的运作模式。电子政务有狭义和广义之分。狭义</w:t>
                        </w:r>
                      </w:p>
                    </w:tc>
                  </w:tr>
                  <w:tr>
                    <w:trPr>
                      <w:trHeight w:val="392" w:hRule="exact"/>
                    </w:trPr>
                    <w:tc>
                      <w:tcPr>
                        <w:tcW w:w="3524" w:type="dxa"/>
                        <w:tcBorders>
                          <w:top w:val="nil" w:sz="6" w:space="0" w:color="auto"/>
                          <w:left w:val="single" w:sz="4" w:space="0" w:color="000000"/>
                          <w:bottom w:val="nil" w:sz="6" w:space="0" w:color="auto"/>
                          <w:right w:val="single" w:sz="13" w:space="0" w:color="D3D3D3"/>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电子政务</w:t>
                        </w:r>
                      </w:p>
                    </w:tc>
                    <w:tc>
                      <w:tcPr>
                        <w:tcW w:w="6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tcBorders>
                          <w:top w:val="nil" w:sz="6" w:space="0" w:color="auto"/>
                          <w:left w:val="single" w:sz="9" w:space="0" w:color="D3D3D3"/>
                          <w:bottom w:val="nil" w:sz="6" w:space="0" w:color="auto"/>
                          <w:right w:val="single" w:sz="4" w:space="0" w:color="000000"/>
                        </w:tcBorders>
                      </w:tcPr>
                      <w:p>
                        <w:pPr>
                          <w:pStyle w:val="TableParagraph"/>
                          <w:spacing w:line="240" w:lineRule="auto" w:before="50"/>
                          <w:ind w:left="27" w:right="0"/>
                          <w:jc w:val="left"/>
                          <w:rPr>
                            <w:rFonts w:ascii="宋体" w:hAnsi="宋体" w:cs="宋体" w:eastAsia="宋体" w:hint="default"/>
                            <w:sz w:val="18"/>
                            <w:szCs w:val="18"/>
                          </w:rPr>
                        </w:pPr>
                        <w:r>
                          <w:rPr>
                            <w:rFonts w:ascii="宋体" w:hAnsi="宋体" w:cs="宋体" w:eastAsia="宋体" w:hint="default"/>
                            <w:spacing w:val="-2"/>
                            <w:sz w:val="18"/>
                            <w:szCs w:val="18"/>
                          </w:rPr>
                          <w:t>的电子政务专指政府部门的管理和服务，广义的电子政务包括各类行</w:t>
                        </w:r>
                      </w:p>
                    </w:tc>
                  </w:tr>
                  <w:tr>
                    <w:trPr>
                      <w:trHeight w:val="273" w:hRule="exact"/>
                    </w:trPr>
                    <w:tc>
                      <w:tcPr>
                        <w:tcW w:w="3524" w:type="dxa"/>
                        <w:tcBorders>
                          <w:top w:val="nil" w:sz="6" w:space="0" w:color="auto"/>
                          <w:left w:val="single" w:sz="4" w:space="0" w:color="000000"/>
                          <w:bottom w:val="nil" w:sz="6" w:space="0" w:color="auto"/>
                          <w:right w:val="single" w:sz="4" w:space="0" w:color="000000"/>
                        </w:tcBorders>
                      </w:tcPr>
                      <w:p>
                        <w:pPr/>
                      </w:p>
                    </w:tc>
                    <w:tc>
                      <w:tcPr>
                        <w:tcW w:w="610" w:type="dxa"/>
                        <w:vMerge w:val="restart"/>
                        <w:tcBorders>
                          <w:top w:val="nil" w:sz="6" w:space="0" w:color="auto"/>
                          <w:left w:val="single" w:sz="4" w:space="0" w:color="000000"/>
                          <w:right w:val="single" w:sz="4" w:space="0" w:color="000000"/>
                        </w:tcBorders>
                        <w:shd w:val="clear" w:color="auto" w:fill="D3D3D3"/>
                      </w:tcPr>
                      <w:p>
                        <w:pPr/>
                      </w:p>
                    </w:tc>
                    <w:tc>
                      <w:tcPr>
                        <w:tcW w:w="5435" w:type="dxa"/>
                        <w:tcBorders>
                          <w:top w:val="nil" w:sz="6" w:space="0" w:color="auto"/>
                          <w:left w:val="single" w:sz="4" w:space="0" w:color="000000"/>
                          <w:bottom w:val="nil" w:sz="6" w:space="0" w:color="auto"/>
                          <w:right w:val="single" w:sz="4" w:space="0" w:color="000000"/>
                        </w:tcBorders>
                      </w:tcPr>
                      <w:p>
                        <w:pPr>
                          <w:pStyle w:val="TableParagraph"/>
                          <w:spacing w:line="206" w:lineRule="exact"/>
                          <w:ind w:left="34" w:right="0"/>
                          <w:jc w:val="left"/>
                          <w:rPr>
                            <w:rFonts w:ascii="宋体" w:hAnsi="宋体" w:cs="宋体" w:eastAsia="宋体" w:hint="default"/>
                            <w:sz w:val="18"/>
                            <w:szCs w:val="18"/>
                          </w:rPr>
                        </w:pPr>
                        <w:r>
                          <w:rPr>
                            <w:rFonts w:ascii="宋体" w:hAnsi="宋体" w:cs="宋体" w:eastAsia="宋体" w:hint="default"/>
                            <w:sz w:val="18"/>
                            <w:szCs w:val="18"/>
                          </w:rPr>
                          <w:t>政管理活动</w:t>
                        </w:r>
                        <w:r>
                          <w:rPr>
                            <w:rFonts w:ascii="宋体" w:hAnsi="宋体" w:cs="宋体" w:eastAsia="宋体" w:hint="default"/>
                            <w:spacing w:val="-9"/>
                            <w:sz w:val="18"/>
                            <w:szCs w:val="18"/>
                          </w:rPr>
                          <w:t>，</w:t>
                        </w:r>
                        <w:r>
                          <w:rPr>
                            <w:rFonts w:ascii="宋体" w:hAnsi="宋体" w:cs="宋体" w:eastAsia="宋体" w:hint="default"/>
                            <w:sz w:val="18"/>
                            <w:szCs w:val="18"/>
                          </w:rPr>
                          <w:t>例如电子政</w:t>
                        </w:r>
                        <w:r>
                          <w:rPr>
                            <w:rFonts w:ascii="宋体" w:hAnsi="宋体" w:cs="宋体" w:eastAsia="宋体" w:hint="default"/>
                            <w:spacing w:val="-9"/>
                            <w:sz w:val="18"/>
                            <w:szCs w:val="18"/>
                          </w:rPr>
                          <w:t>府</w:t>
                        </w:r>
                        <w:r>
                          <w:rPr>
                            <w:rFonts w:ascii="宋体" w:hAnsi="宋体" w:cs="宋体" w:eastAsia="宋体" w:hint="default"/>
                            <w:sz w:val="18"/>
                            <w:szCs w:val="18"/>
                          </w:rPr>
                          <w:t>（狭义电子政务</w:t>
                        </w:r>
                        <w:r>
                          <w:rPr>
                            <w:rFonts w:ascii="宋体" w:hAnsi="宋体" w:cs="宋体" w:eastAsia="宋体" w:hint="default"/>
                            <w:spacing w:val="-90"/>
                            <w:sz w:val="18"/>
                            <w:szCs w:val="18"/>
                          </w:rPr>
                          <w:t>）</w:t>
                        </w:r>
                        <w:r>
                          <w:rPr>
                            <w:rFonts w:ascii="宋体" w:hAnsi="宋体" w:cs="宋体" w:eastAsia="宋体" w:hint="default"/>
                            <w:spacing w:val="-9"/>
                            <w:sz w:val="18"/>
                            <w:szCs w:val="18"/>
                          </w:rPr>
                          <w:t>、</w:t>
                        </w:r>
                        <w:r>
                          <w:rPr>
                            <w:rFonts w:ascii="宋体" w:hAnsi="宋体" w:cs="宋体" w:eastAsia="宋体" w:hint="default"/>
                            <w:sz w:val="18"/>
                            <w:szCs w:val="18"/>
                          </w:rPr>
                          <w:t>电子党务</w:t>
                        </w:r>
                        <w:r>
                          <w:rPr>
                            <w:rFonts w:ascii="宋体" w:hAnsi="宋体" w:cs="宋体" w:eastAsia="宋体" w:hint="default"/>
                            <w:spacing w:val="-9"/>
                            <w:sz w:val="18"/>
                            <w:szCs w:val="18"/>
                          </w:rPr>
                          <w:t>、</w:t>
                        </w:r>
                        <w:r>
                          <w:rPr>
                            <w:rFonts w:ascii="宋体" w:hAnsi="宋体" w:cs="宋体" w:eastAsia="宋体" w:hint="default"/>
                            <w:sz w:val="18"/>
                            <w:szCs w:val="18"/>
                          </w:rPr>
                          <w:t>电子政协</w:t>
                        </w:r>
                      </w:p>
                    </w:tc>
                  </w:tr>
                  <w:tr>
                    <w:trPr>
                      <w:trHeight w:val="356" w:hRule="exact"/>
                    </w:trPr>
                    <w:tc>
                      <w:tcPr>
                        <w:tcW w:w="3524" w:type="dxa"/>
                        <w:tcBorders>
                          <w:top w:val="nil" w:sz="6" w:space="0" w:color="auto"/>
                          <w:left w:val="single" w:sz="4" w:space="0" w:color="000000"/>
                          <w:bottom w:val="single" w:sz="4" w:space="0" w:color="000000"/>
                          <w:right w:val="single" w:sz="4" w:space="0" w:color="000000"/>
                        </w:tcBorders>
                      </w:tcPr>
                      <w:p>
                        <w:pPr/>
                      </w:p>
                    </w:tc>
                    <w:tc>
                      <w:tcPr>
                        <w:tcW w:w="610" w:type="dxa"/>
                        <w:vMerge/>
                        <w:tcBorders>
                          <w:left w:val="single" w:sz="4" w:space="0" w:color="000000"/>
                          <w:bottom w:val="single" w:sz="4" w:space="0" w:color="000000"/>
                          <w:right w:val="single" w:sz="4" w:space="0" w:color="000000"/>
                        </w:tcBorders>
                        <w:shd w:val="clear" w:color="auto" w:fill="D3D3D3"/>
                      </w:tcPr>
                      <w:p>
                        <w:pPr/>
                      </w:p>
                    </w:tc>
                    <w:tc>
                      <w:tcPr>
                        <w:tcW w:w="54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34" w:right="0"/>
                          <w:jc w:val="left"/>
                          <w:rPr>
                            <w:rFonts w:ascii="宋体" w:hAnsi="宋体" w:cs="宋体" w:eastAsia="宋体" w:hint="default"/>
                            <w:sz w:val="18"/>
                            <w:szCs w:val="18"/>
                          </w:rPr>
                        </w:pPr>
                        <w:r>
                          <w:rPr>
                            <w:rFonts w:ascii="宋体" w:hAnsi="宋体" w:cs="宋体" w:eastAsia="宋体" w:hint="default"/>
                            <w:sz w:val="18"/>
                            <w:szCs w:val="18"/>
                          </w:rPr>
                          <w:t>电子人大。</w:t>
                        </w:r>
                      </w:p>
                    </w:tc>
                  </w:tr>
                  <w:tr>
                    <w:trPr>
                      <w:trHeight w:val="358" w:hRule="exact"/>
                    </w:trPr>
                    <w:tc>
                      <w:tcPr>
                        <w:tcW w:w="3524" w:type="dxa"/>
                        <w:tcBorders>
                          <w:top w:val="single" w:sz="4" w:space="0" w:color="000000"/>
                          <w:left w:val="single" w:sz="4" w:space="0" w:color="000000"/>
                          <w:bottom w:val="nil" w:sz="6" w:space="0" w:color="auto"/>
                          <w:right w:val="single" w:sz="4" w:space="0" w:color="000000"/>
                        </w:tcBorders>
                      </w:tcPr>
                      <w:p>
                        <w:pPr/>
                      </w:p>
                    </w:tc>
                    <w:tc>
                      <w:tcPr>
                        <w:tcW w:w="610" w:type="dxa"/>
                        <w:vMerge w:val="restart"/>
                        <w:tcBorders>
                          <w:top w:val="single" w:sz="4" w:space="0" w:color="000000"/>
                          <w:left w:val="single" w:sz="4" w:space="0" w:color="000000"/>
                          <w:right w:val="single" w:sz="4" w:space="0" w:color="000000"/>
                        </w:tcBorders>
                        <w:shd w:val="clear" w:color="auto" w:fill="D3D3D3"/>
                      </w:tcPr>
                      <w:p>
                        <w:pPr/>
                      </w:p>
                    </w:tc>
                    <w:tc>
                      <w:tcPr>
                        <w:tcW w:w="543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pacing w:val="-2"/>
                            <w:sz w:val="18"/>
                            <w:szCs w:val="18"/>
                          </w:rPr>
                          <w:t>指无法在一定时间范围内用常规软件工具进行捕捉、管理和处理的数</w:t>
                        </w:r>
                      </w:p>
                    </w:tc>
                  </w:tr>
                  <w:tr>
                    <w:trPr>
                      <w:trHeight w:val="115" w:hRule="exact"/>
                    </w:trPr>
                    <w:tc>
                      <w:tcPr>
                        <w:tcW w:w="3524" w:type="dxa"/>
                        <w:vMerge w:val="restart"/>
                        <w:tcBorders>
                          <w:top w:val="nil" w:sz="6" w:space="0" w:color="auto"/>
                          <w:left w:val="single" w:sz="4" w:space="0" w:color="000000"/>
                          <w:right w:val="single" w:sz="13" w:space="0" w:color="D3D3D3"/>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大数据</w:t>
                        </w:r>
                      </w:p>
                    </w:tc>
                    <w:tc>
                      <w:tcPr>
                        <w:tcW w:w="610" w:type="dxa"/>
                        <w:vMerge/>
                        <w:tcBorders>
                          <w:left w:val="single" w:sz="4" w:space="0" w:color="000000"/>
                          <w:bottom w:val="nil" w:sz="6" w:space="0" w:color="auto"/>
                          <w:right w:val="single" w:sz="4" w:space="0" w:color="000000"/>
                        </w:tcBorders>
                        <w:shd w:val="clear" w:color="auto" w:fill="D3D3D3"/>
                      </w:tcPr>
                      <w:p>
                        <w:pPr/>
                      </w:p>
                    </w:tc>
                    <w:tc>
                      <w:tcPr>
                        <w:tcW w:w="5435" w:type="dxa"/>
                        <w:vMerge w:val="restart"/>
                        <w:tcBorders>
                          <w:top w:val="nil" w:sz="6" w:space="0" w:color="auto"/>
                          <w:left w:val="single" w:sz="9" w:space="0" w:color="D3D3D3"/>
                          <w:right w:val="single" w:sz="4" w:space="0" w:color="000000"/>
                        </w:tcBorders>
                      </w:tcPr>
                      <w:p>
                        <w:pPr>
                          <w:pStyle w:val="TableParagraph"/>
                          <w:spacing w:line="316" w:lineRule="auto" w:before="10"/>
                          <w:ind w:left="27" w:right="20"/>
                          <w:jc w:val="left"/>
                          <w:rPr>
                            <w:rFonts w:ascii="宋体" w:hAnsi="宋体" w:cs="宋体" w:eastAsia="宋体" w:hint="default"/>
                            <w:sz w:val="18"/>
                            <w:szCs w:val="18"/>
                          </w:rPr>
                        </w:pPr>
                        <w:r>
                          <w:rPr>
                            <w:rFonts w:ascii="宋体" w:hAnsi="宋体" w:cs="宋体" w:eastAsia="宋体" w:hint="default"/>
                            <w:spacing w:val="-2"/>
                            <w:sz w:val="18"/>
                            <w:szCs w:val="18"/>
                          </w:rPr>
                          <w:t>据集合，是需要新处理模式才能具有更强的决策力、洞察发现力和流</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程优化能力的海量、高增长率和多样化的信息资产。大数据技术，是</w:t>
                        </w:r>
                      </w:p>
                    </w:tc>
                  </w:tr>
                  <w:tr>
                    <w:trPr>
                      <w:trHeight w:val="392" w:hRule="exact"/>
                    </w:trPr>
                    <w:tc>
                      <w:tcPr>
                        <w:tcW w:w="3524" w:type="dxa"/>
                        <w:vMerge/>
                        <w:tcBorders>
                          <w:left w:val="single" w:sz="4" w:space="0" w:color="000000"/>
                          <w:right w:val="single" w:sz="13" w:space="0" w:color="D3D3D3"/>
                        </w:tcBorders>
                      </w:tcPr>
                      <w:p>
                        <w:pPr/>
                      </w:p>
                    </w:tc>
                    <w:tc>
                      <w:tcPr>
                        <w:tcW w:w="61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指</w:t>
                        </w:r>
                      </w:p>
                    </w:tc>
                    <w:tc>
                      <w:tcPr>
                        <w:tcW w:w="5435" w:type="dxa"/>
                        <w:vMerge/>
                        <w:tcBorders>
                          <w:left w:val="single" w:sz="9" w:space="0" w:color="D3D3D3"/>
                          <w:right w:val="single" w:sz="4" w:space="0" w:color="000000"/>
                        </w:tcBorders>
                      </w:tcPr>
                      <w:p>
                        <w:pPr/>
                      </w:p>
                    </w:tc>
                  </w:tr>
                  <w:tr>
                    <w:trPr>
                      <w:trHeight w:val="117" w:hRule="exact"/>
                    </w:trPr>
                    <w:tc>
                      <w:tcPr>
                        <w:tcW w:w="3524" w:type="dxa"/>
                        <w:vMerge/>
                        <w:tcBorders>
                          <w:left w:val="single" w:sz="4" w:space="0" w:color="000000"/>
                          <w:bottom w:val="nil" w:sz="6" w:space="0" w:color="auto"/>
                          <w:right w:val="single" w:sz="13" w:space="0" w:color="D3D3D3"/>
                        </w:tcBorders>
                      </w:tcPr>
                      <w:p>
                        <w:pPr/>
                      </w:p>
                    </w:tc>
                    <w:tc>
                      <w:tcPr>
                        <w:tcW w:w="610" w:type="dxa"/>
                        <w:vMerge w:val="restart"/>
                        <w:tcBorders>
                          <w:top w:val="nil" w:sz="6" w:space="0" w:color="auto"/>
                          <w:left w:val="single" w:sz="4" w:space="0" w:color="000000"/>
                          <w:right w:val="single" w:sz="4" w:space="0" w:color="000000"/>
                        </w:tcBorders>
                        <w:shd w:val="clear" w:color="auto" w:fill="D3D3D3"/>
                      </w:tcPr>
                      <w:p>
                        <w:pPr/>
                      </w:p>
                    </w:tc>
                    <w:tc>
                      <w:tcPr>
                        <w:tcW w:w="5435" w:type="dxa"/>
                        <w:vMerge/>
                        <w:tcBorders>
                          <w:left w:val="single" w:sz="9" w:space="0" w:color="D3D3D3"/>
                          <w:bottom w:val="nil" w:sz="6" w:space="0" w:color="auto"/>
                          <w:right w:val="single" w:sz="4" w:space="0" w:color="000000"/>
                        </w:tcBorders>
                      </w:tcPr>
                      <w:p>
                        <w:pPr/>
                      </w:p>
                    </w:tc>
                  </w:tr>
                  <w:tr>
                    <w:trPr>
                      <w:trHeight w:val="357" w:hRule="exact"/>
                    </w:trPr>
                    <w:tc>
                      <w:tcPr>
                        <w:tcW w:w="3524" w:type="dxa"/>
                        <w:tcBorders>
                          <w:top w:val="nil" w:sz="6" w:space="0" w:color="auto"/>
                          <w:left w:val="single" w:sz="4" w:space="0" w:color="000000"/>
                          <w:bottom w:val="single" w:sz="4" w:space="0" w:color="000000"/>
                          <w:right w:val="single" w:sz="4" w:space="0" w:color="000000"/>
                        </w:tcBorders>
                      </w:tcPr>
                      <w:p>
                        <w:pPr/>
                      </w:p>
                    </w:tc>
                    <w:tc>
                      <w:tcPr>
                        <w:tcW w:w="610" w:type="dxa"/>
                        <w:vMerge/>
                        <w:tcBorders>
                          <w:left w:val="single" w:sz="4" w:space="0" w:color="000000"/>
                          <w:bottom w:val="single" w:sz="4" w:space="0" w:color="000000"/>
                          <w:right w:val="single" w:sz="4" w:space="0" w:color="000000"/>
                        </w:tcBorders>
                        <w:shd w:val="clear" w:color="auto" w:fill="D3D3D3"/>
                      </w:tcPr>
                      <w:p>
                        <w:pPr/>
                      </w:p>
                    </w:tc>
                    <w:tc>
                      <w:tcPr>
                        <w:tcW w:w="543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34" w:right="0"/>
                          <w:jc w:val="left"/>
                          <w:rPr>
                            <w:rFonts w:ascii="宋体" w:hAnsi="宋体" w:cs="宋体" w:eastAsia="宋体" w:hint="default"/>
                            <w:sz w:val="18"/>
                            <w:szCs w:val="18"/>
                          </w:rPr>
                        </w:pPr>
                        <w:r>
                          <w:rPr>
                            <w:rFonts w:ascii="宋体" w:hAnsi="宋体" w:cs="宋体" w:eastAsia="宋体" w:hint="default"/>
                            <w:sz w:val="18"/>
                            <w:szCs w:val="18"/>
                          </w:rPr>
                          <w:t>指从各种各样类型的数据中，快速获得有价值信息的能力。</w:t>
                        </w:r>
                      </w:p>
                    </w:tc>
                  </w:tr>
                </w:tbl>
                <w:p>
                  <w:pPr/>
                </w:p>
              </w:txbxContent>
            </v:textbox>
            <w10:wrap type="none"/>
          </v:shape>
        </w:pict>
      </w:r>
      <w:r>
        <w:rPr/>
        <w:t>、</w:t>
      </w:r>
    </w:p>
    <w:p>
      <w:pPr>
        <w:spacing w:after="0" w:line="240" w:lineRule="auto"/>
        <w:jc w:val="righ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8"/>
          <w:szCs w:val="28"/>
        </w:rPr>
      </w:pPr>
    </w:p>
    <w:p>
      <w:pPr>
        <w:pStyle w:val="BodyText"/>
        <w:spacing w:line="240" w:lineRule="auto" w:before="44"/>
        <w:ind w:left="0" w:right="1138"/>
        <w:jc w:val="right"/>
      </w:pPr>
      <w:r>
        <w:rPr/>
        <w:pict>
          <v:shape style="position:absolute;margin-left:56.459999pt;margin-top:-366.548035pt;width:479.2pt;height:401.9pt;mso-position-horizontal-relative:page;mso-position-vertical-relative:paragraph;z-index:11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524"/>
                    <w:gridCol w:w="620"/>
                    <w:gridCol w:w="5424"/>
                  </w:tblGrid>
                  <w:tr>
                    <w:trPr>
                      <w:trHeight w:val="133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物联网</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
                          <w:jc w:val="both"/>
                          <w:rPr>
                            <w:rFonts w:ascii="宋体" w:hAnsi="宋体" w:cs="宋体" w:eastAsia="宋体" w:hint="default"/>
                            <w:sz w:val="18"/>
                            <w:szCs w:val="18"/>
                          </w:rPr>
                        </w:pPr>
                        <w:r>
                          <w:rPr>
                            <w:rFonts w:ascii="宋体" w:hAnsi="宋体" w:cs="宋体" w:eastAsia="宋体" w:hint="default"/>
                            <w:spacing w:val="-2"/>
                            <w:sz w:val="18"/>
                            <w:szCs w:val="18"/>
                          </w:rPr>
                          <w:t>是指通过各种信息传感设备，实时采集任何需要监控、连接、互动的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物体或过程等各种需要的信息，与互联网结合形成的一个巨大网络。 </w:t>
                        </w:r>
                        <w:r>
                          <w:rPr>
                            <w:rFonts w:ascii="宋体" w:hAnsi="宋体" w:cs="宋体" w:eastAsia="宋体" w:hint="default"/>
                            <w:spacing w:val="-2"/>
                            <w:sz w:val="18"/>
                            <w:szCs w:val="18"/>
                          </w:rPr>
                          <w:t>其目是实现物与物、物与人，所有物品与网络的连接，方便识别、管</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理和控制。</w:t>
                        </w:r>
                      </w:p>
                    </w:tc>
                  </w:tr>
                  <w:tr>
                    <w:trPr>
                      <w:trHeight w:val="133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信创工程</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是信息化应用创新的简称。信创发展是当前的一项国家战略，是经济</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发展的新动能。中国要逐步建立自主的 </w:t>
                        </w:r>
                        <w:r>
                          <w:rPr>
                            <w:rFonts w:ascii="Times New Roman" w:hAnsi="Times New Roman" w:cs="Times New Roman" w:eastAsia="Times New Roman" w:hint="default"/>
                            <w:sz w:val="18"/>
                            <w:szCs w:val="18"/>
                          </w:rPr>
                          <w:t>IT </w:t>
                        </w:r>
                        <w:r>
                          <w:rPr>
                            <w:rFonts w:ascii="宋体" w:hAnsi="宋体" w:cs="宋体" w:eastAsia="宋体" w:hint="default"/>
                            <w:spacing w:val="2"/>
                            <w:sz w:val="18"/>
                            <w:szCs w:val="18"/>
                          </w:rPr>
                          <w:t>底层架构和标准，从</w:t>
                        </w:r>
                        <w:r>
                          <w:rPr>
                            <w:rFonts w:ascii="宋体" w:hAnsi="宋体" w:cs="宋体" w:eastAsia="宋体" w:hint="default"/>
                            <w:spacing w:val="10"/>
                            <w:sz w:val="18"/>
                            <w:szCs w:val="18"/>
                          </w:rPr>
                          <w:t> </w:t>
                        </w:r>
                        <w:r>
                          <w:rPr>
                            <w:rFonts w:ascii="Times New Roman" w:hAnsi="Times New Roman" w:cs="Times New Roman" w:eastAsia="Times New Roman" w:hint="default"/>
                            <w:sz w:val="18"/>
                            <w:szCs w:val="18"/>
                          </w:rPr>
                          <w:t>IT </w:t>
                        </w:r>
                        <w:r>
                          <w:rPr>
                            <w:rFonts w:ascii="宋体" w:hAnsi="宋体" w:cs="宋体" w:eastAsia="宋体" w:hint="default"/>
                            <w:spacing w:val="-2"/>
                            <w:sz w:val="18"/>
                            <w:szCs w:val="18"/>
                          </w:rPr>
                          <w:t>基础设置、基础软件、应用软件、信息安全等几个方面推进和提倡行</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业的创新发展，形成自主开放生态。</w:t>
                        </w:r>
                      </w:p>
                    </w:tc>
                  </w:tr>
                  <w:tr>
                    <w:trPr>
                      <w:trHeight w:val="165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金关工程</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是国家重大电子政务工程项目。金关工程为国家、社会公众提供海关</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业务服务和信息资源服务，为构建开放型国家经济新体制提供有力支</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撑，为落实国家一带一路、跨境新政、全国一体化通关改革等重大决</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策提供了有力保障。涉及智慧监管、智慧口岸、智慧物流、智慧供应</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z w:val="18"/>
                            <w:szCs w:val="18"/>
                          </w:rPr>
                          <w:t>链、大数据应用、贸易安全等领域的智能技术信息化建设体系。</w:t>
                        </w:r>
                      </w:p>
                    </w:tc>
                  </w:tr>
                  <w:tr>
                    <w:trPr>
                      <w:trHeight w:val="1338"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金环工程</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9"/>
                          <w:jc w:val="left"/>
                          <w:rPr>
                            <w:rFonts w:ascii="宋体" w:hAnsi="宋体" w:cs="宋体" w:eastAsia="宋体" w:hint="default"/>
                            <w:sz w:val="18"/>
                            <w:szCs w:val="18"/>
                          </w:rPr>
                        </w:pPr>
                        <w:r>
                          <w:rPr>
                            <w:rFonts w:ascii="宋体" w:hAnsi="宋体" w:cs="宋体" w:eastAsia="宋体" w:hint="default"/>
                            <w:sz w:val="18"/>
                            <w:szCs w:val="18"/>
                          </w:rPr>
                          <w:t>建设国家和地方环境保护信息系统。构建环境保护信息基础网络平 台，建设国家环境数据信息库和环境管理决策支持体系，建立高效、 </w:t>
                        </w:r>
                        <w:r>
                          <w:rPr>
                            <w:rFonts w:ascii="宋体" w:hAnsi="宋体" w:cs="宋体" w:eastAsia="宋体" w:hint="default"/>
                            <w:spacing w:val="-2"/>
                            <w:sz w:val="18"/>
                            <w:szCs w:val="18"/>
                          </w:rPr>
                          <w:t>便捷的环境污染事故应急指挥信息传输系统，构筑数字环保，完善信</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息发布制度，促进环境信息共享。</w:t>
                        </w:r>
                      </w:p>
                    </w:tc>
                  </w:tr>
                  <w:tr>
                    <w:trPr>
                      <w:trHeight w:val="1650"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协同管理软件</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both"/>
                          <w:rPr>
                            <w:rFonts w:ascii="宋体" w:hAnsi="宋体" w:cs="宋体" w:eastAsia="宋体" w:hint="default"/>
                            <w:sz w:val="18"/>
                            <w:szCs w:val="18"/>
                          </w:rPr>
                        </w:pPr>
                        <w:r>
                          <w:rPr>
                            <w:rFonts w:ascii="宋体" w:hAnsi="宋体" w:cs="宋体" w:eastAsia="宋体" w:hint="default"/>
                            <w:spacing w:val="-2"/>
                            <w:sz w:val="18"/>
                            <w:szCs w:val="18"/>
                          </w:rPr>
                          <w:t>基于网络的、实现组织内部多人或者多组织共同完成管理事务、提高</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组织的灵活性和应变能力的软件。榕基</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iTask</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移动协同管理平台为远 </w:t>
                        </w:r>
                        <w:r>
                          <w:rPr>
                            <w:rFonts w:ascii="宋体" w:hAnsi="宋体" w:cs="宋体" w:eastAsia="宋体" w:hint="default"/>
                            <w:spacing w:val="-2"/>
                            <w:sz w:val="18"/>
                            <w:szCs w:val="18"/>
                          </w:rPr>
                          <w:t>程办公提供一体化支撑与服务，可进行任务的部署、协调与监督；该</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平台不仅可以有效承载复杂而庞大的组织工作，而且还能对团队工作</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进行分解，对具体工作落实情况进行追踪。</w:t>
                        </w:r>
                      </w:p>
                    </w:tc>
                  </w:tr>
                  <w:tr>
                    <w:trPr>
                      <w:trHeight w:val="714" w:hRule="exact"/>
                    </w:trPr>
                    <w:tc>
                      <w:tcPr>
                        <w:tcW w:w="3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天平工程</w:t>
                        </w:r>
                      </w:p>
                    </w:tc>
                    <w:tc>
                      <w:tcPr>
                        <w:tcW w:w="6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2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12"/>
                          <w:jc w:val="left"/>
                          <w:rPr>
                            <w:rFonts w:ascii="宋体" w:hAnsi="宋体" w:cs="宋体" w:eastAsia="宋体" w:hint="default"/>
                            <w:sz w:val="18"/>
                            <w:szCs w:val="18"/>
                          </w:rPr>
                        </w:pPr>
                        <w:r>
                          <w:rPr>
                            <w:rFonts w:ascii="宋体" w:hAnsi="宋体" w:cs="宋体" w:eastAsia="宋体" w:hint="default"/>
                            <w:spacing w:val="-3"/>
                            <w:sz w:val="18"/>
                            <w:szCs w:val="18"/>
                          </w:rPr>
                          <w:t>最高人民法院在</w:t>
                        </w:r>
                        <w:r>
                          <w:rPr>
                            <w:rFonts w:ascii="Arial" w:hAnsi="Arial" w:cs="Arial" w:eastAsia="Arial" w:hint="default"/>
                            <w:spacing w:val="-3"/>
                            <w:sz w:val="18"/>
                            <w:szCs w:val="18"/>
                          </w:rPr>
                          <w:t>"</w:t>
                        </w:r>
                        <w:r>
                          <w:rPr>
                            <w:rFonts w:ascii="宋体" w:hAnsi="宋体" w:cs="宋体" w:eastAsia="宋体" w:hint="default"/>
                            <w:spacing w:val="-3"/>
                            <w:sz w:val="18"/>
                            <w:szCs w:val="18"/>
                          </w:rPr>
                          <w:t>十二五</w:t>
                        </w:r>
                        <w:r>
                          <w:rPr>
                            <w:rFonts w:ascii="Arial" w:hAnsi="Arial" w:cs="Arial" w:eastAsia="Arial" w:hint="default"/>
                            <w:spacing w:val="-3"/>
                            <w:sz w:val="18"/>
                            <w:szCs w:val="18"/>
                          </w:rPr>
                          <w:t>"</w:t>
                        </w:r>
                        <w:r>
                          <w:rPr>
                            <w:rFonts w:ascii="宋体" w:hAnsi="宋体" w:cs="宋体" w:eastAsia="宋体" w:hint="default"/>
                            <w:spacing w:val="-3"/>
                            <w:sz w:val="18"/>
                            <w:szCs w:val="18"/>
                          </w:rPr>
                          <w:t>期间，推进全国法院信息化建设的重大举措</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z w:val="18"/>
                            <w:szCs w:val="18"/>
                          </w:rPr>
                          <w:t>是国家电子政务重点业务信息系统建设项目。</w:t>
                        </w:r>
                      </w:p>
                    </w:tc>
                  </w:tr>
                </w:tbl>
                <w:p>
                  <w:pPr/>
                </w:p>
              </w:txbxContent>
            </v:textbox>
            <w10:wrap type="none"/>
          </v:shape>
        </w:pict>
      </w:r>
      <w:r>
        <w:rPr/>
        <w:t>，</w:t>
      </w:r>
    </w:p>
    <w:p>
      <w:pPr>
        <w:spacing w:after="0" w:line="240" w:lineRule="auto"/>
        <w:jc w:val="right"/>
        <w:sectPr>
          <w:pgSz w:w="11910" w:h="16840"/>
          <w:pgMar w:header="747" w:footer="982" w:top="1060" w:bottom="1180" w:left="980" w:right="0"/>
        </w:sectPr>
      </w:pPr>
    </w:p>
    <w:p>
      <w:pPr>
        <w:spacing w:line="240" w:lineRule="auto" w:before="0"/>
        <w:rPr>
          <w:rFonts w:ascii="宋体" w:hAnsi="宋体" w:cs="宋体" w:eastAsia="宋体" w:hint="default"/>
          <w:sz w:val="20"/>
          <w:szCs w:val="20"/>
        </w:rPr>
      </w:pPr>
      <w:r>
        <w:rPr/>
        <w:pict>
          <v:group style="position:absolute;margin-left:171.119995pt;margin-top:272.160004pt;width:362.65pt;height:20.8pt;mso-position-horizontal-relative:page;mso-position-vertical-relative:page;z-index:-1406488" coordorigin="3422,5443" coordsize="7253,416">
            <v:group style="position:absolute;left:3434;top:5455;width:2;height:392" coordorigin="3434,5455" coordsize="2,392">
              <v:shape style="position:absolute;left:3434;top:5455;width:2;height:392" coordorigin="3434,5455" coordsize="0,392" path="m3434,5455l3434,5846e" filled="false" stroked="true" strokeweight="1.2pt" strokecolor="#ffffff">
                <v:path arrowok="t"/>
              </v:shape>
            </v:group>
            <v:group style="position:absolute;left:3446;top:5455;width:7229;height:392" coordorigin="3446,5455" coordsize="7229,392">
              <v:shape style="position:absolute;left:3446;top:5455;width:7229;height:392" coordorigin="3446,5455" coordsize="7229,392" path="m3446,5846l10675,5846,10675,5455,3446,5455,3446,5846xe" filled="true" fillcolor="#ffffff" stroked="false">
                <v:path arrowok="t"/>
                <v:fill type="solid"/>
              </v:shape>
            </v:group>
            <w10:wrap type="none"/>
          </v:group>
        </w:pict>
      </w: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724" w:right="2239"/>
        <w:jc w:val="left"/>
        <w:rPr>
          <w:b w:val="0"/>
          <w:bCs w:val="0"/>
        </w:rPr>
      </w:pPr>
      <w:bookmarkStart w:name="_TOC_250011" w:id="2"/>
      <w:r>
        <w:rPr/>
        <w:t>第二节公司简介和主要财务指标</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2239"/>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84"/>
        <w:gridCol w:w="2953"/>
        <w:gridCol w:w="2144"/>
        <w:gridCol w:w="2188"/>
      </w:tblGrid>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榕基软件</w:t>
            </w:r>
          </w:p>
        </w:tc>
        <w:tc>
          <w:tcPr>
            <w:tcW w:w="21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2" w:right="0"/>
              <w:jc w:val="left"/>
              <w:rPr>
                <w:rFonts w:ascii="Arial" w:hAnsi="Arial" w:cs="Arial" w:eastAsia="Arial" w:hint="default"/>
                <w:sz w:val="18"/>
                <w:szCs w:val="18"/>
              </w:rPr>
            </w:pPr>
            <w:r>
              <w:rPr>
                <w:rFonts w:ascii="Arial"/>
                <w:sz w:val="18"/>
              </w:rPr>
              <w:t>002474</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福建榕基软件股份有限公司</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榕基软件</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Arial" w:hAnsi="Arial" w:cs="Arial" w:eastAsia="Arial" w:hint="default"/>
                <w:sz w:val="18"/>
                <w:szCs w:val="18"/>
              </w:rPr>
            </w:pPr>
            <w:r>
              <w:rPr>
                <w:rFonts w:ascii="Arial"/>
                <w:sz w:val="18"/>
              </w:rPr>
              <w:t>FUJIAN RONGJI SOFTWARE Co.,</w:t>
            </w:r>
            <w:r>
              <w:rPr>
                <w:rFonts w:ascii="Arial"/>
                <w:spacing w:val="-26"/>
                <w:sz w:val="18"/>
              </w:rPr>
              <w:t> </w:t>
            </w:r>
            <w:r>
              <w:rPr>
                <w:rFonts w:ascii="Arial"/>
                <w:sz w:val="18"/>
              </w:rPr>
              <w:t>Ltd.</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34"/>
              <w:jc w:val="left"/>
              <w:rPr>
                <w:rFonts w:ascii="宋体" w:hAnsi="宋体" w:cs="宋体" w:eastAsia="宋体" w:hint="default"/>
                <w:sz w:val="18"/>
                <w:szCs w:val="18"/>
              </w:rPr>
            </w:pPr>
            <w:r>
              <w:rPr>
                <w:rFonts w:ascii="宋体" w:hAnsi="宋体" w:cs="宋体" w:eastAsia="宋体" w:hint="default"/>
                <w:spacing w:val="-5"/>
                <w:sz w:val="18"/>
                <w:szCs w:val="18"/>
              </w:rPr>
              <w:t>公司的外文名称缩写（如有）</w:t>
            </w:r>
            <w:r>
              <w:rPr>
                <w:rFonts w:ascii="宋体" w:hAnsi="宋体" w:cs="宋体" w:eastAsia="宋体" w:hint="default"/>
                <w:sz w:val="18"/>
                <w:szCs w:val="18"/>
              </w:rPr>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Arial" w:hAnsi="Arial" w:cs="Arial" w:eastAsia="Arial" w:hint="default"/>
                <w:sz w:val="18"/>
                <w:szCs w:val="18"/>
              </w:rPr>
            </w:pPr>
            <w:r>
              <w:rPr>
                <w:rFonts w:ascii="Arial"/>
                <w:sz w:val="18"/>
              </w:rPr>
              <w:t>RONGJI</w:t>
            </w:r>
            <w:r>
              <w:rPr>
                <w:rFonts w:ascii="Arial"/>
                <w:spacing w:val="-19"/>
                <w:sz w:val="18"/>
              </w:rPr>
              <w:t> </w:t>
            </w:r>
            <w:r>
              <w:rPr>
                <w:rFonts w:ascii="Arial"/>
                <w:sz w:val="18"/>
              </w:rPr>
              <w:t>SOFTWARE</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鲁峰</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福建省福州市鼓楼区铜盘路福州软件园产业基地</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Arial" w:hAnsi="Arial" w:cs="Arial" w:eastAsia="Arial" w:hint="default"/>
                <w:sz w:val="18"/>
                <w:szCs w:val="18"/>
              </w:rPr>
            </w:pPr>
            <w:r>
              <w:rPr>
                <w:rFonts w:ascii="Arial"/>
                <w:sz w:val="18"/>
              </w:rPr>
              <w:t>350003</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福建省福州市鼓楼区铜盘路福州软件园产业基地</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Arial" w:hAnsi="Arial" w:cs="Arial" w:eastAsia="Arial" w:hint="default"/>
                <w:sz w:val="18"/>
                <w:szCs w:val="18"/>
              </w:rPr>
            </w:pPr>
            <w:r>
              <w:rPr>
                <w:rFonts w:ascii="Arial"/>
                <w:sz w:val="18"/>
              </w:rPr>
              <w:t>350003</w:t>
            </w:r>
          </w:p>
        </w:tc>
      </w:tr>
      <w:tr>
        <w:trPr>
          <w:trHeight w:val="402"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Arial" w:hAnsi="Arial" w:cs="Arial" w:eastAsia="Arial" w:hint="default"/>
                <w:sz w:val="18"/>
                <w:szCs w:val="18"/>
              </w:rPr>
            </w:pPr>
            <w:hyperlink r:id="rId9">
              <w:r>
                <w:rPr>
                  <w:rFonts w:ascii="Arial"/>
                  <w:sz w:val="18"/>
                </w:rPr>
                <w:t>http://www.rongji.com</w:t>
              </w:r>
            </w:hyperlink>
          </w:p>
        </w:tc>
      </w:tr>
      <w:tr>
        <w:trPr>
          <w:trHeight w:val="403" w:hRule="exact"/>
        </w:trPr>
        <w:tc>
          <w:tcPr>
            <w:tcW w:w="22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85"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3" w:right="0"/>
              <w:jc w:val="left"/>
              <w:rPr>
                <w:rFonts w:ascii="Arial" w:hAnsi="Arial" w:cs="Arial" w:eastAsia="Arial" w:hint="default"/>
                <w:sz w:val="18"/>
                <w:szCs w:val="18"/>
              </w:rPr>
            </w:pPr>
            <w:hyperlink r:id="rId10">
              <w:r>
                <w:rPr>
                  <w:rFonts w:ascii="Arial"/>
                  <w:sz w:val="18"/>
                </w:rPr>
                <w:t>rongji@rongji.com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2239"/>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8"/>
        <w:gridCol w:w="3190"/>
        <w:gridCol w:w="3190"/>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万孝雄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陈略</w:t>
            </w:r>
          </w:p>
        </w:tc>
      </w:tr>
      <w:tr>
        <w:trPr>
          <w:trHeight w:val="161" w:hRule="exact"/>
        </w:trPr>
        <w:tc>
          <w:tcPr>
            <w:tcW w:w="3178" w:type="dxa"/>
            <w:tcBorders>
              <w:top w:val="single" w:sz="4" w:space="0" w:color="000000"/>
              <w:left w:val="single" w:sz="4" w:space="0" w:color="000000"/>
              <w:bottom w:val="nil" w:sz="6" w:space="0" w:color="auto"/>
              <w:right w:val="single" w:sz="4" w:space="0" w:color="000000"/>
            </w:tcBorders>
            <w:shd w:val="clear" w:color="auto" w:fill="D3D3D3"/>
          </w:tcPr>
          <w:p>
            <w:pPr/>
          </w:p>
        </w:tc>
        <w:tc>
          <w:tcPr>
            <w:tcW w:w="3190" w:type="dxa"/>
            <w:vMerge w:val="restart"/>
            <w:tcBorders>
              <w:top w:val="single" w:sz="4" w:space="0" w:color="000000"/>
              <w:left w:val="single" w:sz="9" w:space="0" w:color="D3D3D3"/>
              <w:right w:val="single" w:sz="4" w:space="0" w:color="000000"/>
            </w:tcBorders>
          </w:tcPr>
          <w:p>
            <w:pPr>
              <w:pStyle w:val="TableParagraph"/>
              <w:spacing w:line="316" w:lineRule="auto" w:before="51"/>
              <w:ind w:left="16" w:right="95"/>
              <w:jc w:val="left"/>
              <w:rPr>
                <w:rFonts w:ascii="宋体" w:hAnsi="宋体" w:cs="宋体" w:eastAsia="宋体" w:hint="default"/>
                <w:sz w:val="18"/>
                <w:szCs w:val="18"/>
              </w:rPr>
            </w:pPr>
            <w:r>
              <w:rPr>
                <w:rFonts w:ascii="宋体" w:hAnsi="宋体" w:cs="宋体" w:eastAsia="宋体" w:hint="default"/>
                <w:sz w:val="18"/>
                <w:szCs w:val="18"/>
              </w:rPr>
              <w:t>福州市鼓楼区铜盘路福州软件园产业基 地</w:t>
            </w:r>
          </w:p>
        </w:tc>
        <w:tc>
          <w:tcPr>
            <w:tcW w:w="3190"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福州市鼓楼区铜盘路福州软件园产业基 地</w:t>
            </w:r>
          </w:p>
        </w:tc>
      </w:tr>
      <w:tr>
        <w:trPr>
          <w:trHeight w:val="392" w:hRule="exact"/>
        </w:trPr>
        <w:tc>
          <w:tcPr>
            <w:tcW w:w="317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3D3D3"/>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8" w:type="dxa"/>
            <w:tcBorders>
              <w:top w:val="nil" w:sz="6" w:space="0" w:color="auto"/>
              <w:left w:val="single" w:sz="4" w:space="0" w:color="000000"/>
              <w:bottom w:val="single" w:sz="4" w:space="0" w:color="000000"/>
              <w:right w:val="single" w:sz="4" w:space="0" w:color="000000"/>
            </w:tcBorders>
            <w:shd w:val="clear" w:color="auto" w:fill="D3D3D3"/>
          </w:tcPr>
          <w:p>
            <w:pPr/>
          </w:p>
        </w:tc>
        <w:tc>
          <w:tcPr>
            <w:tcW w:w="3190" w:type="dxa"/>
            <w:vMerge/>
            <w:tcBorders>
              <w:left w:val="single" w:sz="9" w:space="0" w:color="D3D3D3"/>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Arial" w:hAnsi="Arial" w:cs="Arial" w:eastAsia="Arial" w:hint="default"/>
                <w:sz w:val="18"/>
                <w:szCs w:val="18"/>
              </w:rPr>
            </w:pPr>
            <w:r>
              <w:rPr>
                <w:rFonts w:ascii="Arial"/>
                <w:sz w:val="18"/>
              </w:rPr>
              <w:t>0591-83517761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Arial" w:hAnsi="Arial" w:cs="Arial" w:eastAsia="Arial" w:hint="default"/>
                <w:sz w:val="18"/>
                <w:szCs w:val="18"/>
              </w:rPr>
            </w:pPr>
            <w:r>
              <w:rPr>
                <w:rFonts w:ascii="Arial"/>
                <w:sz w:val="18"/>
              </w:rPr>
              <w:t>0591-87303569</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Arial" w:hAnsi="Arial" w:cs="Arial" w:eastAsia="Arial" w:hint="default"/>
                <w:sz w:val="18"/>
                <w:szCs w:val="18"/>
              </w:rPr>
            </w:pPr>
            <w:r>
              <w:rPr>
                <w:rFonts w:ascii="Arial"/>
                <w:sz w:val="18"/>
              </w:rPr>
              <w:t>0591-87862566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Arial" w:hAnsi="Arial" w:cs="Arial" w:eastAsia="Arial" w:hint="default"/>
                <w:sz w:val="18"/>
                <w:szCs w:val="18"/>
              </w:rPr>
            </w:pPr>
            <w:r>
              <w:rPr>
                <w:rFonts w:ascii="Arial"/>
                <w:sz w:val="18"/>
              </w:rPr>
              <w:t>0591-87862566</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1" w:right="0"/>
              <w:jc w:val="left"/>
              <w:rPr>
                <w:rFonts w:ascii="Arial" w:hAnsi="Arial" w:cs="Arial" w:eastAsia="Arial" w:hint="default"/>
                <w:sz w:val="18"/>
                <w:szCs w:val="18"/>
              </w:rPr>
            </w:pPr>
            <w:hyperlink r:id="rId11">
              <w:r>
                <w:rPr>
                  <w:rFonts w:ascii="Arial"/>
                  <w:sz w:val="18"/>
                </w:rPr>
                <w:t>wanxiaoxiong@rongji.com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Arial" w:hAnsi="Arial" w:cs="Arial" w:eastAsia="Arial" w:hint="default"/>
                <w:sz w:val="18"/>
                <w:szCs w:val="18"/>
              </w:rPr>
            </w:pPr>
            <w:hyperlink r:id="rId12">
              <w:r>
                <w:rPr>
                  <w:rFonts w:ascii="Arial"/>
                  <w:sz w:val="18"/>
                </w:rPr>
                <w:t>chenlve@rongji.com</w:t>
              </w:r>
            </w:hyperlink>
          </w:p>
        </w:tc>
      </w:tr>
    </w:tbl>
    <w:p>
      <w:pPr>
        <w:spacing w:line="240" w:lineRule="auto" w:before="2"/>
        <w:rPr>
          <w:rFonts w:ascii="宋体" w:hAnsi="宋体" w:cs="宋体" w:eastAsia="宋体" w:hint="default"/>
          <w:b/>
          <w:bCs/>
          <w:sz w:val="18"/>
          <w:szCs w:val="18"/>
        </w:rPr>
      </w:pPr>
    </w:p>
    <w:p>
      <w:pPr>
        <w:pStyle w:val="Heading2"/>
        <w:spacing w:line="240" w:lineRule="auto" w:before="26"/>
        <w:ind w:right="2239"/>
        <w:jc w:val="left"/>
        <w:rPr>
          <w:b w:val="0"/>
          <w:bCs w:val="0"/>
        </w:rPr>
      </w:pPr>
      <w:r>
        <w:rPr/>
        <w:t>三、信息披露及备置地点</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992"/>
        <w:gridCol w:w="5575"/>
      </w:tblGrid>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公司选定的信息披露媒体的名称</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0"/>
                <w:sz w:val="18"/>
                <w:szCs w:val="18"/>
              </w:rPr>
              <w:t>》、</w:t>
            </w:r>
            <w:r>
              <w:rPr>
                <w:rFonts w:ascii="宋体" w:hAnsi="宋体" w:cs="宋体" w:eastAsia="宋体" w:hint="default"/>
                <w:sz w:val="18"/>
                <w:szCs w:val="18"/>
              </w:rPr>
              <w:t>《证券日报</w:t>
            </w:r>
            <w:r>
              <w:rPr>
                <w:rFonts w:ascii="宋体" w:hAnsi="宋体" w:cs="宋体" w:eastAsia="宋体" w:hint="default"/>
                <w:spacing w:val="-90"/>
                <w:sz w:val="18"/>
                <w:szCs w:val="18"/>
              </w:rPr>
              <w:t>》、</w:t>
            </w:r>
            <w:r>
              <w:rPr>
                <w:rFonts w:ascii="宋体" w:hAnsi="宋体" w:cs="宋体" w:eastAsia="宋体" w:hint="default"/>
                <w:sz w:val="18"/>
                <w:szCs w:val="18"/>
              </w:rPr>
              <w:t>《中国证券报》</w:t>
            </w:r>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Arial" w:hAnsi="Arial" w:cs="Arial" w:eastAsia="Arial" w:hint="default"/>
                <w:sz w:val="18"/>
                <w:szCs w:val="18"/>
              </w:rPr>
            </w:pPr>
            <w:hyperlink r:id="rId13">
              <w:r>
                <w:rPr>
                  <w:rFonts w:ascii="Arial"/>
                  <w:sz w:val="18"/>
                </w:rPr>
                <w:t>http://www.cninfo.com.cn</w:t>
              </w:r>
            </w:hyperlink>
          </w:p>
        </w:tc>
      </w:tr>
      <w:tr>
        <w:trPr>
          <w:trHeight w:val="402" w:hRule="exact"/>
        </w:trPr>
        <w:tc>
          <w:tcPr>
            <w:tcW w:w="39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公司证券部</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9"/>
        <w:rPr>
          <w:rFonts w:ascii="宋体" w:hAnsi="宋体" w:cs="宋体" w:eastAsia="宋体" w:hint="default"/>
          <w:b/>
          <w:bCs/>
          <w:sz w:val="23"/>
          <w:szCs w:val="23"/>
        </w:rPr>
      </w:pPr>
    </w:p>
    <w:p>
      <w:pPr>
        <w:pStyle w:val="Heading2"/>
        <w:spacing w:line="240" w:lineRule="auto" w:before="26"/>
        <w:ind w:right="2239"/>
        <w:jc w:val="left"/>
        <w:rPr>
          <w:b w:val="0"/>
          <w:bCs w:val="0"/>
        </w:rPr>
      </w:pPr>
      <w:r>
        <w:rPr/>
        <w:t>四、注册变更情况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90"/>
        <w:gridCol w:w="637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Arial" w:hAnsi="Arial" w:cs="Arial" w:eastAsia="Arial" w:hint="default"/>
                <w:sz w:val="18"/>
                <w:szCs w:val="18"/>
              </w:rPr>
            </w:pPr>
            <w:r>
              <w:rPr>
                <w:rFonts w:ascii="Arial"/>
                <w:sz w:val="18"/>
              </w:rPr>
              <w:t>913500006285075795</w:t>
            </w:r>
          </w:p>
        </w:tc>
      </w:tr>
      <w:tr>
        <w:trPr>
          <w:trHeight w:val="714"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2"/>
        <w:rPr>
          <w:rFonts w:ascii="宋体" w:hAnsi="宋体" w:cs="宋体" w:eastAsia="宋体" w:hint="default"/>
          <w:b/>
          <w:bCs/>
          <w:sz w:val="18"/>
          <w:szCs w:val="18"/>
        </w:rPr>
      </w:pPr>
    </w:p>
    <w:p>
      <w:pPr>
        <w:pStyle w:val="Heading2"/>
        <w:spacing w:line="240" w:lineRule="auto" w:before="26"/>
        <w:ind w:right="2239"/>
        <w:jc w:val="left"/>
        <w:rPr>
          <w:b w:val="0"/>
          <w:bCs w:val="0"/>
        </w:rPr>
      </w:pPr>
      <w:r>
        <w:rPr/>
        <w:t>五、其他有关资料</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t>公司聘请的会计师事务所</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0"/>
        <w:gridCol w:w="6917"/>
      </w:tblGrid>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北京市朝阳区建国门外大街</w:t>
            </w:r>
            <w:r>
              <w:rPr>
                <w:rFonts w:ascii="宋体" w:hAnsi="宋体" w:cs="宋体" w:eastAsia="宋体" w:hint="default"/>
                <w:spacing w:val="-46"/>
                <w:sz w:val="18"/>
                <w:szCs w:val="18"/>
              </w:rPr>
              <w:t> </w:t>
            </w:r>
            <w:r>
              <w:rPr>
                <w:rFonts w:ascii="Arial" w:hAnsi="Arial" w:cs="Arial" w:eastAsia="Arial" w:hint="default"/>
                <w:sz w:val="18"/>
                <w:szCs w:val="18"/>
              </w:rPr>
              <w:t>22</w:t>
            </w:r>
            <w:r>
              <w:rPr>
                <w:rFonts w:ascii="Arial" w:hAnsi="Arial" w:cs="Arial" w:eastAsia="Arial" w:hint="default"/>
                <w:spacing w:val="-7"/>
                <w:sz w:val="18"/>
                <w:szCs w:val="18"/>
              </w:rPr>
              <w:t> </w:t>
            </w:r>
            <w:r>
              <w:rPr>
                <w:rFonts w:ascii="宋体" w:hAnsi="宋体" w:cs="宋体" w:eastAsia="宋体" w:hint="default"/>
                <w:sz w:val="18"/>
                <w:szCs w:val="18"/>
              </w:rPr>
              <w:t>号赛特广场</w:t>
            </w:r>
            <w:r>
              <w:rPr>
                <w:rFonts w:ascii="宋体" w:hAnsi="宋体" w:cs="宋体" w:eastAsia="宋体" w:hint="default"/>
                <w:spacing w:val="-45"/>
                <w:sz w:val="18"/>
                <w:szCs w:val="18"/>
              </w:rPr>
              <w:t> </w:t>
            </w:r>
            <w:r>
              <w:rPr>
                <w:rFonts w:ascii="Arial" w:hAnsi="Arial" w:cs="Arial" w:eastAsia="Arial" w:hint="default"/>
                <w:sz w:val="18"/>
                <w:szCs w:val="18"/>
              </w:rPr>
              <w:t>5</w:t>
            </w:r>
            <w:r>
              <w:rPr>
                <w:rFonts w:ascii="Arial" w:hAnsi="Arial" w:cs="Arial" w:eastAsia="Arial" w:hint="default"/>
                <w:spacing w:val="-7"/>
                <w:sz w:val="18"/>
                <w:szCs w:val="18"/>
              </w:rPr>
              <w:t> </w:t>
            </w:r>
            <w:r>
              <w:rPr>
                <w:rFonts w:ascii="宋体" w:hAnsi="宋体" w:cs="宋体" w:eastAsia="宋体" w:hint="default"/>
                <w:sz w:val="18"/>
                <w:szCs w:val="18"/>
              </w:rPr>
              <w:t>楼</w:t>
            </w: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林庆瑜、杨莹</w:t>
            </w:r>
          </w:p>
        </w:tc>
      </w:tr>
    </w:tbl>
    <w:p>
      <w:pPr>
        <w:pStyle w:val="BodyText"/>
        <w:spacing w:line="240" w:lineRule="auto" w:before="51"/>
        <w:ind w:right="2239"/>
        <w:jc w:val="left"/>
      </w:pPr>
      <w:r>
        <w:rPr/>
        <w:t>公司聘请的报告期内履行持续督导职责的保荐机构</w:t>
      </w:r>
    </w:p>
    <w:p>
      <w:pPr>
        <w:pStyle w:val="BodyText"/>
        <w:spacing w:line="340" w:lineRule="auto" w:before="117"/>
        <w:ind w:right="679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公司聘请的报告期内履行持续督导职责的财务顾问</w:t>
      </w:r>
    </w:p>
    <w:p>
      <w:pPr>
        <w:pStyle w:val="BodyText"/>
        <w:spacing w:line="240" w:lineRule="auto" w:before="40"/>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1"/>
        <w:rPr>
          <w:rFonts w:ascii="宋体" w:hAnsi="宋体" w:cs="宋体" w:eastAsia="宋体" w:hint="default"/>
          <w:sz w:val="24"/>
          <w:szCs w:val="24"/>
        </w:rPr>
      </w:pPr>
    </w:p>
    <w:p>
      <w:pPr>
        <w:pStyle w:val="Heading2"/>
        <w:spacing w:line="240" w:lineRule="auto"/>
        <w:ind w:right="2239"/>
        <w:jc w:val="left"/>
        <w:rPr>
          <w:b w:val="0"/>
          <w:bCs w:val="0"/>
        </w:rPr>
      </w:pPr>
      <w:r>
        <w:rPr/>
        <w:t>六、主要会计数据和财务指标</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2239"/>
        <w:jc w:val="left"/>
      </w:pPr>
      <w:r>
        <w:rPr/>
        <w:t>公司是否需追溯调整或重述以前年度会计数据</w:t>
      </w:r>
    </w:p>
    <w:p>
      <w:pPr>
        <w:pStyle w:val="BodyText"/>
        <w:spacing w:line="350" w:lineRule="auto" w:before="116"/>
        <w:ind w:right="8900"/>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29"/>
        </w:rPr>
        <w:t> </w:t>
      </w:r>
      <w:r>
        <w:rPr/>
        <w:t>否 追溯调整或重述原因 会计政策变更</w:t>
      </w:r>
      <w:r>
        <w:rPr>
          <w:rFonts w:ascii="Arial" w:hAnsi="Arial" w:cs="Arial" w:eastAsia="Arial" w:hint="default"/>
        </w:rPr>
        <w:t>;</w:t>
      </w:r>
      <w:r>
        <w:rPr/>
        <w:t>其他原因</w:t>
      </w:r>
    </w:p>
    <w:tbl>
      <w:tblPr>
        <w:tblW w:w="0" w:type="auto"/>
        <w:jc w:val="left"/>
        <w:tblInd w:w="160" w:type="dxa"/>
        <w:tblLayout w:type="fixed"/>
        <w:tblCellMar>
          <w:top w:w="0" w:type="dxa"/>
          <w:left w:w="0" w:type="dxa"/>
          <w:bottom w:w="0" w:type="dxa"/>
          <w:right w:w="0" w:type="dxa"/>
        </w:tblCellMar>
        <w:tblLook w:val="01E0"/>
      </w:tblPr>
      <w:tblGrid>
        <w:gridCol w:w="1820"/>
        <w:gridCol w:w="1430"/>
        <w:gridCol w:w="1500"/>
        <w:gridCol w:w="1476"/>
        <w:gridCol w:w="708"/>
        <w:gridCol w:w="1418"/>
        <w:gridCol w:w="1417"/>
      </w:tblGrid>
      <w:tr>
        <w:trPr>
          <w:trHeight w:val="317" w:hRule="exact"/>
        </w:trPr>
        <w:tc>
          <w:tcPr>
            <w:tcW w:w="1820" w:type="dxa"/>
            <w:vMerge w:val="restart"/>
            <w:tcBorders>
              <w:top w:val="single" w:sz="4" w:space="0" w:color="000000"/>
              <w:left w:val="single" w:sz="4" w:space="0" w:color="000000"/>
              <w:right w:val="single" w:sz="4" w:space="0" w:color="000000"/>
            </w:tcBorders>
            <w:shd w:val="clear" w:color="auto" w:fill="D3D3D3"/>
          </w:tcPr>
          <w:p>
            <w:pPr/>
          </w:p>
        </w:tc>
        <w:tc>
          <w:tcPr>
            <w:tcW w:w="1430" w:type="dxa"/>
            <w:vMerge w:val="restart"/>
            <w:tcBorders>
              <w:top w:val="single" w:sz="4" w:space="0" w:color="000000"/>
              <w:left w:val="single" w:sz="4" w:space="0" w:color="000000"/>
              <w:right w:val="single" w:sz="4" w:space="0" w:color="000000"/>
            </w:tcBorders>
            <w:shd w:val="clear" w:color="auto" w:fill="D3D3D3"/>
          </w:tcPr>
          <w:p>
            <w:pPr/>
          </w:p>
        </w:tc>
        <w:tc>
          <w:tcPr>
            <w:tcW w:w="2976"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708"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79" w:right="77"/>
              <w:jc w:val="center"/>
              <w:rPr>
                <w:rFonts w:ascii="宋体" w:hAnsi="宋体" w:cs="宋体" w:eastAsia="宋体" w:hint="default"/>
                <w:sz w:val="18"/>
                <w:szCs w:val="18"/>
              </w:rPr>
            </w:pPr>
            <w:r>
              <w:rPr>
                <w:rFonts w:ascii="宋体" w:hAnsi="宋体" w:cs="宋体" w:eastAsia="宋体" w:hint="default"/>
                <w:sz w:val="18"/>
                <w:szCs w:val="18"/>
              </w:rPr>
              <w:t>本年比 上年增 减</w:t>
            </w:r>
          </w:p>
        </w:tc>
        <w:tc>
          <w:tcPr>
            <w:tcW w:w="2836" w:type="dxa"/>
            <w:gridSpan w:val="2"/>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2" w:hRule="exact"/>
        </w:trPr>
        <w:tc>
          <w:tcPr>
            <w:tcW w:w="1820" w:type="dxa"/>
            <w:vMerge/>
            <w:tcBorders>
              <w:left w:val="single" w:sz="4" w:space="0" w:color="000000"/>
              <w:bottom w:val="nil" w:sz="6" w:space="0" w:color="auto"/>
              <w:right w:val="single" w:sz="4" w:space="0" w:color="000000"/>
            </w:tcBorders>
            <w:shd w:val="clear" w:color="auto" w:fill="D3D3D3"/>
          </w:tcPr>
          <w:p>
            <w:pPr/>
          </w:p>
        </w:tc>
        <w:tc>
          <w:tcPr>
            <w:tcW w:w="1430" w:type="dxa"/>
            <w:vMerge/>
            <w:tcBorders>
              <w:left w:val="single" w:sz="4" w:space="0" w:color="000000"/>
              <w:bottom w:val="nil" w:sz="6" w:space="0" w:color="auto"/>
              <w:right w:val="single" w:sz="4" w:space="0" w:color="000000"/>
            </w:tcBorders>
            <w:shd w:val="clear" w:color="auto" w:fill="D3D3D3"/>
          </w:tcPr>
          <w:p>
            <w:pPr/>
          </w:p>
        </w:tc>
        <w:tc>
          <w:tcPr>
            <w:tcW w:w="2976"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708" w:type="dxa"/>
            <w:vMerge/>
            <w:tcBorders>
              <w:left w:val="single" w:sz="4" w:space="0" w:color="000000"/>
              <w:right w:val="single" w:sz="4" w:space="0" w:color="000000"/>
            </w:tcBorders>
            <w:shd w:val="clear" w:color="auto" w:fill="D3D3D3"/>
          </w:tcPr>
          <w:p>
            <w:pPr/>
          </w:p>
        </w:tc>
        <w:tc>
          <w:tcPr>
            <w:tcW w:w="2836"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9"/>
                <w:sz w:val="18"/>
                <w:szCs w:val="18"/>
              </w:rPr>
              <w:t> </w:t>
            </w:r>
            <w:r>
              <w:rPr>
                <w:rFonts w:ascii="宋体" w:hAnsi="宋体" w:cs="宋体" w:eastAsia="宋体" w:hint="default"/>
                <w:sz w:val="18"/>
                <w:szCs w:val="18"/>
              </w:rPr>
              <w:t>年</w:t>
            </w:r>
          </w:p>
        </w:tc>
      </w:tr>
      <w:tr>
        <w:trPr>
          <w:trHeight w:val="190" w:hRule="exact"/>
        </w:trPr>
        <w:tc>
          <w:tcPr>
            <w:tcW w:w="1820" w:type="dxa"/>
            <w:vMerge w:val="restart"/>
            <w:tcBorders>
              <w:top w:val="nil" w:sz="6" w:space="0" w:color="auto"/>
              <w:left w:val="single" w:sz="4" w:space="0" w:color="000000"/>
              <w:right w:val="single" w:sz="4" w:space="0" w:color="000000"/>
            </w:tcBorders>
            <w:shd w:val="clear" w:color="auto" w:fill="D3D3D3"/>
          </w:tcPr>
          <w:p>
            <w:pPr/>
          </w:p>
        </w:tc>
        <w:tc>
          <w:tcPr>
            <w:tcW w:w="14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403"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2976" w:type="dxa"/>
            <w:gridSpan w:val="2"/>
            <w:vMerge/>
            <w:tcBorders>
              <w:left w:val="single" w:sz="4" w:space="0" w:color="000000"/>
              <w:bottom w:val="nil" w:sz="6" w:space="0" w:color="auto"/>
              <w:right w:val="single" w:sz="4" w:space="0" w:color="000000"/>
            </w:tcBorders>
            <w:shd w:val="clear" w:color="auto" w:fill="D3D3D3"/>
          </w:tcPr>
          <w:p>
            <w:pPr/>
          </w:p>
        </w:tc>
        <w:tc>
          <w:tcPr>
            <w:tcW w:w="708" w:type="dxa"/>
            <w:vMerge/>
            <w:tcBorders>
              <w:left w:val="single" w:sz="4" w:space="0" w:color="000000"/>
              <w:right w:val="single" w:sz="4" w:space="0" w:color="000000"/>
            </w:tcBorders>
            <w:shd w:val="clear" w:color="auto" w:fill="D3D3D3"/>
          </w:tcPr>
          <w:p>
            <w:pPr/>
          </w:p>
        </w:tc>
        <w:tc>
          <w:tcPr>
            <w:tcW w:w="2836" w:type="dxa"/>
            <w:gridSpan w:val="2"/>
            <w:vMerge/>
            <w:tcBorders>
              <w:left w:val="single" w:sz="4" w:space="0" w:color="000000"/>
              <w:bottom w:val="nil" w:sz="6" w:space="0" w:color="auto"/>
              <w:right w:val="single" w:sz="4" w:space="0" w:color="000000"/>
            </w:tcBorders>
            <w:shd w:val="clear" w:color="auto" w:fill="D3D3D3"/>
          </w:tcPr>
          <w:p>
            <w:pPr/>
          </w:p>
        </w:tc>
      </w:tr>
      <w:tr>
        <w:trPr>
          <w:trHeight w:val="200" w:hRule="exact"/>
        </w:trPr>
        <w:tc>
          <w:tcPr>
            <w:tcW w:w="1820" w:type="dxa"/>
            <w:vMerge/>
            <w:tcBorders>
              <w:left w:val="single" w:sz="4" w:space="0" w:color="000000"/>
              <w:bottom w:val="nil" w:sz="6" w:space="0" w:color="auto"/>
              <w:right w:val="single" w:sz="4" w:space="0" w:color="000000"/>
            </w:tcBorders>
            <w:shd w:val="clear" w:color="auto" w:fill="D3D3D3"/>
          </w:tcPr>
          <w:p>
            <w:pPr/>
          </w:p>
        </w:tc>
        <w:tc>
          <w:tcPr>
            <w:tcW w:w="1430" w:type="dxa"/>
            <w:vMerge/>
            <w:tcBorders>
              <w:left w:val="single" w:sz="4" w:space="0" w:color="000000"/>
              <w:bottom w:val="nil" w:sz="6" w:space="0" w:color="auto"/>
              <w:right w:val="single" w:sz="4" w:space="0" w:color="000000"/>
            </w:tcBorders>
            <w:shd w:val="clear" w:color="auto" w:fill="D3D3D3"/>
          </w:tcPr>
          <w:p>
            <w:pPr/>
          </w:p>
        </w:tc>
        <w:tc>
          <w:tcPr>
            <w:tcW w:w="2976" w:type="dxa"/>
            <w:gridSpan w:val="2"/>
            <w:vMerge w:val="restart"/>
            <w:tcBorders>
              <w:top w:val="nil" w:sz="6" w:space="0" w:color="auto"/>
              <w:left w:val="single" w:sz="4" w:space="0" w:color="000000"/>
              <w:right w:val="single" w:sz="4" w:space="0" w:color="000000"/>
            </w:tcBorders>
            <w:shd w:val="clear" w:color="auto" w:fill="D3D3D3"/>
          </w:tcPr>
          <w:p>
            <w:pPr/>
          </w:p>
        </w:tc>
        <w:tc>
          <w:tcPr>
            <w:tcW w:w="708" w:type="dxa"/>
            <w:vMerge/>
            <w:tcBorders>
              <w:left w:val="single" w:sz="4" w:space="0" w:color="000000"/>
              <w:right w:val="single" w:sz="4" w:space="0" w:color="000000"/>
            </w:tcBorders>
            <w:shd w:val="clear" w:color="auto" w:fill="D3D3D3"/>
          </w:tcPr>
          <w:p>
            <w:pPr/>
          </w:p>
        </w:tc>
        <w:tc>
          <w:tcPr>
            <w:tcW w:w="2836" w:type="dxa"/>
            <w:gridSpan w:val="2"/>
            <w:vMerge w:val="restart"/>
            <w:tcBorders>
              <w:top w:val="nil" w:sz="6" w:space="0" w:color="auto"/>
              <w:left w:val="single" w:sz="4" w:space="0" w:color="000000"/>
              <w:right w:val="single" w:sz="4" w:space="0" w:color="000000"/>
            </w:tcBorders>
            <w:shd w:val="clear" w:color="auto" w:fill="D3D3D3"/>
          </w:tcPr>
          <w:p>
            <w:pPr/>
          </w:p>
        </w:tc>
      </w:tr>
      <w:tr>
        <w:trPr>
          <w:trHeight w:val="117" w:hRule="exact"/>
        </w:trPr>
        <w:tc>
          <w:tcPr>
            <w:tcW w:w="1820" w:type="dxa"/>
            <w:vMerge w:val="restart"/>
            <w:tcBorders>
              <w:top w:val="nil" w:sz="6" w:space="0" w:color="auto"/>
              <w:left w:val="single" w:sz="4" w:space="0" w:color="000000"/>
              <w:right w:val="single" w:sz="4" w:space="0" w:color="000000"/>
            </w:tcBorders>
            <w:shd w:val="clear" w:color="auto" w:fill="D3D3D3"/>
          </w:tcPr>
          <w:p>
            <w:pPr/>
          </w:p>
        </w:tc>
        <w:tc>
          <w:tcPr>
            <w:tcW w:w="1430" w:type="dxa"/>
            <w:vMerge w:val="restart"/>
            <w:tcBorders>
              <w:top w:val="nil" w:sz="6" w:space="0" w:color="auto"/>
              <w:left w:val="single" w:sz="4" w:space="0" w:color="000000"/>
              <w:right w:val="single" w:sz="4" w:space="0" w:color="000000"/>
            </w:tcBorders>
            <w:shd w:val="clear" w:color="auto" w:fill="D3D3D3"/>
          </w:tcPr>
          <w:p>
            <w:pPr/>
          </w:p>
        </w:tc>
        <w:tc>
          <w:tcPr>
            <w:tcW w:w="2976" w:type="dxa"/>
            <w:gridSpan w:val="2"/>
            <w:vMerge/>
            <w:tcBorders>
              <w:left w:val="single" w:sz="4" w:space="0" w:color="000000"/>
              <w:bottom w:val="single" w:sz="4" w:space="0" w:color="000000"/>
              <w:right w:val="single" w:sz="4" w:space="0" w:color="000000"/>
            </w:tcBorders>
            <w:shd w:val="clear" w:color="auto" w:fill="D3D3D3"/>
          </w:tcPr>
          <w:p>
            <w:pPr/>
          </w:p>
        </w:tc>
        <w:tc>
          <w:tcPr>
            <w:tcW w:w="708" w:type="dxa"/>
            <w:vMerge/>
            <w:tcBorders>
              <w:left w:val="single" w:sz="4" w:space="0" w:color="000000"/>
              <w:bottom w:val="single" w:sz="4" w:space="0" w:color="000000"/>
              <w:right w:val="single" w:sz="4" w:space="0" w:color="000000"/>
            </w:tcBorders>
            <w:shd w:val="clear" w:color="auto" w:fill="D3D3D3"/>
          </w:tcPr>
          <w:p>
            <w:pPr/>
          </w:p>
        </w:tc>
        <w:tc>
          <w:tcPr>
            <w:tcW w:w="2836" w:type="dxa"/>
            <w:gridSpan w:val="2"/>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820" w:type="dxa"/>
            <w:vMerge/>
            <w:tcBorders>
              <w:left w:val="single" w:sz="4" w:space="0" w:color="000000"/>
              <w:bottom w:val="single" w:sz="4" w:space="0" w:color="000000"/>
              <w:right w:val="single" w:sz="4" w:space="0" w:color="000000"/>
            </w:tcBorders>
            <w:shd w:val="clear" w:color="auto" w:fill="D3D3D3"/>
          </w:tcPr>
          <w:p>
            <w:pPr/>
          </w:p>
        </w:tc>
        <w:tc>
          <w:tcPr>
            <w:tcW w:w="1430" w:type="dxa"/>
            <w:vMerge/>
            <w:tcBorders>
              <w:left w:val="single" w:sz="4" w:space="0" w:color="000000"/>
              <w:bottom w:val="single" w:sz="4" w:space="0" w:color="000000"/>
              <w:right w:val="single" w:sz="4" w:space="0" w:color="000000"/>
            </w:tcBorders>
            <w:shd w:val="clear" w:color="auto" w:fill="D3D3D3"/>
          </w:tcPr>
          <w:p>
            <w:pPr/>
          </w:p>
        </w:tc>
        <w:tc>
          <w:tcPr>
            <w:tcW w:w="1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3"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1"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9"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4"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1" w:hRule="exact"/>
        </w:trPr>
        <w:tc>
          <w:tcPr>
            <w:tcW w:w="1820" w:type="dxa"/>
            <w:tcBorders>
              <w:top w:val="single" w:sz="4" w:space="0" w:color="000000"/>
              <w:left w:val="single" w:sz="4" w:space="0" w:color="000000"/>
              <w:bottom w:val="nil" w:sz="6" w:space="0" w:color="auto"/>
              <w:right w:val="single" w:sz="4" w:space="0" w:color="000000"/>
            </w:tcBorders>
            <w:shd w:val="clear" w:color="auto" w:fill="D3D3D3"/>
          </w:tcPr>
          <w:p>
            <w:pPr/>
          </w:p>
        </w:tc>
        <w:tc>
          <w:tcPr>
            <w:tcW w:w="1430" w:type="dxa"/>
            <w:vMerge w:val="restart"/>
            <w:tcBorders>
              <w:top w:val="single" w:sz="4" w:space="0" w:color="000000"/>
              <w:left w:val="single" w:sz="10"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left"/>
              <w:rPr>
                <w:rFonts w:ascii="Arial" w:hAnsi="Arial" w:cs="Arial" w:eastAsia="Arial" w:hint="default"/>
                <w:sz w:val="18"/>
                <w:szCs w:val="18"/>
              </w:rPr>
            </w:pPr>
            <w:r>
              <w:rPr>
                <w:rFonts w:ascii="Arial"/>
                <w:sz w:val="18"/>
              </w:rPr>
              <w:t>727,322,833.38</w:t>
            </w:r>
          </w:p>
        </w:tc>
        <w:tc>
          <w:tcPr>
            <w:tcW w:w="150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15" w:right="0"/>
              <w:jc w:val="left"/>
              <w:rPr>
                <w:rFonts w:ascii="Arial" w:hAnsi="Arial" w:cs="Arial" w:eastAsia="Arial" w:hint="default"/>
                <w:sz w:val="18"/>
                <w:szCs w:val="18"/>
              </w:rPr>
            </w:pPr>
            <w:r>
              <w:rPr>
                <w:rFonts w:ascii="Arial"/>
                <w:sz w:val="18"/>
              </w:rPr>
              <w:t>812,488,365.82</w:t>
            </w:r>
          </w:p>
        </w:tc>
        <w:tc>
          <w:tcPr>
            <w:tcW w:w="14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91" w:right="0"/>
              <w:jc w:val="left"/>
              <w:rPr>
                <w:rFonts w:ascii="Arial" w:hAnsi="Arial" w:cs="Arial" w:eastAsia="Arial" w:hint="default"/>
                <w:sz w:val="18"/>
                <w:szCs w:val="18"/>
              </w:rPr>
            </w:pPr>
            <w:r>
              <w:rPr>
                <w:rFonts w:ascii="Arial"/>
                <w:sz w:val="18"/>
              </w:rPr>
              <w:t>812,488,365.82</w:t>
            </w:r>
          </w:p>
        </w:tc>
        <w:tc>
          <w:tcPr>
            <w:tcW w:w="708"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-10.48</w:t>
            </w:r>
            <w:r>
              <w:rPr>
                <w:rFonts w:ascii="Arial"/>
                <w:sz w:val="18"/>
              </w:rPr>
            </w:r>
          </w:p>
          <w:p>
            <w:pPr>
              <w:pStyle w:val="TableParagraph"/>
              <w:spacing w:line="240" w:lineRule="auto" w:before="106"/>
              <w:ind w:right="20"/>
              <w:jc w:val="right"/>
              <w:rPr>
                <w:rFonts w:ascii="Arial" w:hAnsi="Arial" w:cs="Arial" w:eastAsia="Arial" w:hint="default"/>
                <w:sz w:val="18"/>
                <w:szCs w:val="18"/>
              </w:rPr>
            </w:pPr>
            <w:r>
              <w:rPr>
                <w:rFonts w:ascii="Arial"/>
                <w:sz w:val="18"/>
              </w:rPr>
              <w:t>%</w:t>
            </w:r>
          </w:p>
        </w:tc>
        <w:tc>
          <w:tcPr>
            <w:tcW w:w="141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5" w:right="0"/>
              <w:jc w:val="left"/>
              <w:rPr>
                <w:rFonts w:ascii="Arial" w:hAnsi="Arial" w:cs="Arial" w:eastAsia="Arial" w:hint="default"/>
                <w:sz w:val="18"/>
                <w:szCs w:val="18"/>
              </w:rPr>
            </w:pPr>
            <w:r>
              <w:rPr>
                <w:rFonts w:ascii="Arial"/>
                <w:sz w:val="18"/>
              </w:rPr>
              <w:t>742,004,732.30</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3" w:right="0"/>
              <w:jc w:val="left"/>
              <w:rPr>
                <w:rFonts w:ascii="Arial" w:hAnsi="Arial" w:cs="Arial" w:eastAsia="Arial" w:hint="default"/>
                <w:sz w:val="18"/>
                <w:szCs w:val="18"/>
              </w:rPr>
            </w:pPr>
            <w:r>
              <w:rPr>
                <w:rFonts w:ascii="Arial"/>
                <w:sz w:val="18"/>
              </w:rPr>
              <w:t>742,004,732.30</w:t>
            </w:r>
          </w:p>
        </w:tc>
      </w:tr>
      <w:tr>
        <w:trPr>
          <w:trHeight w:val="392" w:hRule="exact"/>
        </w:trPr>
        <w:tc>
          <w:tcPr>
            <w:tcW w:w="182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430" w:type="dxa"/>
            <w:vMerge/>
            <w:tcBorders>
              <w:left w:val="single" w:sz="10" w:space="0" w:color="D3D3D3"/>
              <w:right w:val="single" w:sz="4" w:space="0" w:color="000000"/>
            </w:tcBorders>
          </w:tcPr>
          <w:p>
            <w:pPr/>
          </w:p>
        </w:tc>
        <w:tc>
          <w:tcPr>
            <w:tcW w:w="1500" w:type="dxa"/>
            <w:vMerge/>
            <w:tcBorders>
              <w:left w:val="single" w:sz="4" w:space="0" w:color="000000"/>
              <w:right w:val="single" w:sz="4" w:space="0" w:color="000000"/>
            </w:tcBorders>
          </w:tcPr>
          <w:p>
            <w:pPr/>
          </w:p>
        </w:tc>
        <w:tc>
          <w:tcPr>
            <w:tcW w:w="1476" w:type="dxa"/>
            <w:vMerge/>
            <w:tcBorders>
              <w:left w:val="single" w:sz="4" w:space="0" w:color="000000"/>
              <w:right w:val="single" w:sz="4" w:space="0" w:color="000000"/>
            </w:tcBorders>
          </w:tcPr>
          <w:p>
            <w:pPr/>
          </w:p>
        </w:tc>
        <w:tc>
          <w:tcPr>
            <w:tcW w:w="708" w:type="dxa"/>
            <w:vMerge/>
            <w:tcBorders>
              <w:left w:val="single" w:sz="4" w:space="0" w:color="000000"/>
              <w:right w:val="single" w:sz="4" w:space="0" w:color="000000"/>
            </w:tcBorders>
          </w:tcPr>
          <w:p>
            <w:pPr/>
          </w:p>
        </w:tc>
        <w:tc>
          <w:tcPr>
            <w:tcW w:w="1418"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r>
      <w:tr>
        <w:trPr>
          <w:trHeight w:val="161" w:hRule="exact"/>
        </w:trPr>
        <w:tc>
          <w:tcPr>
            <w:tcW w:w="1820" w:type="dxa"/>
            <w:tcBorders>
              <w:top w:val="nil" w:sz="6" w:space="0" w:color="auto"/>
              <w:left w:val="single" w:sz="4" w:space="0" w:color="000000"/>
              <w:bottom w:val="single" w:sz="4" w:space="0" w:color="000000"/>
              <w:right w:val="single" w:sz="4" w:space="0" w:color="000000"/>
            </w:tcBorders>
            <w:shd w:val="clear" w:color="auto" w:fill="D3D3D3"/>
          </w:tcPr>
          <w:p>
            <w:pPr/>
          </w:p>
        </w:tc>
        <w:tc>
          <w:tcPr>
            <w:tcW w:w="1430" w:type="dxa"/>
            <w:vMerge/>
            <w:tcBorders>
              <w:left w:val="single" w:sz="10" w:space="0" w:color="D3D3D3"/>
              <w:bottom w:val="single" w:sz="4" w:space="0" w:color="000000"/>
              <w:right w:val="single" w:sz="4" w:space="0" w:color="000000"/>
            </w:tcBorders>
          </w:tcPr>
          <w:p>
            <w:pPr/>
          </w:p>
        </w:tc>
        <w:tc>
          <w:tcPr>
            <w:tcW w:w="1500" w:type="dxa"/>
            <w:vMerge/>
            <w:tcBorders>
              <w:left w:val="single" w:sz="4" w:space="0" w:color="000000"/>
              <w:bottom w:val="single" w:sz="4" w:space="0" w:color="000000"/>
              <w:right w:val="single" w:sz="4" w:space="0" w:color="000000"/>
            </w:tcBorders>
          </w:tcPr>
          <w:p>
            <w:pPr/>
          </w:p>
        </w:tc>
        <w:tc>
          <w:tcPr>
            <w:tcW w:w="1476" w:type="dxa"/>
            <w:vMerge/>
            <w:tcBorders>
              <w:left w:val="single" w:sz="4" w:space="0" w:color="000000"/>
              <w:bottom w:val="single" w:sz="4" w:space="0" w:color="000000"/>
              <w:right w:val="single" w:sz="4" w:space="0" w:color="000000"/>
            </w:tcBorders>
          </w:tcPr>
          <w:p>
            <w:pPr/>
          </w:p>
        </w:tc>
        <w:tc>
          <w:tcPr>
            <w:tcW w:w="708" w:type="dxa"/>
            <w:vMerge/>
            <w:tcBorders>
              <w:left w:val="single" w:sz="4" w:space="0" w:color="000000"/>
              <w:bottom w:val="single" w:sz="4" w:space="0" w:color="000000"/>
              <w:right w:val="single" w:sz="4" w:space="0" w:color="000000"/>
            </w:tcBorders>
          </w:tcPr>
          <w:p>
            <w:pPr/>
          </w:p>
        </w:tc>
        <w:tc>
          <w:tcPr>
            <w:tcW w:w="1418"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r>
      <w:tr>
        <w:trPr>
          <w:trHeight w:val="714" w:hRule="exact"/>
        </w:trPr>
        <w:tc>
          <w:tcPr>
            <w:tcW w:w="1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76"/>
              <w:jc w:val="left"/>
              <w:rPr>
                <w:rFonts w:ascii="宋体" w:hAnsi="宋体" w:cs="宋体" w:eastAsia="宋体" w:hint="default"/>
                <w:sz w:val="18"/>
                <w:szCs w:val="18"/>
              </w:rPr>
            </w:pPr>
            <w:r>
              <w:rPr>
                <w:rFonts w:ascii="宋体" w:hAnsi="宋体" w:cs="宋体" w:eastAsia="宋体" w:hint="default"/>
                <w:sz w:val="18"/>
                <w:szCs w:val="18"/>
              </w:rPr>
              <w:t>归属于上市公司股东 的净利润（元）</w:t>
            </w:r>
          </w:p>
        </w:tc>
        <w:tc>
          <w:tcPr>
            <w:tcW w:w="14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sz w:val="18"/>
              </w:rPr>
              <w:t>49,816,021.80</w:t>
            </w:r>
            <w:r>
              <w:rPr>
                <w:rFonts w:ascii="Arial"/>
                <w:sz w:val="18"/>
              </w:rPr>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sz w:val="18"/>
              </w:rPr>
              <w:t>34,864,137.25</w:t>
            </w:r>
            <w:r>
              <w:rPr>
                <w:rFonts w:ascii="Arial"/>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sz w:val="18"/>
              </w:rPr>
              <w:t>33,287,713.07</w:t>
            </w:r>
            <w:r>
              <w:rPr>
                <w:rFonts w:ascii="Arial"/>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left"/>
              <w:rPr>
                <w:rFonts w:ascii="Arial" w:hAnsi="Arial" w:cs="Arial" w:eastAsia="Arial" w:hint="default"/>
                <w:sz w:val="18"/>
                <w:szCs w:val="18"/>
              </w:rPr>
            </w:pPr>
            <w:r>
              <w:rPr>
                <w:rFonts w:ascii="Arial"/>
                <w:sz w:val="18"/>
              </w:rPr>
              <w:t>49.65%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32,763,224.88</w:t>
            </w:r>
            <w:r>
              <w:rPr>
                <w:rFonts w:ascii="Arial"/>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sz w:val="18"/>
              </w:rPr>
              <w:t>32,763,224.88</w:t>
            </w:r>
            <w:r>
              <w:rPr>
                <w:rFonts w:ascii="Arial"/>
                <w:sz w:val="18"/>
              </w:rPr>
            </w:r>
          </w:p>
        </w:tc>
      </w:tr>
      <w:tr>
        <w:trPr>
          <w:trHeight w:val="1026" w:hRule="exact"/>
        </w:trPr>
        <w:tc>
          <w:tcPr>
            <w:tcW w:w="1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76"/>
              <w:jc w:val="both"/>
              <w:rPr>
                <w:rFonts w:ascii="宋体" w:hAnsi="宋体" w:cs="宋体" w:eastAsia="宋体" w:hint="default"/>
                <w:sz w:val="18"/>
                <w:szCs w:val="18"/>
              </w:rPr>
            </w:pPr>
            <w:r>
              <w:rPr>
                <w:rFonts w:ascii="宋体" w:hAnsi="宋体" w:cs="宋体" w:eastAsia="宋体" w:hint="default"/>
                <w:sz w:val="18"/>
                <w:szCs w:val="18"/>
              </w:rPr>
              <w:t>归属于上市公司股东 的扣除非经常性损益 的净利润（元）</w:t>
            </w:r>
          </w:p>
        </w:tc>
        <w:tc>
          <w:tcPr>
            <w:tcW w:w="14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sz w:val="18"/>
              </w:rPr>
              <w:t>618,405.60</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Arial" w:hAnsi="Arial" w:cs="Arial" w:eastAsia="Arial" w:hint="default"/>
                <w:sz w:val="18"/>
                <w:szCs w:val="18"/>
              </w:rPr>
            </w:pPr>
            <w:r>
              <w:rPr>
                <w:rFonts w:ascii="Arial"/>
                <w:spacing w:val="-1"/>
                <w:sz w:val="18"/>
              </w:rPr>
              <w:t>93,706.46</w:t>
            </w:r>
            <w:r>
              <w:rPr>
                <w:rFonts w:ascii="Arial"/>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sz w:val="18"/>
              </w:rPr>
              <w:t>-1,482,717.72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141.71</w:t>
            </w:r>
          </w:p>
          <w:p>
            <w:pPr>
              <w:pStyle w:val="TableParagraph"/>
              <w:spacing w:line="240" w:lineRule="auto" w:before="106"/>
              <w:ind w:right="20"/>
              <w:jc w:val="right"/>
              <w:rPr>
                <w:rFonts w:ascii="Arial" w:hAnsi="Arial" w:cs="Arial" w:eastAsia="Arial" w:hint="default"/>
                <w:sz w:val="18"/>
                <w:szCs w:val="18"/>
              </w:rPr>
            </w:pPr>
            <w:r>
              <w:rPr>
                <w:rFonts w:ascii="Arial"/>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2"/>
                <w:sz w:val="18"/>
              </w:rPr>
              <w:t>19,818,711.10</w:t>
            </w:r>
            <w:r>
              <w:rPr>
                <w:rFonts w:ascii="Arial"/>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Arial" w:hAnsi="Arial" w:cs="Arial" w:eastAsia="Arial" w:hint="default"/>
                <w:sz w:val="18"/>
                <w:szCs w:val="18"/>
              </w:rPr>
            </w:pPr>
            <w:r>
              <w:rPr>
                <w:rFonts w:ascii="Arial"/>
                <w:spacing w:val="-2"/>
                <w:sz w:val="18"/>
              </w:rPr>
              <w:t>19,818,711.10</w:t>
            </w:r>
            <w:r>
              <w:rPr>
                <w:rFonts w:ascii="Arial"/>
                <w:sz w:val="18"/>
              </w:rPr>
            </w:r>
          </w:p>
        </w:tc>
      </w:tr>
      <w:tr>
        <w:trPr>
          <w:trHeight w:val="714" w:hRule="exact"/>
        </w:trPr>
        <w:tc>
          <w:tcPr>
            <w:tcW w:w="18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76"/>
              <w:jc w:val="left"/>
              <w:rPr>
                <w:rFonts w:ascii="宋体" w:hAnsi="宋体" w:cs="宋体" w:eastAsia="宋体" w:hint="default"/>
                <w:sz w:val="18"/>
                <w:szCs w:val="18"/>
              </w:rPr>
            </w:pPr>
            <w:r>
              <w:rPr>
                <w:rFonts w:ascii="宋体" w:hAnsi="宋体" w:cs="宋体" w:eastAsia="宋体" w:hint="default"/>
                <w:sz w:val="18"/>
                <w:szCs w:val="18"/>
              </w:rPr>
              <w:t>经营活动产生的现金 流量净额（元）</w:t>
            </w:r>
          </w:p>
        </w:tc>
        <w:tc>
          <w:tcPr>
            <w:tcW w:w="14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108,243,966.33</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sz w:val="18"/>
              </w:rPr>
              <w:t>26,395,263.03</w:t>
            </w:r>
            <w:r>
              <w:rPr>
                <w:rFonts w:ascii="Arial"/>
                <w:sz w:val="18"/>
              </w:rPr>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sz w:val="18"/>
              </w:rPr>
              <w:t>26,395,263.03</w:t>
            </w:r>
            <w:r>
              <w:rPr>
                <w:rFonts w:ascii="Arial"/>
                <w:sz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310.09</w:t>
            </w:r>
          </w:p>
          <w:p>
            <w:pPr>
              <w:pStyle w:val="TableParagraph"/>
              <w:spacing w:line="240" w:lineRule="auto" w:before="106"/>
              <w:ind w:right="20"/>
              <w:jc w:val="right"/>
              <w:rPr>
                <w:rFonts w:ascii="Arial" w:hAnsi="Arial" w:cs="Arial" w:eastAsia="Arial" w:hint="default"/>
                <w:sz w:val="18"/>
                <w:szCs w:val="18"/>
              </w:rPr>
            </w:pPr>
            <w:r>
              <w:rPr>
                <w:rFonts w:ascii="Arial"/>
                <w:sz w:val="18"/>
              </w:rPr>
              <w:t>%</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89,635,802.24</w:t>
            </w:r>
            <w:r>
              <w:rPr>
                <w:rFonts w:ascii="Arial"/>
                <w:sz w:val="18"/>
              </w:rPr>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sz w:val="18"/>
              </w:rPr>
              <w:t>89,635,802.24</w:t>
            </w:r>
            <w:r>
              <w:rPr>
                <w:rFonts w:ascii="Arial"/>
                <w:sz w:val="18"/>
              </w:rPr>
            </w:r>
          </w:p>
        </w:tc>
      </w:tr>
      <w:tr>
        <w:trPr>
          <w:trHeight w:val="402" w:hRule="exact"/>
        </w:trPr>
        <w:tc>
          <w:tcPr>
            <w:tcW w:w="1820"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Arial" w:hAnsi="Arial" w:cs="Arial" w:eastAsia="Arial" w:hint="default"/>
                <w:sz w:val="18"/>
                <w:szCs w:val="18"/>
              </w:rPr>
              <w:t>/</w:t>
            </w:r>
            <w:r>
              <w:rPr>
                <w:rFonts w:ascii="宋体" w:hAnsi="宋体" w:cs="宋体" w:eastAsia="宋体" w:hint="default"/>
                <w:sz w:val="18"/>
                <w:szCs w:val="18"/>
              </w:rPr>
              <w:t>股</w:t>
            </w:r>
          </w:p>
        </w:tc>
        <w:tc>
          <w:tcPr>
            <w:tcW w:w="1430" w:type="dxa"/>
            <w:tcBorders>
              <w:top w:val="single" w:sz="4" w:space="0" w:color="000000"/>
              <w:left w:val="single" w:sz="23" w:space="0" w:color="FFFFFF"/>
              <w:bottom w:val="single" w:sz="4" w:space="0" w:color="000000"/>
              <w:right w:val="single" w:sz="4" w:space="0" w:color="000000"/>
            </w:tcBorders>
          </w:tcPr>
          <w:p>
            <w:pPr>
              <w:pStyle w:val="TableParagraph"/>
              <w:tabs>
                <w:tab w:pos="822" w:val="left" w:leader="none"/>
              </w:tabs>
              <w:spacing w:line="240" w:lineRule="auto" w:before="51"/>
              <w:ind w:left="-162" w:right="22"/>
              <w:jc w:val="right"/>
              <w:rPr>
                <w:rFonts w:ascii="Arial" w:hAnsi="Arial" w:cs="Arial" w:eastAsia="Arial" w:hint="default"/>
                <w:sz w:val="18"/>
                <w:szCs w:val="18"/>
              </w:rPr>
            </w:pPr>
            <w:r>
              <w:rPr>
                <w:rFonts w:ascii="宋体" w:hAnsi="宋体" w:cs="宋体" w:eastAsia="宋体" w:hint="default"/>
                <w:sz w:val="18"/>
                <w:szCs w:val="18"/>
              </w:rPr>
              <w:t>）</w:t>
              <w:tab/>
            </w:r>
            <w:r>
              <w:rPr>
                <w:rFonts w:ascii="Arial" w:hAnsi="Arial" w:cs="Arial" w:eastAsia="Arial" w:hint="default"/>
                <w:spacing w:val="-1"/>
                <w:sz w:val="18"/>
                <w:szCs w:val="18"/>
              </w:rPr>
              <w:t>0.0801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0.0560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0.0535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Arial" w:hAnsi="Arial" w:cs="Arial" w:eastAsia="Arial" w:hint="default"/>
                <w:sz w:val="18"/>
                <w:szCs w:val="18"/>
              </w:rPr>
            </w:pPr>
            <w:r>
              <w:rPr>
                <w:rFonts w:ascii="Arial"/>
                <w:sz w:val="18"/>
              </w:rPr>
              <w:t>49.72%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0.0527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0.0527</w:t>
            </w:r>
          </w:p>
        </w:tc>
      </w:tr>
      <w:tr>
        <w:trPr>
          <w:trHeight w:val="402" w:hRule="exact"/>
        </w:trPr>
        <w:tc>
          <w:tcPr>
            <w:tcW w:w="1820" w:type="dxa"/>
            <w:tcBorders>
              <w:top w:val="single" w:sz="4" w:space="0" w:color="000000"/>
              <w:left w:val="single" w:sz="4" w:space="0" w:color="000000"/>
              <w:bottom w:val="single" w:sz="4" w:space="0" w:color="000000"/>
              <w:right w:val="single" w:sz="9" w:space="0" w:color="FFFFFF"/>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Arial" w:hAnsi="Arial" w:cs="Arial" w:eastAsia="Arial" w:hint="default"/>
                <w:sz w:val="18"/>
                <w:szCs w:val="18"/>
              </w:rPr>
              <w:t>/</w:t>
            </w:r>
            <w:r>
              <w:rPr>
                <w:rFonts w:ascii="宋体" w:hAnsi="宋体" w:cs="宋体" w:eastAsia="宋体" w:hint="default"/>
                <w:sz w:val="18"/>
                <w:szCs w:val="18"/>
              </w:rPr>
              <w:t>股</w:t>
            </w:r>
          </w:p>
        </w:tc>
        <w:tc>
          <w:tcPr>
            <w:tcW w:w="1430" w:type="dxa"/>
            <w:tcBorders>
              <w:top w:val="single" w:sz="4" w:space="0" w:color="000000"/>
              <w:left w:val="single" w:sz="23" w:space="0" w:color="FFFFFF"/>
              <w:bottom w:val="single" w:sz="4" w:space="0" w:color="000000"/>
              <w:right w:val="single" w:sz="4" w:space="0" w:color="000000"/>
            </w:tcBorders>
          </w:tcPr>
          <w:p>
            <w:pPr>
              <w:pStyle w:val="TableParagraph"/>
              <w:tabs>
                <w:tab w:pos="822" w:val="left" w:leader="none"/>
              </w:tabs>
              <w:spacing w:line="240" w:lineRule="auto" w:before="51"/>
              <w:ind w:left="-162" w:right="22"/>
              <w:jc w:val="right"/>
              <w:rPr>
                <w:rFonts w:ascii="Arial" w:hAnsi="Arial" w:cs="Arial" w:eastAsia="Arial" w:hint="default"/>
                <w:sz w:val="18"/>
                <w:szCs w:val="18"/>
              </w:rPr>
            </w:pPr>
            <w:r>
              <w:rPr>
                <w:rFonts w:ascii="宋体" w:hAnsi="宋体" w:cs="宋体" w:eastAsia="宋体" w:hint="default"/>
                <w:sz w:val="18"/>
                <w:szCs w:val="18"/>
              </w:rPr>
              <w:t>）</w:t>
              <w:tab/>
            </w:r>
            <w:r>
              <w:rPr>
                <w:rFonts w:ascii="Arial" w:hAnsi="Arial" w:cs="Arial" w:eastAsia="Arial" w:hint="default"/>
                <w:spacing w:val="-1"/>
                <w:sz w:val="18"/>
                <w:szCs w:val="18"/>
              </w:rPr>
              <w:t>0.0801</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0.0560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0.0535</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Arial" w:hAnsi="Arial" w:cs="Arial" w:eastAsia="Arial" w:hint="default"/>
                <w:sz w:val="18"/>
                <w:szCs w:val="18"/>
              </w:rPr>
            </w:pPr>
            <w:r>
              <w:rPr>
                <w:rFonts w:ascii="Arial"/>
                <w:sz w:val="18"/>
              </w:rPr>
              <w:t>49.72%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0.0527</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0.0527</w:t>
            </w:r>
          </w:p>
        </w:tc>
      </w:tr>
    </w:tbl>
    <w:p>
      <w:pPr>
        <w:spacing w:after="0" w:line="240" w:lineRule="auto"/>
        <w:jc w:val="right"/>
        <w:rPr>
          <w:rFonts w:ascii="Arial" w:hAnsi="Arial" w:cs="Arial" w:eastAsia="Arial"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43"/>
        <w:gridCol w:w="1430"/>
        <w:gridCol w:w="1489"/>
        <w:gridCol w:w="1487"/>
        <w:gridCol w:w="685"/>
        <w:gridCol w:w="1430"/>
        <w:gridCol w:w="1417"/>
      </w:tblGrid>
      <w:tr>
        <w:trPr>
          <w:trHeight w:val="714"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88"/>
              <w:jc w:val="left"/>
              <w:rPr>
                <w:rFonts w:ascii="宋体" w:hAnsi="宋体" w:cs="宋体" w:eastAsia="宋体" w:hint="default"/>
                <w:sz w:val="18"/>
                <w:szCs w:val="18"/>
              </w:rPr>
            </w:pPr>
            <w:r>
              <w:rPr>
                <w:rFonts w:ascii="宋体" w:hAnsi="宋体" w:cs="宋体" w:eastAsia="宋体" w:hint="default"/>
                <w:sz w:val="18"/>
                <w:szCs w:val="18"/>
              </w:rPr>
              <w:t>加权平均净资产收益 率</w:t>
            </w:r>
          </w:p>
        </w:tc>
        <w:tc>
          <w:tcPr>
            <w:tcW w:w="14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62" w:right="0"/>
              <w:jc w:val="left"/>
              <w:rPr>
                <w:rFonts w:ascii="Arial" w:hAnsi="Arial" w:cs="Arial" w:eastAsia="Arial" w:hint="default"/>
                <w:sz w:val="18"/>
                <w:szCs w:val="18"/>
              </w:rPr>
            </w:pPr>
            <w:r>
              <w:rPr>
                <w:rFonts w:ascii="Arial"/>
                <w:sz w:val="18"/>
              </w:rPr>
              <w:t>3.32%</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w w:val="95"/>
                <w:sz w:val="18"/>
              </w:rPr>
              <w:t>2.42%</w:t>
            </w:r>
            <w:r>
              <w:rPr>
                <w:rFonts w:ascii="Arial"/>
                <w:w w:val="95"/>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4"/>
              <w:jc w:val="right"/>
              <w:rPr>
                <w:rFonts w:ascii="Arial" w:hAnsi="Arial" w:cs="Arial" w:eastAsia="Arial" w:hint="default"/>
                <w:sz w:val="18"/>
                <w:szCs w:val="18"/>
              </w:rPr>
            </w:pPr>
            <w:r>
              <w:rPr>
                <w:rFonts w:ascii="Arial"/>
                <w:spacing w:val="-1"/>
                <w:w w:val="95"/>
                <w:sz w:val="18"/>
              </w:rPr>
              <w:t>2.31%</w:t>
            </w:r>
            <w:r>
              <w:rPr>
                <w:rFonts w:ascii="Arial"/>
                <w:w w:val="95"/>
                <w:sz w:val="18"/>
              </w:rPr>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Arial" w:hAnsi="Arial" w:cs="Arial" w:eastAsia="Arial" w:hint="default"/>
                <w:sz w:val="18"/>
                <w:szCs w:val="18"/>
              </w:rPr>
            </w:pPr>
            <w:r>
              <w:rPr>
                <w:rFonts w:ascii="Arial"/>
                <w:spacing w:val="-1"/>
                <w:w w:val="95"/>
                <w:sz w:val="18"/>
              </w:rPr>
              <w:t>1.01%</w:t>
            </w:r>
            <w:r>
              <w:rPr>
                <w:rFonts w:ascii="Arial"/>
                <w:w w:val="95"/>
                <w:sz w:val="18"/>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87" w:right="0"/>
              <w:jc w:val="left"/>
              <w:rPr>
                <w:rFonts w:ascii="Arial" w:hAnsi="Arial" w:cs="Arial" w:eastAsia="Arial" w:hint="default"/>
                <w:sz w:val="18"/>
                <w:szCs w:val="18"/>
              </w:rPr>
            </w:pPr>
            <w:r>
              <w:rPr>
                <w:rFonts w:ascii="Arial"/>
                <w:sz w:val="18"/>
              </w:rPr>
              <w:t>2.31%</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73" w:right="0"/>
              <w:jc w:val="left"/>
              <w:rPr>
                <w:rFonts w:ascii="Arial" w:hAnsi="Arial" w:cs="Arial" w:eastAsia="Arial" w:hint="default"/>
                <w:sz w:val="18"/>
                <w:szCs w:val="18"/>
              </w:rPr>
            </w:pPr>
            <w:r>
              <w:rPr>
                <w:rFonts w:ascii="Arial"/>
                <w:sz w:val="18"/>
              </w:rPr>
              <w:t>2.31%</w:t>
            </w:r>
          </w:p>
        </w:tc>
      </w:tr>
      <w:tr>
        <w:trPr>
          <w:trHeight w:val="317" w:hRule="exact"/>
        </w:trPr>
        <w:tc>
          <w:tcPr>
            <w:tcW w:w="1843" w:type="dxa"/>
            <w:vMerge w:val="restart"/>
            <w:tcBorders>
              <w:top w:val="single" w:sz="4" w:space="0" w:color="000000"/>
              <w:left w:val="single" w:sz="4" w:space="0" w:color="000000"/>
              <w:right w:val="single" w:sz="4" w:space="0" w:color="000000"/>
            </w:tcBorders>
            <w:shd w:val="clear" w:color="auto" w:fill="D3D3D3"/>
          </w:tcPr>
          <w:p>
            <w:pPr/>
          </w:p>
        </w:tc>
        <w:tc>
          <w:tcPr>
            <w:tcW w:w="1430" w:type="dxa"/>
            <w:vMerge w:val="restart"/>
            <w:tcBorders>
              <w:top w:val="single" w:sz="4" w:space="0" w:color="000000"/>
              <w:left w:val="single" w:sz="4" w:space="0" w:color="000000"/>
              <w:right w:val="single" w:sz="4" w:space="0" w:color="000000"/>
            </w:tcBorders>
            <w:shd w:val="clear" w:color="auto" w:fill="D3D3D3"/>
          </w:tcPr>
          <w:p>
            <w:pPr/>
          </w:p>
        </w:tc>
        <w:tc>
          <w:tcPr>
            <w:tcW w:w="2976"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67" w:right="65"/>
              <w:jc w:val="both"/>
              <w:rPr>
                <w:rFonts w:ascii="宋体" w:hAnsi="宋体" w:cs="宋体" w:eastAsia="宋体" w:hint="default"/>
                <w:sz w:val="18"/>
                <w:szCs w:val="18"/>
              </w:rPr>
            </w:pPr>
            <w:r>
              <w:rPr>
                <w:rFonts w:ascii="宋体" w:hAnsi="宋体" w:cs="宋体" w:eastAsia="宋体" w:hint="default"/>
                <w:sz w:val="18"/>
                <w:szCs w:val="18"/>
              </w:rPr>
              <w:t>本年末 比上年 末增减</w:t>
            </w:r>
          </w:p>
        </w:tc>
        <w:tc>
          <w:tcPr>
            <w:tcW w:w="2847" w:type="dxa"/>
            <w:gridSpan w:val="2"/>
            <w:tcBorders>
              <w:top w:val="single" w:sz="4" w:space="0" w:color="000000"/>
              <w:left w:val="single" w:sz="4" w:space="0" w:color="000000"/>
              <w:bottom w:val="nil" w:sz="6" w:space="0" w:color="auto"/>
              <w:right w:val="single" w:sz="4" w:space="0" w:color="000000"/>
            </w:tcBorders>
            <w:shd w:val="clear" w:color="auto" w:fill="D3D3D3"/>
          </w:tcPr>
          <w:p>
            <w:pPr/>
          </w:p>
        </w:tc>
      </w:tr>
      <w:tr>
        <w:trPr>
          <w:trHeight w:val="202" w:hRule="exact"/>
        </w:trPr>
        <w:tc>
          <w:tcPr>
            <w:tcW w:w="1843" w:type="dxa"/>
            <w:vMerge/>
            <w:tcBorders>
              <w:left w:val="single" w:sz="4" w:space="0" w:color="000000"/>
              <w:bottom w:val="nil" w:sz="6" w:space="0" w:color="auto"/>
              <w:right w:val="single" w:sz="4" w:space="0" w:color="000000"/>
            </w:tcBorders>
            <w:shd w:val="clear" w:color="auto" w:fill="D3D3D3"/>
          </w:tcPr>
          <w:p>
            <w:pPr/>
          </w:p>
        </w:tc>
        <w:tc>
          <w:tcPr>
            <w:tcW w:w="1430" w:type="dxa"/>
            <w:vMerge/>
            <w:tcBorders>
              <w:left w:val="single" w:sz="4" w:space="0" w:color="000000"/>
              <w:bottom w:val="nil" w:sz="6" w:space="0" w:color="auto"/>
              <w:right w:val="single" w:sz="4" w:space="0" w:color="000000"/>
            </w:tcBorders>
            <w:shd w:val="clear" w:color="auto" w:fill="D3D3D3"/>
          </w:tcPr>
          <w:p>
            <w:pPr/>
          </w:p>
        </w:tc>
        <w:tc>
          <w:tcPr>
            <w:tcW w:w="2976"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23"/>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9"/>
                <w:sz w:val="18"/>
                <w:szCs w:val="18"/>
              </w:rPr>
              <w:t> </w:t>
            </w:r>
            <w:r>
              <w:rPr>
                <w:rFonts w:ascii="宋体" w:hAnsi="宋体" w:cs="宋体" w:eastAsia="宋体" w:hint="default"/>
                <w:sz w:val="18"/>
                <w:szCs w:val="18"/>
              </w:rPr>
              <w:t>年末</w:t>
            </w:r>
          </w:p>
        </w:tc>
        <w:tc>
          <w:tcPr>
            <w:tcW w:w="685" w:type="dxa"/>
            <w:vMerge/>
            <w:tcBorders>
              <w:left w:val="single" w:sz="4" w:space="0" w:color="000000"/>
              <w:right w:val="single" w:sz="4" w:space="0" w:color="000000"/>
            </w:tcBorders>
            <w:shd w:val="clear" w:color="auto" w:fill="D3D3D3"/>
          </w:tcPr>
          <w:p>
            <w:pPr/>
          </w:p>
        </w:tc>
        <w:tc>
          <w:tcPr>
            <w:tcW w:w="2847"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9"/>
                <w:sz w:val="18"/>
                <w:szCs w:val="18"/>
              </w:rPr>
              <w:t> </w:t>
            </w:r>
            <w:r>
              <w:rPr>
                <w:rFonts w:ascii="宋体" w:hAnsi="宋体" w:cs="宋体" w:eastAsia="宋体" w:hint="default"/>
                <w:sz w:val="18"/>
                <w:szCs w:val="18"/>
              </w:rPr>
              <w:t>年末</w:t>
            </w:r>
          </w:p>
        </w:tc>
      </w:tr>
      <w:tr>
        <w:trPr>
          <w:trHeight w:val="190" w:hRule="exact"/>
        </w:trPr>
        <w:tc>
          <w:tcPr>
            <w:tcW w:w="1843" w:type="dxa"/>
            <w:vMerge w:val="restart"/>
            <w:tcBorders>
              <w:top w:val="nil" w:sz="6" w:space="0" w:color="auto"/>
              <w:left w:val="single" w:sz="4" w:space="0" w:color="000000"/>
              <w:right w:val="single" w:sz="4" w:space="0" w:color="000000"/>
            </w:tcBorders>
            <w:shd w:val="clear" w:color="auto" w:fill="D3D3D3"/>
          </w:tcPr>
          <w:p>
            <w:pPr/>
          </w:p>
        </w:tc>
        <w:tc>
          <w:tcPr>
            <w:tcW w:w="14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301"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9"/>
                <w:sz w:val="18"/>
                <w:szCs w:val="18"/>
              </w:rPr>
              <w:t> </w:t>
            </w:r>
            <w:r>
              <w:rPr>
                <w:rFonts w:ascii="宋体" w:hAnsi="宋体" w:cs="宋体" w:eastAsia="宋体" w:hint="default"/>
                <w:sz w:val="18"/>
                <w:szCs w:val="18"/>
              </w:rPr>
              <w:t>年末</w:t>
            </w:r>
          </w:p>
        </w:tc>
        <w:tc>
          <w:tcPr>
            <w:tcW w:w="2976" w:type="dxa"/>
            <w:gridSpan w:val="2"/>
            <w:vMerge/>
            <w:tcBorders>
              <w:left w:val="single" w:sz="4" w:space="0" w:color="000000"/>
              <w:bottom w:val="nil" w:sz="6" w:space="0" w:color="auto"/>
              <w:right w:val="single" w:sz="4" w:space="0" w:color="000000"/>
            </w:tcBorders>
            <w:shd w:val="clear" w:color="auto" w:fill="D3D3D3"/>
          </w:tcPr>
          <w:p>
            <w:pPr/>
          </w:p>
        </w:tc>
        <w:tc>
          <w:tcPr>
            <w:tcW w:w="685" w:type="dxa"/>
            <w:vMerge/>
            <w:tcBorders>
              <w:left w:val="single" w:sz="4" w:space="0" w:color="000000"/>
              <w:right w:val="single" w:sz="4" w:space="0" w:color="000000"/>
            </w:tcBorders>
            <w:shd w:val="clear" w:color="auto" w:fill="D3D3D3"/>
          </w:tcPr>
          <w:p>
            <w:pPr/>
          </w:p>
        </w:tc>
        <w:tc>
          <w:tcPr>
            <w:tcW w:w="2847" w:type="dxa"/>
            <w:gridSpan w:val="2"/>
            <w:vMerge/>
            <w:tcBorders>
              <w:left w:val="single" w:sz="4" w:space="0" w:color="000000"/>
              <w:bottom w:val="nil" w:sz="6" w:space="0" w:color="auto"/>
              <w:right w:val="single" w:sz="4" w:space="0" w:color="000000"/>
            </w:tcBorders>
            <w:shd w:val="clear" w:color="auto" w:fill="D3D3D3"/>
          </w:tcPr>
          <w:p>
            <w:pPr/>
          </w:p>
        </w:tc>
      </w:tr>
      <w:tr>
        <w:trPr>
          <w:trHeight w:val="200" w:hRule="exact"/>
        </w:trPr>
        <w:tc>
          <w:tcPr>
            <w:tcW w:w="1843" w:type="dxa"/>
            <w:vMerge/>
            <w:tcBorders>
              <w:left w:val="single" w:sz="4" w:space="0" w:color="000000"/>
              <w:bottom w:val="nil" w:sz="6" w:space="0" w:color="auto"/>
              <w:right w:val="single" w:sz="4" w:space="0" w:color="000000"/>
            </w:tcBorders>
            <w:shd w:val="clear" w:color="auto" w:fill="D3D3D3"/>
          </w:tcPr>
          <w:p>
            <w:pPr/>
          </w:p>
        </w:tc>
        <w:tc>
          <w:tcPr>
            <w:tcW w:w="1430" w:type="dxa"/>
            <w:vMerge/>
            <w:tcBorders>
              <w:left w:val="single" w:sz="4" w:space="0" w:color="000000"/>
              <w:bottom w:val="nil" w:sz="6" w:space="0" w:color="auto"/>
              <w:right w:val="single" w:sz="4" w:space="0" w:color="000000"/>
            </w:tcBorders>
            <w:shd w:val="clear" w:color="auto" w:fill="D3D3D3"/>
          </w:tcPr>
          <w:p>
            <w:pPr/>
          </w:p>
        </w:tc>
        <w:tc>
          <w:tcPr>
            <w:tcW w:w="2976" w:type="dxa"/>
            <w:gridSpan w:val="2"/>
            <w:vMerge w:val="restart"/>
            <w:tcBorders>
              <w:top w:val="nil" w:sz="6" w:space="0" w:color="auto"/>
              <w:left w:val="single" w:sz="4" w:space="0" w:color="000000"/>
              <w:right w:val="single" w:sz="4" w:space="0" w:color="000000"/>
            </w:tcBorders>
            <w:shd w:val="clear" w:color="auto" w:fill="D3D3D3"/>
          </w:tcPr>
          <w:p>
            <w:pPr/>
          </w:p>
        </w:tc>
        <w:tc>
          <w:tcPr>
            <w:tcW w:w="685" w:type="dxa"/>
            <w:vMerge/>
            <w:tcBorders>
              <w:left w:val="single" w:sz="4" w:space="0" w:color="000000"/>
              <w:right w:val="single" w:sz="4" w:space="0" w:color="000000"/>
            </w:tcBorders>
            <w:shd w:val="clear" w:color="auto" w:fill="D3D3D3"/>
          </w:tcPr>
          <w:p>
            <w:pPr/>
          </w:p>
        </w:tc>
        <w:tc>
          <w:tcPr>
            <w:tcW w:w="2847" w:type="dxa"/>
            <w:gridSpan w:val="2"/>
            <w:vMerge w:val="restart"/>
            <w:tcBorders>
              <w:top w:val="nil" w:sz="6" w:space="0" w:color="auto"/>
              <w:left w:val="single" w:sz="4" w:space="0" w:color="000000"/>
              <w:right w:val="single" w:sz="4" w:space="0" w:color="000000"/>
            </w:tcBorders>
            <w:shd w:val="clear" w:color="auto" w:fill="D3D3D3"/>
          </w:tcPr>
          <w:p>
            <w:pPr/>
          </w:p>
        </w:tc>
      </w:tr>
      <w:tr>
        <w:trPr>
          <w:trHeight w:val="117" w:hRule="exact"/>
        </w:trPr>
        <w:tc>
          <w:tcPr>
            <w:tcW w:w="1843" w:type="dxa"/>
            <w:vMerge w:val="restart"/>
            <w:tcBorders>
              <w:top w:val="nil" w:sz="6" w:space="0" w:color="auto"/>
              <w:left w:val="single" w:sz="4" w:space="0" w:color="000000"/>
              <w:right w:val="single" w:sz="4" w:space="0" w:color="000000"/>
            </w:tcBorders>
            <w:shd w:val="clear" w:color="auto" w:fill="D3D3D3"/>
          </w:tcPr>
          <w:p>
            <w:pPr/>
          </w:p>
        </w:tc>
        <w:tc>
          <w:tcPr>
            <w:tcW w:w="1430" w:type="dxa"/>
            <w:vMerge w:val="restart"/>
            <w:tcBorders>
              <w:top w:val="nil" w:sz="6" w:space="0" w:color="auto"/>
              <w:left w:val="single" w:sz="4" w:space="0" w:color="000000"/>
              <w:right w:val="single" w:sz="4" w:space="0" w:color="000000"/>
            </w:tcBorders>
            <w:shd w:val="clear" w:color="auto" w:fill="D3D3D3"/>
          </w:tcPr>
          <w:p>
            <w:pPr/>
          </w:p>
        </w:tc>
        <w:tc>
          <w:tcPr>
            <w:tcW w:w="2976" w:type="dxa"/>
            <w:gridSpan w:val="2"/>
            <w:vMerge/>
            <w:tcBorders>
              <w:left w:val="single" w:sz="4" w:space="0" w:color="000000"/>
              <w:bottom w:val="single" w:sz="4" w:space="0" w:color="000000"/>
              <w:right w:val="single" w:sz="4" w:space="0" w:color="000000"/>
            </w:tcBorders>
            <w:shd w:val="clear" w:color="auto" w:fill="D3D3D3"/>
          </w:tcPr>
          <w:p>
            <w:pPr/>
          </w:p>
        </w:tc>
        <w:tc>
          <w:tcPr>
            <w:tcW w:w="685" w:type="dxa"/>
            <w:vMerge/>
            <w:tcBorders>
              <w:left w:val="single" w:sz="4" w:space="0" w:color="000000"/>
              <w:bottom w:val="single" w:sz="4" w:space="0" w:color="000000"/>
              <w:right w:val="single" w:sz="4" w:space="0" w:color="000000"/>
            </w:tcBorders>
            <w:shd w:val="clear" w:color="auto" w:fill="D3D3D3"/>
          </w:tcPr>
          <w:p>
            <w:pPr/>
          </w:p>
        </w:tc>
        <w:tc>
          <w:tcPr>
            <w:tcW w:w="2847" w:type="dxa"/>
            <w:gridSpan w:val="2"/>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843" w:type="dxa"/>
            <w:vMerge/>
            <w:tcBorders>
              <w:left w:val="single" w:sz="4" w:space="0" w:color="000000"/>
              <w:bottom w:val="single" w:sz="4" w:space="0" w:color="000000"/>
              <w:right w:val="single" w:sz="4" w:space="0" w:color="000000"/>
            </w:tcBorders>
            <w:shd w:val="clear" w:color="auto" w:fill="D3D3D3"/>
          </w:tcPr>
          <w:p>
            <w:pPr/>
          </w:p>
        </w:tc>
        <w:tc>
          <w:tcPr>
            <w:tcW w:w="1430" w:type="dxa"/>
            <w:vMerge/>
            <w:tcBorders>
              <w:left w:val="single" w:sz="4" w:space="0" w:color="000000"/>
              <w:bottom w:val="single" w:sz="4" w:space="0" w:color="000000"/>
              <w:right w:val="single" w:sz="4" w:space="0" w:color="000000"/>
            </w:tcBorders>
            <w:shd w:val="clear" w:color="auto" w:fill="D3D3D3"/>
          </w:tcPr>
          <w:p>
            <w:pPr/>
          </w:p>
        </w:tc>
        <w:tc>
          <w:tcPr>
            <w:tcW w:w="14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61"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6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7"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45"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161" w:hRule="exact"/>
        </w:trPr>
        <w:tc>
          <w:tcPr>
            <w:tcW w:w="1843" w:type="dxa"/>
            <w:tcBorders>
              <w:top w:val="single" w:sz="4" w:space="0" w:color="000000"/>
              <w:left w:val="single" w:sz="4" w:space="0" w:color="000000"/>
              <w:bottom w:val="nil" w:sz="6" w:space="0" w:color="auto"/>
              <w:right w:val="single" w:sz="4" w:space="0" w:color="000000"/>
            </w:tcBorders>
            <w:shd w:val="clear" w:color="auto" w:fill="D3D3D3"/>
          </w:tcPr>
          <w:p>
            <w:pPr/>
          </w:p>
        </w:tc>
        <w:tc>
          <w:tcPr>
            <w:tcW w:w="1430" w:type="dxa"/>
            <w:vMerge w:val="restart"/>
            <w:tcBorders>
              <w:top w:val="single" w:sz="4" w:space="0" w:color="000000"/>
              <w:left w:val="single" w:sz="10" w:space="0" w:color="D3D3D3"/>
              <w:right w:val="single" w:sz="4" w:space="0" w:color="000000"/>
            </w:tcBorders>
          </w:tcPr>
          <w:p>
            <w:pPr>
              <w:pStyle w:val="TableParagraph"/>
              <w:spacing w:line="240" w:lineRule="auto" w:before="91"/>
              <w:ind w:right="33"/>
              <w:jc w:val="right"/>
              <w:rPr>
                <w:rFonts w:ascii="Arial" w:hAnsi="Arial" w:cs="Arial" w:eastAsia="Arial" w:hint="default"/>
                <w:sz w:val="18"/>
                <w:szCs w:val="18"/>
              </w:rPr>
            </w:pPr>
            <w:r>
              <w:rPr>
                <w:rFonts w:ascii="Arial"/>
                <w:spacing w:val="-1"/>
                <w:sz w:val="18"/>
              </w:rPr>
              <w:t>2,758,681,945.0</w:t>
            </w:r>
          </w:p>
          <w:p>
            <w:pPr>
              <w:pStyle w:val="TableParagraph"/>
              <w:spacing w:line="240" w:lineRule="auto" w:before="106"/>
              <w:ind w:right="32"/>
              <w:jc w:val="right"/>
              <w:rPr>
                <w:rFonts w:ascii="Arial" w:hAnsi="Arial" w:cs="Arial" w:eastAsia="Arial" w:hint="default"/>
                <w:sz w:val="18"/>
                <w:szCs w:val="18"/>
              </w:rPr>
            </w:pPr>
            <w:r>
              <w:rPr>
                <w:rFonts w:ascii="Arial"/>
                <w:sz w:val="18"/>
              </w:rPr>
              <w:t>9</w:t>
            </w:r>
          </w:p>
        </w:tc>
        <w:tc>
          <w:tcPr>
            <w:tcW w:w="148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left"/>
              <w:rPr>
                <w:rFonts w:ascii="Arial" w:hAnsi="Arial" w:cs="Arial" w:eastAsia="Arial" w:hint="default"/>
                <w:sz w:val="18"/>
                <w:szCs w:val="18"/>
              </w:rPr>
            </w:pPr>
            <w:r>
              <w:rPr>
                <w:rFonts w:ascii="Arial"/>
                <w:sz w:val="18"/>
              </w:rPr>
              <w:t>2,527,395,782.89</w:t>
            </w:r>
          </w:p>
        </w:tc>
        <w:tc>
          <w:tcPr>
            <w:tcW w:w="148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 w:right="0"/>
              <w:jc w:val="left"/>
              <w:rPr>
                <w:rFonts w:ascii="Arial" w:hAnsi="Arial" w:cs="Arial" w:eastAsia="Arial" w:hint="default"/>
                <w:sz w:val="18"/>
                <w:szCs w:val="18"/>
              </w:rPr>
            </w:pPr>
            <w:r>
              <w:rPr>
                <w:rFonts w:ascii="Arial"/>
                <w:sz w:val="18"/>
              </w:rPr>
              <w:t>2,525,819,358.71</w:t>
            </w:r>
          </w:p>
        </w:tc>
        <w:tc>
          <w:tcPr>
            <w:tcW w:w="68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4" w:right="0"/>
              <w:jc w:val="left"/>
              <w:rPr>
                <w:rFonts w:ascii="Arial" w:hAnsi="Arial" w:cs="Arial" w:eastAsia="Arial" w:hint="default"/>
                <w:sz w:val="18"/>
                <w:szCs w:val="18"/>
              </w:rPr>
            </w:pPr>
            <w:r>
              <w:rPr>
                <w:rFonts w:ascii="Arial"/>
                <w:sz w:val="18"/>
              </w:rPr>
              <w:t>9.22%</w:t>
            </w:r>
          </w:p>
        </w:tc>
        <w:tc>
          <w:tcPr>
            <w:tcW w:w="1430"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2,592,957,508.7</w:t>
            </w:r>
          </w:p>
          <w:p>
            <w:pPr>
              <w:pStyle w:val="TableParagraph"/>
              <w:spacing w:line="240" w:lineRule="auto" w:before="106"/>
              <w:ind w:right="20"/>
              <w:jc w:val="right"/>
              <w:rPr>
                <w:rFonts w:ascii="Arial" w:hAnsi="Arial" w:cs="Arial" w:eastAsia="Arial" w:hint="default"/>
                <w:sz w:val="18"/>
                <w:szCs w:val="18"/>
              </w:rPr>
            </w:pPr>
            <w:r>
              <w:rPr>
                <w:rFonts w:ascii="Arial"/>
                <w:sz w:val="18"/>
              </w:rPr>
              <w:t>2</w:t>
            </w:r>
          </w:p>
        </w:tc>
        <w:tc>
          <w:tcPr>
            <w:tcW w:w="1417"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2,592,957,508.7</w:t>
            </w:r>
          </w:p>
          <w:p>
            <w:pPr>
              <w:pStyle w:val="TableParagraph"/>
              <w:spacing w:line="240" w:lineRule="auto" w:before="106"/>
              <w:ind w:right="21"/>
              <w:jc w:val="right"/>
              <w:rPr>
                <w:rFonts w:ascii="Arial" w:hAnsi="Arial" w:cs="Arial" w:eastAsia="Arial" w:hint="default"/>
                <w:sz w:val="18"/>
                <w:szCs w:val="18"/>
              </w:rPr>
            </w:pPr>
            <w:r>
              <w:rPr>
                <w:rFonts w:ascii="Arial"/>
                <w:sz w:val="18"/>
              </w:rPr>
              <w:t>2</w:t>
            </w:r>
          </w:p>
        </w:tc>
      </w:tr>
      <w:tr>
        <w:trPr>
          <w:trHeight w:val="392" w:hRule="exact"/>
        </w:trPr>
        <w:tc>
          <w:tcPr>
            <w:tcW w:w="184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430" w:type="dxa"/>
            <w:vMerge/>
            <w:tcBorders>
              <w:left w:val="single" w:sz="10" w:space="0" w:color="D3D3D3"/>
              <w:right w:val="single" w:sz="4" w:space="0" w:color="000000"/>
            </w:tcBorders>
          </w:tcPr>
          <w:p>
            <w:pPr/>
          </w:p>
        </w:tc>
        <w:tc>
          <w:tcPr>
            <w:tcW w:w="1489" w:type="dxa"/>
            <w:vMerge/>
            <w:tcBorders>
              <w:left w:val="single" w:sz="4" w:space="0" w:color="000000"/>
              <w:right w:val="single" w:sz="4" w:space="0" w:color="000000"/>
            </w:tcBorders>
          </w:tcPr>
          <w:p>
            <w:pPr/>
          </w:p>
        </w:tc>
        <w:tc>
          <w:tcPr>
            <w:tcW w:w="1487"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1430" w:type="dxa"/>
            <w:vMerge/>
            <w:tcBorders>
              <w:left w:val="single" w:sz="4" w:space="0" w:color="000000"/>
              <w:right w:val="single" w:sz="4" w:space="0" w:color="000000"/>
            </w:tcBorders>
          </w:tcPr>
          <w:p>
            <w:pPr/>
          </w:p>
        </w:tc>
        <w:tc>
          <w:tcPr>
            <w:tcW w:w="1417" w:type="dxa"/>
            <w:vMerge/>
            <w:tcBorders>
              <w:left w:val="single" w:sz="4" w:space="0" w:color="000000"/>
              <w:right w:val="single" w:sz="4" w:space="0" w:color="000000"/>
            </w:tcBorders>
          </w:tcPr>
          <w:p>
            <w:pPr/>
          </w:p>
        </w:tc>
      </w:tr>
      <w:tr>
        <w:trPr>
          <w:trHeight w:val="161" w:hRule="exact"/>
        </w:trPr>
        <w:tc>
          <w:tcPr>
            <w:tcW w:w="1843" w:type="dxa"/>
            <w:tcBorders>
              <w:top w:val="nil" w:sz="6" w:space="0" w:color="auto"/>
              <w:left w:val="single" w:sz="4" w:space="0" w:color="000000"/>
              <w:bottom w:val="single" w:sz="4" w:space="0" w:color="000000"/>
              <w:right w:val="single" w:sz="4" w:space="0" w:color="000000"/>
            </w:tcBorders>
            <w:shd w:val="clear" w:color="auto" w:fill="D3D3D3"/>
          </w:tcPr>
          <w:p>
            <w:pPr/>
          </w:p>
        </w:tc>
        <w:tc>
          <w:tcPr>
            <w:tcW w:w="1430" w:type="dxa"/>
            <w:vMerge/>
            <w:tcBorders>
              <w:left w:val="single" w:sz="10" w:space="0" w:color="D3D3D3"/>
              <w:bottom w:val="single" w:sz="4" w:space="0" w:color="000000"/>
              <w:right w:val="single" w:sz="4" w:space="0" w:color="000000"/>
            </w:tcBorders>
          </w:tcPr>
          <w:p>
            <w:pPr/>
          </w:p>
        </w:tc>
        <w:tc>
          <w:tcPr>
            <w:tcW w:w="1489" w:type="dxa"/>
            <w:vMerge/>
            <w:tcBorders>
              <w:left w:val="single" w:sz="4" w:space="0" w:color="000000"/>
              <w:bottom w:val="single" w:sz="4" w:space="0" w:color="000000"/>
              <w:right w:val="single" w:sz="4" w:space="0" w:color="000000"/>
            </w:tcBorders>
          </w:tcPr>
          <w:p>
            <w:pPr/>
          </w:p>
        </w:tc>
        <w:tc>
          <w:tcPr>
            <w:tcW w:w="1487"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1430" w:type="dxa"/>
            <w:vMerge/>
            <w:tcBorders>
              <w:left w:val="single" w:sz="4" w:space="0" w:color="000000"/>
              <w:bottom w:val="single" w:sz="4" w:space="0" w:color="000000"/>
              <w:right w:val="single" w:sz="4" w:space="0" w:color="000000"/>
            </w:tcBorders>
          </w:tcPr>
          <w:p>
            <w:pPr/>
          </w:p>
        </w:tc>
        <w:tc>
          <w:tcPr>
            <w:tcW w:w="1417" w:type="dxa"/>
            <w:vMerge/>
            <w:tcBorders>
              <w:left w:val="single" w:sz="4" w:space="0" w:color="000000"/>
              <w:bottom w:val="single" w:sz="4" w:space="0" w:color="000000"/>
              <w:right w:val="single" w:sz="4" w:space="0" w:color="000000"/>
            </w:tcBorders>
          </w:tcPr>
          <w:p>
            <w:pPr/>
          </w:p>
        </w:tc>
      </w:tr>
      <w:tr>
        <w:trPr>
          <w:trHeight w:val="714" w:hRule="exact"/>
        </w:trPr>
        <w:tc>
          <w:tcPr>
            <w:tcW w:w="18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88"/>
              <w:jc w:val="left"/>
              <w:rPr>
                <w:rFonts w:ascii="宋体" w:hAnsi="宋体" w:cs="宋体" w:eastAsia="宋体" w:hint="default"/>
                <w:sz w:val="18"/>
                <w:szCs w:val="18"/>
              </w:rPr>
            </w:pPr>
            <w:r>
              <w:rPr>
                <w:rFonts w:ascii="宋体" w:hAnsi="宋体" w:cs="宋体" w:eastAsia="宋体" w:hint="default"/>
                <w:sz w:val="18"/>
                <w:szCs w:val="18"/>
              </w:rPr>
              <w:t>归属于上市公司股东 的净资产（元）</w:t>
            </w:r>
          </w:p>
        </w:tc>
        <w:tc>
          <w:tcPr>
            <w:tcW w:w="14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3"/>
              <w:jc w:val="right"/>
              <w:rPr>
                <w:rFonts w:ascii="Arial" w:hAnsi="Arial" w:cs="Arial" w:eastAsia="Arial" w:hint="default"/>
                <w:sz w:val="18"/>
                <w:szCs w:val="18"/>
              </w:rPr>
            </w:pPr>
            <w:r>
              <w:rPr>
                <w:rFonts w:ascii="Arial"/>
                <w:spacing w:val="-2"/>
                <w:sz w:val="18"/>
              </w:rPr>
              <w:t>1,537,547,113.1</w:t>
            </w:r>
          </w:p>
          <w:p>
            <w:pPr>
              <w:pStyle w:val="TableParagraph"/>
              <w:spacing w:line="240" w:lineRule="auto" w:before="106"/>
              <w:ind w:right="32"/>
              <w:jc w:val="right"/>
              <w:rPr>
                <w:rFonts w:ascii="Arial" w:hAnsi="Arial" w:cs="Arial" w:eastAsia="Arial" w:hint="default"/>
                <w:sz w:val="18"/>
                <w:szCs w:val="18"/>
              </w:rPr>
            </w:pPr>
            <w:r>
              <w:rPr>
                <w:rFonts w:ascii="Arial"/>
                <w:sz w:val="18"/>
              </w:rPr>
              <w:t>0</w:t>
            </w:r>
          </w:p>
        </w:tc>
        <w:tc>
          <w:tcPr>
            <w:tcW w:w="1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sz w:val="18"/>
              </w:rPr>
              <w:t>1,456,980,946.95</w:t>
            </w:r>
            <w:r>
              <w:rPr>
                <w:rFonts w:ascii="Arial"/>
                <w:sz w:val="18"/>
              </w:rPr>
            </w:r>
          </w:p>
        </w:tc>
        <w:tc>
          <w:tcPr>
            <w:tcW w:w="1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4"/>
              <w:jc w:val="right"/>
              <w:rPr>
                <w:rFonts w:ascii="Arial" w:hAnsi="Arial" w:cs="Arial" w:eastAsia="Arial" w:hint="default"/>
                <w:sz w:val="18"/>
                <w:szCs w:val="18"/>
              </w:rPr>
            </w:pPr>
            <w:r>
              <w:rPr>
                <w:rFonts w:ascii="Arial"/>
                <w:spacing w:val="-1"/>
                <w:sz w:val="18"/>
              </w:rPr>
              <w:t>1,455,404,522.77</w:t>
            </w:r>
            <w:r>
              <w:rPr>
                <w:rFonts w:ascii="Arial"/>
                <w:sz w:val="18"/>
              </w:rPr>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Arial" w:hAnsi="Arial" w:cs="Arial" w:eastAsia="Arial" w:hint="default"/>
                <w:sz w:val="18"/>
                <w:szCs w:val="18"/>
              </w:rPr>
            </w:pPr>
            <w:r>
              <w:rPr>
                <w:rFonts w:ascii="Arial"/>
                <w:spacing w:val="-1"/>
                <w:w w:val="95"/>
                <w:sz w:val="18"/>
              </w:rPr>
              <w:t>5.64%</w:t>
            </w:r>
            <w:r>
              <w:rPr>
                <w:rFonts w:ascii="Arial"/>
                <w:w w:val="95"/>
                <w:sz w:val="18"/>
              </w:rPr>
            </w:r>
          </w:p>
        </w:tc>
        <w:tc>
          <w:tcPr>
            <w:tcW w:w="14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1,424,157,730.2</w:t>
            </w:r>
          </w:p>
          <w:p>
            <w:pPr>
              <w:pStyle w:val="TableParagraph"/>
              <w:spacing w:line="240" w:lineRule="auto" w:before="106"/>
              <w:ind w:right="20"/>
              <w:jc w:val="right"/>
              <w:rPr>
                <w:rFonts w:ascii="Arial" w:hAnsi="Arial" w:cs="Arial" w:eastAsia="Arial" w:hint="default"/>
                <w:sz w:val="18"/>
                <w:szCs w:val="18"/>
              </w:rPr>
            </w:pPr>
            <w:r>
              <w:rPr>
                <w:rFonts w:ascii="Arial"/>
                <w:sz w:val="18"/>
              </w:rPr>
              <w:t>3</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1,424,157,730.2</w:t>
            </w:r>
          </w:p>
          <w:p>
            <w:pPr>
              <w:pStyle w:val="TableParagraph"/>
              <w:spacing w:line="240" w:lineRule="auto" w:before="106"/>
              <w:ind w:right="21"/>
              <w:jc w:val="right"/>
              <w:rPr>
                <w:rFonts w:ascii="Arial" w:hAnsi="Arial" w:cs="Arial" w:eastAsia="Arial" w:hint="default"/>
                <w:sz w:val="18"/>
                <w:szCs w:val="18"/>
              </w:rPr>
            </w:pPr>
            <w:r>
              <w:rPr>
                <w:rFonts w:ascii="Arial"/>
                <w:sz w:val="18"/>
              </w:rPr>
              <w:t>3</w:t>
            </w:r>
          </w:p>
        </w:tc>
      </w:tr>
    </w:tbl>
    <w:p>
      <w:pPr>
        <w:pStyle w:val="BodyText"/>
        <w:spacing w:line="240" w:lineRule="auto" w:before="51"/>
        <w:ind w:right="2239"/>
        <w:jc w:val="left"/>
      </w:pPr>
      <w:r>
        <w:rPr/>
        <w:t>会计政策变更的原因及会计差错更正的情况</w:t>
      </w:r>
    </w:p>
    <w:p>
      <w:pPr>
        <w:pStyle w:val="BodyText"/>
        <w:spacing w:line="240" w:lineRule="auto" w:before="116"/>
        <w:ind w:left="153" w:right="0"/>
        <w:jc w:val="left"/>
      </w:pPr>
      <w:r>
        <w:rPr/>
        <w:t>（</w:t>
      </w:r>
      <w:r>
        <w:rPr>
          <w:rFonts w:ascii="Arial" w:hAnsi="Arial" w:cs="Arial" w:eastAsia="Arial" w:hint="default"/>
          <w:spacing w:val="-1"/>
        </w:rPr>
        <w:t>1</w:t>
      </w:r>
      <w:r>
        <w:rPr>
          <w:spacing w:val="-21"/>
        </w:rPr>
        <w:t>）</w:t>
      </w:r>
      <w:r>
        <w:rPr/>
        <w:t>财政部于</w:t>
      </w:r>
      <w:r>
        <w:rPr>
          <w:spacing w:val="-45"/>
        </w:rPr>
        <w:t> </w:t>
      </w:r>
      <w:r>
        <w:rPr>
          <w:rFonts w:ascii="Arial" w:hAnsi="Arial" w:cs="Arial" w:eastAsia="Arial" w:hint="default"/>
          <w:spacing w:val="-1"/>
        </w:rPr>
        <w:t>20</w:t>
      </w:r>
      <w:r>
        <w:rPr>
          <w:rFonts w:ascii="Arial" w:hAnsi="Arial" w:cs="Arial" w:eastAsia="Arial" w:hint="default"/>
        </w:rPr>
        <w:t>17</w:t>
      </w:r>
      <w:r>
        <w:rPr>
          <w:rFonts w:ascii="Arial" w:hAnsi="Arial" w:cs="Arial" w:eastAsia="Arial" w:hint="default"/>
          <w:spacing w:val="-7"/>
        </w:rPr>
        <w:t> </w:t>
      </w:r>
      <w:r>
        <w:rPr/>
        <w:t>年颁布</w:t>
      </w:r>
      <w:r>
        <w:rPr>
          <w:spacing w:val="-20"/>
        </w:rPr>
        <w:t>了</w:t>
      </w:r>
      <w:r>
        <w:rPr/>
        <w:t>《企业会计准则第</w:t>
      </w:r>
      <w:r>
        <w:rPr>
          <w:spacing w:val="-46"/>
        </w:rPr>
        <w:t> </w:t>
      </w:r>
      <w:r>
        <w:rPr>
          <w:rFonts w:ascii="Arial" w:hAnsi="Arial" w:cs="Arial" w:eastAsia="Arial" w:hint="default"/>
        </w:rPr>
        <w:t>22</w:t>
      </w:r>
      <w:r>
        <w:rPr>
          <w:rFonts w:ascii="Arial" w:hAnsi="Arial" w:cs="Arial" w:eastAsia="Arial" w:hint="default"/>
          <w:spacing w:val="-7"/>
        </w:rPr>
        <w:t> </w:t>
      </w:r>
      <w:r>
        <w:rPr/>
        <w:t>号</w:t>
      </w:r>
      <w:r>
        <w:rPr>
          <w:rFonts w:ascii="Arial" w:hAnsi="Arial" w:cs="Arial" w:eastAsia="Arial" w:hint="default"/>
        </w:rPr>
        <w:t>—</w:t>
      </w:r>
      <w:r>
        <w:rPr>
          <w:rFonts w:ascii="Arial" w:hAnsi="Arial" w:cs="Arial" w:eastAsia="Arial" w:hint="default"/>
          <w:spacing w:val="1"/>
        </w:rPr>
        <w:t>—</w:t>
      </w:r>
      <w:r>
        <w:rPr/>
        <w:t>金融工具确认和计</w:t>
      </w:r>
      <w:r>
        <w:rPr>
          <w:spacing w:val="-21"/>
        </w:rPr>
        <w:t>量</w:t>
      </w:r>
      <w:r>
        <w:rPr/>
        <w:t>（修订</w:t>
      </w:r>
      <w:r>
        <w:rPr>
          <w:spacing w:val="-90"/>
        </w:rPr>
        <w:t>）》</w:t>
      </w:r>
      <w:r>
        <w:rPr>
          <w:spacing w:val="-111"/>
        </w:rPr>
        <w:t>、</w:t>
      </w:r>
      <w:r>
        <w:rPr/>
        <w:t>《企业会计准则第</w:t>
      </w:r>
      <w:r>
        <w:rPr>
          <w:spacing w:val="-46"/>
        </w:rPr>
        <w:t> </w:t>
      </w:r>
      <w:r>
        <w:rPr>
          <w:rFonts w:ascii="Arial" w:hAnsi="Arial" w:cs="Arial" w:eastAsia="Arial" w:hint="default"/>
        </w:rPr>
        <w:t>23</w:t>
      </w:r>
      <w:r>
        <w:rPr>
          <w:rFonts w:ascii="Arial" w:hAnsi="Arial" w:cs="Arial" w:eastAsia="Arial" w:hint="default"/>
          <w:spacing w:val="-7"/>
        </w:rPr>
        <w:t> </w:t>
      </w:r>
      <w:r>
        <w:rPr/>
        <w:t>号</w:t>
      </w:r>
      <w:r>
        <w:rPr>
          <w:rFonts w:ascii="Arial" w:hAnsi="Arial" w:cs="Arial" w:eastAsia="Arial" w:hint="default"/>
          <w:spacing w:val="1"/>
        </w:rPr>
        <w:t>—</w:t>
      </w:r>
      <w:r>
        <w:rPr>
          <w:rFonts w:ascii="Arial" w:hAnsi="Arial" w:cs="Arial" w:eastAsia="Arial" w:hint="default"/>
        </w:rPr>
        <w:t>—</w:t>
      </w:r>
      <w:r>
        <w:rPr/>
        <w:t>金融</w:t>
      </w:r>
    </w:p>
    <w:p>
      <w:pPr>
        <w:pStyle w:val="BodyText"/>
        <w:spacing w:line="240" w:lineRule="auto" w:before="63"/>
        <w:ind w:right="0"/>
        <w:jc w:val="left"/>
      </w:pPr>
      <w:r>
        <w:rPr/>
        <w:t>资产转移（修订</w:t>
      </w:r>
      <w:r>
        <w:rPr>
          <w:spacing w:val="-90"/>
        </w:rPr>
        <w:t>）》、</w:t>
      </w:r>
      <w:r>
        <w:rPr/>
        <w:t>《企业会计准则第</w:t>
      </w:r>
      <w:r>
        <w:rPr>
          <w:spacing w:val="-46"/>
        </w:rPr>
        <w:t> </w:t>
      </w:r>
      <w:r>
        <w:rPr>
          <w:rFonts w:ascii="Arial" w:hAnsi="Arial" w:cs="Arial" w:eastAsia="Arial" w:hint="default"/>
        </w:rPr>
        <w:t>24</w:t>
      </w:r>
      <w:r>
        <w:rPr>
          <w:rFonts w:ascii="Arial" w:hAnsi="Arial" w:cs="Arial" w:eastAsia="Arial" w:hint="default"/>
          <w:spacing w:val="-7"/>
        </w:rPr>
        <w:t> </w:t>
      </w:r>
      <w:r>
        <w:rPr>
          <w:spacing w:val="1"/>
        </w:rPr>
        <w:t>号</w:t>
      </w:r>
      <w:r>
        <w:rPr>
          <w:rFonts w:ascii="Arial" w:hAnsi="Arial" w:cs="Arial" w:eastAsia="Arial" w:hint="default"/>
        </w:rPr>
        <w:t>——</w:t>
      </w:r>
      <w:r>
        <w:rPr/>
        <w:t>套期会计（修订</w:t>
      </w:r>
      <w:r>
        <w:rPr>
          <w:spacing w:val="-90"/>
        </w:rPr>
        <w:t>）</w:t>
      </w:r>
      <w:r>
        <w:rPr/>
        <w:t>》及《企业会计准则第</w:t>
      </w:r>
      <w:r>
        <w:rPr>
          <w:spacing w:val="-46"/>
        </w:rPr>
        <w:t> </w:t>
      </w:r>
      <w:r>
        <w:rPr>
          <w:rFonts w:ascii="Arial" w:hAnsi="Arial" w:cs="Arial" w:eastAsia="Arial" w:hint="default"/>
        </w:rPr>
        <w:t>37</w:t>
      </w:r>
      <w:r>
        <w:rPr>
          <w:rFonts w:ascii="Arial" w:hAnsi="Arial" w:cs="Arial" w:eastAsia="Arial" w:hint="default"/>
          <w:spacing w:val="-7"/>
        </w:rPr>
        <w:t> </w:t>
      </w:r>
      <w:r>
        <w:rPr/>
        <w:t>号</w:t>
      </w:r>
      <w:r>
        <w:rPr>
          <w:rFonts w:ascii="Arial" w:hAnsi="Arial" w:cs="Arial" w:eastAsia="Arial" w:hint="default"/>
        </w:rPr>
        <w:t>——</w:t>
      </w:r>
      <w:r>
        <w:rPr>
          <w:spacing w:val="1"/>
        </w:rPr>
        <w:t>金</w:t>
      </w:r>
      <w:r>
        <w:rPr/>
        <w:t>融工具列报（修订</w:t>
      </w:r>
      <w:r>
        <w:rPr>
          <w:spacing w:val="-90"/>
        </w:rPr>
        <w:t>）</w:t>
      </w:r>
      <w:r>
        <w:rPr/>
        <w:t>》</w:t>
      </w:r>
    </w:p>
    <w:p>
      <w:pPr>
        <w:pStyle w:val="BodyText"/>
        <w:spacing w:line="302" w:lineRule="auto" w:before="63"/>
        <w:ind w:right="1155"/>
        <w:jc w:val="left"/>
      </w:pPr>
      <w:r>
        <w:rPr>
          <w:spacing w:val="-5"/>
        </w:rPr>
        <w:t>（以下统称</w:t>
      </w:r>
      <w:r>
        <w:rPr>
          <w:rFonts w:ascii="Arial" w:hAnsi="Arial" w:cs="Arial" w:eastAsia="Arial" w:hint="default"/>
          <w:spacing w:val="-5"/>
        </w:rPr>
        <w:t>“</w:t>
      </w:r>
      <w:r>
        <w:rPr>
          <w:spacing w:val="-5"/>
        </w:rPr>
        <w:t>新金融工具准则</w:t>
      </w:r>
      <w:r>
        <w:rPr>
          <w:rFonts w:ascii="Arial" w:hAnsi="Arial" w:cs="Arial" w:eastAsia="Arial" w:hint="default"/>
          <w:spacing w:val="-5"/>
        </w:rPr>
        <w:t>”</w:t>
      </w:r>
      <w:r>
        <w:rPr>
          <w:spacing w:val="-5"/>
        </w:rPr>
        <w:t>），本公司于</w:t>
      </w:r>
      <w:r>
        <w:rPr>
          <w:spacing w:val="-45"/>
        </w:rPr>
        <w:t> </w:t>
      </w:r>
      <w:r>
        <w:rPr>
          <w:rFonts w:ascii="Arial" w:hAnsi="Arial" w:cs="Arial" w:eastAsia="Arial" w:hint="default"/>
          <w:spacing w:val="-1"/>
        </w:rPr>
        <w:t>2019</w:t>
      </w:r>
      <w:r>
        <w:rPr>
          <w:rFonts w:ascii="Arial" w:hAnsi="Arial" w:cs="Arial" w:eastAsia="Arial" w:hint="default"/>
          <w:spacing w:val="-6"/>
        </w:rPr>
        <w:t> </w:t>
      </w:r>
      <w:r>
        <w:rPr/>
        <w:t>年</w:t>
      </w:r>
      <w:r>
        <w:rPr>
          <w:spacing w:val="-44"/>
        </w:rPr>
        <w:t> </w:t>
      </w:r>
      <w:r>
        <w:rPr>
          <w:rFonts w:ascii="Arial" w:hAnsi="Arial" w:cs="Arial" w:eastAsia="Arial" w:hint="default"/>
        </w:rPr>
        <w:t>8</w:t>
      </w:r>
      <w:r>
        <w:rPr>
          <w:rFonts w:ascii="Arial" w:hAnsi="Arial" w:cs="Arial" w:eastAsia="Arial" w:hint="default"/>
          <w:spacing w:val="-4"/>
        </w:rPr>
        <w:t> </w:t>
      </w:r>
      <w:r>
        <w:rPr/>
        <w:t>月</w:t>
      </w:r>
      <w:r>
        <w:rPr>
          <w:spacing w:val="-45"/>
        </w:rPr>
        <w:t> </w:t>
      </w:r>
      <w:r>
        <w:rPr>
          <w:rFonts w:ascii="Arial" w:hAnsi="Arial" w:cs="Arial" w:eastAsia="Arial" w:hint="default"/>
        </w:rPr>
        <w:t>22</w:t>
      </w:r>
      <w:r>
        <w:rPr>
          <w:rFonts w:ascii="Arial" w:hAnsi="Arial" w:cs="Arial" w:eastAsia="Arial" w:hint="default"/>
          <w:spacing w:val="-4"/>
        </w:rPr>
        <w:t> </w:t>
      </w:r>
      <w:r>
        <w:rPr/>
        <w:t>日召开的第四届董事会第十八次会议，批准自</w:t>
      </w:r>
      <w:r>
        <w:rPr>
          <w:spacing w:val="-45"/>
        </w:rPr>
        <w:t> </w:t>
      </w:r>
      <w:r>
        <w:rPr>
          <w:rFonts w:ascii="Arial" w:hAnsi="Arial" w:cs="Arial" w:eastAsia="Arial" w:hint="default"/>
          <w:spacing w:val="-1"/>
        </w:rPr>
        <w:t>2019</w:t>
      </w:r>
      <w:r>
        <w:rPr>
          <w:rFonts w:ascii="Arial" w:hAnsi="Arial" w:cs="Arial" w:eastAsia="Arial" w:hint="default"/>
          <w:spacing w:val="-6"/>
        </w:rPr>
        <w:t> </w:t>
      </w:r>
      <w:r>
        <w:rPr/>
        <w:t>年</w:t>
      </w:r>
      <w:r>
        <w:rPr>
          <w:spacing w:val="-44"/>
        </w:rPr>
        <w:t> </w:t>
      </w:r>
      <w:r>
        <w:rPr>
          <w:rFonts w:ascii="Arial" w:hAnsi="Arial" w:cs="Arial" w:eastAsia="Arial" w:hint="default"/>
        </w:rPr>
        <w:t>1</w:t>
      </w:r>
      <w:r>
        <w:rPr>
          <w:rFonts w:ascii="Arial" w:hAnsi="Arial" w:cs="Arial" w:eastAsia="Arial" w:hint="default"/>
          <w:spacing w:val="-4"/>
        </w:rPr>
        <w:t> </w:t>
      </w:r>
      <w:r>
        <w:rPr/>
        <w:t>月</w:t>
      </w:r>
      <w:r>
        <w:rPr>
          <w:spacing w:val="-45"/>
        </w:rPr>
        <w:t> </w:t>
      </w:r>
      <w:r>
        <w:rPr>
          <w:rFonts w:ascii="Arial" w:hAnsi="Arial" w:cs="Arial" w:eastAsia="Arial" w:hint="default"/>
        </w:rPr>
        <w:t>1</w:t>
      </w:r>
      <w:r>
        <w:rPr>
          <w:rFonts w:ascii="Arial" w:hAnsi="Arial" w:cs="Arial" w:eastAsia="Arial" w:hint="default"/>
          <w:spacing w:val="-6"/>
        </w:rPr>
        <w:t> </w:t>
      </w:r>
      <w:r>
        <w:rPr/>
        <w:t>日 起执行新金融工具准则，对会计政策相关内容进行了调整。变更后的会计政策参见附注三、</w:t>
      </w:r>
      <w:r>
        <w:rPr>
          <w:rFonts w:ascii="Arial" w:hAnsi="Arial" w:cs="Arial" w:eastAsia="Arial" w:hint="default"/>
        </w:rPr>
        <w:t>9</w:t>
      </w:r>
      <w:r>
        <w:rPr/>
        <w:t>。</w:t>
      </w:r>
    </w:p>
    <w:p>
      <w:pPr>
        <w:pStyle w:val="BodyText"/>
        <w:spacing w:line="312" w:lineRule="auto" w:before="49"/>
        <w:ind w:right="1030"/>
        <w:jc w:val="left"/>
      </w:pPr>
      <w:r>
        <w:rPr/>
        <w:t>（</w:t>
      </w:r>
      <w:r>
        <w:rPr>
          <w:rFonts w:ascii="Arial" w:hAnsi="Arial" w:cs="Arial" w:eastAsia="Arial" w:hint="default"/>
        </w:rPr>
        <w:t>2</w:t>
      </w:r>
      <w:r>
        <w:rPr/>
        <w:t>）按照《企业会计准则第</w:t>
      </w:r>
      <w:r>
        <w:rPr>
          <w:spacing w:val="-50"/>
        </w:rPr>
        <w:t> </w:t>
      </w:r>
      <w:r>
        <w:rPr>
          <w:rFonts w:ascii="Arial" w:hAnsi="Arial" w:cs="Arial" w:eastAsia="Arial" w:hint="default"/>
        </w:rPr>
        <w:t>2</w:t>
      </w:r>
      <w:r>
        <w:rPr>
          <w:rFonts w:ascii="Arial" w:hAnsi="Arial" w:cs="Arial" w:eastAsia="Arial" w:hint="default"/>
          <w:spacing w:val="-11"/>
        </w:rPr>
        <w:t> </w:t>
      </w:r>
      <w:r>
        <w:rPr/>
        <w:t>号</w:t>
      </w:r>
      <w:r>
        <w:rPr>
          <w:rFonts w:ascii="Arial" w:hAnsi="Arial" w:cs="Arial" w:eastAsia="Arial" w:hint="default"/>
        </w:rPr>
        <w:t>——</w:t>
      </w:r>
      <w:r>
        <w:rPr/>
        <w:t>长期股权投资》的规定，持有待售的对联营企业或合营企业的权益性投资不再符合持 </w:t>
      </w:r>
      <w:r>
        <w:rPr>
          <w:spacing w:val="-2"/>
        </w:rPr>
        <w:t>有待售类别划分条件的，应当自划分为持有待售类别日起采用权益法进行追溯调整。持有待售的对子公司、共同经营的权益</w:t>
      </w:r>
      <w:r>
        <w:rPr>
          <w:spacing w:val="-66"/>
        </w:rPr>
        <w:t> </w:t>
      </w:r>
      <w:r>
        <w:rPr>
          <w:spacing w:val="-66"/>
        </w:rPr>
      </w:r>
      <w:r>
        <w:rPr/>
        <w:t>性投资不再符合持有待售类别划分条件的，同样应当自划分为持有待售类别日起追溯调整。本年度，因股权转让合同终止， 公司对马鞍山榕基软件信息科技有限公司的投资，自其划分为持有待售类别日起追溯调整。</w:t>
      </w:r>
    </w:p>
    <w:p>
      <w:pPr>
        <w:spacing w:line="240" w:lineRule="auto" w:before="12"/>
        <w:rPr>
          <w:rFonts w:ascii="宋体" w:hAnsi="宋体" w:cs="宋体" w:eastAsia="宋体" w:hint="default"/>
          <w:sz w:val="20"/>
          <w:szCs w:val="20"/>
        </w:rPr>
      </w:pPr>
    </w:p>
    <w:p>
      <w:pPr>
        <w:pStyle w:val="Heading2"/>
        <w:spacing w:line="240" w:lineRule="auto"/>
        <w:ind w:right="2239"/>
        <w:jc w:val="left"/>
        <w:rPr>
          <w:b w:val="0"/>
          <w:bCs w:val="0"/>
        </w:rPr>
      </w:pPr>
      <w:r>
        <w:rPr/>
        <w:t>七、境内外会计准则下会计数据差异</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1</w:t>
      </w:r>
      <w:r>
        <w:rPr/>
        <w:t>、同时按照国际会计准则与按照中国会计准则披露的财务报告中净利润和净资产差异情况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公司报告期不存在按照国际会计准则与按照中国会计准则披露的财务报告中净利润和净资产差异情况。</w:t>
      </w:r>
    </w:p>
    <w:p>
      <w:pPr>
        <w:spacing w:line="240" w:lineRule="auto" w:before="12"/>
        <w:rPr>
          <w:rFonts w:ascii="宋体" w:hAnsi="宋体" w:cs="宋体" w:eastAsia="宋体" w:hint="default"/>
          <w:sz w:val="20"/>
          <w:szCs w:val="20"/>
        </w:rPr>
      </w:pPr>
    </w:p>
    <w:p>
      <w:pPr>
        <w:pStyle w:val="Heading4"/>
        <w:spacing w:line="240" w:lineRule="auto"/>
        <w:ind w:right="2239"/>
        <w:jc w:val="left"/>
        <w:rPr>
          <w:b w:val="0"/>
          <w:bCs w:val="0"/>
        </w:rPr>
      </w:pPr>
      <w:r>
        <w:rPr>
          <w:rFonts w:ascii="Arial" w:hAnsi="Arial" w:cs="Arial" w:eastAsia="Arial" w:hint="default"/>
        </w:rPr>
        <w:t>2</w:t>
      </w:r>
      <w:r>
        <w:rPr/>
        <w:t>、同时按照境外会计准则与按照中国会计准则披露的财务报告中净利润和净资产差异情况</w:t>
      </w:r>
      <w:r>
        <w:rPr>
          <w:b w:val="0"/>
          <w:bCs w:val="0"/>
        </w:rPr>
      </w:r>
    </w:p>
    <w:p>
      <w:pPr>
        <w:spacing w:line="240" w:lineRule="auto" w:before="10"/>
        <w:rPr>
          <w:rFonts w:ascii="宋体" w:hAnsi="宋体" w:cs="宋体" w:eastAsia="宋体" w:hint="default"/>
          <w:b/>
          <w:bCs/>
          <w:sz w:val="26"/>
          <w:szCs w:val="26"/>
        </w:rPr>
      </w:pPr>
    </w:p>
    <w:p>
      <w:pPr>
        <w:pStyle w:val="BodyText"/>
        <w:spacing w:line="340" w:lineRule="auto"/>
        <w:ind w:right="265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公司报告期不存在按照境外会计准则与按照中国会计准则披露的财务报告中净利润和净资产差异情况。</w:t>
      </w:r>
    </w:p>
    <w:p>
      <w:pPr>
        <w:spacing w:line="240" w:lineRule="auto" w:before="4"/>
        <w:rPr>
          <w:rFonts w:ascii="宋体" w:hAnsi="宋体" w:cs="宋体" w:eastAsia="宋体" w:hint="default"/>
          <w:sz w:val="19"/>
          <w:szCs w:val="19"/>
        </w:rPr>
      </w:pPr>
    </w:p>
    <w:p>
      <w:pPr>
        <w:pStyle w:val="Heading2"/>
        <w:spacing w:line="240" w:lineRule="auto"/>
        <w:ind w:right="2239"/>
        <w:jc w:val="left"/>
        <w:rPr>
          <w:b w:val="0"/>
          <w:bCs w:val="0"/>
        </w:rPr>
      </w:pPr>
      <w:r>
        <w:rPr/>
        <w:t>八、分季度主要财务指标</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98"/>
        <w:gridCol w:w="1751"/>
        <w:gridCol w:w="1739"/>
        <w:gridCol w:w="1740"/>
        <w:gridCol w:w="1729"/>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7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5"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7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3"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7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7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99"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142,487,194.58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176,542,703.26</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123,298,561.03</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284,994,374.51</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14,574,616.42</w:t>
            </w:r>
            <w:r>
              <w:rPr>
                <w:rFonts w:ascii="Arial"/>
                <w:sz w:val="18"/>
              </w:rPr>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4,977,120.74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4,344,170.21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2"/>
                <w:sz w:val="18"/>
              </w:rPr>
              <w:t>25,920,114.43</w:t>
            </w:r>
            <w:r>
              <w:rPr>
                <w:rFonts w:ascii="Arial"/>
                <w:sz w:val="18"/>
              </w:rPr>
            </w:r>
          </w:p>
        </w:tc>
      </w:tr>
      <w:tr>
        <w:trPr>
          <w:trHeight w:val="714"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56"/>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 常性损益的净利润</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2,686,838.99</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sz w:val="18"/>
              </w:rPr>
              <w:t>-2,650,864.64</w:t>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207,226.91</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375,204.34</w:t>
            </w:r>
          </w:p>
        </w:tc>
      </w:tr>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17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-2,849,530.08</w:t>
            </w:r>
          </w:p>
        </w:tc>
        <w:tc>
          <w:tcPr>
            <w:tcW w:w="1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10,740,564.69</w:t>
            </w:r>
            <w:r>
              <w:rPr>
                <w:rFonts w:ascii="Arial"/>
                <w:sz w:val="18"/>
              </w:rPr>
            </w:r>
          </w:p>
        </w:tc>
        <w:tc>
          <w:tcPr>
            <w:tcW w:w="1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26,367,956.23</w:t>
            </w:r>
            <w:r>
              <w:rPr>
                <w:rFonts w:ascii="Arial"/>
                <w:sz w:val="18"/>
              </w:rPr>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73,984,975.49</w:t>
            </w:r>
            <w:r>
              <w:rPr>
                <w:rFonts w:ascii="Arial"/>
                <w:sz w:val="18"/>
              </w:rPr>
            </w:r>
          </w:p>
        </w:tc>
      </w:tr>
    </w:tbl>
    <w:p>
      <w:pPr>
        <w:spacing w:after="0" w:line="240" w:lineRule="auto"/>
        <w:jc w:val="right"/>
        <w:rPr>
          <w:rFonts w:ascii="Arial" w:hAnsi="Arial" w:cs="Arial" w:eastAsia="Arial" w:hint="default"/>
          <w:sz w:val="18"/>
          <w:szCs w:val="18"/>
        </w:rPr>
        <w:sectPr>
          <w:pgSz w:w="11910" w:h="16840"/>
          <w:pgMar w:header="747" w:footer="982" w:top="1060" w:bottom="118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153" w:right="2239"/>
        <w:jc w:val="left"/>
      </w:pPr>
      <w:r>
        <w:rPr/>
        <w:t>上述财务指标或其加总数是否与公司已披露季度报告、半年度报告相关财务指标存在重大差异</w:t>
      </w:r>
    </w:p>
    <w:p>
      <w:pPr>
        <w:pStyle w:val="BodyText"/>
        <w:spacing w:line="240" w:lineRule="auto" w:before="116"/>
        <w:ind w:left="153" w:right="2239"/>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29"/>
        </w:rPr>
        <w:t> </w:t>
      </w:r>
      <w:r>
        <w:rPr/>
        <w:t>否</w:t>
      </w:r>
    </w:p>
    <w:p>
      <w:pPr>
        <w:spacing w:line="240" w:lineRule="auto" w:before="1"/>
        <w:rPr>
          <w:rFonts w:ascii="宋体" w:hAnsi="宋体" w:cs="宋体" w:eastAsia="宋体" w:hint="default"/>
          <w:sz w:val="24"/>
          <w:szCs w:val="24"/>
        </w:rPr>
      </w:pPr>
    </w:p>
    <w:p>
      <w:pPr>
        <w:pStyle w:val="Heading2"/>
        <w:spacing w:line="240" w:lineRule="auto"/>
        <w:ind w:right="2239"/>
        <w:jc w:val="left"/>
        <w:rPr>
          <w:b w:val="0"/>
          <w:bCs w:val="0"/>
        </w:rPr>
      </w:pPr>
      <w:r>
        <w:rPr/>
        <w:t>九、非经常性损益项目及金额</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pStyle w:val="BodyText"/>
        <w:spacing w:line="240" w:lineRule="auto" w:before="104"/>
        <w:ind w:left="0" w:right="1399"/>
        <w:jc w:val="right"/>
      </w:pPr>
      <w:r>
        <w:rPr/>
        <w:t>单位</w:t>
      </w:r>
      <w:r>
        <w:rPr>
          <w:spacing w:val="-172"/>
        </w:rPr>
        <w:t>：</w:t>
      </w:r>
      <w:r>
        <w:rPr/>
        <w:t>（元）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73"/>
        <w:gridCol w:w="1531"/>
        <w:gridCol w:w="1520"/>
        <w:gridCol w:w="1522"/>
        <w:gridCol w:w="1710"/>
      </w:tblGrid>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73"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9"/>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2"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9"/>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2"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9"/>
                <w:sz w:val="18"/>
                <w:szCs w:val="18"/>
              </w:rPr>
              <w:t> </w:t>
            </w:r>
            <w:r>
              <w:rPr>
                <w:rFonts w:ascii="宋体" w:hAnsi="宋体" w:cs="宋体" w:eastAsia="宋体" w:hint="default"/>
                <w:sz w:val="18"/>
                <w:szCs w:val="18"/>
              </w:rPr>
              <w:t>年金额</w:t>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4"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1"/>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-402,807.32</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-1,737,964.97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-567,281.26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1"/>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sz w:val="18"/>
              </w:rPr>
              <w:t>13,727,666.46</w:t>
            </w:r>
            <w:r>
              <w:rPr>
                <w:rFonts w:ascii="Arial"/>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sz w:val="18"/>
              </w:rPr>
              <w:t>12,939,440.04</w:t>
            </w:r>
            <w:r>
              <w:rPr>
                <w:rFonts w:ascii="Arial"/>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7,580,033.95</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19,433,133.13</w:t>
            </w:r>
            <w:r>
              <w:rPr>
                <w:rFonts w:ascii="Arial"/>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28,073,359.27</w:t>
            </w:r>
            <w:r>
              <w:rPr>
                <w:rFonts w:ascii="Arial"/>
                <w:sz w:val="18"/>
              </w:rPr>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8,049,481.20</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22,665,421.95</w:t>
            </w:r>
            <w:r>
              <w:rPr>
                <w:rFonts w:ascii="Arial"/>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-6,146.32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-26,463.73</w:t>
            </w:r>
            <w:r>
              <w:rPr>
                <w:rFonts w:ascii="Arial"/>
                <w:sz w:val="18"/>
              </w:rPr>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5,938,788.64</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4,221,955.78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1,981,441.42</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287,009.38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276,301.45</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109,814.96</w:t>
            </w:r>
          </w:p>
        </w:tc>
        <w:tc>
          <w:tcPr>
            <w:tcW w:w="171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27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49,197,616.20</w:t>
            </w:r>
            <w:r>
              <w:rPr>
                <w:rFonts w:ascii="Arial"/>
                <w:sz w:val="18"/>
              </w:rPr>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34,770,430.79</w:t>
            </w:r>
            <w:r>
              <w:rPr>
                <w:rFonts w:ascii="Arial"/>
                <w:sz w:val="18"/>
              </w:rPr>
            </w:r>
          </w:p>
        </w:tc>
        <w:tc>
          <w:tcPr>
            <w:tcW w:w="1522" w:type="dxa"/>
            <w:tcBorders>
              <w:top w:val="single" w:sz="4" w:space="0" w:color="000000"/>
              <w:left w:val="single" w:sz="4" w:space="0" w:color="000000"/>
              <w:bottom w:val="single" w:sz="4" w:space="0" w:color="000000"/>
              <w:right w:val="single" w:sz="10" w:space="0" w:color="D3D3D3"/>
            </w:tcBorders>
          </w:tcPr>
          <w:p>
            <w:pPr>
              <w:pStyle w:val="TableParagraph"/>
              <w:spacing w:line="240" w:lineRule="auto" w:before="91"/>
              <w:ind w:right="15"/>
              <w:jc w:val="right"/>
              <w:rPr>
                <w:rFonts w:ascii="Arial" w:hAnsi="Arial" w:cs="Arial" w:eastAsia="Arial" w:hint="default"/>
                <w:sz w:val="18"/>
                <w:szCs w:val="18"/>
              </w:rPr>
            </w:pPr>
            <w:r>
              <w:rPr>
                <w:rFonts w:ascii="Arial"/>
                <w:spacing w:val="-1"/>
                <w:sz w:val="18"/>
              </w:rPr>
              <w:t>12,944,513.78</w:t>
            </w:r>
            <w:r>
              <w:rPr>
                <w:rFonts w:ascii="Arial"/>
                <w:sz w:val="18"/>
              </w:rPr>
            </w:r>
          </w:p>
        </w:tc>
        <w:tc>
          <w:tcPr>
            <w:tcW w:w="17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Arial" w:hAnsi="Arial" w:cs="Arial" w:eastAsia="Arial" w:hint="default"/>
                <w:sz w:val="18"/>
                <w:szCs w:val="18"/>
              </w:rPr>
            </w:pPr>
            <w:r>
              <w:rPr>
                <w:rFonts w:ascii="Arial"/>
                <w:sz w:val="18"/>
              </w:rPr>
              <w:t>--</w:t>
            </w:r>
          </w:p>
        </w:tc>
      </w:tr>
    </w:tbl>
    <w:p>
      <w:pPr>
        <w:pStyle w:val="BodyText"/>
        <w:spacing w:line="240" w:lineRule="auto" w:before="51"/>
        <w:ind w:right="0"/>
        <w:jc w:val="left"/>
      </w:pPr>
      <w:r>
        <w:rPr/>
        <w:t>对公司根据《公开发行证券的公司信息披露解释性公告第</w:t>
      </w:r>
      <w:r>
        <w:rPr>
          <w:spacing w:val="-46"/>
        </w:rPr>
        <w:t> </w:t>
      </w:r>
      <w:r>
        <w:rPr>
          <w:rFonts w:ascii="Arial" w:hAnsi="Arial" w:cs="Arial" w:eastAsia="Arial" w:hint="default"/>
        </w:rPr>
        <w:t>1</w:t>
      </w:r>
      <w:r>
        <w:rPr>
          <w:rFonts w:ascii="Arial" w:hAnsi="Arial" w:cs="Arial" w:eastAsia="Arial" w:hint="default"/>
          <w:spacing w:val="-7"/>
        </w:rPr>
        <w:t> </w:t>
      </w:r>
      <w:r>
        <w:rPr/>
        <w:t>号</w:t>
      </w:r>
      <w:r>
        <w:rPr>
          <w:rFonts w:ascii="Arial" w:hAnsi="Arial" w:cs="Arial" w:eastAsia="Arial" w:hint="default"/>
        </w:rPr>
        <w:t>——</w:t>
      </w:r>
      <w:r>
        <w:rPr/>
        <w:t>非经常性损益》定义界定的非经常性损益项目，以及把</w:t>
      </w:r>
    </w:p>
    <w:p>
      <w:pPr>
        <w:pStyle w:val="BodyText"/>
        <w:spacing w:line="302" w:lineRule="auto" w:before="63"/>
        <w:ind w:right="1203"/>
        <w:jc w:val="left"/>
      </w:pPr>
      <w:r>
        <w:rPr/>
        <w:t>《公开发行证券的公司信息披露解释性公告第</w:t>
      </w:r>
      <w:r>
        <w:rPr>
          <w:spacing w:val="-46"/>
        </w:rPr>
        <w:t> </w:t>
      </w:r>
      <w:r>
        <w:rPr>
          <w:rFonts w:ascii="Arial" w:hAnsi="Arial" w:cs="Arial" w:eastAsia="Arial" w:hint="default"/>
        </w:rPr>
        <w:t>1</w:t>
      </w:r>
      <w:r>
        <w:rPr>
          <w:rFonts w:ascii="Arial" w:hAnsi="Arial" w:cs="Arial" w:eastAsia="Arial" w:hint="default"/>
          <w:spacing w:val="-7"/>
        </w:rPr>
        <w:t> </w:t>
      </w:r>
      <w:r>
        <w:rPr/>
        <w:t>号</w:t>
      </w:r>
      <w:r>
        <w:rPr>
          <w:rFonts w:ascii="Arial" w:hAnsi="Arial" w:cs="Arial" w:eastAsia="Arial" w:hint="default"/>
        </w:rPr>
        <w:t>——</w:t>
      </w:r>
      <w:r>
        <w:rPr/>
        <w:t>非经常性损益》中列举的非经常性损益项目界定为经常性损益的项 目，应说明原因</w:t>
      </w:r>
    </w:p>
    <w:p>
      <w:pPr>
        <w:pStyle w:val="BodyText"/>
        <w:spacing w:line="240" w:lineRule="auto" w:before="69"/>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264"/>
        <w:gridCol w:w="2125"/>
        <w:gridCol w:w="5178"/>
      </w:tblGrid>
      <w:tr>
        <w:trPr>
          <w:trHeight w:val="401" w:hRule="exact"/>
        </w:trPr>
        <w:tc>
          <w:tcPr>
            <w:tcW w:w="22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947"/>
              <w:jc w:val="right"/>
              <w:rPr>
                <w:rFonts w:ascii="宋体" w:hAnsi="宋体" w:cs="宋体" w:eastAsia="宋体" w:hint="default"/>
                <w:sz w:val="18"/>
                <w:szCs w:val="18"/>
              </w:rPr>
            </w:pPr>
            <w:r>
              <w:rPr>
                <w:rFonts w:ascii="宋体" w:hAnsi="宋体" w:cs="宋体" w:eastAsia="宋体" w:hint="default"/>
                <w:sz w:val="18"/>
                <w:szCs w:val="18"/>
              </w:rPr>
              <w:t>项目</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27"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5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3" w:hRule="exact"/>
        </w:trPr>
        <w:tc>
          <w:tcPr>
            <w:tcW w:w="2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right="971"/>
              <w:jc w:val="right"/>
              <w:rPr>
                <w:rFonts w:ascii="宋体" w:hAnsi="宋体" w:cs="宋体" w:eastAsia="宋体" w:hint="default"/>
                <w:sz w:val="18"/>
                <w:szCs w:val="18"/>
              </w:rPr>
            </w:pPr>
            <w:r>
              <w:rPr>
                <w:rFonts w:ascii="宋体" w:hAnsi="宋体" w:cs="宋体" w:eastAsia="宋体" w:hint="default"/>
                <w:sz w:val="18"/>
                <w:szCs w:val="18"/>
              </w:rPr>
              <w:t>增值税税收返还</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191" w:right="0"/>
              <w:jc w:val="left"/>
              <w:rPr>
                <w:rFonts w:ascii="Arial" w:hAnsi="Arial" w:cs="Arial" w:eastAsia="Arial" w:hint="default"/>
                <w:sz w:val="18"/>
                <w:szCs w:val="18"/>
              </w:rPr>
            </w:pPr>
            <w:r>
              <w:rPr>
                <w:rFonts w:ascii="Arial"/>
                <w:sz w:val="18"/>
              </w:rPr>
              <w:t>390,750.30</w:t>
            </w:r>
          </w:p>
        </w:tc>
        <w:tc>
          <w:tcPr>
            <w:tcW w:w="5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与公司经常性经营活动相关</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527" w:right="2239"/>
        <w:jc w:val="left"/>
        <w:rPr>
          <w:b w:val="0"/>
          <w:bCs w:val="0"/>
        </w:rPr>
      </w:pPr>
      <w:bookmarkStart w:name="_TOC_250010" w:id="3"/>
      <w:r>
        <w:rPr/>
        <w:t>第三节公司业务概要</w:t>
      </w:r>
      <w:bookmarkEnd w:id="3"/>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0"/>
        <w:jc w:val="both"/>
        <w:rPr>
          <w:b w:val="0"/>
          <w:bCs w:val="0"/>
        </w:rPr>
      </w:pPr>
      <w:r>
        <w:rPr/>
        <w:t>一、报告期内公司从事的主要业务</w:t>
      </w:r>
      <w:r>
        <w:rPr>
          <w:b w:val="0"/>
          <w:bCs w:val="0"/>
        </w:rPr>
      </w:r>
    </w:p>
    <w:p>
      <w:pPr>
        <w:spacing w:line="240" w:lineRule="auto" w:before="7"/>
        <w:rPr>
          <w:rFonts w:ascii="宋体" w:hAnsi="宋体" w:cs="宋体" w:eastAsia="宋体" w:hint="default"/>
          <w:b/>
          <w:bCs/>
          <w:sz w:val="26"/>
          <w:szCs w:val="26"/>
        </w:rPr>
      </w:pPr>
    </w:p>
    <w:p>
      <w:pPr>
        <w:pStyle w:val="BodyText"/>
        <w:spacing w:line="348" w:lineRule="auto"/>
        <w:ind w:left="514" w:right="0" w:hanging="360"/>
        <w:jc w:val="left"/>
      </w:pPr>
      <w:r>
        <w:rPr/>
        <w:t>公司需遵守《深圳证券交易所行业信息披露指引第</w:t>
      </w:r>
      <w:r>
        <w:rPr>
          <w:spacing w:val="-46"/>
        </w:rPr>
        <w:t> </w:t>
      </w:r>
      <w:r>
        <w:rPr>
          <w:rFonts w:ascii="Arial" w:hAnsi="Arial" w:cs="Arial" w:eastAsia="Arial" w:hint="default"/>
        </w:rPr>
        <w:t>12</w:t>
      </w:r>
      <w:r>
        <w:rPr>
          <w:rFonts w:ascii="Arial" w:hAnsi="Arial" w:cs="Arial" w:eastAsia="Arial" w:hint="default"/>
          <w:spacing w:val="-7"/>
        </w:rPr>
        <w:t> </w:t>
      </w:r>
      <w:r>
        <w:rPr/>
        <w:t>号</w:t>
      </w:r>
      <w:r>
        <w:rPr>
          <w:rFonts w:ascii="Arial" w:hAnsi="Arial" w:cs="Arial" w:eastAsia="Arial" w:hint="default"/>
        </w:rPr>
        <w:t>——</w:t>
      </w:r>
      <w:r>
        <w:rPr/>
        <w:t>上市公司从事软件与信息技术服务业务》的披露要求 </w:t>
      </w:r>
      <w:r>
        <w:rPr>
          <w:spacing w:val="-2"/>
        </w:rPr>
        <w:t>公司一直专注于行业应用软件研发、系统集成和运维服务，为党政、海关、能源、司法、环保等行业提供信息系统全生</w:t>
      </w:r>
    </w:p>
    <w:p>
      <w:pPr>
        <w:pStyle w:val="BodyText"/>
        <w:spacing w:line="316" w:lineRule="auto"/>
        <w:ind w:right="1129"/>
        <w:jc w:val="both"/>
      </w:pPr>
      <w:r>
        <w:rPr>
          <w:spacing w:val="-2"/>
        </w:rPr>
        <w:t>命周期、全方位的专业服务。公司是海西软件产业的龙头企业，是国内电子政务和协同管理细分领域的领先服务厂商，为金</w:t>
      </w:r>
      <w:r>
        <w:rPr>
          <w:spacing w:val="-66"/>
        </w:rPr>
        <w:t> </w:t>
      </w:r>
      <w:r>
        <w:rPr>
          <w:spacing w:val="-66"/>
        </w:rPr>
      </w:r>
      <w:r>
        <w:rPr>
          <w:spacing w:val="-2"/>
        </w:rPr>
        <w:t>关工程、天平工程、金环工程、司法行政、智能电网等提供核心技术与服务，是国内通用电子政务和协同管理细分领域最具</w:t>
      </w:r>
      <w:r>
        <w:rPr>
          <w:spacing w:val="-66"/>
        </w:rPr>
        <w:t> </w:t>
      </w:r>
      <w:r>
        <w:rPr>
          <w:spacing w:val="-66"/>
        </w:rPr>
      </w:r>
      <w:r>
        <w:rPr/>
        <w:t>竞争力、拥有最多实用化客户的厂商之一。</w:t>
      </w:r>
    </w:p>
    <w:p>
      <w:pPr>
        <w:pStyle w:val="BodyText"/>
        <w:spacing w:line="309" w:lineRule="auto" w:before="67"/>
        <w:ind w:right="1131" w:firstLine="360"/>
        <w:jc w:val="both"/>
      </w:pPr>
      <w:r>
        <w:rPr>
          <w:spacing w:val="-1"/>
        </w:rPr>
        <w:t>报告期内，公司进一步推进软件</w:t>
      </w:r>
      <w:r>
        <w:rPr>
          <w:rFonts w:ascii="Arial" w:hAnsi="Arial" w:cs="Arial" w:eastAsia="Arial" w:hint="default"/>
          <w:spacing w:val="-1"/>
        </w:rPr>
        <w:t>“</w:t>
      </w:r>
      <w:r>
        <w:rPr>
          <w:spacing w:val="-1"/>
        </w:rPr>
        <w:t>行业化、产品化、服务化</w:t>
      </w:r>
      <w:r>
        <w:rPr>
          <w:rFonts w:ascii="Arial" w:hAnsi="Arial" w:cs="Arial" w:eastAsia="Arial" w:hint="default"/>
          <w:spacing w:val="-1"/>
        </w:rPr>
        <w:t>”</w:t>
      </w:r>
      <w:r>
        <w:rPr>
          <w:spacing w:val="-1"/>
        </w:rPr>
        <w:t>经营战略，依托长期积累的品牌、团队、产品、技术等综合</w:t>
      </w:r>
      <w:r>
        <w:rPr/>
        <w:t> </w:t>
      </w:r>
      <w:r>
        <w:rPr>
          <w:spacing w:val="-2"/>
        </w:rPr>
        <w:t>优势，积极进行技术创新和商业模式创新，进一步提升公司的核心竞争力，积极培育和拓展信创工程、大数据、物联网等新</w:t>
      </w:r>
      <w:r>
        <w:rPr>
          <w:spacing w:val="-66"/>
        </w:rPr>
        <w:t> </w:t>
      </w:r>
      <w:r>
        <w:rPr>
          <w:spacing w:val="-66"/>
        </w:rPr>
      </w:r>
      <w:r>
        <w:rPr/>
        <w:t>技术、新业务，为实现公司经营业绩的持续稳健增长提供了有效支撑。</w:t>
      </w:r>
    </w:p>
    <w:p>
      <w:pPr>
        <w:pStyle w:val="BodyText"/>
        <w:spacing w:line="302" w:lineRule="auto" w:before="72"/>
        <w:ind w:left="153" w:right="1127" w:firstLine="360"/>
        <w:jc w:val="both"/>
      </w:pPr>
      <w:r>
        <w:rPr>
          <w:spacing w:val="-2"/>
        </w:rPr>
        <w:t>报告期内，公司获评</w:t>
      </w:r>
      <w:r>
        <w:rPr>
          <w:rFonts w:ascii="Arial" w:hAnsi="Arial" w:cs="Arial" w:eastAsia="Arial" w:hint="default"/>
          <w:spacing w:val="-2"/>
        </w:rPr>
        <w:t>“</w:t>
      </w:r>
      <w:r>
        <w:rPr>
          <w:spacing w:val="-2"/>
        </w:rPr>
        <w:t>国家企业技术中心</w:t>
      </w:r>
      <w:r>
        <w:rPr>
          <w:rFonts w:ascii="Arial" w:hAnsi="Arial" w:cs="Arial" w:eastAsia="Arial" w:hint="default"/>
          <w:spacing w:val="-2"/>
        </w:rPr>
        <w:t>”</w:t>
      </w:r>
      <w:r>
        <w:rPr>
          <w:spacing w:val="-2"/>
        </w:rPr>
        <w:t>、</w:t>
      </w:r>
      <w:r>
        <w:rPr>
          <w:rFonts w:ascii="Arial" w:hAnsi="Arial" w:cs="Arial" w:eastAsia="Arial" w:hint="default"/>
          <w:spacing w:val="-2"/>
        </w:rPr>
        <w:t>“</w:t>
      </w:r>
      <w:r>
        <w:rPr>
          <w:spacing w:val="-2"/>
        </w:rPr>
        <w:t>福州市民营数字经济示范企业</w:t>
      </w:r>
      <w:r>
        <w:rPr>
          <w:rFonts w:ascii="Arial" w:hAnsi="Arial" w:cs="Arial" w:eastAsia="Arial" w:hint="default"/>
          <w:spacing w:val="-2"/>
        </w:rPr>
        <w:t>”</w:t>
      </w:r>
      <w:r>
        <w:rPr>
          <w:spacing w:val="-2"/>
        </w:rPr>
        <w:t>、获授首批</w:t>
      </w:r>
      <w:r>
        <w:rPr>
          <w:rFonts w:ascii="Arial" w:hAnsi="Arial" w:cs="Arial" w:eastAsia="Arial" w:hint="default"/>
          <w:spacing w:val="-2"/>
        </w:rPr>
        <w:t>“</w:t>
      </w:r>
      <w:r>
        <w:rPr>
          <w:spacing w:val="-2"/>
        </w:rPr>
        <w:t>福建省科技成果产业化基地</w:t>
      </w:r>
      <w:r>
        <w:rPr>
          <w:rFonts w:ascii="Arial" w:hAnsi="Arial" w:cs="Arial" w:eastAsia="Arial" w:hint="default"/>
          <w:spacing w:val="-2"/>
        </w:rPr>
        <w:t>”</w:t>
      </w:r>
      <w:r>
        <w:rPr>
          <w:spacing w:val="-2"/>
        </w:rPr>
        <w:t>、入</w:t>
      </w:r>
      <w:r>
        <w:rPr>
          <w:spacing w:val="-21"/>
        </w:rPr>
        <w:t> </w:t>
      </w:r>
      <w:r>
        <w:rPr/>
        <w:t>选</w:t>
      </w:r>
      <w:r>
        <w:rPr>
          <w:rFonts w:ascii="Arial" w:hAnsi="Arial" w:cs="Arial" w:eastAsia="Arial" w:hint="default"/>
        </w:rPr>
        <w:t>2019</w:t>
      </w:r>
      <w:r>
        <w:rPr/>
        <w:t>数字中国建设企业</w:t>
      </w:r>
      <w:r>
        <w:rPr>
          <w:rFonts w:ascii="Arial" w:hAnsi="Arial" w:cs="Arial" w:eastAsia="Arial" w:hint="default"/>
        </w:rPr>
        <w:t>100</w:t>
      </w:r>
      <w:r>
        <w:rPr/>
        <w:t>强；公司与全资子公司福建榕基软件工程有限公司双双获得</w:t>
      </w:r>
      <w:r>
        <w:rPr>
          <w:rFonts w:ascii="Arial" w:hAnsi="Arial" w:cs="Arial" w:eastAsia="Arial" w:hint="default"/>
        </w:rPr>
        <w:t>“</w:t>
      </w:r>
      <w:r>
        <w:rPr/>
        <w:t>国家规划布局内重点软件企业</w:t>
      </w:r>
      <w:r>
        <w:rPr>
          <w:rFonts w:ascii="Arial" w:hAnsi="Arial" w:cs="Arial" w:eastAsia="Arial" w:hint="default"/>
        </w:rPr>
        <w:t>”</w:t>
      </w:r>
      <w:r>
        <w:rPr/>
        <w:t>、 </w:t>
      </w:r>
      <w:r>
        <w:rPr>
          <w:rFonts w:ascii="Arial" w:hAnsi="Arial" w:cs="Arial" w:eastAsia="Arial" w:hint="default"/>
        </w:rPr>
        <w:t>“2019</w:t>
      </w:r>
      <w:r>
        <w:rPr/>
        <w:t>年福建省工业和信息化省级龙头企业</w:t>
      </w:r>
      <w:r>
        <w:rPr>
          <w:rFonts w:ascii="Arial" w:hAnsi="Arial" w:cs="Arial" w:eastAsia="Arial" w:hint="default"/>
        </w:rPr>
        <w:t>”</w:t>
      </w:r>
      <w:r>
        <w:rPr/>
        <w:t>称号；福建榕基软件工程有限公司获评福州高新区</w:t>
      </w:r>
      <w:r>
        <w:rPr>
          <w:rFonts w:ascii="Arial" w:hAnsi="Arial" w:cs="Arial" w:eastAsia="Arial" w:hint="default"/>
        </w:rPr>
        <w:t>“</w:t>
      </w:r>
      <w:r>
        <w:rPr/>
        <w:t>瞪羚企业</w:t>
      </w:r>
      <w:r>
        <w:rPr>
          <w:rFonts w:ascii="Arial" w:hAnsi="Arial" w:cs="Arial" w:eastAsia="Arial" w:hint="default"/>
        </w:rPr>
        <w:t>”</w:t>
      </w:r>
      <w:r>
        <w:rPr/>
        <w:t>。</w:t>
      </w:r>
    </w:p>
    <w:p>
      <w:pPr>
        <w:pStyle w:val="BodyText"/>
        <w:spacing w:line="348" w:lineRule="auto" w:before="59"/>
        <w:ind w:left="513" w:right="0"/>
        <w:jc w:val="left"/>
      </w:pPr>
      <w:r>
        <w:rPr>
          <w:rFonts w:ascii="Arial" w:hAnsi="Arial" w:cs="Arial" w:eastAsia="Arial" w:hint="default"/>
        </w:rPr>
        <w:t>1</w:t>
      </w:r>
      <w:r>
        <w:rPr/>
        <w:t>、电子政务领域 </w:t>
      </w:r>
      <w:r>
        <w:rPr>
          <w:spacing w:val="-2"/>
        </w:rPr>
        <w:t>报告期内，在电子政务领域，公司持续保持较高的研发投入，积极进行安全可靠、大数据等新技术研究以及电子政务行</w:t>
      </w:r>
    </w:p>
    <w:p>
      <w:pPr>
        <w:pStyle w:val="BodyText"/>
        <w:spacing w:line="302" w:lineRule="auto"/>
        <w:ind w:left="153" w:right="1176"/>
        <w:jc w:val="both"/>
      </w:pPr>
      <w:r>
        <w:rPr/>
        <w:t>业应用的研发，在信创工程、互联网</w:t>
      </w:r>
      <w:r>
        <w:rPr>
          <w:rFonts w:ascii="Arial" w:hAnsi="Arial" w:cs="Arial" w:eastAsia="Arial" w:hint="default"/>
        </w:rPr>
        <w:t>+</w:t>
      </w:r>
      <w:r>
        <w:rPr/>
        <w:t>政务、互联网</w:t>
      </w:r>
      <w:r>
        <w:rPr>
          <w:rFonts w:ascii="Arial" w:hAnsi="Arial" w:cs="Arial" w:eastAsia="Arial" w:hint="default"/>
        </w:rPr>
        <w:t>+</w:t>
      </w:r>
      <w:r>
        <w:rPr/>
        <w:t>党建、司法行政以及大数据、物联网等领域获得近</w:t>
      </w:r>
      <w:r>
        <w:rPr>
          <w:rFonts w:ascii="Arial" w:hAnsi="Arial" w:cs="Arial" w:eastAsia="Arial" w:hint="default"/>
        </w:rPr>
        <w:t>30</w:t>
      </w:r>
      <w:r>
        <w:rPr/>
        <w:t>项自主知识产权 的软件产品和解决方案，在全国各地积极推广应用，提升了公司在电子政务领域的竞争优势。</w:t>
      </w:r>
    </w:p>
    <w:p>
      <w:pPr>
        <w:pStyle w:val="BodyText"/>
        <w:spacing w:line="348" w:lineRule="auto" w:before="77"/>
        <w:ind w:left="513" w:right="0"/>
        <w:jc w:val="left"/>
      </w:pPr>
      <w:r>
        <w:rPr/>
        <w:t>（</w:t>
      </w:r>
      <w:r>
        <w:rPr>
          <w:rFonts w:ascii="Arial" w:hAnsi="Arial" w:cs="Arial" w:eastAsia="Arial" w:hint="default"/>
        </w:rPr>
        <w:t>1</w:t>
      </w:r>
      <w:r>
        <w:rPr/>
        <w:t>）信创工程 </w:t>
      </w:r>
      <w:r>
        <w:rPr>
          <w:spacing w:val="-2"/>
        </w:rPr>
        <w:t>公司将发展自主可控信息技术应用创新业务作为企业核心战略，从组织架构、区域布局、人力资源、技术研发、系统集</w:t>
      </w:r>
    </w:p>
    <w:p>
      <w:pPr>
        <w:pStyle w:val="BodyText"/>
        <w:spacing w:line="316" w:lineRule="auto"/>
        <w:ind w:left="153" w:right="1128"/>
        <w:jc w:val="both"/>
      </w:pPr>
      <w:r>
        <w:rPr>
          <w:spacing w:val="-2"/>
        </w:rPr>
        <w:t>成和运维服务等方面全面梳理和整合，专注于党政电子公文、数字档案、综合办公、公共服务以及海关、司法、环保等优势</w:t>
      </w:r>
      <w:r>
        <w:rPr>
          <w:spacing w:val="-68"/>
        </w:rPr>
        <w:t> </w:t>
      </w:r>
      <w:r>
        <w:rPr>
          <w:spacing w:val="-68"/>
        </w:rPr>
      </w:r>
      <w:r>
        <w:rPr/>
        <w:t>行业领域，致力于成为国内自主可控信创产业细分领域应用开发和系统集成及运维服务的领先服务商。</w:t>
      </w:r>
    </w:p>
    <w:p>
      <w:pPr>
        <w:pStyle w:val="BodyText"/>
        <w:spacing w:line="304" w:lineRule="auto" w:before="67"/>
        <w:ind w:left="153" w:right="0" w:firstLine="360"/>
        <w:jc w:val="left"/>
      </w:pPr>
      <w:r>
        <w:rPr/>
        <w:t>公司拥有信创工程先发优势，</w:t>
      </w:r>
      <w:r>
        <w:rPr>
          <w:rFonts w:ascii="Arial" w:hAnsi="Arial" w:cs="Arial" w:eastAsia="Arial" w:hint="default"/>
        </w:rPr>
        <w:t>2011</w:t>
      </w:r>
      <w:r>
        <w:rPr/>
        <w:t>年即通过参与国家核高基项目开展自主可控相关技术预研工作，多次作为党政办公 应用领域开发商代表参与国家自主可控技术演进、办公文档互操作等信创专题研讨会。</w:t>
      </w:r>
      <w:r>
        <w:rPr>
          <w:rFonts w:ascii="Arial" w:hAnsi="Arial" w:cs="Arial" w:eastAsia="Arial" w:hint="default"/>
        </w:rPr>
        <w:t>2014</w:t>
      </w:r>
      <w:r>
        <w:rPr/>
        <w:t>年成立了福建省中间件软件技 </w:t>
      </w:r>
      <w:r>
        <w:rPr>
          <w:spacing w:val="-2"/>
        </w:rPr>
        <w:t>术重点实验室，启动企业自主可控技术创新工程项目，建立了完善的自主可控技术创新研发适配测试平台环境，开展相关软</w:t>
      </w:r>
      <w:r>
        <w:rPr>
          <w:spacing w:val="-66"/>
        </w:rPr>
        <w:t> </w:t>
      </w:r>
      <w:r>
        <w:rPr>
          <w:spacing w:val="-66"/>
        </w:rPr>
      </w:r>
      <w:r>
        <w:rPr>
          <w:spacing w:val="-3"/>
        </w:rPr>
        <w:t>件研发、适配和测试工作。公司是中国电子工业标准技术协会信息技术应用创新工作委员会（原</w:t>
      </w:r>
      <w:r>
        <w:rPr>
          <w:rFonts w:ascii="Arial" w:hAnsi="Arial" w:cs="Arial" w:eastAsia="Arial" w:hint="default"/>
          <w:spacing w:val="-3"/>
        </w:rPr>
        <w:t>“</w:t>
      </w:r>
      <w:r>
        <w:rPr>
          <w:spacing w:val="-3"/>
        </w:rPr>
        <w:t>安全可靠技术和产业联盟</w:t>
      </w:r>
      <w:r>
        <w:rPr>
          <w:rFonts w:ascii="Arial" w:hAnsi="Arial" w:cs="Arial" w:eastAsia="Arial" w:hint="default"/>
          <w:spacing w:val="-3"/>
        </w:rPr>
        <w:t>”</w:t>
      </w:r>
      <w:r>
        <w:rPr>
          <w:spacing w:val="-3"/>
        </w:rPr>
        <w:t>、</w:t>
      </w:r>
      <w:r>
        <w:rPr>
          <w:spacing w:val="-36"/>
        </w:rPr>
        <w:t> </w:t>
      </w:r>
      <w:r>
        <w:rPr>
          <w:rFonts w:ascii="Arial" w:hAnsi="Arial" w:cs="Arial" w:eastAsia="Arial" w:hint="default"/>
        </w:rPr>
        <w:t>“</w:t>
      </w:r>
      <w:r>
        <w:rPr/>
        <w:t>安全可靠工作委员会</w:t>
      </w:r>
      <w:r>
        <w:rPr>
          <w:rFonts w:ascii="Arial" w:hAnsi="Arial" w:cs="Arial" w:eastAsia="Arial" w:hint="default"/>
        </w:rPr>
        <w:t>”</w:t>
      </w:r>
      <w:r>
        <w:rPr/>
        <w:t>）会员单位，与核心芯片、云计算平台、服务器、桌面终端、操作系统、数据库、中间件、流版式办 公套件和电子签章软件等信创工程基础软硬件目录产品完成了集成适配优化工作。</w:t>
      </w:r>
    </w:p>
    <w:p>
      <w:pPr>
        <w:pStyle w:val="BodyText"/>
        <w:spacing w:line="309" w:lineRule="auto" w:before="76"/>
        <w:ind w:left="153" w:right="0" w:firstLine="360"/>
        <w:jc w:val="left"/>
      </w:pPr>
      <w:r>
        <w:rPr>
          <w:spacing w:val="-1"/>
        </w:rPr>
        <w:t>公司已重构研发形成</w:t>
      </w:r>
      <w:r>
        <w:rPr>
          <w:rFonts w:ascii="Arial" w:hAnsi="Arial" w:cs="Arial" w:eastAsia="Arial" w:hint="default"/>
          <w:spacing w:val="-1"/>
        </w:rPr>
        <w:t>30</w:t>
      </w:r>
      <w:r>
        <w:rPr>
          <w:spacing w:val="-1"/>
        </w:rPr>
        <w:t>多项自主知识产权安全可靠软件产品，包括非结构化数据服务、分布式全文检索、工作流平台、</w:t>
      </w:r>
      <w:r>
        <w:rPr/>
        <w:t> </w:t>
      </w:r>
      <w:r>
        <w:rPr>
          <w:spacing w:val="-2"/>
        </w:rPr>
        <w:t>基础支撑平台等中间件，党政综合办公系统、电子公文系统、数字档案管理系统、督查督办管理系统、司法综合管理信息平</w:t>
      </w:r>
      <w:r>
        <w:rPr>
          <w:spacing w:val="-66"/>
        </w:rPr>
        <w:t> </w:t>
      </w:r>
      <w:r>
        <w:rPr>
          <w:spacing w:val="-66"/>
        </w:rPr>
      </w:r>
      <w:r>
        <w:rPr/>
        <w:t>台等应用软件，以及国产化网络隐患扫描系统等一系列信息安全产品。</w:t>
      </w:r>
    </w:p>
    <w:p>
      <w:pPr>
        <w:pStyle w:val="BodyText"/>
        <w:spacing w:line="312" w:lineRule="auto" w:before="72"/>
        <w:ind w:left="153" w:right="0" w:firstLine="360"/>
        <w:jc w:val="left"/>
      </w:pPr>
      <w:r>
        <w:rPr/>
        <w:t>报告期内，公司承建的福建、浙江等地多个安全可靠电子公文试点项目已通过终验；公司参与了福建区域</w:t>
      </w:r>
      <w:r>
        <w:rPr>
          <w:rFonts w:ascii="Arial" w:hAnsi="Arial" w:cs="Arial" w:eastAsia="Arial" w:hint="default"/>
        </w:rPr>
        <w:t>4</w:t>
      </w:r>
      <w:r>
        <w:rPr/>
        <w:t>个试点项目 </w:t>
      </w:r>
      <w:r>
        <w:rPr>
          <w:spacing w:val="-4"/>
        </w:rPr>
        <w:t>建设任务，是承担福建省内最多试点项目建设任务的服务商；公司通过试点项目建设，成功验证了党政综合办公、电子公文、</w:t>
      </w:r>
      <w:r>
        <w:rPr>
          <w:spacing w:val="-46"/>
        </w:rPr>
        <w:t> </w:t>
      </w:r>
      <w:r>
        <w:rPr>
          <w:spacing w:val="-46"/>
        </w:rPr>
      </w:r>
      <w:r>
        <w:rPr>
          <w:spacing w:val="-2"/>
        </w:rPr>
        <w:t>数字档案和支撑平台等相关自主安全可靠产品，形成了多种典型场景应用的解决方案和建设模式，完善了公司业务咨询、方</w:t>
      </w:r>
      <w:r>
        <w:rPr>
          <w:spacing w:val="-66"/>
        </w:rPr>
        <w:t> </w:t>
      </w:r>
      <w:r>
        <w:rPr>
          <w:spacing w:val="-66"/>
        </w:rPr>
      </w:r>
      <w:r>
        <w:rPr/>
        <w:t>案设计、产品研发、应用适配、系统集成、系统迁移以及运行维护等信创工程全生命周期过程服务体系。</w:t>
      </w:r>
    </w:p>
    <w:p>
      <w:pPr>
        <w:pStyle w:val="BodyText"/>
        <w:spacing w:line="302" w:lineRule="auto" w:before="70"/>
        <w:ind w:left="153" w:right="0" w:firstLine="360"/>
        <w:jc w:val="left"/>
      </w:pPr>
      <w:r>
        <w:rPr>
          <w:spacing w:val="-1"/>
        </w:rPr>
        <w:t>报告期内，公司结合云计算、大数据、微服务、信息安全等技术，坚持技术创新和应用创新，完成党政综合办公</w:t>
      </w:r>
      <w:r>
        <w:rPr>
          <w:rFonts w:ascii="Arial" w:hAnsi="Arial" w:cs="Arial" w:eastAsia="Arial" w:hint="default"/>
          <w:spacing w:val="-1"/>
        </w:rPr>
        <w:t>SAAS </w:t>
      </w:r>
      <w:r>
        <w:rPr/>
        <w:t>平台、数字档案管理</w:t>
      </w:r>
      <w:r>
        <w:rPr>
          <w:rFonts w:ascii="Arial" w:hAnsi="Arial" w:cs="Arial" w:eastAsia="Arial" w:hint="default"/>
        </w:rPr>
        <w:t>SAAS</w:t>
      </w:r>
      <w:r>
        <w:rPr/>
        <w:t>平台、应用支撑</w:t>
      </w:r>
      <w:r>
        <w:rPr>
          <w:rFonts w:ascii="Arial" w:hAnsi="Arial" w:cs="Arial" w:eastAsia="Arial" w:hint="default"/>
        </w:rPr>
        <w:t>PAAS</w:t>
      </w:r>
      <w:r>
        <w:rPr/>
        <w:t>平台、移动办公云平台等安全可靠产品的研发，开展基于安全可靠环境的 司法综合管理信息平台的升级改造和适配优化；与</w:t>
      </w:r>
      <w:r>
        <w:rPr>
          <w:rFonts w:ascii="Arial" w:hAnsi="Arial" w:cs="Arial" w:eastAsia="Arial" w:hint="default"/>
        </w:rPr>
        <w:t>20</w:t>
      </w:r>
      <w:r>
        <w:rPr/>
        <w:t>多个信创基础软硬件厂家完成产品兼容性互认证测试，基本覆盖整个 </w:t>
      </w:r>
      <w:r>
        <w:rPr>
          <w:spacing w:val="-2"/>
        </w:rPr>
        <w:t>信创基础软硬件生态体系，积极参与信创联盟工作组标准编写以及应用指南、典型案例修订工作；进一步聚焦信创工程业务</w:t>
      </w:r>
    </w:p>
    <w:p>
      <w:pPr>
        <w:spacing w:after="0" w:line="302"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3" w:right="1128"/>
        <w:jc w:val="both"/>
      </w:pPr>
      <w:r>
        <w:rPr>
          <w:spacing w:val="-2"/>
        </w:rPr>
        <w:t>战略，整合优势资源，加强福建、北京、上海、浙江、河南、湖北等优势区域信创工程服务支撑体系建设，提高区域本地化</w:t>
      </w:r>
      <w:r>
        <w:rPr>
          <w:spacing w:val="-67"/>
        </w:rPr>
        <w:t> </w:t>
      </w:r>
      <w:r>
        <w:rPr>
          <w:spacing w:val="-67"/>
        </w:rPr>
      </w:r>
      <w:r>
        <w:rPr>
          <w:spacing w:val="-2"/>
        </w:rPr>
        <w:t>定制开发、适配改造、运维服务能力，重点推动信创党政综合办公业务复制推广，积极拓展海关、司法、环保等优势行业以</w:t>
      </w:r>
      <w:r>
        <w:rPr>
          <w:spacing w:val="-68"/>
        </w:rPr>
        <w:t> </w:t>
      </w:r>
      <w:r>
        <w:rPr>
          <w:spacing w:val="-68"/>
        </w:rPr>
      </w:r>
      <w:r>
        <w:rPr/>
        <w:t>及政务信息资源服务、社会治理和公共服务领域解决方案的信创工程实践。</w:t>
      </w:r>
    </w:p>
    <w:p>
      <w:pPr>
        <w:pStyle w:val="BodyText"/>
        <w:spacing w:line="345" w:lineRule="auto" w:before="68"/>
        <w:ind w:left="513" w:right="1226" w:hanging="90"/>
        <w:jc w:val="left"/>
        <w:rPr>
          <w:rFonts w:ascii="Arial" w:hAnsi="Arial" w:cs="Arial" w:eastAsia="Arial" w:hint="default"/>
        </w:rPr>
      </w:pPr>
      <w:r>
        <w:rPr/>
        <w:t>（</w:t>
      </w:r>
      <w:r>
        <w:rPr>
          <w:rFonts w:ascii="Arial" w:hAnsi="Arial" w:cs="Arial" w:eastAsia="Arial" w:hint="default"/>
        </w:rPr>
        <w:t>2</w:t>
      </w:r>
      <w:r>
        <w:rPr/>
        <w:t>）互联网</w:t>
      </w:r>
      <w:r>
        <w:rPr>
          <w:rFonts w:ascii="Arial" w:hAnsi="Arial" w:cs="Arial" w:eastAsia="Arial" w:hint="default"/>
        </w:rPr>
        <w:t>+</w:t>
      </w:r>
      <w:r>
        <w:rPr/>
        <w:t>政务 公司坚持技术创新，采用大数据、云计算、工作流、智能交互等新技术，积极打造政务信息资源共享平台和</w:t>
      </w:r>
      <w:r>
        <w:rPr>
          <w:rFonts w:ascii="Arial" w:hAnsi="Arial" w:cs="Arial" w:eastAsia="Arial" w:hint="default"/>
        </w:rPr>
        <w:t>“</w:t>
      </w:r>
      <w:r>
        <w:rPr/>
        <w:t>互联网</w:t>
      </w:r>
      <w:r>
        <w:rPr>
          <w:rFonts w:ascii="Arial" w:hAnsi="Arial" w:cs="Arial" w:eastAsia="Arial" w:hint="default"/>
        </w:rPr>
        <w:t>+</w:t>
      </w:r>
    </w:p>
    <w:p>
      <w:pPr>
        <w:pStyle w:val="BodyText"/>
        <w:spacing w:line="224" w:lineRule="exact"/>
        <w:ind w:left="153" w:right="0"/>
        <w:jc w:val="both"/>
      </w:pPr>
      <w:r>
        <w:rPr/>
        <w:t>政务服务</w:t>
      </w:r>
      <w:r>
        <w:rPr>
          <w:rFonts w:ascii="Arial" w:hAnsi="Arial" w:cs="Arial" w:eastAsia="Arial" w:hint="default"/>
        </w:rPr>
        <w:t>”</w:t>
      </w:r>
      <w:r>
        <w:rPr/>
        <w:t>一体化解决方案，在福建、北京、上海、浙江、河南、湖北等地成功推广应用，公司将加大市场开拓力度，依托</w:t>
      </w:r>
    </w:p>
    <w:p>
      <w:pPr>
        <w:pStyle w:val="BodyText"/>
        <w:spacing w:line="309" w:lineRule="auto" w:before="63"/>
        <w:ind w:left="153" w:right="1131"/>
        <w:jc w:val="both"/>
      </w:pPr>
      <w:r>
        <w:rPr/>
        <w:t>全国营销服务网络，积极拓展互联网</w:t>
      </w:r>
      <w:r>
        <w:rPr>
          <w:rFonts w:ascii="Arial" w:hAnsi="Arial" w:cs="Arial" w:eastAsia="Arial" w:hint="default"/>
        </w:rPr>
        <w:t>+</w:t>
      </w:r>
      <w:r>
        <w:rPr/>
        <w:t>政务服务区域市场。</w:t>
      </w:r>
      <w:r>
        <w:rPr>
          <w:rFonts w:ascii="Arial" w:hAnsi="Arial" w:cs="Arial" w:eastAsia="Arial" w:hint="default"/>
        </w:rPr>
        <w:t>5G+</w:t>
      </w:r>
      <w:r>
        <w:rPr/>
        <w:t>智慧政务将助力打通政务内部的数据收集和存储，打造统一 </w:t>
      </w:r>
      <w:r>
        <w:rPr>
          <w:spacing w:val="-2"/>
        </w:rPr>
        <w:t>安全的政务云平台、数据资源整合和大数据平台、一体化网上政务服务平台，实现互联网和政务服务深度融合，推动政务服</w:t>
      </w:r>
      <w:r>
        <w:rPr>
          <w:spacing w:val="-66"/>
        </w:rPr>
        <w:t> </w:t>
      </w:r>
      <w:r>
        <w:rPr>
          <w:spacing w:val="-66"/>
        </w:rPr>
      </w:r>
      <w:r>
        <w:rPr/>
        <w:t>务的高效执行。随着</w:t>
      </w:r>
      <w:r>
        <w:rPr>
          <w:rFonts w:ascii="Arial" w:hAnsi="Arial" w:cs="Arial" w:eastAsia="Arial" w:hint="default"/>
        </w:rPr>
        <w:t>5G</w:t>
      </w:r>
      <w:r>
        <w:rPr/>
        <w:t>的推广落地，将有助于</w:t>
      </w:r>
      <w:r>
        <w:rPr>
          <w:rFonts w:ascii="Arial" w:hAnsi="Arial" w:cs="Arial" w:eastAsia="Arial" w:hint="default"/>
        </w:rPr>
        <w:t>5G+</w:t>
      </w:r>
      <w:r>
        <w:rPr/>
        <w:t>智慧政务的快速发展，为公司业务带来新的发展机遇。</w:t>
      </w:r>
    </w:p>
    <w:p>
      <w:pPr>
        <w:pStyle w:val="BodyText"/>
        <w:spacing w:line="348" w:lineRule="auto" w:before="53"/>
        <w:ind w:left="513" w:right="0"/>
        <w:jc w:val="left"/>
      </w:pPr>
      <w:r>
        <w:rPr/>
        <w:t>（</w:t>
      </w:r>
      <w:r>
        <w:rPr>
          <w:rFonts w:ascii="Arial" w:hAnsi="Arial" w:cs="Arial" w:eastAsia="Arial" w:hint="default"/>
        </w:rPr>
        <w:t>3</w:t>
      </w:r>
      <w:r>
        <w:rPr/>
        <w:t>）金关工程 </w:t>
      </w:r>
      <w:r>
        <w:rPr>
          <w:spacing w:val="-2"/>
        </w:rPr>
        <w:t>公司拥有丰富的智慧海关信息化服务和建设经验，是“金关工程”的领先服务厂商。智慧海关是涉及智慧监管、智慧口</w:t>
      </w:r>
    </w:p>
    <w:p>
      <w:pPr>
        <w:pStyle w:val="BodyText"/>
        <w:spacing w:line="307" w:lineRule="auto"/>
        <w:ind w:left="153" w:right="1131"/>
        <w:jc w:val="both"/>
      </w:pPr>
      <w:r>
        <w:rPr/>
        <w:t>岸、智慧物流、智慧供应链、大数据应用、贸易安全等领域的智能技术信息化建设体系。从</w:t>
      </w:r>
      <w:r>
        <w:rPr>
          <w:rFonts w:ascii="Arial" w:hAnsi="Arial" w:cs="Arial" w:eastAsia="Arial" w:hint="default"/>
        </w:rPr>
        <w:t>1999</w:t>
      </w:r>
      <w:r>
        <w:rPr/>
        <w:t>年开始，公司开始为原国 家检验检疫系统提供政务系统网络建设服务，是原国检中国电子检验检疫主干系统（</w:t>
      </w:r>
      <w:r>
        <w:rPr>
          <w:rFonts w:ascii="Arial" w:hAnsi="Arial" w:cs="Arial" w:eastAsia="Arial" w:hint="default"/>
        </w:rPr>
        <w:t>e-CIQ</w:t>
      </w:r>
      <w:r>
        <w:rPr/>
        <w:t>主干系统）唯一承建商。</w:t>
      </w:r>
      <w:r>
        <w:rPr>
          <w:rFonts w:ascii="Arial" w:hAnsi="Arial" w:cs="Arial" w:eastAsia="Arial" w:hint="default"/>
        </w:rPr>
        <w:t>2018 </w:t>
      </w:r>
      <w:r>
        <w:rPr>
          <w:spacing w:val="-2"/>
        </w:rPr>
        <w:t>年海关总署制定了《全国通关一体化关检业务全面融合框架方案》，明确了海关、原国检申报系统及数据合并整合。公司响</w:t>
      </w:r>
      <w:r>
        <w:rPr>
          <w:spacing w:val="-66"/>
        </w:rPr>
        <w:t> </w:t>
      </w:r>
      <w:r>
        <w:rPr>
          <w:spacing w:val="-66"/>
        </w:rPr>
      </w:r>
      <w:r>
        <w:rPr>
          <w:spacing w:val="-1"/>
        </w:rPr>
        <w:t>应国家政策，围绕海关总署参与关检融合的相关工作，积极参与新一代海关信息化系统的建设。</w:t>
      </w:r>
      <w:r>
        <w:rPr>
          <w:rFonts w:ascii="Arial" w:hAnsi="Arial" w:cs="Arial" w:eastAsia="Arial" w:hint="default"/>
          <w:spacing w:val="-1"/>
        </w:rPr>
        <w:t>2018</w:t>
      </w:r>
      <w:r>
        <w:rPr>
          <w:spacing w:val="-1"/>
        </w:rPr>
        <w:t>年</w:t>
      </w:r>
      <w:r>
        <w:rPr>
          <w:rFonts w:ascii="Arial" w:hAnsi="Arial" w:cs="Arial" w:eastAsia="Arial" w:hint="default"/>
          <w:spacing w:val="-1"/>
        </w:rPr>
        <w:t>8</w:t>
      </w:r>
      <w:r>
        <w:rPr>
          <w:spacing w:val="-1"/>
        </w:rPr>
        <w:t>月，公司参与关检</w:t>
      </w:r>
      <w:r>
        <w:rPr>
          <w:spacing w:val="-80"/>
        </w:rPr>
        <w:t> </w:t>
      </w:r>
      <w:r>
        <w:rPr>
          <w:spacing w:val="-80"/>
        </w:rPr>
      </w:r>
      <w:r>
        <w:rPr>
          <w:spacing w:val="-2"/>
        </w:rPr>
        <w:t>融合方案设计，技术支持服务项目，协助海关总署信息中心进一步推进关检融合信息系统建设工作，在服务关检业务融合领</w:t>
      </w:r>
      <w:r>
        <w:rPr>
          <w:spacing w:val="-66"/>
        </w:rPr>
        <w:t> </w:t>
      </w:r>
      <w:r>
        <w:rPr>
          <w:spacing w:val="-66"/>
        </w:rPr>
      </w:r>
      <w:r>
        <w:rPr/>
        <w:t>域迈上新的高度。</w:t>
      </w:r>
      <w:r>
        <w:rPr>
          <w:rFonts w:ascii="Arial" w:hAnsi="Arial" w:cs="Arial" w:eastAsia="Arial" w:hint="default"/>
        </w:rPr>
        <w:t>2019</w:t>
      </w:r>
      <w:r>
        <w:rPr/>
        <w:t>年成功中标海关总署“出证拟证”业务子系统、海关总署智慧卫生检疫系统业务融合及升级优化采 购项目。</w:t>
      </w:r>
    </w:p>
    <w:p>
      <w:pPr>
        <w:pStyle w:val="BodyText"/>
        <w:spacing w:line="302" w:lineRule="auto" w:before="74"/>
        <w:ind w:left="153" w:right="1131" w:firstLine="360"/>
        <w:jc w:val="both"/>
      </w:pPr>
      <w:r>
        <w:rPr>
          <w:spacing w:val="-2"/>
        </w:rPr>
        <w:t>公司于</w:t>
      </w:r>
      <w:r>
        <w:rPr>
          <w:rFonts w:ascii="Arial" w:hAnsi="Arial" w:cs="Arial" w:eastAsia="Arial" w:hint="default"/>
          <w:spacing w:val="-2"/>
        </w:rPr>
        <w:t>2016</w:t>
      </w:r>
      <w:r>
        <w:rPr>
          <w:spacing w:val="-2"/>
        </w:rPr>
        <w:t>年开始承建云南口岸卫检智慧防线系统。</w:t>
      </w:r>
      <w:r>
        <w:rPr>
          <w:rFonts w:ascii="Arial" w:hAnsi="Arial" w:cs="Arial" w:eastAsia="Arial" w:hint="default"/>
          <w:spacing w:val="-2"/>
        </w:rPr>
        <w:t>2017</w:t>
      </w:r>
      <w:r>
        <w:rPr>
          <w:spacing w:val="-2"/>
        </w:rPr>
        <w:t>年</w:t>
      </w:r>
      <w:r>
        <w:rPr>
          <w:rFonts w:ascii="Arial" w:hAnsi="Arial" w:cs="Arial" w:eastAsia="Arial" w:hint="default"/>
          <w:spacing w:val="-2"/>
        </w:rPr>
        <w:t>8</w:t>
      </w:r>
      <w:r>
        <w:rPr>
          <w:spacing w:val="-2"/>
        </w:rPr>
        <w:t>月，该系统成功在中老两国唯一的国家级一类口岸磨憨口</w:t>
      </w:r>
      <w:r>
        <w:rPr/>
        <w:t> 岸上线应用，</w:t>
      </w:r>
      <w:r>
        <w:rPr>
          <w:rFonts w:ascii="Arial" w:hAnsi="Arial" w:cs="Arial" w:eastAsia="Arial" w:hint="default"/>
        </w:rPr>
        <w:t>2018</w:t>
      </w:r>
      <w:r>
        <w:rPr/>
        <w:t>年起该系统作为云南省出入境人员卫生检疫业务的统一管理平台进行推广应用，截至</w:t>
      </w:r>
      <w:r>
        <w:rPr>
          <w:rFonts w:ascii="Arial" w:hAnsi="Arial" w:cs="Arial" w:eastAsia="Arial" w:hint="default"/>
        </w:rPr>
        <w:t>2019</w:t>
      </w:r>
      <w:r>
        <w:rPr/>
        <w:t>年底，昆明关 </w:t>
      </w:r>
      <w:r>
        <w:rPr>
          <w:spacing w:val="-1"/>
        </w:rPr>
        <w:t>区</w:t>
      </w:r>
      <w:r>
        <w:rPr>
          <w:rFonts w:ascii="Arial" w:hAnsi="Arial" w:cs="Arial" w:eastAsia="Arial" w:hint="default"/>
          <w:spacing w:val="-1"/>
        </w:rPr>
        <w:t>9</w:t>
      </w:r>
      <w:r>
        <w:rPr>
          <w:spacing w:val="-1"/>
        </w:rPr>
        <w:t>个隶属海关的</w:t>
      </w:r>
      <w:r>
        <w:rPr>
          <w:rFonts w:ascii="Arial" w:hAnsi="Arial" w:cs="Arial" w:eastAsia="Arial" w:hint="default"/>
          <w:spacing w:val="-1"/>
        </w:rPr>
        <w:t>14</w:t>
      </w:r>
      <w:r>
        <w:rPr>
          <w:spacing w:val="-1"/>
        </w:rPr>
        <w:t>个作业现场已安装</w:t>
      </w:r>
      <w:r>
        <w:rPr>
          <w:rFonts w:ascii="Arial" w:hAnsi="Arial" w:cs="Arial" w:eastAsia="Arial" w:hint="default"/>
          <w:spacing w:val="-1"/>
        </w:rPr>
        <w:t>25</w:t>
      </w:r>
      <w:r>
        <w:rPr>
          <w:spacing w:val="-1"/>
        </w:rPr>
        <w:t>台检疫查验一体化智能闸道，实现了相关口岸业务的规范统一管理，并在云南各口</w:t>
      </w:r>
      <w:r>
        <w:rPr>
          <w:spacing w:val="-81"/>
        </w:rPr>
        <w:t> </w:t>
      </w:r>
      <w:r>
        <w:rPr>
          <w:spacing w:val="-81"/>
        </w:rPr>
      </w:r>
      <w:r>
        <w:rPr/>
        <w:t>岸应对登革热、基孔肯亚热、</w:t>
      </w:r>
      <w:r>
        <w:rPr>
          <w:rFonts w:ascii="Arial" w:hAnsi="Arial" w:cs="Arial" w:eastAsia="Arial" w:hint="default"/>
        </w:rPr>
        <w:t>MERS</w:t>
      </w:r>
      <w:r>
        <w:rPr/>
        <w:t>中发挥了重大作用。</w:t>
      </w:r>
    </w:p>
    <w:p>
      <w:pPr>
        <w:pStyle w:val="BodyText"/>
        <w:spacing w:line="302" w:lineRule="auto" w:before="59"/>
        <w:ind w:left="153" w:right="1130" w:firstLine="360"/>
        <w:jc w:val="both"/>
      </w:pPr>
      <w:r>
        <w:rPr>
          <w:spacing w:val="-1"/>
        </w:rPr>
        <w:t>公司凭借雄厚的技术优势和丰富的口岸防控信息系统建设及服务经验，于</w:t>
      </w:r>
      <w:r>
        <w:rPr>
          <w:rFonts w:ascii="Arial" w:hAnsi="Arial" w:cs="Arial" w:eastAsia="Arial" w:hint="default"/>
          <w:spacing w:val="-1"/>
        </w:rPr>
        <w:t>2020</w:t>
      </w:r>
      <w:r>
        <w:rPr>
          <w:spacing w:val="-1"/>
        </w:rPr>
        <w:t>年</w:t>
      </w:r>
      <w:r>
        <w:rPr>
          <w:rFonts w:ascii="Arial" w:hAnsi="Arial" w:cs="Arial" w:eastAsia="Arial" w:hint="default"/>
          <w:spacing w:val="-1"/>
        </w:rPr>
        <w:t>4</w:t>
      </w:r>
      <w:r>
        <w:rPr>
          <w:spacing w:val="-1"/>
        </w:rPr>
        <w:t>月</w:t>
      </w:r>
      <w:r>
        <w:rPr>
          <w:rFonts w:ascii="Arial" w:hAnsi="Arial" w:cs="Arial" w:eastAsia="Arial" w:hint="default"/>
          <w:spacing w:val="-1"/>
        </w:rPr>
        <w:t>8</w:t>
      </w:r>
      <w:r>
        <w:rPr>
          <w:spacing w:val="-1"/>
        </w:rPr>
        <w:t>日成为</w:t>
      </w:r>
      <w:r>
        <w:rPr>
          <w:rFonts w:ascii="Arial" w:hAnsi="Arial" w:cs="Arial" w:eastAsia="Arial" w:hint="default"/>
          <w:spacing w:val="-1"/>
        </w:rPr>
        <w:t>“</w:t>
      </w:r>
      <w:r>
        <w:rPr>
          <w:spacing w:val="-1"/>
        </w:rPr>
        <w:t>昆明海关口岸卫检智慧通</w:t>
      </w:r>
      <w:r>
        <w:rPr/>
        <w:t> </w:t>
      </w:r>
      <w:r>
        <w:rPr>
          <w:spacing w:val="-2"/>
        </w:rPr>
        <w:t>道项目</w:t>
      </w:r>
      <w:r>
        <w:rPr>
          <w:rFonts w:ascii="Arial" w:hAnsi="Arial" w:cs="Arial" w:eastAsia="Arial" w:hint="default"/>
          <w:spacing w:val="-2"/>
        </w:rPr>
        <w:t>”</w:t>
      </w:r>
      <w:r>
        <w:rPr>
          <w:spacing w:val="-2"/>
        </w:rPr>
        <w:t>供应商。该项目将满足海关疫情防控一线工作的迫切需求，在</w:t>
      </w:r>
      <w:r>
        <w:rPr>
          <w:rFonts w:ascii="Arial" w:hAnsi="Arial" w:cs="Arial" w:eastAsia="Arial" w:hint="default"/>
          <w:spacing w:val="-2"/>
        </w:rPr>
        <w:t>“</w:t>
      </w:r>
      <w:r>
        <w:rPr>
          <w:spacing w:val="-2"/>
        </w:rPr>
        <w:t>口岸卫检智慧防线系统</w:t>
      </w:r>
      <w:r>
        <w:rPr>
          <w:rFonts w:ascii="Arial" w:hAnsi="Arial" w:cs="Arial" w:eastAsia="Arial" w:hint="default"/>
          <w:spacing w:val="-2"/>
        </w:rPr>
        <w:t>”</w:t>
      </w:r>
      <w:r>
        <w:rPr>
          <w:spacing w:val="-2"/>
        </w:rPr>
        <w:t>前置安装检疫查验一体化智能</w:t>
      </w:r>
      <w:r>
        <w:rPr>
          <w:spacing w:val="-60"/>
        </w:rPr>
        <w:t> </w:t>
      </w:r>
      <w:r>
        <w:rPr>
          <w:spacing w:val="-1"/>
        </w:rPr>
        <w:t>闸道，以扎牢境外输入防控</w:t>
      </w:r>
      <w:r>
        <w:rPr>
          <w:rFonts w:ascii="Arial" w:hAnsi="Arial" w:cs="Arial" w:eastAsia="Arial" w:hint="default"/>
          <w:spacing w:val="-1"/>
        </w:rPr>
        <w:t>“</w:t>
      </w:r>
      <w:r>
        <w:rPr>
          <w:spacing w:val="-1"/>
        </w:rPr>
        <w:t>第一道防线</w:t>
      </w:r>
      <w:r>
        <w:rPr>
          <w:rFonts w:ascii="Arial" w:hAnsi="Arial" w:cs="Arial" w:eastAsia="Arial" w:hint="default"/>
          <w:spacing w:val="-1"/>
        </w:rPr>
        <w:t>”</w:t>
      </w:r>
      <w:r>
        <w:rPr>
          <w:spacing w:val="-1"/>
        </w:rPr>
        <w:t>。公司再次成为口岸卫检系统供应商，对公司未来继续拓展口岸商务卫生防疫等政</w:t>
      </w:r>
      <w:r>
        <w:rPr>
          <w:spacing w:val="-59"/>
        </w:rPr>
        <w:t> </w:t>
      </w:r>
      <w:r>
        <w:rPr>
          <w:spacing w:val="-59"/>
        </w:rPr>
      </w:r>
      <w:r>
        <w:rPr/>
        <w:t>府项目空间具有典型示范意义。</w:t>
      </w:r>
    </w:p>
    <w:p>
      <w:pPr>
        <w:pStyle w:val="BodyText"/>
        <w:spacing w:line="302" w:lineRule="auto" w:before="77"/>
        <w:ind w:left="153" w:right="1187" w:firstLine="360"/>
        <w:jc w:val="both"/>
      </w:pPr>
      <w:r>
        <w:rPr>
          <w:rFonts w:ascii="Arial" w:hAnsi="Arial" w:cs="Arial" w:eastAsia="Arial" w:hint="default"/>
        </w:rPr>
        <w:t>2020</w:t>
      </w:r>
      <w:r>
        <w:rPr/>
        <w:t>年，我们将继续推进并参与新一代海关信息化系统建设相关工作，包括核心业务系统架构设计、人工智能、大数 据分析等核心领域的建设，加强与海关在建系统的合作，以高品质、高水准的智慧方案服务于海关。</w:t>
      </w:r>
    </w:p>
    <w:p>
      <w:pPr>
        <w:pStyle w:val="BodyText"/>
        <w:spacing w:line="348" w:lineRule="auto" w:before="77"/>
        <w:ind w:left="514" w:right="0" w:hanging="1"/>
        <w:jc w:val="left"/>
      </w:pPr>
      <w:r>
        <w:rPr/>
        <w:t>（</w:t>
      </w:r>
      <w:r>
        <w:rPr>
          <w:rFonts w:ascii="Arial" w:hAnsi="Arial" w:cs="Arial" w:eastAsia="Arial" w:hint="default"/>
        </w:rPr>
        <w:t>4</w:t>
      </w:r>
      <w:r>
        <w:rPr/>
        <w:t>）互联网</w:t>
      </w:r>
      <w:r>
        <w:rPr>
          <w:rFonts w:ascii="Arial" w:hAnsi="Arial" w:cs="Arial" w:eastAsia="Arial" w:hint="default"/>
        </w:rPr>
        <w:t>+</w:t>
      </w:r>
      <w:r>
        <w:rPr/>
        <w:t>党建 </w:t>
      </w:r>
      <w:r>
        <w:rPr>
          <w:spacing w:val="-2"/>
        </w:rPr>
        <w:t>公司研发党员教育管理服务平台，采用云计算、移动互联网、大数据等技术，为党员服务、教育、管理提供一体化、智</w:t>
      </w:r>
    </w:p>
    <w:p>
      <w:pPr>
        <w:pStyle w:val="BodyText"/>
        <w:spacing w:line="302" w:lineRule="auto"/>
        <w:ind w:left="153" w:right="1182"/>
        <w:jc w:val="both"/>
      </w:pPr>
      <w:r>
        <w:rPr/>
        <w:t>能化服务平台。公司已形成标准的</w:t>
      </w:r>
      <w:r>
        <w:rPr>
          <w:rFonts w:ascii="Arial" w:hAnsi="Arial" w:cs="Arial" w:eastAsia="Arial" w:hint="default"/>
        </w:rPr>
        <w:t>“</w:t>
      </w:r>
      <w:r>
        <w:rPr/>
        <w:t>互联网</w:t>
      </w:r>
      <w:r>
        <w:rPr>
          <w:rFonts w:ascii="Arial" w:hAnsi="Arial" w:cs="Arial" w:eastAsia="Arial" w:hint="default"/>
        </w:rPr>
        <w:t>+</w:t>
      </w:r>
      <w:r>
        <w:rPr/>
        <w:t>党建</w:t>
      </w:r>
      <w:r>
        <w:rPr>
          <w:rFonts w:ascii="Arial" w:hAnsi="Arial" w:cs="Arial" w:eastAsia="Arial" w:hint="default"/>
        </w:rPr>
        <w:t>”</w:t>
      </w:r>
      <w:r>
        <w:rPr/>
        <w:t>产品、解决方案和推广及服务模式，为进一步拓展服务和全国市场奠定良 好的基础。同时，为了更好的服务于党员党性教育，公司同步研发</w:t>
      </w:r>
      <w:r>
        <w:rPr>
          <w:rFonts w:ascii="Arial" w:hAnsi="Arial" w:cs="Arial" w:eastAsia="Arial" w:hint="default"/>
        </w:rPr>
        <w:t>VR+</w:t>
      </w:r>
      <w:r>
        <w:rPr/>
        <w:t>智慧党建教育平台，通过虚拟现实技术手段，展示 </w:t>
      </w:r>
      <w:r>
        <w:rPr>
          <w:rFonts w:ascii="Arial" w:hAnsi="Arial" w:cs="Arial" w:eastAsia="Arial" w:hint="default"/>
        </w:rPr>
        <w:t>VR</w:t>
      </w:r>
      <w:r>
        <w:rPr/>
        <w:t>党建主题教育应用场景，实现了沉浸式党性教育体验，开创党员教育新阵地。</w:t>
      </w:r>
    </w:p>
    <w:p>
      <w:pPr>
        <w:pStyle w:val="BodyText"/>
        <w:spacing w:line="348" w:lineRule="auto" w:before="59"/>
        <w:ind w:left="513" w:right="0"/>
        <w:jc w:val="left"/>
      </w:pPr>
      <w:r>
        <w:rPr/>
        <w:t>（</w:t>
      </w:r>
      <w:r>
        <w:rPr>
          <w:rFonts w:ascii="Arial" w:hAnsi="Arial" w:cs="Arial" w:eastAsia="Arial" w:hint="default"/>
        </w:rPr>
        <w:t>5</w:t>
      </w:r>
      <w:r>
        <w:rPr/>
        <w:t>）法院行业 </w:t>
      </w:r>
      <w:r>
        <w:rPr>
          <w:spacing w:val="-3"/>
        </w:rPr>
        <w:t>法院行业</w:t>
      </w:r>
      <w:r>
        <w:rPr>
          <w:rFonts w:ascii="Arial" w:hAnsi="Arial" w:cs="Arial" w:eastAsia="Arial" w:hint="default"/>
          <w:spacing w:val="-3"/>
        </w:rPr>
        <w:t>“</w:t>
      </w:r>
      <w:r>
        <w:rPr>
          <w:spacing w:val="-3"/>
        </w:rPr>
        <w:t>天平工程</w:t>
      </w:r>
      <w:r>
        <w:rPr>
          <w:rFonts w:ascii="Arial" w:hAnsi="Arial" w:cs="Arial" w:eastAsia="Arial" w:hint="default"/>
          <w:spacing w:val="-3"/>
        </w:rPr>
        <w:t>”</w:t>
      </w:r>
      <w:r>
        <w:rPr>
          <w:spacing w:val="-3"/>
        </w:rPr>
        <w:t>是国家电子政务建设的重要组成，打造智慧法院，强化保障体系，提升应用成效，为优化营商环境、</w:t>
      </w:r>
    </w:p>
    <w:p>
      <w:pPr>
        <w:pStyle w:val="BodyText"/>
        <w:spacing w:line="209" w:lineRule="exact"/>
        <w:ind w:left="153" w:right="0"/>
        <w:jc w:val="both"/>
      </w:pPr>
      <w:r>
        <w:rPr/>
        <w:t>推进人民法院各项事业发展提供有力的司法服务和保障。</w:t>
      </w:r>
    </w:p>
    <w:p>
      <w:pPr>
        <w:pStyle w:val="BodyText"/>
        <w:spacing w:line="312" w:lineRule="auto" w:before="124"/>
        <w:ind w:left="153" w:right="1031" w:firstLine="360"/>
        <w:jc w:val="left"/>
      </w:pPr>
      <w:r>
        <w:rPr/>
        <w:t>报告期内，公司继续深入研究智慧法院和人民法院信息化</w:t>
      </w:r>
      <w:r>
        <w:rPr>
          <w:rFonts w:ascii="Arial" w:hAnsi="Arial" w:cs="Arial" w:eastAsia="Arial" w:hint="default"/>
        </w:rPr>
        <w:t>3.0</w:t>
      </w:r>
      <w:r>
        <w:rPr/>
        <w:t>版建设需求，采用微服务架构、大数据、云计算和人工智 能等新技术同审判执行工作深度融合，对智慧审判、智慧执行、智慧服务、智慧管理相关应用软件系统进行全面重构升级， </w:t>
      </w:r>
      <w:r>
        <w:rPr>
          <w:spacing w:val="-2"/>
        </w:rPr>
        <w:t>进一步提升了公司在法院行业的竞争力。公司成功中标福建、河南、宁夏等地法院系统新版法标审判业务系统、司法大数据</w:t>
      </w:r>
      <w:r>
        <w:rPr>
          <w:spacing w:val="-66"/>
        </w:rPr>
        <w:t> </w:t>
      </w:r>
      <w:r>
        <w:rPr>
          <w:spacing w:val="-66"/>
        </w:rPr>
      </w:r>
      <w:r>
        <w:rPr/>
        <w:t>分析、减刑假释、电子卷宗、移动办公办案等项目，为进一步拓展全国法院行业市场奠定了良好的基础。</w:t>
      </w:r>
    </w:p>
    <w:p>
      <w:pPr>
        <w:pStyle w:val="BodyText"/>
        <w:spacing w:line="302" w:lineRule="auto" w:before="70"/>
        <w:ind w:left="153" w:right="1131" w:firstLine="360"/>
        <w:jc w:val="both"/>
      </w:pPr>
      <w:r>
        <w:rPr>
          <w:rFonts w:ascii="Arial" w:hAnsi="Arial" w:cs="Arial" w:eastAsia="Arial" w:hint="default"/>
          <w:spacing w:val="-1"/>
        </w:rPr>
        <w:t>2019</w:t>
      </w:r>
      <w:r>
        <w:rPr>
          <w:spacing w:val="-1"/>
        </w:rPr>
        <w:t>年</w:t>
      </w:r>
      <w:r>
        <w:rPr>
          <w:rFonts w:ascii="Arial" w:hAnsi="Arial" w:cs="Arial" w:eastAsia="Arial" w:hint="default"/>
          <w:spacing w:val="-1"/>
        </w:rPr>
        <w:t>7</w:t>
      </w:r>
      <w:r>
        <w:rPr>
          <w:spacing w:val="-1"/>
        </w:rPr>
        <w:t>月，公司承建的厦门法院点对点网络执行查控系统，新增不动产网络司法控制模块，为厦门法院实现了不动产</w:t>
      </w:r>
      <w:r>
        <w:rPr/>
        <w:t> 执行全流程在线办理。目前，此新建功能在全国法院执行查控系统中处于领先水平，目前正在积极拓展全国市场。</w:t>
      </w:r>
    </w:p>
    <w:p>
      <w:pPr>
        <w:spacing w:after="0" w:line="302" w:lineRule="auto"/>
        <w:jc w:val="both"/>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02" w:lineRule="auto" w:before="44"/>
        <w:ind w:left="153" w:right="0" w:firstLine="360"/>
        <w:jc w:val="left"/>
      </w:pPr>
      <w:r>
        <w:rPr>
          <w:rFonts w:ascii="Arial" w:hAnsi="Arial" w:cs="Arial" w:eastAsia="Arial" w:hint="default"/>
          <w:spacing w:val="-1"/>
        </w:rPr>
        <w:t>2019</w:t>
      </w:r>
      <w:r>
        <w:rPr>
          <w:spacing w:val="-1"/>
        </w:rPr>
        <w:t>年</w:t>
      </w:r>
      <w:r>
        <w:rPr>
          <w:rFonts w:ascii="Arial" w:hAnsi="Arial" w:cs="Arial" w:eastAsia="Arial" w:hint="default"/>
          <w:spacing w:val="-1"/>
        </w:rPr>
        <w:t>10</w:t>
      </w:r>
      <w:r>
        <w:rPr>
          <w:spacing w:val="-1"/>
        </w:rPr>
        <w:t>月，公司与福建师范大学联合研发的运用大数据技术的智能化法院服务平台，获得福建省人民政府授予的</w:t>
      </w:r>
      <w:r>
        <w:rPr>
          <w:rFonts w:ascii="Arial" w:hAnsi="Arial" w:cs="Arial" w:eastAsia="Arial" w:hint="default"/>
          <w:spacing w:val="-1"/>
        </w:rPr>
        <w:t>“</w:t>
      </w:r>
      <w:r>
        <w:rPr>
          <w:spacing w:val="-1"/>
        </w:rPr>
        <w:t>福</w:t>
      </w:r>
      <w:r>
        <w:rPr/>
        <w:t> 建省科学技术进步奖三等奖</w:t>
      </w:r>
      <w:r>
        <w:rPr>
          <w:rFonts w:ascii="Arial" w:hAnsi="Arial" w:cs="Arial" w:eastAsia="Arial" w:hint="default"/>
        </w:rPr>
        <w:t>”</w:t>
      </w:r>
      <w:r>
        <w:rPr/>
        <w:t>。</w:t>
      </w:r>
    </w:p>
    <w:p>
      <w:pPr>
        <w:pStyle w:val="BodyText"/>
        <w:spacing w:line="240" w:lineRule="auto" w:before="59"/>
        <w:ind w:left="513" w:right="0"/>
        <w:jc w:val="left"/>
      </w:pPr>
      <w:r>
        <w:rPr>
          <w:rFonts w:ascii="Arial" w:hAnsi="Arial" w:cs="Arial" w:eastAsia="Arial" w:hint="default"/>
        </w:rPr>
        <w:t>2019</w:t>
      </w:r>
      <w:r>
        <w:rPr/>
        <w:t>年</w:t>
      </w:r>
      <w:r>
        <w:rPr>
          <w:rFonts w:ascii="Arial" w:hAnsi="Arial" w:cs="Arial" w:eastAsia="Arial" w:hint="default"/>
        </w:rPr>
        <w:t>12</w:t>
      </w:r>
      <w:r>
        <w:rPr/>
        <w:t>月，</w:t>
      </w:r>
      <w:r>
        <w:rPr>
          <w:rFonts w:ascii="Arial" w:hAnsi="Arial" w:cs="Arial" w:eastAsia="Arial" w:hint="default"/>
        </w:rPr>
        <w:t>“</w:t>
      </w:r>
      <w:r>
        <w:rPr/>
        <w:t>基于人工智能技术的司法服务应用</w:t>
      </w:r>
      <w:r>
        <w:rPr>
          <w:rFonts w:ascii="Arial" w:hAnsi="Arial" w:cs="Arial" w:eastAsia="Arial" w:hint="default"/>
        </w:rPr>
        <w:t>”</w:t>
      </w:r>
      <w:r>
        <w:rPr/>
        <w:t>列入福建省</w:t>
      </w:r>
      <w:r>
        <w:rPr>
          <w:rFonts w:ascii="Arial" w:hAnsi="Arial" w:cs="Arial" w:eastAsia="Arial" w:hint="default"/>
        </w:rPr>
        <w:t>100</w:t>
      </w:r>
      <w:r>
        <w:rPr/>
        <w:t>个人工智能应用示范项目中的</w:t>
      </w:r>
      <w:r>
        <w:rPr>
          <w:rFonts w:ascii="Arial" w:hAnsi="Arial" w:cs="Arial" w:eastAsia="Arial" w:hint="default"/>
        </w:rPr>
        <w:t>“AI+</w:t>
      </w:r>
      <w:r>
        <w:rPr/>
        <w:t>司法</w:t>
      </w:r>
      <w:r>
        <w:rPr>
          <w:rFonts w:ascii="Arial" w:hAnsi="Arial" w:cs="Arial" w:eastAsia="Arial" w:hint="default"/>
        </w:rPr>
        <w:t>”</w:t>
      </w:r>
      <w:r>
        <w:rPr/>
        <w:t>。</w:t>
      </w:r>
    </w:p>
    <w:p>
      <w:pPr>
        <w:pStyle w:val="BodyText"/>
        <w:spacing w:line="348" w:lineRule="auto" w:before="111"/>
        <w:ind w:left="513" w:right="1111"/>
        <w:jc w:val="left"/>
      </w:pPr>
      <w:r>
        <w:rPr/>
        <w:t>（</w:t>
      </w:r>
      <w:r>
        <w:rPr>
          <w:rFonts w:ascii="Arial" w:hAnsi="Arial" w:cs="Arial" w:eastAsia="Arial" w:hint="default"/>
        </w:rPr>
        <w:t>6</w:t>
      </w:r>
      <w:r>
        <w:rPr/>
        <w:t>）司法行政行业 近年来，司法部大力推进全国智慧司法的信息化建设工作，提出到</w:t>
      </w:r>
      <w:r>
        <w:rPr>
          <w:rFonts w:ascii="Arial" w:hAnsi="Arial" w:cs="Arial" w:eastAsia="Arial" w:hint="default"/>
        </w:rPr>
        <w:t>2020</w:t>
      </w:r>
      <w:r>
        <w:rPr/>
        <w:t>年，建成涵盖司法行政各项业务</w:t>
      </w:r>
      <w:r>
        <w:rPr>
          <w:rFonts w:ascii="Arial" w:hAnsi="Arial" w:cs="Arial" w:eastAsia="Arial" w:hint="default"/>
        </w:rPr>
        <w:t>“</w:t>
      </w:r>
      <w:r>
        <w:rPr/>
        <w:t>一平台、两中</w:t>
      </w:r>
    </w:p>
    <w:p>
      <w:pPr>
        <w:pStyle w:val="BodyText"/>
        <w:spacing w:line="222" w:lineRule="exact"/>
        <w:ind w:left="153" w:right="0"/>
        <w:jc w:val="left"/>
      </w:pPr>
      <w:r>
        <w:rPr/>
        <w:t>心、三支撑、四融合</w:t>
      </w:r>
      <w:r>
        <w:rPr>
          <w:rFonts w:ascii="Arial" w:hAnsi="Arial" w:cs="Arial" w:eastAsia="Arial" w:hint="default"/>
        </w:rPr>
        <w:t>”</w:t>
      </w:r>
      <w:r>
        <w:rPr/>
        <w:t>的智慧司法行政综合管理平台，使信息化、智慧化与司法行政的深度融合，借助区块链、大数据等前</w:t>
      </w:r>
    </w:p>
    <w:p>
      <w:pPr>
        <w:pStyle w:val="BodyText"/>
        <w:spacing w:line="316" w:lineRule="auto" w:before="63"/>
        <w:ind w:left="153" w:right="0"/>
        <w:jc w:val="left"/>
      </w:pPr>
      <w:r>
        <w:rPr>
          <w:spacing w:val="-4"/>
        </w:rPr>
        <w:t>沿技术打通公检法司的信息壁垒，实现四家执法单位的线上协同办案平台，从而推动司法行政工作提升到一个新水平，因此，</w:t>
      </w:r>
      <w:r>
        <w:rPr>
          <w:spacing w:val="-44"/>
        </w:rPr>
        <w:t> </w:t>
      </w:r>
      <w:r>
        <w:rPr>
          <w:spacing w:val="-44"/>
        </w:rPr>
      </w:r>
      <w:r>
        <w:rPr/>
        <w:t>司法行政信息化需求强劲，市场规模得到快速发展。</w:t>
      </w:r>
    </w:p>
    <w:p>
      <w:pPr>
        <w:pStyle w:val="BodyText"/>
        <w:spacing w:line="316" w:lineRule="auto" w:before="67"/>
        <w:ind w:left="153" w:right="1130" w:firstLine="360"/>
        <w:jc w:val="both"/>
      </w:pPr>
      <w:r>
        <w:rPr>
          <w:spacing w:val="-2"/>
        </w:rPr>
        <w:t>报告期内，公司继续加大司法行政行业信息化解决方案研发投入，进一步完善司法刑事执行、执法监督管理、行政立法</w:t>
      </w:r>
      <w:r>
        <w:rPr/>
        <w:t> </w:t>
      </w:r>
      <w:r>
        <w:rPr>
          <w:spacing w:val="-2"/>
        </w:rPr>
        <w:t>管理、公共法律服务等行业应用解决方案，司法行政大数据协同办案平台、监狱综合信息管理平台、智慧司法社区矫正综合</w:t>
      </w:r>
      <w:r>
        <w:rPr>
          <w:spacing w:val="-66"/>
        </w:rPr>
        <w:t> </w:t>
      </w:r>
      <w:r>
        <w:rPr>
          <w:spacing w:val="-66"/>
        </w:rPr>
      </w:r>
      <w:r>
        <w:rPr>
          <w:spacing w:val="-2"/>
        </w:rPr>
        <w:t>管理平台系统等解决方案在福建、河南等地多个项目推广应用，公司司法行政行业业务保持稳健增长。报告期内，公司承建</w:t>
      </w:r>
      <w:r>
        <w:rPr>
          <w:spacing w:val="-66"/>
        </w:rPr>
        <w:t> </w:t>
      </w:r>
      <w:r>
        <w:rPr>
          <w:spacing w:val="-66"/>
        </w:rPr>
      </w:r>
      <w:r>
        <w:rPr>
          <w:spacing w:val="-2"/>
        </w:rPr>
        <w:t>的河南社区矫正综合管理指挥平台正式上线，公司将进一步配合河南省推进“智慧矫正”建设工作，持续服务当地打造具有</w:t>
      </w:r>
      <w:r>
        <w:rPr>
          <w:spacing w:val="-66"/>
        </w:rPr>
        <w:t> </w:t>
      </w:r>
      <w:r>
        <w:rPr>
          <w:spacing w:val="-66"/>
        </w:rPr>
      </w:r>
      <w:r>
        <w:rPr/>
        <w:t>河南特色的“大平台共享、大系统共治、大数据慧治”的“智慧矫正”建设模式。</w:t>
      </w:r>
    </w:p>
    <w:p>
      <w:pPr>
        <w:pStyle w:val="BodyText"/>
        <w:spacing w:line="348" w:lineRule="auto" w:before="67"/>
        <w:ind w:left="513" w:right="0"/>
        <w:jc w:val="left"/>
      </w:pPr>
      <w:r>
        <w:rPr>
          <w:rFonts w:ascii="Arial" w:hAnsi="Arial" w:cs="Arial" w:eastAsia="Arial" w:hint="default"/>
        </w:rPr>
        <w:t>2</w:t>
      </w:r>
      <w:r>
        <w:rPr/>
        <w:t>、大数据平台 </w:t>
      </w:r>
      <w:r>
        <w:rPr>
          <w:spacing w:val="-2"/>
        </w:rPr>
        <w:t>随着中国信息化政策环境、经济环境的日益成熟，企业提升自身核心竞争力、实现可持续发展的迫切愿望将加大信息化</w:t>
      </w:r>
    </w:p>
    <w:p>
      <w:pPr>
        <w:pStyle w:val="BodyText"/>
        <w:spacing w:line="316" w:lineRule="auto"/>
        <w:ind w:left="153" w:right="0"/>
        <w:jc w:val="left"/>
      </w:pPr>
      <w:r>
        <w:rPr>
          <w:spacing w:val="-2"/>
        </w:rPr>
        <w:t>需求，中小企业信息化市场将迅速成长并将带动各类行业应用软件市场的快速增长，为公司协同管理软件平台、公共信用信</w:t>
      </w:r>
      <w:r>
        <w:rPr>
          <w:spacing w:val="-66"/>
        </w:rPr>
        <w:t> </w:t>
      </w:r>
      <w:r>
        <w:rPr>
          <w:spacing w:val="-66"/>
        </w:rPr>
      </w:r>
      <w:r>
        <w:rPr/>
        <w:t>息平台等成熟产品提供巨大的潜在市场。</w:t>
      </w:r>
    </w:p>
    <w:p>
      <w:pPr>
        <w:pStyle w:val="BodyText"/>
        <w:spacing w:line="307" w:lineRule="auto" w:before="67"/>
        <w:ind w:left="153" w:right="0" w:firstLine="360"/>
        <w:jc w:val="left"/>
      </w:pPr>
      <w:r>
        <w:rPr>
          <w:rFonts w:ascii="Arial" w:hAnsi="Arial" w:cs="Arial" w:eastAsia="Arial" w:hint="default"/>
        </w:rPr>
        <w:t>2016</w:t>
      </w:r>
      <w:r>
        <w:rPr/>
        <w:t>年由公司承建的河南省公共信用信息平台，是河南省社会信用体系建设的基础性工程。该平台汇聚河南省全省各 级政务部门公共信用信息，并纵向联通</w:t>
      </w:r>
      <w:r>
        <w:rPr>
          <w:rFonts w:ascii="Arial" w:hAnsi="Arial" w:cs="Arial" w:eastAsia="Arial" w:hint="default"/>
        </w:rPr>
        <w:t>“</w:t>
      </w:r>
      <w:r>
        <w:rPr/>
        <w:t>国家公共信用信息平台</w:t>
      </w:r>
      <w:r>
        <w:rPr>
          <w:rFonts w:ascii="Arial" w:hAnsi="Arial" w:cs="Arial" w:eastAsia="Arial" w:hint="default"/>
        </w:rPr>
        <w:t>“</w:t>
      </w:r>
      <w:r>
        <w:rPr/>
        <w:t>，平台归集信用信息超过</w:t>
      </w:r>
      <w:r>
        <w:rPr>
          <w:rFonts w:ascii="Arial" w:hAnsi="Arial" w:cs="Arial" w:eastAsia="Arial" w:hint="default"/>
        </w:rPr>
        <w:t>60</w:t>
      </w:r>
      <w:r>
        <w:rPr/>
        <w:t>亿条。具有类</w:t>
      </w:r>
      <w:r>
        <w:rPr>
          <w:rFonts w:ascii="Arial" w:hAnsi="Arial" w:cs="Arial" w:eastAsia="Arial" w:hint="default"/>
        </w:rPr>
        <w:t>“</w:t>
      </w:r>
      <w:r>
        <w:rPr/>
        <w:t>百度</w:t>
      </w:r>
      <w:r>
        <w:rPr>
          <w:rFonts w:ascii="Arial" w:hAnsi="Arial" w:cs="Arial" w:eastAsia="Arial" w:hint="default"/>
        </w:rPr>
        <w:t>”</w:t>
      </w:r>
      <w:r>
        <w:rPr/>
        <w:t>智能检索引 擎，支持海量数据</w:t>
      </w:r>
      <w:r>
        <w:rPr>
          <w:rFonts w:ascii="Arial" w:hAnsi="Arial" w:cs="Arial" w:eastAsia="Arial" w:hint="default"/>
        </w:rPr>
        <w:t>“</w:t>
      </w:r>
      <w:r>
        <w:rPr/>
        <w:t>一站式</w:t>
      </w:r>
      <w:r>
        <w:rPr>
          <w:rFonts w:ascii="Arial" w:hAnsi="Arial" w:cs="Arial" w:eastAsia="Arial" w:hint="default"/>
        </w:rPr>
        <w:t>”</w:t>
      </w:r>
      <w:r>
        <w:rPr/>
        <w:t>毫秒级智能信用信息查询，可为信易贷产品、普惠金融服务提供数据支撑；</w:t>
      </w:r>
      <w:r>
        <w:rPr>
          <w:rFonts w:ascii="Arial" w:hAnsi="Arial" w:cs="Arial" w:eastAsia="Arial" w:hint="default"/>
        </w:rPr>
        <w:t>2018</w:t>
      </w:r>
      <w:r>
        <w:rPr/>
        <w:t>年《河南省社会 </w:t>
      </w:r>
      <w:r>
        <w:rPr>
          <w:spacing w:val="-1"/>
        </w:rPr>
        <w:t>信用体系和大数据融合发展试点方案》获国家批准，平台向</w:t>
      </w:r>
      <w:r>
        <w:rPr>
          <w:rFonts w:ascii="Arial" w:hAnsi="Arial" w:cs="Arial" w:eastAsia="Arial" w:hint="default"/>
          <w:spacing w:val="-1"/>
        </w:rPr>
        <w:t>“</w:t>
      </w:r>
      <w:r>
        <w:rPr>
          <w:spacing w:val="-1"/>
        </w:rPr>
        <w:t>大数据</w:t>
      </w:r>
      <w:r>
        <w:rPr>
          <w:rFonts w:ascii="Arial" w:hAnsi="Arial" w:cs="Arial" w:eastAsia="Arial" w:hint="default"/>
          <w:spacing w:val="-1"/>
        </w:rPr>
        <w:t>+”</w:t>
      </w:r>
      <w:r>
        <w:rPr>
          <w:spacing w:val="-1"/>
        </w:rPr>
        <w:t>信用应用模式发展，目前已建成信用画像、基因图谱、</w:t>
      </w:r>
      <w:r>
        <w:rPr>
          <w:spacing w:val="-75"/>
        </w:rPr>
        <w:t> </w:t>
      </w:r>
      <w:r>
        <w:rPr>
          <w:spacing w:val="-75"/>
        </w:rPr>
      </w:r>
      <w:r>
        <w:rPr>
          <w:spacing w:val="-2"/>
        </w:rPr>
        <w:t>信用监测地图、信用预警和大数据可视化等大数据应用，可勾勒信用主体信用画像，支持对企业、自然人的社会关系进行画</w:t>
      </w:r>
      <w:r>
        <w:rPr>
          <w:spacing w:val="-66"/>
        </w:rPr>
        <w:t> </w:t>
      </w:r>
      <w:r>
        <w:rPr>
          <w:spacing w:val="-66"/>
        </w:rPr>
      </w:r>
      <w:r>
        <w:rPr>
          <w:spacing w:val="-2"/>
        </w:rPr>
        <w:t>像，提供全方位、多维度关系网，支持对不同行业企业和个人进行信用监测和预警，为实施精准聚焦、重点监控和协同监管</w:t>
      </w:r>
      <w:r>
        <w:rPr>
          <w:spacing w:val="-66"/>
        </w:rPr>
        <w:t> </w:t>
      </w:r>
      <w:r>
        <w:rPr>
          <w:spacing w:val="-66"/>
        </w:rPr>
      </w:r>
      <w:r>
        <w:rPr>
          <w:spacing w:val="-2"/>
        </w:rPr>
        <w:t>提供支撑；在联合奖惩建设方面，平台在全国率先建成信用联合奖惩系统，支撑河南省信用联合奖惩落地实施，目前河南省</w:t>
      </w:r>
      <w:r>
        <w:rPr>
          <w:spacing w:val="-66"/>
        </w:rPr>
        <w:t> </w:t>
      </w:r>
      <w:r>
        <w:rPr>
          <w:spacing w:val="-66"/>
        </w:rPr>
      </w:r>
      <w:r>
        <w:rPr/>
        <w:t>已初步建成全省</w:t>
      </w:r>
      <w:r>
        <w:rPr>
          <w:rFonts w:ascii="Arial" w:hAnsi="Arial" w:cs="Arial" w:eastAsia="Arial" w:hint="default"/>
        </w:rPr>
        <w:t>“</w:t>
      </w:r>
      <w:r>
        <w:rPr/>
        <w:t>一体化</w:t>
      </w:r>
      <w:r>
        <w:rPr>
          <w:rFonts w:ascii="Arial" w:hAnsi="Arial" w:cs="Arial" w:eastAsia="Arial" w:hint="default"/>
        </w:rPr>
        <w:t>”</w:t>
      </w:r>
      <w:r>
        <w:rPr/>
        <w:t>的联合奖惩大格局，并在行政审批、市场准入、政府采购、招投标、公务员录用、评先评优等多领 域进行应用，提升市场监管水平和效率。</w:t>
      </w:r>
    </w:p>
    <w:p>
      <w:pPr>
        <w:pStyle w:val="BodyText"/>
        <w:spacing w:line="302" w:lineRule="auto" w:before="74"/>
        <w:ind w:left="153" w:right="1031" w:firstLine="360"/>
        <w:jc w:val="left"/>
      </w:pPr>
      <w:r>
        <w:rPr>
          <w:rFonts w:ascii="Arial" w:hAnsi="Arial" w:cs="Arial" w:eastAsia="Arial" w:hint="default"/>
        </w:rPr>
        <w:t>2018</w:t>
      </w:r>
      <w:r>
        <w:rPr/>
        <w:t>年公司承建的河南省中小企业公共服务平台，是以互联网、大数据、云计算为支撑，数据资源中心、专业应用系 统组成的国内一流的互联网开放平台。该平台为全省五十多万家中小企业提供统一的</w:t>
      </w:r>
      <w:r>
        <w:rPr>
          <w:rFonts w:ascii="Arial" w:hAnsi="Arial" w:cs="Arial" w:eastAsia="Arial" w:hint="default"/>
        </w:rPr>
        <w:t>14</w:t>
      </w:r>
      <w:r>
        <w:rPr/>
        <w:t>类专业应用服务，主要包括网上企 业政务服务大厅、投融资服务、市场开拓服务、创业辅导服务、人力资源与培训服务、技术创新服务、信息化服务等内容。</w:t>
      </w:r>
    </w:p>
    <w:p>
      <w:pPr>
        <w:pStyle w:val="BodyText"/>
        <w:spacing w:line="307" w:lineRule="auto" w:before="77"/>
        <w:ind w:left="153" w:right="1023" w:firstLine="360"/>
        <w:jc w:val="left"/>
      </w:pPr>
      <w:r>
        <w:rPr>
          <w:spacing w:val="-2"/>
        </w:rPr>
        <w:t>依托上述平台，公司联合河南省相关管理部门，实现上述两个平台的互联互通，建立完善全省中小企业的信用档案和评</w:t>
      </w:r>
      <w:r>
        <w:rPr/>
        <w:t> </w:t>
      </w:r>
      <w:r>
        <w:rPr>
          <w:spacing w:val="-2"/>
        </w:rPr>
        <w:t>价体系，为全省五十多万家中小企业搭建全方位、全链条的融资服务平台，通过让</w:t>
      </w:r>
      <w:r>
        <w:rPr>
          <w:rFonts w:ascii="Arial" w:hAnsi="Arial" w:cs="Arial" w:eastAsia="Arial" w:hint="default"/>
          <w:spacing w:val="-2"/>
        </w:rPr>
        <w:t>“</w:t>
      </w:r>
      <w:r>
        <w:rPr>
          <w:spacing w:val="-2"/>
        </w:rPr>
        <w:t>数据多跑路，企业少跑腿</w:t>
      </w:r>
      <w:r>
        <w:rPr>
          <w:rFonts w:ascii="Arial" w:hAnsi="Arial" w:cs="Arial" w:eastAsia="Arial" w:hint="default"/>
          <w:spacing w:val="-2"/>
        </w:rPr>
        <w:t>”</w:t>
      </w:r>
      <w:r>
        <w:rPr>
          <w:spacing w:val="-2"/>
        </w:rPr>
        <w:t>的信息化手段，</w:t>
      </w:r>
      <w:r>
        <w:rPr/>
        <w:t> </w:t>
      </w:r>
      <w:r>
        <w:rPr>
          <w:spacing w:val="-3"/>
        </w:rPr>
        <w:t>实现数据层面的全方位</w:t>
      </w:r>
      <w:r>
        <w:rPr>
          <w:rFonts w:ascii="Arial" w:hAnsi="Arial" w:cs="Arial" w:eastAsia="Arial" w:hint="default"/>
          <w:spacing w:val="-3"/>
        </w:rPr>
        <w:t>“</w:t>
      </w:r>
      <w:r>
        <w:rPr>
          <w:spacing w:val="-3"/>
        </w:rPr>
        <w:t>银企对接</w:t>
      </w:r>
      <w:r>
        <w:rPr>
          <w:rFonts w:ascii="Arial" w:hAnsi="Arial" w:cs="Arial" w:eastAsia="Arial" w:hint="default"/>
          <w:spacing w:val="-3"/>
        </w:rPr>
        <w:t>”</w:t>
      </w:r>
      <w:r>
        <w:rPr>
          <w:spacing w:val="-3"/>
        </w:rPr>
        <w:t>，让金融更好的服务实体经济，更好的服务民营企业特别是中小微企业。项目的成功落地，</w:t>
      </w:r>
      <w:r>
        <w:rPr>
          <w:spacing w:val="-36"/>
        </w:rPr>
        <w:t> </w:t>
      </w:r>
      <w:r>
        <w:rPr>
          <w:spacing w:val="-36"/>
        </w:rPr>
      </w:r>
      <w:r>
        <w:rPr>
          <w:spacing w:val="-4"/>
        </w:rPr>
        <w:t>未来可实现民营企业特别是中小微企业纯信用免抵押的融资服务，较好解决民营企业特别是中小微企业融资难、贷款难问题。</w:t>
      </w:r>
    </w:p>
    <w:p>
      <w:pPr>
        <w:pStyle w:val="BodyText"/>
        <w:spacing w:line="312" w:lineRule="auto" w:before="74"/>
        <w:ind w:left="153" w:right="1131" w:firstLine="360"/>
        <w:jc w:val="both"/>
      </w:pPr>
      <w:r>
        <w:rPr>
          <w:rFonts w:ascii="Arial" w:hAnsi="Arial" w:cs="Arial" w:eastAsia="Arial" w:hint="default"/>
        </w:rPr>
        <w:t>2019</w:t>
      </w:r>
      <w:r>
        <w:rPr/>
        <w:t>年，公司入选首批河南省综合信用服务机构试点单位，与河南省新乡市发改委签订项目协议，着手承建新乡市市 </w:t>
      </w:r>
      <w:r>
        <w:rPr>
          <w:spacing w:val="-2"/>
        </w:rPr>
        <w:t>县一体化联合奖惩系统。同年，公司中标驻马店公共信用信息平台升级改造项目和河南省信用信息平台二期项目。随着社会</w:t>
      </w:r>
      <w:r>
        <w:rPr>
          <w:spacing w:val="-66"/>
        </w:rPr>
        <w:t> </w:t>
      </w:r>
      <w:r>
        <w:rPr>
          <w:spacing w:val="-66"/>
        </w:rPr>
      </w:r>
      <w:r>
        <w:rPr>
          <w:spacing w:val="-2"/>
        </w:rPr>
        <w:t>信用体系的发展，以及我司产品的升级和服务的不断推广，在未来，将全面助力河南省社会信用体系深化应用、行业信用体</w:t>
      </w:r>
      <w:r>
        <w:rPr>
          <w:spacing w:val="-66"/>
        </w:rPr>
        <w:t> </w:t>
      </w:r>
      <w:r>
        <w:rPr>
          <w:spacing w:val="-66"/>
        </w:rPr>
      </w:r>
      <w:r>
        <w:rPr/>
        <w:t>系建设和信用大数据融合试点建设。</w:t>
      </w:r>
    </w:p>
    <w:p>
      <w:pPr>
        <w:pStyle w:val="BodyText"/>
        <w:spacing w:line="345" w:lineRule="auto" w:before="71"/>
        <w:ind w:left="513" w:right="1030"/>
        <w:jc w:val="left"/>
      </w:pPr>
      <w:r>
        <w:rPr>
          <w:rFonts w:ascii="Arial" w:hAnsi="Arial" w:cs="Arial" w:eastAsia="Arial" w:hint="default"/>
        </w:rPr>
        <w:t>3</w:t>
      </w:r>
      <w:r>
        <w:rPr/>
        <w:t>、物联网 </w:t>
      </w:r>
      <w:r>
        <w:rPr>
          <w:spacing w:val="-2"/>
        </w:rPr>
        <w:t>控股子公司容大物联网以电力行业为主要目标客户，推进物联网应用技术的研发及在电力行业信息化建设领域的持续拓</w:t>
      </w:r>
    </w:p>
    <w:p>
      <w:pPr>
        <w:pStyle w:val="BodyText"/>
        <w:spacing w:line="316" w:lineRule="auto"/>
        <w:ind w:left="153" w:right="0"/>
        <w:jc w:val="left"/>
      </w:pPr>
      <w:r>
        <w:rPr>
          <w:spacing w:val="-2"/>
        </w:rPr>
        <w:t>展。容大物联网公司已经开发完成电网末端设备监测和故障信息采集系统，相关设备已经在河北省电力公司高碑店做现场运</w:t>
      </w:r>
      <w:r>
        <w:rPr>
          <w:spacing w:val="-64"/>
        </w:rPr>
        <w:t> </w:t>
      </w:r>
      <w:r>
        <w:rPr>
          <w:spacing w:val="-64"/>
        </w:rPr>
      </w:r>
      <w:r>
        <w:rPr/>
        <w:t>行试点，运行情况良好。</w:t>
      </w:r>
    </w:p>
    <w:p>
      <w:pPr>
        <w:pStyle w:val="BodyText"/>
        <w:spacing w:line="240" w:lineRule="auto" w:before="67"/>
        <w:ind w:left="513" w:right="0"/>
        <w:jc w:val="left"/>
      </w:pPr>
      <w:r>
        <w:rPr/>
        <w:t>参股子公司福水智联技术有限公司资本金</w:t>
      </w:r>
      <w:r>
        <w:rPr>
          <w:rFonts w:ascii="Arial" w:hAnsi="Arial" w:cs="Arial" w:eastAsia="Arial" w:hint="default"/>
        </w:rPr>
        <w:t>6000</w:t>
      </w:r>
      <w:r>
        <w:rPr/>
        <w:t>万元</w:t>
      </w:r>
      <w:r>
        <w:rPr>
          <w:rFonts w:ascii="Arial" w:hAnsi="Arial" w:cs="Arial" w:eastAsia="Arial" w:hint="default"/>
        </w:rPr>
        <w:t>,</w:t>
      </w:r>
      <w:r>
        <w:rPr/>
        <w:t>由福州市创业投资有限责任公司、福州开发区国有资产营运有限公</w:t>
      </w:r>
    </w:p>
    <w:p>
      <w:pPr>
        <w:spacing w:after="0" w:line="240"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04" w:lineRule="auto" w:before="44"/>
        <w:ind w:left="153" w:right="1041"/>
        <w:jc w:val="left"/>
      </w:pPr>
      <w:r>
        <w:rPr>
          <w:spacing w:val="-4"/>
        </w:rPr>
        <w:t>司等投资方共同出资成立的混合所有制企业，是一家专注于水治理数字化、网络化、可视化、智能化解决方案的服务提供商。</w:t>
      </w:r>
      <w:r>
        <w:rPr>
          <w:spacing w:val="-46"/>
        </w:rPr>
        <w:t> </w:t>
      </w:r>
      <w:r>
        <w:rPr>
          <w:spacing w:val="-46"/>
        </w:rPr>
      </w:r>
      <w:r>
        <w:rPr/>
        <w:t>福水智联与华为、三大运营商建立战略合作伙伴关系，以</w:t>
      </w:r>
      <w:r>
        <w:rPr>
          <w:rFonts w:ascii="Arial" w:hAnsi="Arial" w:cs="Arial" w:eastAsia="Arial" w:hint="default"/>
        </w:rPr>
        <w:t>NB-IoT</w:t>
      </w:r>
      <w:r>
        <w:rPr/>
        <w:t>窄带物联网和大数据应用为载体，构建综合性的智慧水务 大数据云平台，为水行业以及整个城市提供包括用智慧计量、智慧用水管理、管网监控、管网</w:t>
      </w:r>
      <w:r>
        <w:rPr>
          <w:rFonts w:ascii="Arial" w:hAnsi="Arial" w:cs="Arial" w:eastAsia="Arial" w:hint="default"/>
        </w:rPr>
        <w:t>GIS</w:t>
      </w:r>
      <w:r>
        <w:rPr/>
        <w:t>系统、水资源监测、水质 </w:t>
      </w:r>
      <w:r>
        <w:rPr>
          <w:spacing w:val="-3"/>
        </w:rPr>
        <w:t>监测、城市内涝监测在内的水务整体运营解决方案，致力成为物联网领军企业。福水智联作为起草单位参与编制的《</w:t>
      </w:r>
      <w:r>
        <w:rPr>
          <w:rFonts w:ascii="Arial" w:hAnsi="Arial" w:cs="Arial" w:eastAsia="Arial" w:hint="default"/>
          <w:spacing w:val="-3"/>
        </w:rPr>
        <w:t>NB-IoT</w:t>
      </w:r>
      <w:r>
        <w:rPr>
          <w:rFonts w:ascii="Arial" w:hAnsi="Arial" w:cs="Arial" w:eastAsia="Arial" w:hint="default"/>
          <w:spacing w:val="3"/>
        </w:rPr>
        <w:t> </w:t>
      </w:r>
      <w:r>
        <w:rPr/>
        <w:t>水表自动抄表系统现场安装、验收与使用指南》标准成功通过并发布；入选</w:t>
      </w:r>
      <w:r>
        <w:rPr>
          <w:rFonts w:ascii="Arial" w:hAnsi="Arial" w:cs="Arial" w:eastAsia="Arial" w:hint="default"/>
        </w:rPr>
        <w:t>2019</w:t>
      </w:r>
      <w:r>
        <w:rPr/>
        <w:t>年省科技小巨人领军企业新増培育名单。</w:t>
      </w:r>
    </w:p>
    <w:p>
      <w:pPr>
        <w:pStyle w:val="BodyText"/>
        <w:spacing w:line="307" w:lineRule="auto" w:before="57"/>
        <w:ind w:left="153" w:right="1041" w:firstLine="360"/>
        <w:jc w:val="left"/>
      </w:pPr>
      <w:r>
        <w:rPr>
          <w:spacing w:val="-4"/>
        </w:rPr>
        <w:t>控股子公司星榕基以物联网领域为方向，运营业务为主业的公司，积极拓展发展物联网、中小企业信息化、党建信息化、</w:t>
      </w:r>
      <w:r>
        <w:rPr/>
        <w:t> 行业信息化四大业务。星榕基全力布局物联网业务，确定了</w:t>
      </w:r>
      <w:r>
        <w:rPr>
          <w:rFonts w:ascii="Arial" w:hAnsi="Arial" w:cs="Arial" w:eastAsia="Arial" w:hint="default"/>
        </w:rPr>
        <w:t>“1+N+1”</w:t>
      </w:r>
      <w:r>
        <w:rPr/>
        <w:t>的物联网运营规划，基于</w:t>
      </w:r>
      <w:r>
        <w:rPr>
          <w:rFonts w:ascii="Arial" w:hAnsi="Arial" w:cs="Arial" w:eastAsia="Arial" w:hint="default"/>
        </w:rPr>
        <w:t>“1”</w:t>
      </w:r>
      <w:r>
        <w:rPr/>
        <w:t>个物联网公共支撑平台，服 务</w:t>
      </w:r>
      <w:r>
        <w:rPr>
          <w:rFonts w:ascii="Arial" w:hAnsi="Arial" w:cs="Arial" w:eastAsia="Arial" w:hint="default"/>
        </w:rPr>
        <w:t>“N”</w:t>
      </w:r>
      <w:r>
        <w:rPr/>
        <w:t>个物联网行业应用，设立</w:t>
      </w:r>
      <w:r>
        <w:rPr>
          <w:rFonts w:ascii="Arial" w:hAnsi="Arial" w:cs="Arial" w:eastAsia="Arial" w:hint="default"/>
        </w:rPr>
        <w:t>“1”</w:t>
      </w:r>
      <w:r>
        <w:rPr/>
        <w:t>个双创孵化基地，实现平台数据真正流动起来，带动全省物联网产品升级和产业发展。公 </w:t>
      </w:r>
      <w:r>
        <w:rPr>
          <w:spacing w:val="-2"/>
        </w:rPr>
        <w:t>司已开始向教育、消防、智慧生态等行业应用提供支撑和服务。在智慧教育领域，形成涵盖校园安全、互动、管理为一体的</w:t>
      </w:r>
      <w:r>
        <w:rPr>
          <w:spacing w:val="-69"/>
        </w:rPr>
        <w:t> </w:t>
      </w:r>
      <w:r>
        <w:rPr>
          <w:spacing w:val="-69"/>
        </w:rPr>
      </w:r>
      <w:r>
        <w:rPr/>
        <w:t>教育行业物联网垂直应用示范</w:t>
      </w:r>
      <w:r>
        <w:rPr>
          <w:rFonts w:ascii="Arial" w:hAnsi="Arial" w:cs="Arial" w:eastAsia="Arial" w:hint="default"/>
        </w:rPr>
        <w:t>--“</w:t>
      </w:r>
      <w:r>
        <w:rPr/>
        <w:t>家校加</w:t>
      </w:r>
      <w:r>
        <w:rPr>
          <w:rFonts w:ascii="Arial" w:hAnsi="Arial" w:cs="Arial" w:eastAsia="Arial" w:hint="default"/>
        </w:rPr>
        <w:t>”</w:t>
      </w:r>
      <w:r>
        <w:rPr/>
        <w:t>，致力于实现校园管理智慧化、校园安全无死角、家校互联便捷化。通过大数据、 人工智能等前沿技术，结合网络技术和现代教育理念公司实现了远程教育；公司基于教育基础能力</w:t>
      </w:r>
      <w:r>
        <w:rPr>
          <w:rFonts w:ascii="Arial" w:hAnsi="Arial" w:cs="Arial" w:eastAsia="Arial" w:hint="default"/>
        </w:rPr>
        <w:t>+</w:t>
      </w:r>
      <w:r>
        <w:rPr/>
        <w:t>微应用服务架构，采用 </w:t>
      </w:r>
      <w:r>
        <w:rPr>
          <w:spacing w:val="-2"/>
        </w:rPr>
        <w:t>云化部署模式，提供电脑端、</w:t>
      </w:r>
      <w:r>
        <w:rPr>
          <w:rFonts w:ascii="Arial" w:hAnsi="Arial" w:cs="Arial" w:eastAsia="Arial" w:hint="default"/>
          <w:spacing w:val="-2"/>
        </w:rPr>
        <w:t>APP</w:t>
      </w:r>
      <w:r>
        <w:rPr>
          <w:spacing w:val="-2"/>
        </w:rPr>
        <w:t>手机端，建立了互联网智慧教育移动管理云平台，保证疫情期间学校各项管理工作、各类</w:t>
      </w:r>
      <w:r>
        <w:rPr>
          <w:spacing w:val="-67"/>
        </w:rPr>
        <w:t> </w:t>
      </w:r>
      <w:r>
        <w:rPr>
          <w:spacing w:val="-67"/>
        </w:rPr>
      </w:r>
      <w:r>
        <w:rPr/>
        <w:t>信息及时性及预警监控到位，确保教职工及中小学生在疫情期间</w:t>
      </w:r>
      <w:r>
        <w:rPr>
          <w:rFonts w:ascii="Arial" w:hAnsi="Arial" w:cs="Arial" w:eastAsia="Arial" w:hint="default"/>
        </w:rPr>
        <w:t>“</w:t>
      </w:r>
      <w:r>
        <w:rPr/>
        <w:t>离校不离教，停课不停学</w:t>
      </w:r>
      <w:r>
        <w:rPr>
          <w:rFonts w:ascii="Arial" w:hAnsi="Arial" w:cs="Arial" w:eastAsia="Arial" w:hint="default"/>
        </w:rPr>
        <w:t>”</w:t>
      </w:r>
      <w:r>
        <w:rPr/>
        <w:t>。</w:t>
      </w:r>
    </w:p>
    <w:p>
      <w:pPr>
        <w:spacing w:line="240" w:lineRule="auto" w:before="11"/>
        <w:rPr>
          <w:rFonts w:ascii="宋体" w:hAnsi="宋体" w:cs="宋体" w:eastAsia="宋体" w:hint="default"/>
          <w:sz w:val="19"/>
          <w:szCs w:val="19"/>
        </w:rPr>
      </w:pPr>
    </w:p>
    <w:p>
      <w:pPr>
        <w:pStyle w:val="Heading2"/>
        <w:spacing w:line="240" w:lineRule="auto"/>
        <w:ind w:right="2239"/>
        <w:jc w:val="left"/>
        <w:rPr>
          <w:b w:val="0"/>
          <w:bCs w:val="0"/>
        </w:rPr>
      </w:pPr>
      <w:r>
        <w:rPr/>
        <w:t>二、主要资产重大变化情况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1</w:t>
      </w:r>
      <w:r>
        <w:rPr/>
        <w:t>、主要资产重大变化情况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028"/>
        <w:gridCol w:w="6528"/>
      </w:tblGrid>
      <w:tr>
        <w:trPr>
          <w:trHeight w:val="186" w:hRule="exact"/>
        </w:trPr>
        <w:tc>
          <w:tcPr>
            <w:tcW w:w="3028" w:type="dxa"/>
            <w:tcBorders>
              <w:top w:val="single" w:sz="4" w:space="0" w:color="000000"/>
              <w:left w:val="single" w:sz="4" w:space="0" w:color="000000"/>
              <w:bottom w:val="nil" w:sz="6" w:space="0" w:color="auto"/>
              <w:right w:val="single" w:sz="4" w:space="0" w:color="000000"/>
            </w:tcBorders>
            <w:shd w:val="clear" w:color="auto" w:fill="D3D3D3"/>
          </w:tcPr>
          <w:p>
            <w:pPr/>
          </w:p>
        </w:tc>
        <w:tc>
          <w:tcPr>
            <w:tcW w:w="652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302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主要资产</w:t>
            </w:r>
          </w:p>
        </w:tc>
        <w:tc>
          <w:tcPr>
            <w:tcW w:w="652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重大变化说明</w:t>
            </w:r>
          </w:p>
        </w:tc>
      </w:tr>
      <w:tr>
        <w:trPr>
          <w:trHeight w:val="185" w:hRule="exact"/>
        </w:trPr>
        <w:tc>
          <w:tcPr>
            <w:tcW w:w="3028" w:type="dxa"/>
            <w:tcBorders>
              <w:top w:val="nil" w:sz="6" w:space="0" w:color="auto"/>
              <w:left w:val="single" w:sz="4" w:space="0" w:color="000000"/>
              <w:bottom w:val="single" w:sz="4" w:space="0" w:color="000000"/>
              <w:right w:val="single" w:sz="4" w:space="0" w:color="000000"/>
            </w:tcBorders>
            <w:shd w:val="clear" w:color="auto" w:fill="D3D3D3"/>
          </w:tcPr>
          <w:p>
            <w:pPr/>
          </w:p>
        </w:tc>
        <w:tc>
          <w:tcPr>
            <w:tcW w:w="652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30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股权资产</w:t>
            </w:r>
          </w:p>
        </w:tc>
        <w:tc>
          <w:tcPr>
            <w:tcW w:w="65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0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65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30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65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Arial" w:hAnsi="Arial" w:cs="Arial" w:eastAsia="Arial" w:hint="default"/>
                <w:sz w:val="18"/>
                <w:szCs w:val="18"/>
              </w:rPr>
            </w:pPr>
            <w:r>
              <w:rPr>
                <w:rFonts w:ascii="宋体" w:hAnsi="宋体" w:cs="宋体" w:eastAsia="宋体" w:hint="default"/>
                <w:sz w:val="18"/>
                <w:szCs w:val="18"/>
              </w:rPr>
              <w:t>报告期开发支出完工结转到无形资产，导致无形资产较上年期末增加</w:t>
            </w:r>
            <w:r>
              <w:rPr>
                <w:rFonts w:ascii="宋体" w:hAnsi="宋体" w:cs="宋体" w:eastAsia="宋体" w:hint="default"/>
                <w:spacing w:val="-51"/>
                <w:sz w:val="18"/>
                <w:szCs w:val="18"/>
              </w:rPr>
              <w:t> </w:t>
            </w:r>
            <w:r>
              <w:rPr>
                <w:rFonts w:ascii="Arial" w:hAnsi="Arial" w:cs="Arial" w:eastAsia="Arial" w:hint="default"/>
                <w:sz w:val="18"/>
                <w:szCs w:val="18"/>
              </w:rPr>
              <w:t>20.75%</w:t>
            </w:r>
          </w:p>
        </w:tc>
      </w:tr>
      <w:tr>
        <w:trPr>
          <w:trHeight w:val="402" w:hRule="exact"/>
        </w:trPr>
        <w:tc>
          <w:tcPr>
            <w:tcW w:w="30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652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Arial" w:hAnsi="Arial" w:cs="Arial" w:eastAsia="Arial" w:hint="default"/>
                <w:sz w:val="18"/>
                <w:szCs w:val="18"/>
              </w:rPr>
            </w:pPr>
            <w:r>
              <w:rPr>
                <w:rFonts w:ascii="宋体" w:hAnsi="宋体" w:cs="宋体" w:eastAsia="宋体" w:hint="default"/>
                <w:sz w:val="18"/>
                <w:szCs w:val="18"/>
              </w:rPr>
              <w:t>报告期上海榕基园区及福州园区投入增加，导致在建工程较上年期末增加</w:t>
            </w:r>
            <w:r>
              <w:rPr>
                <w:rFonts w:ascii="宋体" w:hAnsi="宋体" w:cs="宋体" w:eastAsia="宋体" w:hint="default"/>
                <w:spacing w:val="-45"/>
                <w:sz w:val="18"/>
                <w:szCs w:val="18"/>
              </w:rPr>
              <w:t> </w:t>
            </w:r>
            <w:r>
              <w:rPr>
                <w:rFonts w:ascii="Arial" w:hAnsi="Arial" w:cs="Arial" w:eastAsia="Arial" w:hint="default"/>
                <w:spacing w:val="-3"/>
                <w:sz w:val="18"/>
                <w:szCs w:val="18"/>
              </w:rPr>
              <w:t>58.11%</w:t>
            </w:r>
          </w:p>
        </w:tc>
      </w:tr>
    </w:tbl>
    <w:p>
      <w:pPr>
        <w:spacing w:line="240" w:lineRule="auto" w:before="2"/>
        <w:rPr>
          <w:rFonts w:ascii="宋体" w:hAnsi="宋体" w:cs="宋体" w:eastAsia="宋体" w:hint="default"/>
          <w:b/>
          <w:bCs/>
          <w:sz w:val="19"/>
          <w:szCs w:val="19"/>
        </w:rPr>
      </w:pPr>
    </w:p>
    <w:p>
      <w:pPr>
        <w:pStyle w:val="Heading4"/>
        <w:spacing w:line="240" w:lineRule="auto" w:before="35"/>
        <w:ind w:right="2239"/>
        <w:jc w:val="left"/>
        <w:rPr>
          <w:b w:val="0"/>
          <w:bCs w:val="0"/>
        </w:rPr>
      </w:pPr>
      <w:r>
        <w:rPr>
          <w:rFonts w:ascii="Arial" w:hAnsi="Arial" w:cs="Arial" w:eastAsia="Arial" w:hint="default"/>
        </w:rPr>
        <w:t>2</w:t>
      </w:r>
      <w:r>
        <w:rPr/>
        <w:t>、主要境外资产情况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1"/>
        <w:rPr>
          <w:rFonts w:ascii="宋体" w:hAnsi="宋体" w:cs="宋体" w:eastAsia="宋体" w:hint="default"/>
          <w:sz w:val="24"/>
          <w:szCs w:val="24"/>
        </w:rPr>
      </w:pPr>
    </w:p>
    <w:p>
      <w:pPr>
        <w:pStyle w:val="Heading2"/>
        <w:spacing w:line="240" w:lineRule="auto"/>
        <w:ind w:right="2239"/>
        <w:jc w:val="left"/>
        <w:rPr>
          <w:b w:val="0"/>
          <w:bCs w:val="0"/>
        </w:rPr>
      </w:pPr>
      <w:r>
        <w:rPr/>
        <w:t>三、核心竞争力分析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firstLine="360"/>
        <w:jc w:val="left"/>
      </w:pPr>
      <w:r>
        <w:rPr>
          <w:spacing w:val="-4"/>
        </w:rPr>
        <w:t>公司一直专注于行业应用软件研发、系统集成和运维服务，经过多年的不懈努力，已在客户资源、技术创新、行业经验、</w:t>
      </w:r>
      <w:r>
        <w:rPr/>
        <w:t> 企业管理与人力资源、销售和服务网络等方面形成了公司的核心竞争力，成为国内知名的软件产品和服务提供商。</w:t>
      </w:r>
    </w:p>
    <w:p>
      <w:pPr>
        <w:pStyle w:val="BodyText"/>
        <w:spacing w:line="348" w:lineRule="auto" w:before="67"/>
        <w:ind w:left="513" w:right="1191"/>
        <w:jc w:val="left"/>
      </w:pPr>
      <w:r>
        <w:rPr>
          <w:rFonts w:ascii="Arial" w:hAnsi="Arial" w:cs="Arial" w:eastAsia="Arial" w:hint="default"/>
        </w:rPr>
        <w:t>1</w:t>
      </w:r>
      <w:r>
        <w:rPr/>
        <w:t>、客户资源 公司经过</w:t>
      </w:r>
      <w:r>
        <w:rPr>
          <w:rFonts w:ascii="Arial" w:hAnsi="Arial" w:cs="Arial" w:eastAsia="Arial" w:hint="default"/>
        </w:rPr>
        <w:t>27</w:t>
      </w:r>
      <w:r>
        <w:rPr/>
        <w:t>年的发展和积累，客户涵盖了党政、海关、能源、司法、环保等行业，拥有了广泛、优质的客户资源，公</w:t>
      </w:r>
    </w:p>
    <w:p>
      <w:pPr>
        <w:pStyle w:val="BodyText"/>
        <w:spacing w:line="209" w:lineRule="exact"/>
        <w:ind w:left="153" w:right="0"/>
        <w:jc w:val="left"/>
      </w:pPr>
      <w:r>
        <w:rPr/>
        <w:t>司客户群整体质量突出。公司始终强调品牌建设，重视客户需求，技术支持和服务到位，客户满意度和忠诚度较高，客户对</w:t>
      </w:r>
    </w:p>
    <w:p>
      <w:pPr>
        <w:pStyle w:val="BodyText"/>
        <w:spacing w:line="240" w:lineRule="auto" w:before="76"/>
        <w:ind w:left="153" w:right="2239"/>
        <w:jc w:val="left"/>
      </w:pPr>
      <w:r>
        <w:rPr/>
        <w:t>公司各类产品形成了较强的粘性，稳定客户的保有率不断提高。</w:t>
      </w:r>
    </w:p>
    <w:p>
      <w:pPr>
        <w:pStyle w:val="BodyText"/>
        <w:spacing w:line="348" w:lineRule="auto" w:before="124"/>
        <w:ind w:left="513" w:right="1030"/>
        <w:jc w:val="left"/>
      </w:pPr>
      <w:r>
        <w:rPr>
          <w:rFonts w:ascii="Arial" w:hAnsi="Arial" w:cs="Arial" w:eastAsia="Arial" w:hint="default"/>
        </w:rPr>
        <w:t>2</w:t>
      </w:r>
      <w:r>
        <w:rPr/>
        <w:t>、技术研发 </w:t>
      </w:r>
      <w:r>
        <w:rPr>
          <w:spacing w:val="-1"/>
        </w:rPr>
        <w:t>公司从</w:t>
      </w:r>
      <w:r>
        <w:rPr>
          <w:rFonts w:ascii="Arial" w:hAnsi="Arial" w:cs="Arial" w:eastAsia="Arial" w:hint="default"/>
          <w:spacing w:val="-1"/>
        </w:rPr>
        <w:t>2002</w:t>
      </w:r>
      <w:r>
        <w:rPr>
          <w:spacing w:val="-1"/>
        </w:rPr>
        <w:t>年开始连续近</w:t>
      </w:r>
      <w:r>
        <w:rPr>
          <w:rFonts w:ascii="Arial" w:hAnsi="Arial" w:cs="Arial" w:eastAsia="Arial" w:hint="default"/>
          <w:spacing w:val="-1"/>
        </w:rPr>
        <w:t>20</w:t>
      </w:r>
      <w:r>
        <w:rPr>
          <w:spacing w:val="-1"/>
        </w:rPr>
        <w:t>年被评为</w:t>
      </w:r>
      <w:r>
        <w:rPr>
          <w:rFonts w:ascii="Arial" w:hAnsi="Arial" w:cs="Arial" w:eastAsia="Arial" w:hint="default"/>
          <w:spacing w:val="-1"/>
        </w:rPr>
        <w:t>“</w:t>
      </w:r>
      <w:r>
        <w:rPr>
          <w:spacing w:val="-1"/>
        </w:rPr>
        <w:t>国家规划布局内重点软件企业</w:t>
      </w:r>
      <w:r>
        <w:rPr>
          <w:rFonts w:ascii="Arial" w:hAnsi="Arial" w:cs="Arial" w:eastAsia="Arial" w:hint="default"/>
          <w:spacing w:val="-1"/>
        </w:rPr>
        <w:t>”</w:t>
      </w:r>
      <w:r>
        <w:rPr>
          <w:spacing w:val="-1"/>
        </w:rPr>
        <w:t>、是</w:t>
      </w:r>
      <w:r>
        <w:rPr>
          <w:rFonts w:ascii="Arial" w:hAnsi="Arial" w:cs="Arial" w:eastAsia="Arial" w:hint="default"/>
          <w:spacing w:val="-1"/>
        </w:rPr>
        <w:t>“</w:t>
      </w:r>
      <w:r>
        <w:rPr>
          <w:spacing w:val="-1"/>
        </w:rPr>
        <w:t>国家</w:t>
      </w:r>
      <w:r>
        <w:rPr>
          <w:rFonts w:ascii="Arial" w:hAnsi="Arial" w:cs="Arial" w:eastAsia="Arial" w:hint="default"/>
          <w:spacing w:val="-1"/>
        </w:rPr>
        <w:t>863</w:t>
      </w:r>
      <w:r>
        <w:rPr>
          <w:spacing w:val="-1"/>
        </w:rPr>
        <w:t>计划成果产业化基地</w:t>
      </w:r>
      <w:r>
        <w:rPr>
          <w:rFonts w:ascii="Arial" w:hAnsi="Arial" w:cs="Arial" w:eastAsia="Arial" w:hint="default"/>
          <w:spacing w:val="-1"/>
        </w:rPr>
        <w:t>”</w:t>
      </w:r>
      <w:r>
        <w:rPr>
          <w:spacing w:val="-1"/>
        </w:rPr>
        <w:t>，被认定为</w:t>
      </w:r>
      <w:r>
        <w:rPr>
          <w:rFonts w:ascii="Arial" w:hAnsi="Arial" w:cs="Arial" w:eastAsia="Arial" w:hint="default"/>
          <w:spacing w:val="-1"/>
        </w:rPr>
        <w:t>“</w:t>
      </w:r>
      <w:r>
        <w:rPr>
          <w:spacing w:val="-1"/>
        </w:rPr>
        <w:t>福</w:t>
      </w:r>
    </w:p>
    <w:p>
      <w:pPr>
        <w:pStyle w:val="BodyText"/>
        <w:spacing w:line="222" w:lineRule="exact"/>
        <w:ind w:left="153" w:right="0"/>
        <w:jc w:val="left"/>
      </w:pPr>
      <w:r>
        <w:rPr/>
        <w:t>建省省级企业技术中心</w:t>
      </w:r>
      <w:r>
        <w:rPr>
          <w:rFonts w:ascii="Arial" w:hAnsi="Arial" w:cs="Arial" w:eastAsia="Arial" w:hint="default"/>
        </w:rPr>
        <w:t>”</w:t>
      </w:r>
      <w:r>
        <w:rPr/>
        <w:t>、</w:t>
      </w:r>
      <w:r>
        <w:rPr>
          <w:rFonts w:ascii="Arial" w:hAnsi="Arial" w:cs="Arial" w:eastAsia="Arial" w:hint="default"/>
        </w:rPr>
        <w:t>“</w:t>
      </w:r>
      <w:r>
        <w:rPr/>
        <w:t>福建省工业和信息化省级龙头企业</w:t>
      </w:r>
      <w:r>
        <w:rPr>
          <w:rFonts w:ascii="Arial" w:hAnsi="Arial" w:cs="Arial" w:eastAsia="Arial" w:hint="default"/>
        </w:rPr>
        <w:t>”</w:t>
      </w:r>
      <w:r>
        <w:rPr/>
        <w:t>、</w:t>
      </w:r>
      <w:r>
        <w:rPr>
          <w:rFonts w:ascii="Arial" w:hAnsi="Arial" w:cs="Arial" w:eastAsia="Arial" w:hint="default"/>
        </w:rPr>
        <w:t>“</w:t>
      </w:r>
      <w:r>
        <w:rPr/>
        <w:t>福建省软件技术研发中心</w:t>
      </w:r>
      <w:r>
        <w:rPr>
          <w:rFonts w:ascii="Arial" w:hAnsi="Arial" w:cs="Arial" w:eastAsia="Arial" w:hint="default"/>
        </w:rPr>
        <w:t>”</w:t>
      </w:r>
      <w:r>
        <w:rPr/>
        <w:t>、</w:t>
      </w:r>
      <w:r>
        <w:rPr>
          <w:rFonts w:ascii="Arial" w:hAnsi="Arial" w:cs="Arial" w:eastAsia="Arial" w:hint="default"/>
        </w:rPr>
        <w:t>“</w:t>
      </w:r>
      <w:r>
        <w:rPr/>
        <w:t>国家企业技术中心</w:t>
      </w:r>
      <w:r>
        <w:rPr>
          <w:rFonts w:ascii="Arial" w:hAnsi="Arial" w:cs="Arial" w:eastAsia="Arial" w:hint="default"/>
        </w:rPr>
        <w:t>”</w:t>
      </w:r>
      <w:r>
        <w:rPr/>
        <w:t>、</w:t>
      </w:r>
      <w:r>
        <w:rPr>
          <w:rFonts w:ascii="Arial" w:hAnsi="Arial" w:cs="Arial" w:eastAsia="Arial" w:hint="default"/>
        </w:rPr>
        <w:t>“</w:t>
      </w:r>
      <w:r>
        <w:rPr/>
        <w:t>福州市</w:t>
      </w:r>
    </w:p>
    <w:p>
      <w:pPr>
        <w:pStyle w:val="BodyText"/>
        <w:spacing w:line="302" w:lineRule="auto" w:before="63"/>
        <w:ind w:left="153" w:right="1151"/>
        <w:jc w:val="left"/>
      </w:pPr>
      <w:r>
        <w:rPr/>
        <w:t>民营数字经济示范企业</w:t>
      </w:r>
      <w:r>
        <w:rPr>
          <w:rFonts w:ascii="Arial" w:hAnsi="Arial" w:cs="Arial" w:eastAsia="Arial" w:hint="default"/>
        </w:rPr>
        <w:t>”</w:t>
      </w:r>
      <w:r>
        <w:rPr/>
        <w:t>、</w:t>
      </w:r>
      <w:r>
        <w:rPr>
          <w:rFonts w:ascii="Arial" w:hAnsi="Arial" w:cs="Arial" w:eastAsia="Arial" w:hint="default"/>
        </w:rPr>
        <w:t>“</w:t>
      </w:r>
      <w:r>
        <w:rPr/>
        <w:t>福建省科技成果产业化基地</w:t>
      </w:r>
      <w:r>
        <w:rPr>
          <w:rFonts w:ascii="Arial" w:hAnsi="Arial" w:cs="Arial" w:eastAsia="Arial" w:hint="default"/>
        </w:rPr>
        <w:t>”</w:t>
      </w:r>
      <w:r>
        <w:rPr/>
        <w:t>、</w:t>
      </w:r>
      <w:r>
        <w:rPr>
          <w:rFonts w:ascii="Arial" w:hAnsi="Arial" w:cs="Arial" w:eastAsia="Arial" w:hint="default"/>
        </w:rPr>
        <w:t>“</w:t>
      </w:r>
      <w:r>
        <w:rPr/>
        <w:t>福州软件园博士后工作站榕基分站</w:t>
      </w:r>
      <w:r>
        <w:rPr>
          <w:rFonts w:ascii="Arial" w:hAnsi="Arial" w:cs="Arial" w:eastAsia="Arial" w:hint="default"/>
        </w:rPr>
        <w:t>”</w:t>
      </w:r>
      <w:r>
        <w:rPr/>
        <w:t>和</w:t>
      </w:r>
      <w:r>
        <w:rPr>
          <w:rFonts w:ascii="Arial" w:hAnsi="Arial" w:cs="Arial" w:eastAsia="Arial" w:hint="default"/>
        </w:rPr>
        <w:t>“</w:t>
      </w:r>
      <w:r>
        <w:rPr/>
        <w:t>福建省创新型企业</w:t>
      </w:r>
      <w:r>
        <w:rPr>
          <w:rFonts w:ascii="Arial" w:hAnsi="Arial" w:cs="Arial" w:eastAsia="Arial" w:hint="default"/>
        </w:rPr>
        <w:t>”</w:t>
      </w:r>
      <w:r>
        <w:rPr/>
        <w:t>；曾荣 获</w:t>
      </w:r>
      <w:r>
        <w:rPr>
          <w:rFonts w:ascii="Arial" w:hAnsi="Arial" w:cs="Arial" w:eastAsia="Arial" w:hint="default"/>
        </w:rPr>
        <w:t>“</w:t>
      </w:r>
      <w:r>
        <w:rPr/>
        <w:t>中国十大创新软件企业</w:t>
      </w:r>
      <w:r>
        <w:rPr>
          <w:rFonts w:ascii="Arial" w:hAnsi="Arial" w:cs="Arial" w:eastAsia="Arial" w:hint="default"/>
        </w:rPr>
        <w:t>”</w:t>
      </w:r>
      <w:r>
        <w:rPr/>
        <w:t>、</w:t>
      </w:r>
      <w:r>
        <w:rPr>
          <w:rFonts w:ascii="Arial" w:hAnsi="Arial" w:cs="Arial" w:eastAsia="Arial" w:hint="default"/>
        </w:rPr>
        <w:t>“</w:t>
      </w:r>
      <w:r>
        <w:rPr/>
        <w:t>福建省知识产权优势企业</w:t>
      </w:r>
      <w:r>
        <w:rPr>
          <w:rFonts w:ascii="Arial" w:hAnsi="Arial" w:cs="Arial" w:eastAsia="Arial" w:hint="default"/>
        </w:rPr>
        <w:t>”</w:t>
      </w:r>
      <w:r>
        <w:rPr/>
        <w:t>、</w:t>
      </w:r>
      <w:r>
        <w:rPr>
          <w:rFonts w:ascii="Arial" w:hAnsi="Arial" w:cs="Arial" w:eastAsia="Arial" w:hint="default"/>
        </w:rPr>
        <w:t>“</w:t>
      </w:r>
      <w:r>
        <w:rPr/>
        <w:t>福建省战略性新兴产业骨干企业</w:t>
      </w:r>
      <w:r>
        <w:rPr>
          <w:rFonts w:ascii="Arial" w:hAnsi="Arial" w:cs="Arial" w:eastAsia="Arial" w:hint="default"/>
        </w:rPr>
        <w:t>”</w:t>
      </w:r>
      <w:r>
        <w:rPr/>
        <w:t>，入选</w:t>
      </w:r>
      <w:r>
        <w:rPr>
          <w:rFonts w:ascii="Arial" w:hAnsi="Arial" w:cs="Arial" w:eastAsia="Arial" w:hint="default"/>
        </w:rPr>
        <w:t>2019</w:t>
      </w:r>
      <w:r>
        <w:rPr/>
        <w:t>数字中国建设企业</w:t>
      </w:r>
    </w:p>
    <w:p>
      <w:pPr>
        <w:spacing w:after="0" w:line="302"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02" w:lineRule="auto" w:before="44"/>
        <w:ind w:right="1128"/>
        <w:jc w:val="both"/>
      </w:pPr>
      <w:r>
        <w:rPr>
          <w:rFonts w:ascii="Arial" w:hAnsi="Arial" w:cs="Arial" w:eastAsia="Arial" w:hint="default"/>
          <w:spacing w:val="-2"/>
        </w:rPr>
        <w:t>100</w:t>
      </w:r>
      <w:r>
        <w:rPr>
          <w:spacing w:val="-2"/>
        </w:rPr>
        <w:t>强，入选</w:t>
      </w:r>
      <w:r>
        <w:rPr>
          <w:rFonts w:ascii="Arial" w:hAnsi="Arial" w:cs="Arial" w:eastAsia="Arial" w:hint="default"/>
          <w:spacing w:val="-2"/>
        </w:rPr>
        <w:t>2019</w:t>
      </w:r>
      <w:r>
        <w:rPr>
          <w:spacing w:val="-2"/>
        </w:rPr>
        <w:t>年华为优秀鲲鹏生态合作伙伴。公司作为中国软件产品开发与销售的先行者之一，建立了以企业技术中心</w:t>
      </w:r>
      <w:r>
        <w:rPr>
          <w:spacing w:val="-43"/>
        </w:rPr>
        <w:t> </w:t>
      </w:r>
      <w:r>
        <w:rPr>
          <w:spacing w:val="-43"/>
        </w:rPr>
      </w:r>
      <w:r>
        <w:rPr>
          <w:spacing w:val="-1"/>
        </w:rPr>
        <w:t>为核心的创新体系，多次承担国家</w:t>
      </w:r>
      <w:r>
        <w:rPr>
          <w:rFonts w:ascii="Arial" w:hAnsi="Arial" w:cs="Arial" w:eastAsia="Arial" w:hint="default"/>
          <w:spacing w:val="-1"/>
        </w:rPr>
        <w:t>863</w:t>
      </w:r>
      <w:r>
        <w:rPr>
          <w:spacing w:val="-1"/>
        </w:rPr>
        <w:t>项目、电子信息产业发展基金、创新基金以及高科技产业化专项基金项目课题，在所</w:t>
      </w:r>
      <w:r>
        <w:rPr>
          <w:spacing w:val="-60"/>
        </w:rPr>
        <w:t> </w:t>
      </w:r>
      <w:r>
        <w:rPr>
          <w:spacing w:val="-60"/>
        </w:rPr>
      </w:r>
      <w:r>
        <w:rPr/>
        <w:t>处领域中拥有多项国内领先的创新技术，已形成较强的核心技术竞争力。</w:t>
      </w:r>
    </w:p>
    <w:p>
      <w:pPr>
        <w:pStyle w:val="BodyText"/>
        <w:spacing w:line="307" w:lineRule="auto" w:before="77"/>
        <w:ind w:left="153" w:right="1030" w:firstLine="360"/>
        <w:jc w:val="left"/>
      </w:pPr>
      <w:r>
        <w:rPr>
          <w:spacing w:val="-2"/>
        </w:rPr>
        <w:t>公司结合自身条件和外部市场环境，在信创工程、云计算、大数据、移动办公云平台、智慧城市、中小企业信息化等方</w:t>
      </w:r>
      <w:r>
        <w:rPr/>
        <w:t> 向上取得了技术创新。截至目前，公司拥有</w:t>
      </w:r>
      <w:r>
        <w:rPr>
          <w:rFonts w:ascii="Arial" w:hAnsi="Arial" w:cs="Arial" w:eastAsia="Arial" w:hint="default"/>
        </w:rPr>
        <w:t>“</w:t>
      </w:r>
      <w:r>
        <w:rPr/>
        <w:t>榕基</w:t>
      </w:r>
      <w:r>
        <w:rPr>
          <w:rFonts w:ascii="Arial" w:hAnsi="Arial" w:cs="Arial" w:eastAsia="Arial" w:hint="default"/>
        </w:rPr>
        <w:t>”</w:t>
      </w:r>
      <w:r>
        <w:rPr/>
        <w:t>品牌的自主知识产权包括</w:t>
      </w:r>
      <w:r>
        <w:rPr>
          <w:rFonts w:ascii="Arial" w:hAnsi="Arial" w:cs="Arial" w:eastAsia="Arial" w:hint="default"/>
        </w:rPr>
        <w:t>45</w:t>
      </w:r>
      <w:r>
        <w:rPr/>
        <w:t>项专利（发明专利</w:t>
      </w:r>
      <w:r>
        <w:rPr>
          <w:rFonts w:ascii="Arial" w:hAnsi="Arial" w:cs="Arial" w:eastAsia="Arial" w:hint="default"/>
        </w:rPr>
        <w:t>23</w:t>
      </w:r>
      <w:r>
        <w:rPr/>
        <w:t>项，实用新型专利</w:t>
      </w:r>
      <w:r>
        <w:rPr>
          <w:rFonts w:ascii="Arial" w:hAnsi="Arial" w:cs="Arial" w:eastAsia="Arial" w:hint="default"/>
        </w:rPr>
        <w:t>17</w:t>
      </w:r>
      <w:r>
        <w:rPr/>
        <w:t>项、 </w:t>
      </w:r>
      <w:r>
        <w:rPr>
          <w:spacing w:val="-1"/>
        </w:rPr>
        <w:t>外观新型专利</w:t>
      </w:r>
      <w:r>
        <w:rPr>
          <w:rFonts w:ascii="Arial" w:hAnsi="Arial" w:cs="Arial" w:eastAsia="Arial" w:hint="default"/>
          <w:spacing w:val="-1"/>
        </w:rPr>
        <w:t>5</w:t>
      </w:r>
      <w:r>
        <w:rPr>
          <w:spacing w:val="-1"/>
        </w:rPr>
        <w:t>项），</w:t>
      </w:r>
      <w:r>
        <w:rPr>
          <w:rFonts w:ascii="Arial" w:hAnsi="Arial" w:cs="Arial" w:eastAsia="Arial" w:hint="default"/>
          <w:spacing w:val="-1"/>
        </w:rPr>
        <w:t>302</w:t>
      </w:r>
      <w:r>
        <w:rPr>
          <w:spacing w:val="-1"/>
        </w:rPr>
        <w:t>项计算机软件著作权。近年来有多个自主产品被列入国家和省部级创新产品，获得多项国家、省、</w:t>
      </w:r>
      <w:r>
        <w:rPr>
          <w:spacing w:val="-68"/>
        </w:rPr>
        <w:t> </w:t>
      </w:r>
      <w:r>
        <w:rPr>
          <w:spacing w:val="-68"/>
        </w:rPr>
      </w:r>
      <w:r>
        <w:rPr/>
        <w:t>市科技进步奖和优秀产品等荣誉。</w:t>
      </w:r>
    </w:p>
    <w:p>
      <w:pPr>
        <w:pStyle w:val="BodyText"/>
        <w:spacing w:line="348" w:lineRule="auto" w:before="74"/>
        <w:ind w:left="513" w:right="1030"/>
        <w:jc w:val="left"/>
      </w:pPr>
      <w:r>
        <w:rPr>
          <w:rFonts w:ascii="Arial" w:hAnsi="Arial" w:cs="Arial" w:eastAsia="Arial" w:hint="default"/>
        </w:rPr>
        <w:t>3</w:t>
      </w:r>
      <w:r>
        <w:rPr/>
        <w:t>、行业经验 </w:t>
      </w:r>
      <w:r>
        <w:rPr>
          <w:spacing w:val="-2"/>
        </w:rPr>
        <w:t>公司作为主营业务领域的龙头企业和骨干企业，具备突出的行业业务理解能力，具备较强的综合集成、软件开发、数据</w:t>
      </w:r>
    </w:p>
    <w:p>
      <w:pPr>
        <w:pStyle w:val="BodyText"/>
        <w:spacing w:line="316" w:lineRule="auto"/>
        <w:ind w:left="153" w:right="0"/>
        <w:jc w:val="left"/>
      </w:pPr>
      <w:r>
        <w:rPr>
          <w:spacing w:val="-2"/>
        </w:rPr>
        <w:t>服务、安全运维等一体化综合服务能力，承担了政府政务云计算平台、信创工程、金关工程、金环工程、天平工程、信息安</w:t>
      </w:r>
      <w:r>
        <w:rPr>
          <w:spacing w:val="-65"/>
        </w:rPr>
        <w:t> </w:t>
      </w:r>
      <w:r>
        <w:rPr>
          <w:spacing w:val="-65"/>
        </w:rPr>
      </w:r>
      <w:r>
        <w:rPr/>
        <w:t>全等国家重大信息化项目以及多个行业核心业务支撑系统和关键共性技术平台，具有典型示范和辐射带动作用。</w:t>
      </w:r>
    </w:p>
    <w:p>
      <w:pPr>
        <w:pStyle w:val="BodyText"/>
        <w:spacing w:line="348" w:lineRule="auto" w:before="67"/>
        <w:ind w:left="513" w:right="1030"/>
        <w:jc w:val="left"/>
      </w:pPr>
      <w:r>
        <w:rPr>
          <w:rFonts w:ascii="Arial" w:hAnsi="Arial" w:cs="Arial" w:eastAsia="Arial" w:hint="default"/>
        </w:rPr>
        <w:t>4</w:t>
      </w:r>
      <w:r>
        <w:rPr/>
        <w:t>、人力优势 </w:t>
      </w:r>
      <w:r>
        <w:rPr>
          <w:spacing w:val="-2"/>
        </w:rPr>
        <w:t>公司在多年的经营实践中形成了稳定的、受过良好教育又具有行业经验的核心管理团队和优秀的、富有经验的研发技术</w:t>
      </w:r>
    </w:p>
    <w:p>
      <w:pPr>
        <w:pStyle w:val="BodyText"/>
        <w:spacing w:line="316" w:lineRule="auto"/>
        <w:ind w:left="153" w:right="0"/>
        <w:jc w:val="left"/>
      </w:pPr>
      <w:r>
        <w:rPr>
          <w:spacing w:val="-4"/>
        </w:rPr>
        <w:t>团队。公司建立了人员招聘体系、职务职责体系、薪酬福利体系、绩效考核体系、研发和创新激励体系等一系列机制，吸引、</w:t>
      </w:r>
      <w:r>
        <w:rPr>
          <w:spacing w:val="-44"/>
        </w:rPr>
        <w:t> </w:t>
      </w:r>
      <w:r>
        <w:rPr>
          <w:spacing w:val="-44"/>
        </w:rPr>
      </w:r>
      <w:r>
        <w:rPr>
          <w:spacing w:val="-2"/>
        </w:rPr>
        <w:t>培养了一支技术水平高、经验丰富、富有团队协作精神，且对公司的企业文化有较高的认同感的研发技术团队，为公司规模</w:t>
      </w:r>
      <w:r>
        <w:rPr>
          <w:spacing w:val="-66"/>
        </w:rPr>
        <w:t> </w:t>
      </w:r>
      <w:r>
        <w:rPr>
          <w:spacing w:val="-66"/>
        </w:rPr>
      </w:r>
      <w:r>
        <w:rPr/>
        <w:t>化发展提供了有力的保障。</w:t>
      </w:r>
    </w:p>
    <w:p>
      <w:pPr>
        <w:pStyle w:val="BodyText"/>
        <w:spacing w:line="348" w:lineRule="auto" w:before="67"/>
        <w:ind w:left="513" w:right="1191"/>
        <w:jc w:val="left"/>
      </w:pPr>
      <w:r>
        <w:rPr>
          <w:rFonts w:ascii="Arial" w:hAnsi="Arial" w:cs="Arial" w:eastAsia="Arial" w:hint="default"/>
        </w:rPr>
        <w:t>5</w:t>
      </w:r>
      <w:r>
        <w:rPr/>
        <w:t>、销售和服务网络 公司总部设在福州，在北京、上海、深圳、杭州和郑州设立五个区域分部，在全国设立了</w:t>
      </w:r>
      <w:r>
        <w:rPr>
          <w:rFonts w:ascii="Arial" w:hAnsi="Arial" w:cs="Arial" w:eastAsia="Arial" w:hint="default"/>
        </w:rPr>
        <w:t>20</w:t>
      </w:r>
      <w:r>
        <w:rPr/>
        <w:t>多家分子公司。截至报告</w:t>
      </w:r>
    </w:p>
    <w:p>
      <w:pPr>
        <w:pStyle w:val="BodyText"/>
        <w:spacing w:line="209" w:lineRule="exact"/>
        <w:ind w:left="153" w:right="0"/>
        <w:jc w:val="left"/>
      </w:pPr>
      <w:r>
        <w:rPr/>
        <w:t>期末，公司建立了完善的客户服务支持系统、客户服务中心、服务管理体系在内的运维服务体系，提高了公司的运维服务能</w:t>
      </w:r>
    </w:p>
    <w:p>
      <w:pPr>
        <w:pStyle w:val="BodyText"/>
        <w:spacing w:line="240" w:lineRule="auto" w:before="76"/>
        <w:ind w:left="153" w:right="2239"/>
        <w:jc w:val="left"/>
      </w:pPr>
      <w:r>
        <w:rPr/>
        <w:t>力和服务质量，进一步提高了市场占有率。</w:t>
      </w:r>
    </w:p>
    <w:p>
      <w:pPr>
        <w:spacing w:after="0" w:line="240"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046" w:right="2239"/>
        <w:jc w:val="left"/>
        <w:rPr>
          <w:b w:val="0"/>
          <w:bCs w:val="0"/>
        </w:rPr>
      </w:pPr>
      <w:bookmarkStart w:name="_TOC_250009" w:id="4"/>
      <w:r>
        <w:rPr/>
        <w:t>第四节经营情况讨论与分析</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2239"/>
        <w:jc w:val="left"/>
        <w:rPr>
          <w:b w:val="0"/>
          <w:bCs w:val="0"/>
        </w:rPr>
      </w:pPr>
      <w:r>
        <w:rPr/>
        <w:t>一、概述</w:t>
      </w:r>
      <w:r>
        <w:rPr>
          <w:b w:val="0"/>
          <w:bCs w:val="0"/>
        </w:rPr>
      </w:r>
    </w:p>
    <w:p>
      <w:pPr>
        <w:spacing w:line="240" w:lineRule="auto" w:before="7"/>
        <w:rPr>
          <w:rFonts w:ascii="宋体" w:hAnsi="宋体" w:cs="宋体" w:eastAsia="宋体" w:hint="default"/>
          <w:b/>
          <w:bCs/>
          <w:sz w:val="26"/>
          <w:szCs w:val="26"/>
        </w:rPr>
      </w:pPr>
    </w:p>
    <w:p>
      <w:pPr>
        <w:pStyle w:val="BodyText"/>
        <w:spacing w:line="348" w:lineRule="auto"/>
        <w:ind w:left="513" w:right="1030" w:hanging="360"/>
        <w:jc w:val="left"/>
      </w:pPr>
      <w:r>
        <w:rPr>
          <w:rFonts w:ascii="Arial" w:hAnsi="Arial" w:cs="Arial" w:eastAsia="Arial" w:hint="default"/>
        </w:rPr>
        <w:t>1</w:t>
      </w:r>
      <w:r>
        <w:rPr/>
        <w:t>、总体经营情况 </w:t>
      </w:r>
      <w:r>
        <w:rPr>
          <w:spacing w:val="-1"/>
        </w:rPr>
        <w:t>报告期内，在公司经营管理班子和全体员工的共同努力下，公司继续推进软件</w:t>
      </w:r>
      <w:r>
        <w:rPr>
          <w:rFonts w:ascii="Arial" w:hAnsi="Arial" w:cs="Arial" w:eastAsia="Arial" w:hint="default"/>
          <w:spacing w:val="-1"/>
        </w:rPr>
        <w:t>“</w:t>
      </w:r>
      <w:r>
        <w:rPr>
          <w:spacing w:val="-1"/>
        </w:rPr>
        <w:t>行业化、产品化、服务化</w:t>
      </w:r>
      <w:r>
        <w:rPr>
          <w:rFonts w:ascii="Arial" w:hAnsi="Arial" w:cs="Arial" w:eastAsia="Arial" w:hint="default"/>
          <w:spacing w:val="-1"/>
        </w:rPr>
        <w:t>”</w:t>
      </w:r>
      <w:r>
        <w:rPr>
          <w:spacing w:val="-1"/>
        </w:rPr>
        <w:t>经营布局，持</w:t>
      </w:r>
    </w:p>
    <w:p>
      <w:pPr>
        <w:pStyle w:val="BodyText"/>
        <w:spacing w:line="209" w:lineRule="exact"/>
        <w:ind w:left="153" w:right="0"/>
        <w:jc w:val="left"/>
      </w:pPr>
      <w:r>
        <w:rPr/>
        <w:t>续加大产品研发的投入和力度，巩固了电子政务、协同管理等领域的综合竞争优势，积极培育以信创工程、大数据、物联网</w:t>
      </w:r>
    </w:p>
    <w:p>
      <w:pPr>
        <w:pStyle w:val="BodyText"/>
        <w:spacing w:line="367" w:lineRule="auto" w:before="76"/>
        <w:ind w:left="513" w:right="1169" w:hanging="360"/>
        <w:jc w:val="left"/>
      </w:pPr>
      <w:r>
        <w:rPr/>
        <w:t>技术为基础的新业务，致力于传统和创新两大运营服务体系建设，开拓了新的业务增长点，提升了公司的竞争力。 报告期内，公司共实现营业收入</w:t>
      </w:r>
      <w:r>
        <w:rPr>
          <w:rFonts w:ascii="Arial" w:hAnsi="Arial" w:cs="Arial" w:eastAsia="Arial" w:hint="default"/>
        </w:rPr>
        <w:t>72,732.28</w:t>
      </w:r>
      <w:r>
        <w:rPr/>
        <w:t>万元，比上年同期减少</w:t>
      </w:r>
      <w:r>
        <w:rPr>
          <w:rFonts w:ascii="Arial" w:hAnsi="Arial" w:cs="Arial" w:eastAsia="Arial" w:hint="default"/>
        </w:rPr>
        <w:t>10.48%</w:t>
      </w:r>
      <w:r>
        <w:rPr/>
        <w:t>；营业成本比上年同期减少</w:t>
      </w:r>
      <w:r>
        <w:rPr>
          <w:rFonts w:ascii="Arial" w:hAnsi="Arial" w:cs="Arial" w:eastAsia="Arial" w:hint="default"/>
        </w:rPr>
        <w:t>16.58%</w:t>
      </w:r>
      <w:r>
        <w:rPr/>
        <w:t>；销售费</w:t>
      </w:r>
    </w:p>
    <w:p>
      <w:pPr>
        <w:pStyle w:val="BodyText"/>
        <w:spacing w:line="205" w:lineRule="exact"/>
        <w:ind w:right="0" w:hanging="1"/>
        <w:jc w:val="left"/>
      </w:pPr>
      <w:r>
        <w:rPr/>
        <w:t>用比上年同期减少</w:t>
      </w:r>
      <w:r>
        <w:rPr>
          <w:rFonts w:ascii="Arial" w:hAnsi="Arial" w:cs="Arial" w:eastAsia="Arial" w:hint="default"/>
        </w:rPr>
        <w:t>17.28%</w:t>
      </w:r>
      <w:r>
        <w:rPr/>
        <w:t>，管理费用比上年同期减少</w:t>
      </w:r>
      <w:r>
        <w:rPr>
          <w:rFonts w:ascii="Arial" w:hAnsi="Arial" w:cs="Arial" w:eastAsia="Arial" w:hint="default"/>
        </w:rPr>
        <w:t>2.96%</w:t>
      </w:r>
      <w:r>
        <w:rPr/>
        <w:t>，研发费用比上年同期减少</w:t>
      </w:r>
      <w:r>
        <w:rPr>
          <w:rFonts w:ascii="Arial" w:hAnsi="Arial" w:cs="Arial" w:eastAsia="Arial" w:hint="default"/>
        </w:rPr>
        <w:t>2.91%</w:t>
      </w:r>
      <w:r>
        <w:rPr/>
        <w:t>，财务费用比上年同期增加</w:t>
      </w:r>
    </w:p>
    <w:p>
      <w:pPr>
        <w:pStyle w:val="BodyText"/>
        <w:spacing w:line="302" w:lineRule="auto" w:before="63"/>
        <w:ind w:right="1039"/>
        <w:jc w:val="left"/>
      </w:pPr>
      <w:r>
        <w:rPr>
          <w:rFonts w:ascii="Arial" w:hAnsi="Arial" w:cs="Arial" w:eastAsia="Arial" w:hint="default"/>
        </w:rPr>
        <w:t>12.09%</w:t>
      </w:r>
      <w:r>
        <w:rPr/>
        <w:t>，销售费用比上年同期增加主要是报告期职工薪酬减少</w:t>
      </w:r>
      <w:r>
        <w:rPr>
          <w:rFonts w:ascii="Arial" w:hAnsi="Arial" w:cs="Arial" w:eastAsia="Arial" w:hint="default"/>
        </w:rPr>
        <w:t>,</w:t>
      </w:r>
      <w:r>
        <w:rPr/>
        <w:t>财务费用比上年同期增加主要是短期借款利息支出增加；经 </w:t>
      </w:r>
      <w:r>
        <w:rPr>
          <w:spacing w:val="-2"/>
        </w:rPr>
        <w:t>营活动产生的现金流量净额较上年同期增加</w:t>
      </w:r>
      <w:r>
        <w:rPr>
          <w:rFonts w:ascii="Arial" w:hAnsi="Arial" w:cs="Arial" w:eastAsia="Arial" w:hint="default"/>
          <w:spacing w:val="-2"/>
        </w:rPr>
        <w:t>310.09%</w:t>
      </w:r>
      <w:r>
        <w:rPr>
          <w:spacing w:val="-2"/>
        </w:rPr>
        <w:t>，主要是报告期销售商品收到的现金增加及购买商品、接受劳务支付的</w:t>
      </w:r>
      <w:r>
        <w:rPr>
          <w:spacing w:val="-53"/>
        </w:rPr>
        <w:t> </w:t>
      </w:r>
      <w:r>
        <w:rPr>
          <w:spacing w:val="-53"/>
        </w:rPr>
      </w:r>
      <w:r>
        <w:rPr/>
        <w:t>现金减少等所致；投资活动产生的现金流量净额较上年同期减少</w:t>
      </w:r>
      <w:r>
        <w:rPr>
          <w:rFonts w:ascii="Arial" w:hAnsi="Arial" w:cs="Arial" w:eastAsia="Arial" w:hint="default"/>
        </w:rPr>
        <w:t>123.19%</w:t>
      </w:r>
      <w:r>
        <w:rPr/>
        <w:t>，主要是报告期理财产品到期赎回金额减少所致； 筹资活动产生的现金流量净额较上年同期增加</w:t>
      </w:r>
      <w:r>
        <w:rPr>
          <w:rFonts w:ascii="Arial" w:hAnsi="Arial" w:cs="Arial" w:eastAsia="Arial" w:hint="default"/>
        </w:rPr>
        <w:t>144.06%</w:t>
      </w:r>
      <w:r>
        <w:rPr/>
        <w:t>，主要是报告期取得借款净额增加所致。</w:t>
      </w:r>
    </w:p>
    <w:p>
      <w:pPr>
        <w:pStyle w:val="BodyText"/>
        <w:spacing w:line="240" w:lineRule="auto" w:before="59"/>
        <w:ind w:right="2239"/>
        <w:jc w:val="left"/>
      </w:pPr>
      <w:r>
        <w:rPr>
          <w:rFonts w:ascii="Arial" w:hAnsi="Arial" w:cs="Arial" w:eastAsia="Arial" w:hint="default"/>
        </w:rPr>
        <w:t>2</w:t>
      </w:r>
      <w:r>
        <w:rPr/>
        <w:t>、报告期内公司重要经营管理事项回顾</w:t>
      </w:r>
    </w:p>
    <w:p>
      <w:pPr>
        <w:pStyle w:val="BodyText"/>
        <w:spacing w:line="302" w:lineRule="auto" w:before="111"/>
        <w:ind w:right="1117" w:firstLine="360"/>
        <w:jc w:val="left"/>
      </w:pPr>
      <w:r>
        <w:rPr>
          <w:spacing w:val="-3"/>
        </w:rPr>
        <w:t>（</w:t>
      </w:r>
      <w:r>
        <w:rPr>
          <w:rFonts w:ascii="Arial" w:hAnsi="Arial" w:cs="Arial" w:eastAsia="Arial" w:hint="default"/>
          <w:spacing w:val="-3"/>
        </w:rPr>
        <w:t>1</w:t>
      </w:r>
      <w:r>
        <w:rPr>
          <w:spacing w:val="-3"/>
        </w:rPr>
        <w:t>）报告期内，公司新获得</w:t>
      </w:r>
      <w:r>
        <w:rPr>
          <w:rFonts w:ascii="Arial" w:hAnsi="Arial" w:cs="Arial" w:eastAsia="Arial" w:hint="default"/>
          <w:spacing w:val="-3"/>
        </w:rPr>
        <w:t>30</w:t>
      </w:r>
      <w:r>
        <w:rPr>
          <w:spacing w:val="-3"/>
        </w:rPr>
        <w:t>项计算机软件著作权。截至目前，公司拥有</w:t>
      </w:r>
      <w:r>
        <w:rPr>
          <w:rFonts w:ascii="Arial" w:hAnsi="Arial" w:cs="Arial" w:eastAsia="Arial" w:hint="default"/>
          <w:spacing w:val="-3"/>
        </w:rPr>
        <w:t>“</w:t>
      </w:r>
      <w:r>
        <w:rPr>
          <w:spacing w:val="-3"/>
        </w:rPr>
        <w:t>榕基</w:t>
      </w:r>
      <w:r>
        <w:rPr>
          <w:rFonts w:ascii="Arial" w:hAnsi="Arial" w:cs="Arial" w:eastAsia="Arial" w:hint="default"/>
          <w:spacing w:val="-3"/>
        </w:rPr>
        <w:t>”</w:t>
      </w:r>
      <w:r>
        <w:rPr>
          <w:spacing w:val="-3"/>
        </w:rPr>
        <w:t>品牌的自主知识产权包括</w:t>
      </w:r>
      <w:r>
        <w:rPr>
          <w:rFonts w:ascii="Arial" w:hAnsi="Arial" w:cs="Arial" w:eastAsia="Arial" w:hint="default"/>
          <w:spacing w:val="-3"/>
        </w:rPr>
        <w:t>45</w:t>
      </w:r>
      <w:r>
        <w:rPr>
          <w:spacing w:val="-3"/>
        </w:rPr>
        <w:t>项专利（发</w:t>
      </w:r>
      <w:r>
        <w:rPr/>
        <w:t> 明专利</w:t>
      </w:r>
      <w:r>
        <w:rPr>
          <w:rFonts w:ascii="Arial" w:hAnsi="Arial" w:cs="Arial" w:eastAsia="Arial" w:hint="default"/>
        </w:rPr>
        <w:t>23</w:t>
      </w:r>
      <w:r>
        <w:rPr/>
        <w:t>项，实用新型专利</w:t>
      </w:r>
      <w:r>
        <w:rPr>
          <w:rFonts w:ascii="Arial" w:hAnsi="Arial" w:cs="Arial" w:eastAsia="Arial" w:hint="default"/>
        </w:rPr>
        <w:t>17</w:t>
      </w:r>
      <w:r>
        <w:rPr/>
        <w:t>项、外观新型专利</w:t>
      </w:r>
      <w:r>
        <w:rPr>
          <w:rFonts w:ascii="Arial" w:hAnsi="Arial" w:cs="Arial" w:eastAsia="Arial" w:hint="default"/>
        </w:rPr>
        <w:t>5</w:t>
      </w:r>
      <w:r>
        <w:rPr/>
        <w:t>项），</w:t>
      </w:r>
      <w:r>
        <w:rPr>
          <w:rFonts w:ascii="Arial" w:hAnsi="Arial" w:cs="Arial" w:eastAsia="Arial" w:hint="default"/>
        </w:rPr>
        <w:t>302</w:t>
      </w:r>
      <w:r>
        <w:rPr/>
        <w:t>项计算机软件著作权。</w:t>
      </w:r>
    </w:p>
    <w:p>
      <w:pPr>
        <w:pStyle w:val="BodyText"/>
        <w:spacing w:line="302" w:lineRule="auto" w:before="59"/>
        <w:ind w:right="1125" w:firstLine="360"/>
        <w:jc w:val="left"/>
      </w:pPr>
      <w:r>
        <w:rPr>
          <w:spacing w:val="-1"/>
        </w:rPr>
        <w:t>（</w:t>
      </w:r>
      <w:r>
        <w:rPr>
          <w:rFonts w:ascii="Arial" w:hAnsi="Arial" w:cs="Arial" w:eastAsia="Arial" w:hint="default"/>
          <w:spacing w:val="-1"/>
        </w:rPr>
        <w:t>2</w:t>
      </w:r>
      <w:r>
        <w:rPr>
          <w:spacing w:val="-1"/>
        </w:rPr>
        <w:t>）</w:t>
      </w:r>
      <w:r>
        <w:rPr>
          <w:rFonts w:ascii="Arial" w:hAnsi="Arial" w:cs="Arial" w:eastAsia="Arial" w:hint="default"/>
          <w:spacing w:val="-1"/>
        </w:rPr>
        <w:t>1</w:t>
      </w:r>
      <w:r>
        <w:rPr>
          <w:spacing w:val="-1"/>
        </w:rPr>
        <w:t>月，公司签订海关总署关检业务融合</w:t>
      </w:r>
      <w:r>
        <w:rPr>
          <w:rFonts w:ascii="Arial" w:hAnsi="Arial" w:cs="Arial" w:eastAsia="Arial" w:hint="default"/>
          <w:spacing w:val="-1"/>
        </w:rPr>
        <w:t>e-CIQ</w:t>
      </w:r>
      <w:r>
        <w:rPr>
          <w:spacing w:val="-1"/>
        </w:rPr>
        <w:t>主干系统改造采购项目合同。项目的顺利实施，有助于巩固与提升公</w:t>
      </w:r>
      <w:r>
        <w:rPr/>
        <w:t> 司在海关信息化领域的竞争优势及品牌影响力，充分发挥公司在信息化领域的研发、创新实力，进一步实现业务拓展。</w:t>
      </w:r>
    </w:p>
    <w:p>
      <w:pPr>
        <w:pStyle w:val="BodyText"/>
        <w:spacing w:line="309" w:lineRule="auto" w:before="77"/>
        <w:ind w:right="0" w:firstLine="360"/>
        <w:jc w:val="left"/>
      </w:pPr>
      <w:r>
        <w:rPr/>
        <w:t>（</w:t>
      </w:r>
      <w:r>
        <w:rPr>
          <w:rFonts w:ascii="Arial" w:hAnsi="Arial" w:cs="Arial" w:eastAsia="Arial" w:hint="default"/>
        </w:rPr>
        <w:t>3</w:t>
      </w:r>
      <w:r>
        <w:rPr/>
        <w:t>）</w:t>
      </w:r>
      <w:r>
        <w:rPr>
          <w:rFonts w:ascii="Arial" w:hAnsi="Arial" w:cs="Arial" w:eastAsia="Arial" w:hint="default"/>
        </w:rPr>
        <w:t>2</w:t>
      </w:r>
      <w:r>
        <w:rPr/>
        <w:t>月，公司研发的政协委员履职综合管理系统再度作为郑州政协会议签到、提案办理、委员履职考核平台，为会 </w:t>
      </w:r>
      <w:r>
        <w:rPr>
          <w:spacing w:val="-2"/>
        </w:rPr>
        <w:t>议提供全程技术协助及运维保障，该系统对政协委员履职情况实行动态化管理，分值量化及自动计分，从而保证了委员履职</w:t>
      </w:r>
      <w:r>
        <w:rPr>
          <w:spacing w:val="-66"/>
        </w:rPr>
        <w:t> </w:t>
      </w:r>
      <w:r>
        <w:rPr>
          <w:spacing w:val="-66"/>
        </w:rPr>
      </w:r>
      <w:r>
        <w:rPr/>
        <w:t>信息的公开、公平、公正。目前该系统已经多地推广运行。</w:t>
      </w:r>
    </w:p>
    <w:p>
      <w:pPr>
        <w:pStyle w:val="BodyText"/>
        <w:spacing w:line="240" w:lineRule="auto" w:before="72"/>
        <w:ind w:left="514" w:right="2239"/>
        <w:jc w:val="left"/>
      </w:pPr>
      <w:r>
        <w:rPr/>
        <w:t>（</w:t>
      </w:r>
      <w:r>
        <w:rPr>
          <w:rFonts w:ascii="Arial" w:hAnsi="Arial" w:cs="Arial" w:eastAsia="Arial" w:hint="default"/>
        </w:rPr>
        <w:t>4</w:t>
      </w:r>
      <w:r>
        <w:rPr/>
        <w:t>）</w:t>
      </w:r>
      <w:r>
        <w:rPr>
          <w:rFonts w:ascii="Arial" w:hAnsi="Arial" w:cs="Arial" w:eastAsia="Arial" w:hint="default"/>
        </w:rPr>
        <w:t>3</w:t>
      </w:r>
      <w:r>
        <w:rPr/>
        <w:t>月，榕基软件工会再度获得福建省总工会授予的</w:t>
      </w:r>
      <w:r>
        <w:rPr>
          <w:rFonts w:ascii="Arial" w:hAnsi="Arial" w:cs="Arial" w:eastAsia="Arial" w:hint="default"/>
        </w:rPr>
        <w:t>“</w:t>
      </w:r>
      <w:r>
        <w:rPr/>
        <w:t>福建省模范职工之家</w:t>
      </w:r>
      <w:r>
        <w:rPr>
          <w:rFonts w:ascii="Arial" w:hAnsi="Arial" w:cs="Arial" w:eastAsia="Arial" w:hint="default"/>
        </w:rPr>
        <w:t>”</w:t>
      </w:r>
      <w:r>
        <w:rPr/>
        <w:t>荣誉称号。</w:t>
      </w:r>
    </w:p>
    <w:p>
      <w:pPr>
        <w:pStyle w:val="BodyText"/>
        <w:spacing w:line="302" w:lineRule="auto" w:before="111"/>
        <w:ind w:right="1190" w:firstLine="360"/>
        <w:jc w:val="left"/>
      </w:pPr>
      <w:r>
        <w:rPr/>
        <w:t>（</w:t>
      </w:r>
      <w:r>
        <w:rPr>
          <w:rFonts w:ascii="Arial" w:hAnsi="Arial" w:cs="Arial" w:eastAsia="Arial" w:hint="default"/>
        </w:rPr>
        <w:t>5</w:t>
      </w:r>
      <w:r>
        <w:rPr/>
        <w:t>）</w:t>
      </w:r>
      <w:r>
        <w:rPr>
          <w:rFonts w:ascii="Arial" w:hAnsi="Arial" w:cs="Arial" w:eastAsia="Arial" w:hint="default"/>
        </w:rPr>
        <w:t>3</w:t>
      </w:r>
      <w:r>
        <w:rPr/>
        <w:t>月，中央网信办一行，在福建省数字福建建设领导小组办公室和福州市委常委等省市领导的陪同下莅临榕基软 件调研。</w:t>
      </w:r>
    </w:p>
    <w:p>
      <w:pPr>
        <w:pStyle w:val="BodyText"/>
        <w:spacing w:line="302" w:lineRule="auto" w:before="77"/>
        <w:ind w:left="153" w:right="1251" w:firstLine="360"/>
        <w:jc w:val="left"/>
      </w:pPr>
      <w:r>
        <w:rPr/>
        <w:t>（</w:t>
      </w:r>
      <w:r>
        <w:rPr>
          <w:rFonts w:ascii="Arial" w:hAnsi="Arial" w:cs="Arial" w:eastAsia="Arial" w:hint="default"/>
        </w:rPr>
        <w:t>6</w:t>
      </w:r>
      <w:r>
        <w:rPr/>
        <w:t>）</w:t>
      </w:r>
      <w:r>
        <w:rPr>
          <w:rFonts w:ascii="Arial" w:hAnsi="Arial" w:cs="Arial" w:eastAsia="Arial" w:hint="default"/>
        </w:rPr>
        <w:t>3</w:t>
      </w:r>
      <w:r>
        <w:rPr/>
        <w:t>月，北京市委、各区委组织部，中关村科技园各园区党工委等单位组成的考察组一行莅临榕基软件调研</w:t>
      </w:r>
      <w:r>
        <w:rPr>
          <w:rFonts w:ascii="Arial" w:hAnsi="Arial" w:cs="Arial" w:eastAsia="Arial" w:hint="default"/>
        </w:rPr>
        <w:t>“</w:t>
      </w:r>
      <w:r>
        <w:rPr/>
        <w:t>两新</w:t>
      </w:r>
      <w:r>
        <w:rPr>
          <w:rFonts w:ascii="Arial" w:hAnsi="Arial" w:cs="Arial" w:eastAsia="Arial" w:hint="default"/>
        </w:rPr>
        <w:t>” </w:t>
      </w:r>
      <w:r>
        <w:rPr/>
        <w:t>组织党建工作。</w:t>
      </w:r>
    </w:p>
    <w:p>
      <w:pPr>
        <w:pStyle w:val="BodyText"/>
        <w:spacing w:line="300" w:lineRule="auto" w:before="77"/>
        <w:ind w:left="153" w:right="1191" w:firstLine="360"/>
        <w:jc w:val="left"/>
      </w:pPr>
      <w:r>
        <w:rPr/>
        <w:t>（</w:t>
      </w:r>
      <w:r>
        <w:rPr>
          <w:rFonts w:ascii="Arial" w:hAnsi="Arial" w:cs="Arial" w:eastAsia="Arial" w:hint="default"/>
        </w:rPr>
        <w:t>7</w:t>
      </w:r>
      <w:r>
        <w:rPr/>
        <w:t>）</w:t>
      </w:r>
      <w:r>
        <w:rPr>
          <w:rFonts w:ascii="Arial" w:hAnsi="Arial" w:cs="Arial" w:eastAsia="Arial" w:hint="default"/>
        </w:rPr>
        <w:t>4</w:t>
      </w:r>
      <w:r>
        <w:rPr/>
        <w:t>月，公司受邀参加第二届数字中国建设峰会分享智慧创新成果，集中展示了党的十九大以来我国电子政务和数 字经济、智慧社会、数字文化、数字生态领域的创新成果。</w:t>
      </w:r>
    </w:p>
    <w:p>
      <w:pPr>
        <w:pStyle w:val="BodyText"/>
        <w:spacing w:line="302" w:lineRule="auto" w:before="79"/>
        <w:ind w:left="153" w:right="0" w:firstLine="360"/>
        <w:jc w:val="left"/>
      </w:pPr>
      <w:r>
        <w:rPr>
          <w:spacing w:val="-2"/>
        </w:rPr>
        <w:t>（</w:t>
      </w:r>
      <w:r>
        <w:rPr>
          <w:rFonts w:ascii="Arial" w:hAnsi="Arial" w:cs="Arial" w:eastAsia="Arial" w:hint="default"/>
          <w:spacing w:val="-2"/>
        </w:rPr>
        <w:t>8</w:t>
      </w:r>
      <w:r>
        <w:rPr>
          <w:spacing w:val="-2"/>
        </w:rPr>
        <w:t>）</w:t>
      </w:r>
      <w:r>
        <w:rPr>
          <w:rFonts w:ascii="Arial" w:hAnsi="Arial" w:cs="Arial" w:eastAsia="Arial" w:hint="default"/>
          <w:spacing w:val="-2"/>
        </w:rPr>
        <w:t>6</w:t>
      </w:r>
      <w:r>
        <w:rPr>
          <w:spacing w:val="-2"/>
        </w:rPr>
        <w:t>月，公司及全资子公司福建榕基软件工程有限公司获得</w:t>
      </w:r>
      <w:r>
        <w:rPr>
          <w:rFonts w:ascii="Arial" w:hAnsi="Arial" w:cs="Arial" w:eastAsia="Arial" w:hint="default"/>
          <w:spacing w:val="-2"/>
        </w:rPr>
        <w:t>“2019</w:t>
      </w:r>
      <w:r>
        <w:rPr>
          <w:spacing w:val="-2"/>
        </w:rPr>
        <w:t>年福建省工业和信息化省级龙头企业</w:t>
      </w:r>
      <w:r>
        <w:rPr>
          <w:rFonts w:ascii="Arial" w:hAnsi="Arial" w:cs="Arial" w:eastAsia="Arial" w:hint="default"/>
          <w:spacing w:val="-2"/>
        </w:rPr>
        <w:t>”</w:t>
      </w:r>
      <w:r>
        <w:rPr>
          <w:spacing w:val="-2"/>
        </w:rPr>
        <w:t>称号；公司获</w:t>
      </w:r>
      <w:r>
        <w:rPr/>
        <w:t> 授首批</w:t>
      </w:r>
      <w:r>
        <w:rPr>
          <w:rFonts w:ascii="Arial" w:hAnsi="Arial" w:cs="Arial" w:eastAsia="Arial" w:hint="default"/>
        </w:rPr>
        <w:t>“</w:t>
      </w:r>
      <w:r>
        <w:rPr/>
        <w:t>福建省科技成果产业化基地</w:t>
      </w:r>
      <w:r>
        <w:rPr>
          <w:rFonts w:ascii="Arial" w:hAnsi="Arial" w:cs="Arial" w:eastAsia="Arial" w:hint="default"/>
        </w:rPr>
        <w:t>”</w:t>
      </w:r>
      <w:r>
        <w:rPr/>
        <w:t>荣誉。</w:t>
      </w:r>
    </w:p>
    <w:p>
      <w:pPr>
        <w:pStyle w:val="BodyText"/>
        <w:spacing w:line="302" w:lineRule="auto" w:before="59"/>
        <w:ind w:left="153" w:right="1125" w:firstLine="360"/>
        <w:jc w:val="left"/>
      </w:pPr>
      <w:r>
        <w:rPr>
          <w:spacing w:val="-1"/>
        </w:rPr>
        <w:t>（</w:t>
      </w:r>
      <w:r>
        <w:rPr>
          <w:rFonts w:ascii="Arial" w:hAnsi="Arial" w:cs="Arial" w:eastAsia="Arial" w:hint="default"/>
          <w:spacing w:val="-1"/>
        </w:rPr>
        <w:t>9</w:t>
      </w:r>
      <w:r>
        <w:rPr>
          <w:spacing w:val="-1"/>
        </w:rPr>
        <w:t>）</w:t>
      </w:r>
      <w:r>
        <w:rPr>
          <w:rFonts w:ascii="Arial" w:hAnsi="Arial" w:cs="Arial" w:eastAsia="Arial" w:hint="default"/>
          <w:spacing w:val="-1"/>
        </w:rPr>
        <w:t>7</w:t>
      </w:r>
      <w:r>
        <w:rPr>
          <w:spacing w:val="-1"/>
        </w:rPr>
        <w:t>月，公司及全资子公司福建榕基软件工程有限公司获得</w:t>
      </w:r>
      <w:r>
        <w:rPr>
          <w:rFonts w:ascii="Arial" w:hAnsi="Arial" w:cs="Arial" w:eastAsia="Arial" w:hint="default"/>
          <w:spacing w:val="-1"/>
        </w:rPr>
        <w:t>“</w:t>
      </w:r>
      <w:r>
        <w:rPr>
          <w:spacing w:val="-1"/>
        </w:rPr>
        <w:t>国家规划布局内的重点软件企业</w:t>
      </w:r>
      <w:r>
        <w:rPr>
          <w:rFonts w:ascii="Arial" w:hAnsi="Arial" w:cs="Arial" w:eastAsia="Arial" w:hint="default"/>
          <w:spacing w:val="-1"/>
        </w:rPr>
        <w:t>”</w:t>
      </w:r>
      <w:r>
        <w:rPr>
          <w:spacing w:val="-1"/>
        </w:rPr>
        <w:t>称号；经河南省发改委</w:t>
      </w:r>
      <w:r>
        <w:rPr/>
        <w:t> 评审，公司入选河南首批综合信用服务机构试点单位名单。</w:t>
      </w:r>
    </w:p>
    <w:p>
      <w:pPr>
        <w:pStyle w:val="BodyText"/>
        <w:spacing w:line="302" w:lineRule="auto" w:before="77"/>
        <w:ind w:left="153" w:right="0" w:firstLine="360"/>
        <w:jc w:val="left"/>
      </w:pPr>
      <w:r>
        <w:rPr>
          <w:spacing w:val="-1"/>
        </w:rPr>
        <w:t>（</w:t>
      </w:r>
      <w:r>
        <w:rPr>
          <w:rFonts w:ascii="Arial" w:hAnsi="Arial" w:cs="Arial" w:eastAsia="Arial" w:hint="default"/>
          <w:spacing w:val="-1"/>
        </w:rPr>
        <w:t>10</w:t>
      </w:r>
      <w:r>
        <w:rPr>
          <w:spacing w:val="-1"/>
        </w:rPr>
        <w:t>）</w:t>
      </w:r>
      <w:r>
        <w:rPr>
          <w:rFonts w:ascii="Arial" w:hAnsi="Arial" w:cs="Arial" w:eastAsia="Arial" w:hint="default"/>
          <w:spacing w:val="-1"/>
        </w:rPr>
        <w:t>7</w:t>
      </w:r>
      <w:r>
        <w:rPr>
          <w:spacing w:val="-1"/>
        </w:rPr>
        <w:t>月，由公司承建的厦门法院点对点网络执行查控系统，新增不动产网络司法控制模块，更全面服务当地法院业</w:t>
      </w:r>
      <w:r>
        <w:rPr/>
        <w:t> 务工作，为厦门法院实现了不动产执行全流程在线办理。</w:t>
      </w:r>
    </w:p>
    <w:p>
      <w:pPr>
        <w:pStyle w:val="BodyText"/>
        <w:spacing w:line="302" w:lineRule="auto" w:before="77"/>
        <w:ind w:left="153" w:right="0" w:firstLine="360"/>
        <w:jc w:val="left"/>
      </w:pPr>
      <w:r>
        <w:rPr>
          <w:spacing w:val="-1"/>
        </w:rPr>
        <w:t>（</w:t>
      </w:r>
      <w:r>
        <w:rPr>
          <w:rFonts w:ascii="Arial" w:hAnsi="Arial" w:cs="Arial" w:eastAsia="Arial" w:hint="default"/>
          <w:spacing w:val="-1"/>
        </w:rPr>
        <w:t>11</w:t>
      </w:r>
      <w:r>
        <w:rPr>
          <w:spacing w:val="-1"/>
        </w:rPr>
        <w:t>）</w:t>
      </w:r>
      <w:r>
        <w:rPr>
          <w:rFonts w:ascii="Arial" w:hAnsi="Arial" w:cs="Arial" w:eastAsia="Arial" w:hint="default"/>
          <w:spacing w:val="-1"/>
        </w:rPr>
        <w:t>8</w:t>
      </w:r>
      <w:r>
        <w:rPr>
          <w:spacing w:val="-1"/>
        </w:rPr>
        <w:t>月，公司与河南省新乡市发改委签订项目协议，着手承建新乡市市县一体化联合奖惩系统，为当地社会信用体</w:t>
      </w:r>
      <w:r>
        <w:rPr/>
        <w:t> 系建设基础提供了保障。</w:t>
      </w:r>
    </w:p>
    <w:p>
      <w:pPr>
        <w:pStyle w:val="BodyText"/>
        <w:spacing w:line="302" w:lineRule="auto" w:before="77"/>
        <w:ind w:left="153" w:right="1166" w:firstLine="360"/>
        <w:jc w:val="left"/>
      </w:pPr>
      <w:r>
        <w:rPr/>
        <w:t>（</w:t>
      </w:r>
      <w:r>
        <w:rPr>
          <w:rFonts w:ascii="Arial" w:hAnsi="Arial" w:cs="Arial" w:eastAsia="Arial" w:hint="default"/>
        </w:rPr>
        <w:t>12</w:t>
      </w:r>
      <w:r>
        <w:rPr/>
        <w:t>）</w:t>
      </w:r>
      <w:r>
        <w:rPr>
          <w:rFonts w:ascii="Arial" w:hAnsi="Arial" w:cs="Arial" w:eastAsia="Arial" w:hint="default"/>
        </w:rPr>
        <w:t>8</w:t>
      </w:r>
      <w:r>
        <w:rPr/>
        <w:t>月，公司开发并提供技术支持的</w:t>
      </w:r>
      <w:r>
        <w:rPr>
          <w:rFonts w:ascii="Arial" w:hAnsi="Arial" w:cs="Arial" w:eastAsia="Arial" w:hint="default"/>
        </w:rPr>
        <w:t>“</w:t>
      </w:r>
      <w:r>
        <w:rPr/>
        <w:t>浙里督</w:t>
      </w:r>
      <w:r>
        <w:rPr>
          <w:rFonts w:ascii="Arial" w:hAnsi="Arial" w:cs="Arial" w:eastAsia="Arial" w:hint="default"/>
        </w:rPr>
        <w:t>”</w:t>
      </w:r>
      <w:r>
        <w:rPr/>
        <w:t>上线，浙江省</w:t>
      </w:r>
      <w:r>
        <w:rPr>
          <w:rFonts w:ascii="Arial" w:hAnsi="Arial" w:cs="Arial" w:eastAsia="Arial" w:hint="default"/>
        </w:rPr>
        <w:t>“</w:t>
      </w:r>
      <w:r>
        <w:rPr/>
        <w:t>互联网</w:t>
      </w:r>
      <w:r>
        <w:rPr>
          <w:rFonts w:ascii="Arial" w:hAnsi="Arial" w:cs="Arial" w:eastAsia="Arial" w:hint="default"/>
        </w:rPr>
        <w:t>+</w:t>
      </w:r>
      <w:r>
        <w:rPr/>
        <w:t>督查</w:t>
      </w:r>
      <w:r>
        <w:rPr>
          <w:rFonts w:ascii="Arial" w:hAnsi="Arial" w:cs="Arial" w:eastAsia="Arial" w:hint="default"/>
        </w:rPr>
        <w:t>”</w:t>
      </w:r>
      <w:r>
        <w:rPr/>
        <w:t>平台</w:t>
      </w:r>
      <w:r>
        <w:rPr>
          <w:rFonts w:ascii="Arial" w:hAnsi="Arial" w:cs="Arial" w:eastAsia="Arial" w:hint="default"/>
        </w:rPr>
        <w:t>——“</w:t>
      </w:r>
      <w:r>
        <w:rPr/>
        <w:t>浙里督</w:t>
      </w:r>
      <w:r>
        <w:rPr>
          <w:rFonts w:ascii="Arial" w:hAnsi="Arial" w:cs="Arial" w:eastAsia="Arial" w:hint="default"/>
        </w:rPr>
        <w:t>”</w:t>
      </w:r>
      <w:r>
        <w:rPr/>
        <w:t>以政府数字化转型推进 行政效能建设，形成了</w:t>
      </w:r>
      <w:r>
        <w:rPr>
          <w:rFonts w:ascii="Arial" w:hAnsi="Arial" w:cs="Arial" w:eastAsia="Arial" w:hint="default"/>
        </w:rPr>
        <w:t>“</w:t>
      </w:r>
      <w:r>
        <w:rPr/>
        <w:t>互联网</w:t>
      </w:r>
      <w:r>
        <w:rPr>
          <w:rFonts w:ascii="Arial" w:hAnsi="Arial" w:cs="Arial" w:eastAsia="Arial" w:hint="default"/>
        </w:rPr>
        <w:t>+</w:t>
      </w:r>
      <w:r>
        <w:rPr/>
        <w:t>政务服务</w:t>
      </w:r>
      <w:r>
        <w:rPr>
          <w:rFonts w:ascii="Arial" w:hAnsi="Arial" w:cs="Arial" w:eastAsia="Arial" w:hint="default"/>
        </w:rPr>
        <w:t>”</w:t>
      </w:r>
      <w:r>
        <w:rPr/>
        <w:t>、</w:t>
      </w:r>
      <w:r>
        <w:rPr>
          <w:rFonts w:ascii="Arial" w:hAnsi="Arial" w:cs="Arial" w:eastAsia="Arial" w:hint="default"/>
        </w:rPr>
        <w:t>“</w:t>
      </w:r>
      <w:r>
        <w:rPr/>
        <w:t>互联网</w:t>
      </w:r>
      <w:r>
        <w:rPr>
          <w:rFonts w:ascii="Arial" w:hAnsi="Arial" w:cs="Arial" w:eastAsia="Arial" w:hint="default"/>
        </w:rPr>
        <w:t>+</w:t>
      </w:r>
      <w:r>
        <w:rPr/>
        <w:t>监管</w:t>
      </w:r>
      <w:r>
        <w:rPr>
          <w:rFonts w:ascii="Arial" w:hAnsi="Arial" w:cs="Arial" w:eastAsia="Arial" w:hint="default"/>
        </w:rPr>
        <w:t>”</w:t>
      </w:r>
      <w:r>
        <w:rPr/>
        <w:t>、</w:t>
      </w:r>
      <w:r>
        <w:rPr>
          <w:rFonts w:ascii="Arial" w:hAnsi="Arial" w:cs="Arial" w:eastAsia="Arial" w:hint="default"/>
        </w:rPr>
        <w:t>“</w:t>
      </w:r>
      <w:r>
        <w:rPr/>
        <w:t>互联网</w:t>
      </w:r>
      <w:r>
        <w:rPr>
          <w:rFonts w:ascii="Arial" w:hAnsi="Arial" w:cs="Arial" w:eastAsia="Arial" w:hint="default"/>
        </w:rPr>
        <w:t>+</w:t>
      </w:r>
      <w:r>
        <w:rPr/>
        <w:t>督查</w:t>
      </w:r>
      <w:r>
        <w:rPr>
          <w:rFonts w:ascii="Arial" w:hAnsi="Arial" w:cs="Arial" w:eastAsia="Arial" w:hint="default"/>
        </w:rPr>
        <w:t>”</w:t>
      </w:r>
      <w:r>
        <w:rPr/>
        <w:t>并驾齐驱的局面。</w:t>
      </w:r>
    </w:p>
    <w:p>
      <w:pPr>
        <w:spacing w:after="0" w:line="302"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09" w:lineRule="auto" w:before="44"/>
        <w:ind w:left="153" w:right="1130" w:firstLine="360"/>
        <w:jc w:val="both"/>
      </w:pPr>
      <w:r>
        <w:rPr>
          <w:spacing w:val="-1"/>
        </w:rPr>
        <w:t>（</w:t>
      </w:r>
      <w:r>
        <w:rPr>
          <w:rFonts w:ascii="Arial" w:hAnsi="Arial" w:cs="Arial" w:eastAsia="Arial" w:hint="default"/>
          <w:spacing w:val="-1"/>
        </w:rPr>
        <w:t>13</w:t>
      </w:r>
      <w:r>
        <w:rPr>
          <w:spacing w:val="-1"/>
        </w:rPr>
        <w:t>）</w:t>
      </w:r>
      <w:r>
        <w:rPr>
          <w:rFonts w:ascii="Arial" w:hAnsi="Arial" w:cs="Arial" w:eastAsia="Arial" w:hint="default"/>
          <w:spacing w:val="-1"/>
        </w:rPr>
        <w:t>8</w:t>
      </w:r>
      <w:r>
        <w:rPr>
          <w:spacing w:val="-1"/>
        </w:rPr>
        <w:t>月，公司与河南省环境监控中心签订项目建设协议，承建河南省生态环境综合管理平台（一期）项目，着眼于</w:t>
      </w:r>
      <w:r>
        <w:rPr/>
        <w:t> </w:t>
      </w:r>
      <w:r>
        <w:rPr>
          <w:spacing w:val="-2"/>
        </w:rPr>
        <w:t>为河南省生态环境综合决策科学化、生态环境监管精准化、生态环境公共服务便民化等生态环境大数据应用提供坚实的数据</w:t>
      </w:r>
      <w:r>
        <w:rPr>
          <w:spacing w:val="-64"/>
        </w:rPr>
        <w:t> </w:t>
      </w:r>
      <w:r>
        <w:rPr>
          <w:spacing w:val="-64"/>
        </w:rPr>
      </w:r>
      <w:r>
        <w:rPr/>
        <w:t>支撑。</w:t>
      </w:r>
    </w:p>
    <w:p>
      <w:pPr>
        <w:pStyle w:val="BodyText"/>
        <w:spacing w:line="240" w:lineRule="auto" w:before="72"/>
        <w:ind w:left="513" w:right="2239"/>
        <w:jc w:val="left"/>
      </w:pPr>
      <w:r>
        <w:rPr/>
        <w:t>（</w:t>
      </w:r>
      <w:r>
        <w:rPr>
          <w:rFonts w:ascii="Arial" w:hAnsi="Arial" w:cs="Arial" w:eastAsia="Arial" w:hint="default"/>
        </w:rPr>
        <w:t>14</w:t>
      </w:r>
      <w:r>
        <w:rPr/>
        <w:t>）</w:t>
      </w:r>
      <w:r>
        <w:rPr>
          <w:rFonts w:ascii="Arial" w:hAnsi="Arial" w:cs="Arial" w:eastAsia="Arial" w:hint="default"/>
        </w:rPr>
        <w:t>10</w:t>
      </w:r>
      <w:r>
        <w:rPr/>
        <w:t>月，公司入选互联网周刊</w:t>
      </w:r>
      <w:r>
        <w:rPr>
          <w:rFonts w:ascii="Arial" w:hAnsi="Arial" w:cs="Arial" w:eastAsia="Arial" w:hint="default"/>
        </w:rPr>
        <w:t>&amp;eNet</w:t>
      </w:r>
      <w:r>
        <w:rPr/>
        <w:t>研究院发布的</w:t>
      </w:r>
      <w:r>
        <w:rPr>
          <w:rFonts w:ascii="Arial" w:hAnsi="Arial" w:cs="Arial" w:eastAsia="Arial" w:hint="default"/>
        </w:rPr>
        <w:t>“2019</w:t>
      </w:r>
      <w:r>
        <w:rPr/>
        <w:t>数字中国建设企业</w:t>
      </w:r>
      <w:r>
        <w:rPr>
          <w:rFonts w:ascii="Arial" w:hAnsi="Arial" w:cs="Arial" w:eastAsia="Arial" w:hint="default"/>
        </w:rPr>
        <w:t>TOP100”</w:t>
      </w:r>
      <w:r>
        <w:rPr/>
        <w:t>榜单。</w:t>
      </w:r>
    </w:p>
    <w:p>
      <w:pPr>
        <w:pStyle w:val="BodyText"/>
        <w:spacing w:line="302" w:lineRule="auto" w:before="111"/>
        <w:ind w:left="153" w:right="1131" w:firstLine="360"/>
        <w:jc w:val="both"/>
      </w:pPr>
      <w:r>
        <w:rPr/>
        <w:t>（</w:t>
      </w:r>
      <w:r>
        <w:rPr>
          <w:rFonts w:ascii="Arial" w:hAnsi="Arial" w:cs="Arial" w:eastAsia="Arial" w:hint="default"/>
        </w:rPr>
        <w:t>15</w:t>
      </w:r>
      <w:r>
        <w:rPr/>
        <w:t>）</w:t>
      </w:r>
      <w:r>
        <w:rPr>
          <w:rFonts w:ascii="Arial" w:hAnsi="Arial" w:cs="Arial" w:eastAsia="Arial" w:hint="default"/>
        </w:rPr>
        <w:t>10</w:t>
      </w:r>
      <w:r>
        <w:rPr/>
        <w:t>月，公司与福建师范大学联合研发的运用大数据技术的智能化法院服务平台，获得福建省人民政府授予的</w:t>
      </w:r>
      <w:r>
        <w:rPr>
          <w:rFonts w:ascii="Arial" w:hAnsi="Arial" w:cs="Arial" w:eastAsia="Arial" w:hint="default"/>
        </w:rPr>
        <w:t>“</w:t>
      </w:r>
      <w:r>
        <w:rPr/>
        <w:t>福 建省科学技术进步奖三等奖</w:t>
      </w:r>
      <w:r>
        <w:rPr>
          <w:rFonts w:ascii="Arial" w:hAnsi="Arial" w:cs="Arial" w:eastAsia="Arial" w:hint="default"/>
        </w:rPr>
        <w:t>”</w:t>
      </w:r>
      <w:r>
        <w:rPr/>
        <w:t>。</w:t>
      </w:r>
    </w:p>
    <w:p>
      <w:pPr>
        <w:pStyle w:val="BodyText"/>
        <w:spacing w:line="302" w:lineRule="auto" w:before="59"/>
        <w:ind w:left="153" w:right="1130" w:firstLine="360"/>
        <w:jc w:val="both"/>
      </w:pPr>
      <w:r>
        <w:rPr/>
        <w:t>（</w:t>
      </w:r>
      <w:r>
        <w:rPr>
          <w:rFonts w:ascii="Arial" w:hAnsi="Arial" w:cs="Arial" w:eastAsia="Arial" w:hint="default"/>
        </w:rPr>
        <w:t>16</w:t>
      </w:r>
      <w:r>
        <w:rPr/>
        <w:t>）</w:t>
      </w:r>
      <w:r>
        <w:rPr>
          <w:rFonts w:ascii="Arial" w:hAnsi="Arial" w:cs="Arial" w:eastAsia="Arial" w:hint="default"/>
        </w:rPr>
        <w:t>11</w:t>
      </w:r>
      <w:r>
        <w:rPr/>
        <w:t>月，公司与河南省驻马店市发改委签订建设合同，承建驻马店市公共信用信息平台（征信平台）升级改造项 </w:t>
      </w:r>
      <w:r>
        <w:rPr>
          <w:spacing w:val="-2"/>
        </w:rPr>
        <w:t>目，建立</w:t>
      </w:r>
      <w:r>
        <w:rPr>
          <w:rFonts w:ascii="Arial" w:hAnsi="Arial" w:cs="Arial" w:eastAsia="Arial" w:hint="default"/>
          <w:spacing w:val="-2"/>
        </w:rPr>
        <w:t>“</w:t>
      </w:r>
      <w:r>
        <w:rPr>
          <w:spacing w:val="-2"/>
        </w:rPr>
        <w:t>一体化信用云体系</w:t>
      </w:r>
      <w:r>
        <w:rPr>
          <w:rFonts w:ascii="Arial" w:hAnsi="Arial" w:cs="Arial" w:eastAsia="Arial" w:hint="default"/>
          <w:spacing w:val="-2"/>
        </w:rPr>
        <w:t>”</w:t>
      </w:r>
      <w:r>
        <w:rPr>
          <w:spacing w:val="-2"/>
        </w:rPr>
        <w:t>，有效支撑社会信用体系建设。公司已与河南省、新乡市、驻马店市、许昌市等省</w:t>
      </w:r>
      <w:r>
        <w:rPr>
          <w:rFonts w:ascii="Arial" w:hAnsi="Arial" w:cs="Arial" w:eastAsia="Arial" w:hint="default"/>
          <w:spacing w:val="-2"/>
        </w:rPr>
        <w:t>/</w:t>
      </w:r>
      <w:r>
        <w:rPr>
          <w:spacing w:val="-2"/>
        </w:rPr>
        <w:t>地市签署公</w:t>
      </w:r>
      <w:r>
        <w:rPr>
          <w:spacing w:val="-50"/>
        </w:rPr>
        <w:t> </w:t>
      </w:r>
      <w:r>
        <w:rPr/>
        <w:t>共信用信息平台建设、升级改造项目，后续将逐步推广。</w:t>
      </w:r>
    </w:p>
    <w:p>
      <w:pPr>
        <w:pStyle w:val="BodyText"/>
        <w:spacing w:line="240" w:lineRule="auto" w:before="77"/>
        <w:ind w:left="513" w:right="2239"/>
        <w:jc w:val="left"/>
      </w:pPr>
      <w:r>
        <w:rPr/>
        <w:t>（</w:t>
      </w:r>
      <w:r>
        <w:rPr>
          <w:rFonts w:ascii="Arial" w:hAnsi="Arial" w:cs="Arial" w:eastAsia="Arial" w:hint="default"/>
        </w:rPr>
        <w:t>17</w:t>
      </w:r>
      <w:r>
        <w:rPr/>
        <w:t>）</w:t>
      </w:r>
      <w:r>
        <w:rPr>
          <w:rFonts w:ascii="Arial" w:hAnsi="Arial" w:cs="Arial" w:eastAsia="Arial" w:hint="default"/>
        </w:rPr>
        <w:t>12</w:t>
      </w:r>
      <w:r>
        <w:rPr/>
        <w:t>月，以</w:t>
      </w:r>
      <w:r>
        <w:rPr>
          <w:rFonts w:ascii="Arial" w:hAnsi="Arial" w:cs="Arial" w:eastAsia="Arial" w:hint="default"/>
        </w:rPr>
        <w:t>“</w:t>
      </w:r>
      <w:r>
        <w:rPr/>
        <w:t>榕创安全，基于可信</w:t>
      </w:r>
      <w:r>
        <w:rPr>
          <w:rFonts w:ascii="Arial" w:hAnsi="Arial" w:cs="Arial" w:eastAsia="Arial" w:hint="default"/>
        </w:rPr>
        <w:t>”</w:t>
      </w:r>
      <w:r>
        <w:rPr/>
        <w:t>为主题的</w:t>
      </w:r>
      <w:r>
        <w:rPr>
          <w:rFonts w:ascii="Arial" w:hAnsi="Arial" w:cs="Arial" w:eastAsia="Arial" w:hint="default"/>
        </w:rPr>
        <w:t>2019</w:t>
      </w:r>
      <w:r>
        <w:rPr/>
        <w:t>年度榕基（北京）合作伙伴大会盛大开幕。</w:t>
      </w:r>
    </w:p>
    <w:p>
      <w:pPr>
        <w:pStyle w:val="BodyText"/>
        <w:spacing w:line="240" w:lineRule="auto" w:before="111"/>
        <w:ind w:left="513" w:right="2239"/>
        <w:jc w:val="left"/>
      </w:pPr>
      <w:r>
        <w:rPr/>
        <w:t>（</w:t>
      </w:r>
      <w:r>
        <w:rPr>
          <w:rFonts w:ascii="Arial" w:hAnsi="Arial" w:cs="Arial" w:eastAsia="Arial" w:hint="default"/>
        </w:rPr>
        <w:t>18</w:t>
      </w:r>
      <w:r>
        <w:rPr/>
        <w:t>）</w:t>
      </w:r>
      <w:r>
        <w:rPr>
          <w:rFonts w:ascii="Arial" w:hAnsi="Arial" w:cs="Arial" w:eastAsia="Arial" w:hint="default"/>
        </w:rPr>
        <w:t>12</w:t>
      </w:r>
      <w:r>
        <w:rPr/>
        <w:t>月，经福州高新区科学技术局组织专家评审，公司旗下工程公司获评福州高新区</w:t>
      </w:r>
      <w:r>
        <w:rPr>
          <w:rFonts w:ascii="Arial" w:hAnsi="Arial" w:cs="Arial" w:eastAsia="Arial" w:hint="default"/>
        </w:rPr>
        <w:t>“</w:t>
      </w:r>
      <w:r>
        <w:rPr/>
        <w:t>瞪羚企业</w:t>
      </w:r>
      <w:r>
        <w:rPr>
          <w:rFonts w:ascii="Arial" w:hAnsi="Arial" w:cs="Arial" w:eastAsia="Arial" w:hint="default"/>
        </w:rPr>
        <w:t>”</w:t>
      </w:r>
      <w:r>
        <w:rPr/>
        <w:t>。</w:t>
      </w:r>
    </w:p>
    <w:p>
      <w:pPr>
        <w:pStyle w:val="BodyText"/>
        <w:spacing w:line="302" w:lineRule="auto" w:before="111"/>
        <w:ind w:left="153" w:right="1131" w:firstLine="360"/>
        <w:jc w:val="both"/>
      </w:pPr>
      <w:r>
        <w:rPr/>
        <w:t>（</w:t>
      </w:r>
      <w:r>
        <w:rPr>
          <w:rFonts w:ascii="Arial" w:hAnsi="Arial" w:cs="Arial" w:eastAsia="Arial" w:hint="default"/>
        </w:rPr>
        <w:t>19</w:t>
      </w:r>
      <w:r>
        <w:rPr/>
        <w:t>）</w:t>
      </w:r>
      <w:r>
        <w:rPr>
          <w:rFonts w:ascii="Arial" w:hAnsi="Arial" w:cs="Arial" w:eastAsia="Arial" w:hint="default"/>
        </w:rPr>
        <w:t>2020</w:t>
      </w:r>
      <w:r>
        <w:rPr/>
        <w:t>年</w:t>
      </w:r>
      <w:r>
        <w:rPr>
          <w:rFonts w:ascii="Arial" w:hAnsi="Arial" w:cs="Arial" w:eastAsia="Arial" w:hint="default"/>
        </w:rPr>
        <w:t>1</w:t>
      </w:r>
      <w:r>
        <w:rPr/>
        <w:t>月，承建的河南社区矫正综合管理指挥平台正式上线。其上线，标志着河南省</w:t>
      </w:r>
      <w:r>
        <w:rPr>
          <w:rFonts w:ascii="Arial" w:hAnsi="Arial" w:cs="Arial" w:eastAsia="Arial" w:hint="default"/>
        </w:rPr>
        <w:t>“</w:t>
      </w:r>
      <w:r>
        <w:rPr/>
        <w:t>智慧矫正</w:t>
      </w:r>
      <w:r>
        <w:rPr>
          <w:rFonts w:ascii="Arial" w:hAnsi="Arial" w:cs="Arial" w:eastAsia="Arial" w:hint="default"/>
        </w:rPr>
        <w:t>”</w:t>
      </w:r>
      <w:r>
        <w:rPr/>
        <w:t>建设取得阶段 性成果。</w:t>
      </w:r>
    </w:p>
    <w:p>
      <w:pPr>
        <w:pStyle w:val="BodyText"/>
        <w:spacing w:line="302" w:lineRule="auto" w:before="77"/>
        <w:ind w:left="153" w:right="1128" w:firstLine="360"/>
        <w:jc w:val="both"/>
      </w:pPr>
      <w:r>
        <w:rPr>
          <w:spacing w:val="-2"/>
        </w:rPr>
        <w:t>（</w:t>
      </w:r>
      <w:r>
        <w:rPr>
          <w:rFonts w:ascii="Arial" w:hAnsi="Arial" w:cs="Arial" w:eastAsia="Arial" w:hint="default"/>
          <w:spacing w:val="-2"/>
        </w:rPr>
        <w:t>20</w:t>
      </w:r>
      <w:r>
        <w:rPr>
          <w:spacing w:val="-2"/>
        </w:rPr>
        <w:t>）</w:t>
      </w:r>
      <w:r>
        <w:rPr>
          <w:rFonts w:ascii="Arial" w:hAnsi="Arial" w:cs="Arial" w:eastAsia="Arial" w:hint="default"/>
          <w:spacing w:val="-2"/>
        </w:rPr>
        <w:t>2020</w:t>
      </w:r>
      <w:r>
        <w:rPr>
          <w:spacing w:val="-2"/>
        </w:rPr>
        <w:t>年</w:t>
      </w:r>
      <w:r>
        <w:rPr>
          <w:rFonts w:ascii="Arial" w:hAnsi="Arial" w:cs="Arial" w:eastAsia="Arial" w:hint="default"/>
          <w:spacing w:val="-2"/>
        </w:rPr>
        <w:t>1</w:t>
      </w:r>
      <w:r>
        <w:rPr>
          <w:spacing w:val="-2"/>
        </w:rPr>
        <w:t>月，福州市人民政府公布了福州市民营数字经济示范企业名单，公司获评此项荣誉，成为其中</w:t>
      </w:r>
      <w:r>
        <w:rPr>
          <w:rFonts w:ascii="Arial" w:hAnsi="Arial" w:cs="Arial" w:eastAsia="Arial" w:hint="default"/>
          <w:spacing w:val="-2"/>
        </w:rPr>
        <w:t>10</w:t>
      </w:r>
      <w:r>
        <w:rPr>
          <w:spacing w:val="-2"/>
        </w:rPr>
        <w:t>家数字</w:t>
      </w:r>
      <w:r>
        <w:rPr/>
        <w:t> 化产业示范企业之一。</w:t>
      </w:r>
    </w:p>
    <w:p>
      <w:pPr>
        <w:pStyle w:val="BodyText"/>
        <w:spacing w:line="302" w:lineRule="auto" w:before="77"/>
        <w:ind w:left="153" w:right="1130" w:firstLine="360"/>
        <w:jc w:val="both"/>
      </w:pPr>
      <w:r>
        <w:rPr>
          <w:spacing w:val="-2"/>
        </w:rPr>
        <w:t>（</w:t>
      </w:r>
      <w:r>
        <w:rPr>
          <w:rFonts w:ascii="Arial" w:hAnsi="Arial" w:cs="Arial" w:eastAsia="Arial" w:hint="default"/>
          <w:spacing w:val="-2"/>
        </w:rPr>
        <w:t>21</w:t>
      </w:r>
      <w:r>
        <w:rPr>
          <w:spacing w:val="-2"/>
        </w:rPr>
        <w:t>）</w:t>
      </w:r>
      <w:r>
        <w:rPr>
          <w:rFonts w:ascii="Arial" w:hAnsi="Arial" w:cs="Arial" w:eastAsia="Arial" w:hint="default"/>
          <w:spacing w:val="-2"/>
        </w:rPr>
        <w:t>2020</w:t>
      </w:r>
      <w:r>
        <w:rPr>
          <w:spacing w:val="-2"/>
        </w:rPr>
        <w:t>年</w:t>
      </w:r>
      <w:r>
        <w:rPr>
          <w:rFonts w:ascii="Arial" w:hAnsi="Arial" w:cs="Arial" w:eastAsia="Arial" w:hint="default"/>
          <w:spacing w:val="-2"/>
        </w:rPr>
        <w:t>1</w:t>
      </w:r>
      <w:r>
        <w:rPr>
          <w:spacing w:val="-2"/>
        </w:rPr>
        <w:t>月，国家发改委、科技部、财政部、海关总署、税务总局联合公布了第</w:t>
      </w:r>
      <w:r>
        <w:rPr>
          <w:rFonts w:ascii="Arial" w:hAnsi="Arial" w:cs="Arial" w:eastAsia="Arial" w:hint="default"/>
          <w:spacing w:val="-2"/>
        </w:rPr>
        <w:t>26</w:t>
      </w:r>
      <w:r>
        <w:rPr>
          <w:spacing w:val="-2"/>
        </w:rPr>
        <w:t>批国家企业技术中心名单，榕</w:t>
      </w:r>
      <w:r>
        <w:rPr/>
        <w:t> 基软件技术中心获评入选。</w:t>
      </w:r>
    </w:p>
    <w:p>
      <w:pPr>
        <w:pStyle w:val="BodyText"/>
        <w:spacing w:line="307" w:lineRule="auto" w:before="77"/>
        <w:ind w:right="1129" w:firstLine="360"/>
        <w:jc w:val="both"/>
      </w:pPr>
      <w:r>
        <w:rPr>
          <w:spacing w:val="-2"/>
        </w:rPr>
        <w:t>（</w:t>
      </w:r>
      <w:r>
        <w:rPr>
          <w:rFonts w:ascii="Arial" w:hAnsi="Arial" w:cs="Arial" w:eastAsia="Arial" w:hint="default"/>
          <w:spacing w:val="-2"/>
        </w:rPr>
        <w:t>22</w:t>
      </w:r>
      <w:r>
        <w:rPr>
          <w:spacing w:val="-2"/>
        </w:rPr>
        <w:t>）</w:t>
      </w:r>
      <w:r>
        <w:rPr>
          <w:rFonts w:ascii="Arial" w:hAnsi="Arial" w:cs="Arial" w:eastAsia="Arial" w:hint="default"/>
          <w:spacing w:val="-2"/>
        </w:rPr>
        <w:t>2020</w:t>
      </w:r>
      <w:r>
        <w:rPr>
          <w:spacing w:val="-2"/>
        </w:rPr>
        <w:t>年</w:t>
      </w:r>
      <w:r>
        <w:rPr>
          <w:rFonts w:ascii="Arial" w:hAnsi="Arial" w:cs="Arial" w:eastAsia="Arial" w:hint="default"/>
          <w:spacing w:val="-2"/>
        </w:rPr>
        <w:t>2</w:t>
      </w:r>
      <w:r>
        <w:rPr>
          <w:spacing w:val="-2"/>
        </w:rPr>
        <w:t>月，榕基三款产品入选福州市首批疫情防控软件和信息技术服务产品参考目录；公司河南社区矫正综合</w:t>
      </w:r>
      <w:r>
        <w:rPr/>
        <w:t> </w:t>
      </w:r>
      <w:r>
        <w:rPr>
          <w:spacing w:val="-2"/>
        </w:rPr>
        <w:t>管理指挥平台项目团队坚守平台运维保障工作岗位，积极为河南省司法厅社区矫正管理局做好疫情期间社区矫正工作提供信</w:t>
      </w:r>
      <w:r>
        <w:rPr>
          <w:spacing w:val="-64"/>
        </w:rPr>
        <w:t> </w:t>
      </w:r>
      <w:r>
        <w:rPr>
          <w:spacing w:val="-64"/>
        </w:rPr>
      </w:r>
      <w:r>
        <w:rPr/>
        <w:t>息技术服务；公司限时免费为客户伙伴开放共享</w:t>
      </w:r>
      <w:r>
        <w:rPr>
          <w:rFonts w:ascii="Arial" w:hAnsi="Arial" w:cs="Arial" w:eastAsia="Arial" w:hint="default"/>
        </w:rPr>
        <w:t>iTask</w:t>
      </w:r>
      <w:r>
        <w:rPr/>
        <w:t>移动协同管理平台并提供技术支持服务；自主研发的榕基疫情应急值 班管理系统入选《河南省疫情防控相关软件产品和解决方案目录》。</w:t>
      </w:r>
    </w:p>
    <w:p>
      <w:pPr>
        <w:pStyle w:val="BodyText"/>
        <w:spacing w:line="302" w:lineRule="auto" w:before="74"/>
        <w:ind w:right="1218" w:firstLine="360"/>
        <w:jc w:val="both"/>
      </w:pPr>
      <w:r>
        <w:rPr/>
        <w:t>（</w:t>
      </w:r>
      <w:r>
        <w:rPr>
          <w:rFonts w:ascii="Arial" w:hAnsi="Arial" w:cs="Arial" w:eastAsia="Arial" w:hint="default"/>
        </w:rPr>
        <w:t>23</w:t>
      </w:r>
      <w:r>
        <w:rPr/>
        <w:t>）</w:t>
      </w:r>
      <w:r>
        <w:rPr>
          <w:rFonts w:ascii="Arial" w:hAnsi="Arial" w:cs="Arial" w:eastAsia="Arial" w:hint="default"/>
        </w:rPr>
        <w:t>2020</w:t>
      </w:r>
      <w:r>
        <w:rPr/>
        <w:t>年</w:t>
      </w:r>
      <w:r>
        <w:rPr>
          <w:rFonts w:ascii="Arial" w:hAnsi="Arial" w:cs="Arial" w:eastAsia="Arial" w:hint="default"/>
        </w:rPr>
        <w:t>4</w:t>
      </w:r>
      <w:r>
        <w:rPr/>
        <w:t>月，公司签订昆明海关</w:t>
      </w:r>
      <w:r>
        <w:rPr>
          <w:spacing w:val="-5"/>
        </w:rPr>
        <w:t> </w:t>
      </w:r>
      <w:r>
        <w:rPr>
          <w:rFonts w:ascii="Arial" w:hAnsi="Arial" w:cs="Arial" w:eastAsia="Arial" w:hint="default"/>
        </w:rPr>
        <w:t>“</w:t>
      </w:r>
      <w:r>
        <w:rPr/>
        <w:t>口岸卫检智慧通道</w:t>
      </w:r>
      <w:r>
        <w:rPr>
          <w:rFonts w:ascii="Arial" w:hAnsi="Arial" w:cs="Arial" w:eastAsia="Arial" w:hint="default"/>
        </w:rPr>
        <w:t>”</w:t>
      </w:r>
      <w:r>
        <w:rPr/>
        <w:t>项目，该项目将满足海关疫情防控一线工作的迫切需求， 成为扎牢境外输入防控</w:t>
      </w:r>
      <w:r>
        <w:rPr>
          <w:rFonts w:ascii="Arial" w:hAnsi="Arial" w:cs="Arial" w:eastAsia="Arial" w:hint="default"/>
        </w:rPr>
        <w:t>“</w:t>
      </w:r>
      <w:r>
        <w:rPr/>
        <w:t>第一道防线</w:t>
      </w:r>
      <w:r>
        <w:rPr>
          <w:rFonts w:ascii="Arial" w:hAnsi="Arial" w:cs="Arial" w:eastAsia="Arial" w:hint="default"/>
        </w:rPr>
        <w:t>”</w:t>
      </w:r>
      <w:r>
        <w:rPr/>
        <w:t>，同时，对公司未来继续拓展口岸商务卫生防疫等政府项目空间具有典型示范意义。</w:t>
      </w:r>
    </w:p>
    <w:p>
      <w:pPr>
        <w:spacing w:line="240" w:lineRule="auto" w:before="2"/>
        <w:rPr>
          <w:rFonts w:ascii="宋体" w:hAnsi="宋体" w:cs="宋体" w:eastAsia="宋体" w:hint="default"/>
          <w:sz w:val="20"/>
          <w:szCs w:val="20"/>
        </w:rPr>
      </w:pPr>
    </w:p>
    <w:p>
      <w:pPr>
        <w:pStyle w:val="Heading2"/>
        <w:spacing w:line="240" w:lineRule="auto"/>
        <w:ind w:right="2239"/>
        <w:jc w:val="left"/>
        <w:rPr>
          <w:b w:val="0"/>
          <w:bCs w:val="0"/>
        </w:rPr>
      </w:pPr>
      <w:r>
        <w:rPr/>
        <w:t>二、主营业务分析</w:t>
      </w:r>
      <w:r>
        <w:rPr>
          <w:b w:val="0"/>
          <w:bCs w:val="0"/>
        </w:rPr>
      </w:r>
    </w:p>
    <w:p>
      <w:pPr>
        <w:spacing w:line="240" w:lineRule="auto" w:before="8"/>
        <w:rPr>
          <w:rFonts w:ascii="宋体" w:hAnsi="宋体" w:cs="宋体" w:eastAsia="宋体" w:hint="default"/>
          <w:b/>
          <w:bCs/>
          <w:sz w:val="24"/>
          <w:szCs w:val="24"/>
        </w:rPr>
      </w:pPr>
    </w:p>
    <w:p>
      <w:pPr>
        <w:spacing w:line="547" w:lineRule="auto" w:before="0"/>
        <w:ind w:left="154" w:right="6550" w:firstLine="0"/>
        <w:jc w:val="left"/>
        <w:rPr>
          <w:rFonts w:ascii="宋体" w:hAnsi="宋体" w:cs="宋体" w:eastAsia="宋体" w:hint="default"/>
          <w:sz w:val="21"/>
          <w:szCs w:val="21"/>
        </w:rPr>
      </w:pPr>
      <w:r>
        <w:rPr>
          <w:rFonts w:ascii="Arial" w:hAnsi="Arial" w:cs="Arial" w:eastAsia="Arial" w:hint="default"/>
          <w:b/>
          <w:bCs/>
          <w:sz w:val="21"/>
          <w:szCs w:val="21"/>
        </w:rPr>
        <w:t>1</w:t>
      </w:r>
      <w:r>
        <w:rPr>
          <w:rFonts w:ascii="宋体" w:hAnsi="宋体" w:cs="宋体" w:eastAsia="宋体" w:hint="default"/>
          <w:b/>
          <w:bCs/>
          <w:sz w:val="21"/>
          <w:szCs w:val="21"/>
        </w:rPr>
        <w:t>、概述</w:t>
      </w:r>
      <w:r>
        <w:rPr>
          <w:rFonts w:ascii="宋体" w:hAnsi="宋体" w:cs="宋体" w:eastAsia="宋体" w:hint="default"/>
          <w:b/>
          <w:bCs/>
          <w:spacing w:val="1"/>
          <w:w w:val="99"/>
          <w:sz w:val="21"/>
          <w:szCs w:val="21"/>
        </w:rPr>
        <w:t> </w:t>
      </w:r>
      <w:r>
        <w:rPr>
          <w:rFonts w:ascii="宋体" w:hAnsi="宋体" w:cs="宋体" w:eastAsia="宋体" w:hint="default"/>
          <w:sz w:val="18"/>
          <w:szCs w:val="18"/>
        </w:rPr>
        <w:t>参见</w:t>
      </w:r>
      <w:r>
        <w:rPr>
          <w:rFonts w:ascii="Arial" w:hAnsi="Arial" w:cs="Arial" w:eastAsia="Arial" w:hint="default"/>
          <w:sz w:val="18"/>
          <w:szCs w:val="18"/>
        </w:rPr>
        <w:t>“</w:t>
      </w:r>
      <w:r>
        <w:rPr>
          <w:rFonts w:ascii="宋体" w:hAnsi="宋体" w:cs="宋体" w:eastAsia="宋体" w:hint="default"/>
          <w:sz w:val="18"/>
          <w:szCs w:val="18"/>
        </w:rPr>
        <w:t>经营情况讨论与分析</w:t>
      </w:r>
      <w:r>
        <w:rPr>
          <w:rFonts w:ascii="Arial" w:hAnsi="Arial" w:cs="Arial" w:eastAsia="Arial" w:hint="default"/>
          <w:sz w:val="18"/>
          <w:szCs w:val="18"/>
        </w:rPr>
        <w:t>”</w:t>
      </w:r>
      <w:r>
        <w:rPr>
          <w:rFonts w:ascii="宋体" w:hAnsi="宋体" w:cs="宋体" w:eastAsia="宋体" w:hint="default"/>
          <w:sz w:val="18"/>
          <w:szCs w:val="18"/>
        </w:rPr>
        <w:t>中的</w:t>
      </w:r>
      <w:r>
        <w:rPr>
          <w:rFonts w:ascii="Arial" w:hAnsi="Arial" w:cs="Arial" w:eastAsia="Arial" w:hint="default"/>
          <w:sz w:val="18"/>
          <w:szCs w:val="18"/>
        </w:rPr>
        <w:t>“</w:t>
      </w:r>
      <w:r>
        <w:rPr>
          <w:rFonts w:ascii="宋体" w:hAnsi="宋体" w:cs="宋体" w:eastAsia="宋体" w:hint="default"/>
          <w:sz w:val="18"/>
          <w:szCs w:val="18"/>
        </w:rPr>
        <w:t>一、概述</w:t>
      </w:r>
      <w:r>
        <w:rPr>
          <w:rFonts w:ascii="Arial" w:hAnsi="Arial" w:cs="Arial" w:eastAsia="Arial" w:hint="default"/>
          <w:sz w:val="18"/>
          <w:szCs w:val="18"/>
        </w:rPr>
        <w:t>”</w:t>
      </w:r>
      <w:r>
        <w:rPr>
          <w:rFonts w:ascii="宋体" w:hAnsi="宋体" w:cs="宋体" w:eastAsia="宋体" w:hint="default"/>
          <w:sz w:val="18"/>
          <w:szCs w:val="18"/>
        </w:rPr>
        <w:t>相关内容。 </w:t>
      </w:r>
      <w:r>
        <w:rPr>
          <w:rFonts w:ascii="Arial" w:hAnsi="Arial" w:cs="Arial" w:eastAsia="Arial" w:hint="default"/>
          <w:b/>
          <w:bCs/>
          <w:sz w:val="21"/>
          <w:szCs w:val="21"/>
        </w:rPr>
        <w:t>2</w:t>
      </w:r>
      <w:r>
        <w:rPr>
          <w:rFonts w:ascii="宋体" w:hAnsi="宋体" w:cs="宋体" w:eastAsia="宋体" w:hint="default"/>
          <w:b/>
          <w:bCs/>
          <w:sz w:val="21"/>
          <w:szCs w:val="21"/>
        </w:rPr>
        <w:t>、收入与成本</w:t>
      </w:r>
      <w:r>
        <w:rPr>
          <w:rFonts w:ascii="宋体" w:hAnsi="宋体" w:cs="宋体" w:eastAsia="宋体" w:hint="default"/>
          <w:sz w:val="21"/>
          <w:szCs w:val="21"/>
        </w:rPr>
      </w:r>
    </w:p>
    <w:p>
      <w:pPr>
        <w:pStyle w:val="Heading4"/>
        <w:spacing w:line="240" w:lineRule="auto" w:before="24"/>
        <w:ind w:left="153" w:right="2239"/>
        <w:jc w:val="left"/>
        <w:rPr>
          <w:b w:val="0"/>
          <w:bCs w:val="0"/>
        </w:rPr>
      </w:pPr>
      <w:r>
        <w:rPr/>
        <w:t>（</w:t>
      </w:r>
      <w:r>
        <w:rPr>
          <w:rFonts w:ascii="Arial" w:hAnsi="Arial" w:cs="Arial" w:eastAsia="Arial" w:hint="default"/>
        </w:rPr>
        <w:t>1</w:t>
      </w:r>
      <w:r>
        <w:rPr/>
        <w:t>）营业收入构成</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5"/>
        <w:gridCol w:w="1600"/>
        <w:gridCol w:w="1589"/>
        <w:gridCol w:w="1594"/>
        <w:gridCol w:w="1588"/>
        <w:gridCol w:w="1600"/>
      </w:tblGrid>
      <w:tr>
        <w:trPr>
          <w:trHeight w:val="205" w:hRule="exact"/>
        </w:trPr>
        <w:tc>
          <w:tcPr>
            <w:tcW w:w="1585" w:type="dxa"/>
            <w:tcBorders>
              <w:top w:val="single" w:sz="4" w:space="0" w:color="000000"/>
              <w:left w:val="single" w:sz="4" w:space="0" w:color="000000"/>
              <w:bottom w:val="nil" w:sz="6" w:space="0" w:color="auto"/>
              <w:right w:val="single" w:sz="4" w:space="0" w:color="000000"/>
            </w:tcBorders>
            <w:shd w:val="clear" w:color="auto" w:fill="D3D3D3"/>
          </w:tcPr>
          <w:p>
            <w:pPr/>
          </w:p>
        </w:tc>
        <w:tc>
          <w:tcPr>
            <w:tcW w:w="318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318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160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7" w:hRule="exact"/>
        </w:trPr>
        <w:tc>
          <w:tcPr>
            <w:tcW w:w="1585" w:type="dxa"/>
            <w:vMerge w:val="restart"/>
            <w:tcBorders>
              <w:top w:val="nil" w:sz="6" w:space="0" w:color="auto"/>
              <w:left w:val="single" w:sz="4" w:space="0" w:color="000000"/>
              <w:right w:val="single" w:sz="4" w:space="0" w:color="000000"/>
            </w:tcBorders>
            <w:shd w:val="clear" w:color="auto" w:fill="D3D3D3"/>
          </w:tcPr>
          <w:p>
            <w:pPr/>
          </w:p>
        </w:tc>
        <w:tc>
          <w:tcPr>
            <w:tcW w:w="3188" w:type="dxa"/>
            <w:gridSpan w:val="2"/>
            <w:vMerge/>
            <w:tcBorders>
              <w:left w:val="single" w:sz="4" w:space="0" w:color="000000"/>
              <w:bottom w:val="single" w:sz="4" w:space="0" w:color="000000"/>
              <w:right w:val="single" w:sz="4" w:space="0" w:color="000000"/>
            </w:tcBorders>
            <w:shd w:val="clear" w:color="auto" w:fill="D3D3D3"/>
          </w:tcPr>
          <w:p>
            <w:pPr/>
          </w:p>
        </w:tc>
        <w:tc>
          <w:tcPr>
            <w:tcW w:w="3182" w:type="dxa"/>
            <w:gridSpan w:val="2"/>
            <w:vMerge/>
            <w:tcBorders>
              <w:left w:val="single" w:sz="4" w:space="0" w:color="000000"/>
              <w:bottom w:val="single" w:sz="4" w:space="0" w:color="000000"/>
              <w:right w:val="single" w:sz="4" w:space="0" w:color="000000"/>
            </w:tcBorders>
            <w:shd w:val="clear" w:color="auto" w:fill="D3D3D3"/>
          </w:tcPr>
          <w:p>
            <w:pPr/>
          </w:p>
        </w:tc>
        <w:tc>
          <w:tcPr>
            <w:tcW w:w="160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3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196" w:hRule="exact"/>
        </w:trPr>
        <w:tc>
          <w:tcPr>
            <w:tcW w:w="1585" w:type="dxa"/>
            <w:vMerge/>
            <w:tcBorders>
              <w:left w:val="single" w:sz="4" w:space="0" w:color="000000"/>
              <w:bottom w:val="nil" w:sz="6" w:space="0" w:color="auto"/>
              <w:right w:val="single" w:sz="4" w:space="0" w:color="000000"/>
            </w:tcBorders>
            <w:shd w:val="clear" w:color="auto" w:fill="D3D3D3"/>
          </w:tcPr>
          <w:p>
            <w:pPr/>
          </w:p>
        </w:tc>
        <w:tc>
          <w:tcPr>
            <w:tcW w:w="160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4"/>
              <w:jc w:val="center"/>
              <w:rPr>
                <w:rFonts w:ascii="宋体" w:hAnsi="宋体" w:cs="宋体" w:eastAsia="宋体" w:hint="default"/>
                <w:sz w:val="18"/>
                <w:szCs w:val="18"/>
              </w:rPr>
            </w:pPr>
            <w:r>
              <w:rPr>
                <w:rFonts w:ascii="宋体" w:hAnsi="宋体" w:cs="宋体" w:eastAsia="宋体" w:hint="default"/>
                <w:sz w:val="18"/>
                <w:szCs w:val="18"/>
              </w:rPr>
              <w:t>金额</w:t>
            </w:r>
          </w:p>
        </w:tc>
        <w:tc>
          <w:tcPr>
            <w:tcW w:w="158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57"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8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占营业收入比重</w:t>
            </w:r>
          </w:p>
        </w:tc>
        <w:tc>
          <w:tcPr>
            <w:tcW w:w="1600"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585" w:type="dxa"/>
            <w:tcBorders>
              <w:top w:val="nil" w:sz="6" w:space="0" w:color="auto"/>
              <w:left w:val="single" w:sz="4" w:space="0" w:color="000000"/>
              <w:bottom w:val="single" w:sz="4" w:space="0" w:color="000000"/>
              <w:right w:val="single" w:sz="4" w:space="0" w:color="000000"/>
            </w:tcBorders>
            <w:shd w:val="clear" w:color="auto" w:fill="D3D3D3"/>
          </w:tcPr>
          <w:p>
            <w:pPr/>
          </w:p>
        </w:tc>
        <w:tc>
          <w:tcPr>
            <w:tcW w:w="1600" w:type="dxa"/>
            <w:vMerge/>
            <w:tcBorders>
              <w:left w:val="single" w:sz="4" w:space="0" w:color="000000"/>
              <w:bottom w:val="single" w:sz="4" w:space="0" w:color="000000"/>
              <w:right w:val="single" w:sz="4" w:space="0" w:color="000000"/>
            </w:tcBorders>
            <w:shd w:val="clear" w:color="auto" w:fill="D3D3D3"/>
          </w:tcPr>
          <w:p>
            <w:pPr/>
          </w:p>
        </w:tc>
        <w:tc>
          <w:tcPr>
            <w:tcW w:w="1589"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88" w:type="dxa"/>
            <w:vMerge/>
            <w:tcBorders>
              <w:left w:val="single" w:sz="4" w:space="0" w:color="000000"/>
              <w:bottom w:val="single" w:sz="4" w:space="0" w:color="000000"/>
              <w:right w:val="single" w:sz="4" w:space="0" w:color="000000"/>
            </w:tcBorders>
            <w:shd w:val="clear" w:color="auto" w:fill="D3D3D3"/>
          </w:tcPr>
          <w:p>
            <w:pPr/>
          </w:p>
        </w:tc>
        <w:tc>
          <w:tcPr>
            <w:tcW w:w="160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营业收入合计</w:t>
            </w:r>
          </w:p>
        </w:tc>
        <w:tc>
          <w:tcPr>
            <w:tcW w:w="1600"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14"/>
              <w:jc w:val="right"/>
              <w:rPr>
                <w:rFonts w:ascii="Arial" w:hAnsi="Arial" w:cs="Arial" w:eastAsia="Arial" w:hint="default"/>
                <w:sz w:val="18"/>
                <w:szCs w:val="18"/>
              </w:rPr>
            </w:pPr>
            <w:r>
              <w:rPr>
                <w:rFonts w:ascii="Arial"/>
                <w:spacing w:val="-1"/>
                <w:sz w:val="18"/>
              </w:rPr>
              <w:t>727,322,833.38</w:t>
            </w:r>
          </w:p>
        </w:tc>
        <w:tc>
          <w:tcPr>
            <w:tcW w:w="15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100%</w:t>
            </w:r>
          </w:p>
        </w:tc>
        <w:tc>
          <w:tcPr>
            <w:tcW w:w="1594"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right="9"/>
              <w:jc w:val="right"/>
              <w:rPr>
                <w:rFonts w:ascii="Arial" w:hAnsi="Arial" w:cs="Arial" w:eastAsia="Arial" w:hint="default"/>
                <w:sz w:val="18"/>
                <w:szCs w:val="18"/>
              </w:rPr>
            </w:pPr>
            <w:r>
              <w:rPr>
                <w:rFonts w:ascii="Arial"/>
                <w:spacing w:val="-1"/>
                <w:sz w:val="18"/>
              </w:rPr>
              <w:t>812,488,365.82</w:t>
            </w:r>
          </w:p>
        </w:tc>
        <w:tc>
          <w:tcPr>
            <w:tcW w:w="15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5"/>
              <w:jc w:val="right"/>
              <w:rPr>
                <w:rFonts w:ascii="Arial" w:hAnsi="Arial" w:cs="Arial" w:eastAsia="Arial" w:hint="default"/>
                <w:sz w:val="18"/>
                <w:szCs w:val="18"/>
              </w:rPr>
            </w:pPr>
            <w:r>
              <w:rPr>
                <w:rFonts w:ascii="Arial"/>
                <w:spacing w:val="-1"/>
                <w:sz w:val="18"/>
              </w:rPr>
              <w:t>100%</w:t>
            </w:r>
          </w:p>
        </w:tc>
        <w:tc>
          <w:tcPr>
            <w:tcW w:w="160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-10.48%</w:t>
            </w:r>
          </w:p>
        </w:tc>
      </w:tr>
      <w:tr>
        <w:trPr>
          <w:trHeight w:val="402" w:hRule="exact"/>
        </w:trPr>
        <w:tc>
          <w:tcPr>
            <w:tcW w:w="9555"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信息技术行业</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Arial" w:hAnsi="Arial" w:cs="Arial" w:eastAsia="Arial" w:hint="default"/>
                <w:sz w:val="18"/>
                <w:szCs w:val="18"/>
              </w:rPr>
            </w:pPr>
            <w:r>
              <w:rPr>
                <w:rFonts w:ascii="Arial"/>
                <w:spacing w:val="-1"/>
                <w:sz w:val="18"/>
              </w:rPr>
              <w:t>722,108,166.60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99.28%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2"/>
                <w:sz w:val="18"/>
              </w:rPr>
              <w:t>808,340,200.11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Arial" w:hAnsi="Arial" w:cs="Arial" w:eastAsia="Arial" w:hint="default"/>
                <w:sz w:val="18"/>
                <w:szCs w:val="18"/>
              </w:rPr>
            </w:pPr>
            <w:r>
              <w:rPr>
                <w:rFonts w:ascii="Arial"/>
                <w:spacing w:val="-1"/>
                <w:sz w:val="18"/>
              </w:rPr>
              <w:t>99.49%</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-10.67%</w:t>
            </w:r>
          </w:p>
        </w:tc>
      </w:tr>
      <w:tr>
        <w:trPr>
          <w:trHeight w:val="402" w:hRule="exact"/>
        </w:trPr>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园区租赁行业</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Arial" w:hAnsi="Arial" w:cs="Arial" w:eastAsia="Arial" w:hint="default"/>
                <w:sz w:val="18"/>
                <w:szCs w:val="18"/>
              </w:rPr>
            </w:pPr>
            <w:r>
              <w:rPr>
                <w:rFonts w:ascii="Arial"/>
                <w:spacing w:val="-1"/>
                <w:sz w:val="18"/>
              </w:rPr>
              <w:t>5,214,666.78</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w w:val="95"/>
                <w:sz w:val="18"/>
              </w:rPr>
              <w:t>0.72%</w:t>
            </w:r>
            <w:r>
              <w:rPr>
                <w:rFonts w:ascii="Arial"/>
                <w:w w:val="95"/>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4,148,165.71</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Arial" w:hAnsi="Arial" w:cs="Arial" w:eastAsia="Arial" w:hint="default"/>
                <w:sz w:val="18"/>
                <w:szCs w:val="18"/>
              </w:rPr>
            </w:pPr>
            <w:r>
              <w:rPr>
                <w:rFonts w:ascii="Arial"/>
                <w:spacing w:val="-1"/>
                <w:w w:val="95"/>
                <w:sz w:val="18"/>
              </w:rPr>
              <w:t>0.51%</w:t>
            </w:r>
            <w:r>
              <w:rPr>
                <w:rFonts w:ascii="Arial"/>
                <w:w w:val="95"/>
                <w:sz w:val="18"/>
              </w:rPr>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25.71%</w:t>
            </w:r>
          </w:p>
        </w:tc>
      </w:tr>
    </w:tbl>
    <w:p>
      <w:pPr>
        <w:spacing w:after="0" w:line="240" w:lineRule="auto"/>
        <w:jc w:val="right"/>
        <w:rPr>
          <w:rFonts w:ascii="Arial" w:hAnsi="Arial" w:cs="Arial" w:eastAsia="Arial"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372,422,962.14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51.20%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402,532,661.51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49.54%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-7.48%</w:t>
            </w:r>
            <w:r>
              <w:rPr>
                <w:rFonts w:ascii="Arial"/>
                <w:sz w:val="18"/>
              </w:rPr>
            </w:r>
          </w:p>
        </w:tc>
      </w:tr>
      <w:tr>
        <w:trPr>
          <w:trHeight w:val="71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1"/>
              <w:jc w:val="left"/>
              <w:rPr>
                <w:rFonts w:ascii="宋体" w:hAnsi="宋体" w:cs="宋体" w:eastAsia="宋体" w:hint="default"/>
                <w:sz w:val="18"/>
                <w:szCs w:val="18"/>
              </w:rPr>
            </w:pPr>
            <w:r>
              <w:rPr>
                <w:rFonts w:ascii="宋体" w:hAnsi="宋体" w:cs="宋体" w:eastAsia="宋体" w:hint="default"/>
                <w:sz w:val="18"/>
                <w:szCs w:val="18"/>
              </w:rPr>
              <w:t>软件产品及服务收 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349,685,204.46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48.08%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405,807,538.60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49.95%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-13.83%</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软件园租赁收入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5,214,666.78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0.72%</w:t>
            </w:r>
            <w:r>
              <w:rPr>
                <w:rFonts w:ascii="Arial"/>
                <w:w w:val="95"/>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4,148,165.71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0.51%</w:t>
            </w:r>
            <w:r>
              <w:rPr>
                <w:rFonts w:ascii="Arial"/>
                <w:w w:val="95"/>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25.71%</w:t>
            </w:r>
          </w:p>
        </w:tc>
      </w:tr>
      <w:tr>
        <w:trPr>
          <w:trHeight w:val="402" w:hRule="exact"/>
        </w:trPr>
        <w:tc>
          <w:tcPr>
            <w:tcW w:w="9566"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84,763,384.06</w:t>
            </w:r>
            <w:r>
              <w:rPr>
                <w:rFonts w:ascii="Arial"/>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3"/>
                <w:sz w:val="18"/>
              </w:rPr>
              <w:t>11.65%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128,712,357.48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15.84%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-34.15%</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2"/>
                <w:sz w:val="18"/>
              </w:rPr>
              <w:t>211,357,321.51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29.06%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188,642,392.16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23.22%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12.04%</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314,057,250.79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43.18%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332,551,158.65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40.93%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-5.56%</w:t>
            </w:r>
            <w:r>
              <w:rPr>
                <w:rFonts w:ascii="Arial"/>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90,079,940.80</w:t>
            </w:r>
            <w:r>
              <w:rPr>
                <w:rFonts w:ascii="Arial"/>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12.39%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88,791,216.94</w:t>
            </w:r>
            <w:r>
              <w:rPr>
                <w:rFonts w:ascii="Arial"/>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10.93%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1.45%</w:t>
            </w:r>
            <w:r>
              <w:rPr>
                <w:rFonts w:ascii="Arial"/>
                <w:w w:val="95"/>
                <w:sz w:val="18"/>
              </w:rPr>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27,064,936.22</w:t>
            </w:r>
            <w:r>
              <w:rPr>
                <w:rFonts w:ascii="Arial"/>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3.72%</w:t>
            </w:r>
            <w:r>
              <w:rPr>
                <w:rFonts w:ascii="Arial"/>
                <w:w w:val="95"/>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73,791,240.59</w:t>
            </w:r>
            <w:r>
              <w:rPr>
                <w:rFonts w:ascii="Arial"/>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9.08%</w:t>
            </w:r>
            <w:r>
              <w:rPr>
                <w:rFonts w:ascii="Arial"/>
                <w:w w:val="95"/>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-63.32%</w:t>
            </w:r>
          </w:p>
        </w:tc>
      </w:tr>
    </w:tbl>
    <w:p>
      <w:pPr>
        <w:pStyle w:val="BodyText"/>
        <w:spacing w:line="240" w:lineRule="auto" w:before="51"/>
        <w:ind w:right="0"/>
        <w:jc w:val="left"/>
      </w:pPr>
      <w:r>
        <w:rPr/>
        <w:t>公司需遵守《深圳证券交易所行业信息披露指引第</w:t>
      </w:r>
      <w:r>
        <w:rPr>
          <w:spacing w:val="-46"/>
        </w:rPr>
        <w:t> </w:t>
      </w:r>
      <w:r>
        <w:rPr>
          <w:rFonts w:ascii="Arial" w:hAnsi="Arial" w:cs="Arial" w:eastAsia="Arial" w:hint="default"/>
        </w:rPr>
        <w:t>12</w:t>
      </w:r>
      <w:r>
        <w:rPr>
          <w:rFonts w:ascii="Arial" w:hAnsi="Arial" w:cs="Arial" w:eastAsia="Arial" w:hint="default"/>
          <w:spacing w:val="-7"/>
        </w:rPr>
        <w:t> </w:t>
      </w:r>
      <w:r>
        <w:rPr/>
        <w:t>号</w:t>
      </w:r>
      <w:r>
        <w:rPr>
          <w:rFonts w:ascii="Arial" w:hAnsi="Arial" w:cs="Arial" w:eastAsia="Arial" w:hint="default"/>
        </w:rPr>
        <w:t>——</w:t>
      </w:r>
      <w:r>
        <w:rPr/>
        <w:t>上市公司从事软件与信息技术服务业务》的披露要求</w:t>
      </w:r>
    </w:p>
    <w:p>
      <w:pPr>
        <w:pStyle w:val="BodyText"/>
        <w:spacing w:line="240" w:lineRule="auto" w:before="104"/>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07"/>
        <w:gridCol w:w="1008"/>
        <w:gridCol w:w="1010"/>
        <w:gridCol w:w="1010"/>
        <w:gridCol w:w="1012"/>
        <w:gridCol w:w="1003"/>
        <w:gridCol w:w="1004"/>
        <w:gridCol w:w="1002"/>
        <w:gridCol w:w="1072"/>
      </w:tblGrid>
      <w:tr>
        <w:trPr>
          <w:trHeight w:val="206" w:hRule="exact"/>
        </w:trPr>
        <w:tc>
          <w:tcPr>
            <w:tcW w:w="1507" w:type="dxa"/>
            <w:tcBorders>
              <w:top w:val="single" w:sz="4" w:space="0" w:color="000000"/>
              <w:left w:val="single" w:sz="4" w:space="0" w:color="000000"/>
              <w:bottom w:val="nil" w:sz="6" w:space="0" w:color="auto"/>
              <w:right w:val="single" w:sz="4" w:space="0" w:color="000000"/>
            </w:tcBorders>
            <w:shd w:val="clear" w:color="auto" w:fill="D3D3D3"/>
          </w:tcPr>
          <w:p>
            <w:pPr/>
          </w:p>
        </w:tc>
        <w:tc>
          <w:tcPr>
            <w:tcW w:w="4040" w:type="dxa"/>
            <w:gridSpan w:val="4"/>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9"/>
                <w:sz w:val="18"/>
                <w:szCs w:val="18"/>
              </w:rPr>
              <w:t> </w:t>
            </w:r>
            <w:r>
              <w:rPr>
                <w:rFonts w:ascii="宋体" w:hAnsi="宋体" w:cs="宋体" w:eastAsia="宋体" w:hint="default"/>
                <w:sz w:val="18"/>
                <w:szCs w:val="18"/>
              </w:rPr>
              <w:t>年度</w:t>
            </w:r>
          </w:p>
        </w:tc>
        <w:tc>
          <w:tcPr>
            <w:tcW w:w="4081" w:type="dxa"/>
            <w:gridSpan w:val="4"/>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9"/>
                <w:sz w:val="18"/>
                <w:szCs w:val="18"/>
              </w:rPr>
              <w:t> </w:t>
            </w:r>
            <w:r>
              <w:rPr>
                <w:rFonts w:ascii="宋体" w:hAnsi="宋体" w:cs="宋体" w:eastAsia="宋体" w:hint="default"/>
                <w:sz w:val="18"/>
                <w:szCs w:val="18"/>
              </w:rPr>
              <w:t>年度</w:t>
            </w:r>
          </w:p>
        </w:tc>
      </w:tr>
      <w:tr>
        <w:trPr>
          <w:trHeight w:val="196" w:hRule="exact"/>
        </w:trPr>
        <w:tc>
          <w:tcPr>
            <w:tcW w:w="1507" w:type="dxa"/>
            <w:vMerge w:val="restart"/>
            <w:tcBorders>
              <w:top w:val="nil" w:sz="6" w:space="0" w:color="auto"/>
              <w:left w:val="single" w:sz="4" w:space="0" w:color="000000"/>
              <w:right w:val="single" w:sz="4" w:space="0" w:color="000000"/>
            </w:tcBorders>
            <w:shd w:val="clear" w:color="auto" w:fill="D3D3D3"/>
          </w:tcPr>
          <w:p>
            <w:pPr/>
          </w:p>
        </w:tc>
        <w:tc>
          <w:tcPr>
            <w:tcW w:w="4040" w:type="dxa"/>
            <w:gridSpan w:val="4"/>
            <w:vMerge/>
            <w:tcBorders>
              <w:left w:val="single" w:sz="4" w:space="0" w:color="000000"/>
              <w:bottom w:val="single" w:sz="4" w:space="0" w:color="000000"/>
              <w:right w:val="single" w:sz="4" w:space="0" w:color="000000"/>
            </w:tcBorders>
            <w:shd w:val="clear" w:color="auto" w:fill="D3D3D3"/>
          </w:tcPr>
          <w:p>
            <w:pPr/>
          </w:p>
        </w:tc>
        <w:tc>
          <w:tcPr>
            <w:tcW w:w="4081" w:type="dxa"/>
            <w:gridSpan w:val="4"/>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507" w:type="dxa"/>
            <w:vMerge/>
            <w:tcBorders>
              <w:left w:val="single" w:sz="4" w:space="0" w:color="000000"/>
              <w:bottom w:val="nil" w:sz="6" w:space="0" w:color="auto"/>
              <w:right w:val="single" w:sz="4" w:space="0" w:color="000000"/>
            </w:tcBorders>
            <w:shd w:val="clear" w:color="auto" w:fill="D3D3D3"/>
          </w:tcPr>
          <w:p>
            <w:pPr/>
          </w:p>
        </w:tc>
        <w:tc>
          <w:tcPr>
            <w:tcW w:w="100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39"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1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40"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40" w:right="0"/>
              <w:jc w:val="left"/>
              <w:rPr>
                <w:rFonts w:ascii="宋体" w:hAnsi="宋体" w:cs="宋体" w:eastAsia="宋体" w:hint="default"/>
                <w:sz w:val="18"/>
                <w:szCs w:val="18"/>
              </w:rPr>
            </w:pPr>
            <w:r>
              <w:rPr>
                <w:rFonts w:ascii="宋体" w:hAnsi="宋体" w:cs="宋体" w:eastAsia="宋体" w:hint="default"/>
                <w:sz w:val="18"/>
                <w:szCs w:val="18"/>
              </w:rPr>
              <w:t>第四季度</w:t>
            </w:r>
          </w:p>
        </w:tc>
        <w:tc>
          <w:tcPr>
            <w:tcW w:w="10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36" w:right="0"/>
              <w:jc w:val="left"/>
              <w:rPr>
                <w:rFonts w:ascii="宋体" w:hAnsi="宋体" w:cs="宋体" w:eastAsia="宋体" w:hint="default"/>
                <w:sz w:val="18"/>
                <w:szCs w:val="18"/>
              </w:rPr>
            </w:pPr>
            <w:r>
              <w:rPr>
                <w:rFonts w:ascii="宋体" w:hAnsi="宋体" w:cs="宋体" w:eastAsia="宋体" w:hint="default"/>
                <w:sz w:val="18"/>
                <w:szCs w:val="18"/>
              </w:rPr>
              <w:t>第一季度</w:t>
            </w:r>
          </w:p>
        </w:tc>
        <w:tc>
          <w:tcPr>
            <w:tcW w:w="100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37" w:right="0"/>
              <w:jc w:val="left"/>
              <w:rPr>
                <w:rFonts w:ascii="宋体" w:hAnsi="宋体" w:cs="宋体" w:eastAsia="宋体" w:hint="default"/>
                <w:sz w:val="18"/>
                <w:szCs w:val="18"/>
              </w:rPr>
            </w:pPr>
            <w:r>
              <w:rPr>
                <w:rFonts w:ascii="宋体" w:hAnsi="宋体" w:cs="宋体" w:eastAsia="宋体" w:hint="default"/>
                <w:sz w:val="18"/>
                <w:szCs w:val="18"/>
              </w:rPr>
              <w:t>第二季度</w:t>
            </w:r>
          </w:p>
        </w:tc>
        <w:tc>
          <w:tcPr>
            <w:tcW w:w="100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35" w:right="0"/>
              <w:jc w:val="left"/>
              <w:rPr>
                <w:rFonts w:ascii="宋体" w:hAnsi="宋体" w:cs="宋体" w:eastAsia="宋体" w:hint="default"/>
                <w:sz w:val="18"/>
                <w:szCs w:val="18"/>
              </w:rPr>
            </w:pPr>
            <w:r>
              <w:rPr>
                <w:rFonts w:ascii="宋体" w:hAnsi="宋体" w:cs="宋体" w:eastAsia="宋体" w:hint="default"/>
                <w:sz w:val="18"/>
                <w:szCs w:val="18"/>
              </w:rPr>
              <w:t>第三季度</w:t>
            </w:r>
          </w:p>
        </w:tc>
        <w:tc>
          <w:tcPr>
            <w:tcW w:w="10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70" w:right="0"/>
              <w:jc w:val="left"/>
              <w:rPr>
                <w:rFonts w:ascii="宋体" w:hAnsi="宋体" w:cs="宋体" w:eastAsia="宋体" w:hint="default"/>
                <w:sz w:val="18"/>
                <w:szCs w:val="18"/>
              </w:rPr>
            </w:pPr>
            <w:r>
              <w:rPr>
                <w:rFonts w:ascii="宋体" w:hAnsi="宋体" w:cs="宋体" w:eastAsia="宋体" w:hint="default"/>
                <w:sz w:val="18"/>
                <w:szCs w:val="18"/>
              </w:rPr>
              <w:t>第四季度</w:t>
            </w:r>
          </w:p>
        </w:tc>
      </w:tr>
      <w:tr>
        <w:trPr>
          <w:trHeight w:val="205" w:hRule="exact"/>
        </w:trPr>
        <w:tc>
          <w:tcPr>
            <w:tcW w:w="1507" w:type="dxa"/>
            <w:tcBorders>
              <w:top w:val="nil" w:sz="6" w:space="0" w:color="auto"/>
              <w:left w:val="single" w:sz="4" w:space="0" w:color="000000"/>
              <w:bottom w:val="single" w:sz="4" w:space="0" w:color="000000"/>
              <w:right w:val="single" w:sz="4" w:space="0" w:color="000000"/>
            </w:tcBorders>
            <w:shd w:val="clear" w:color="auto" w:fill="D3D3D3"/>
          </w:tcPr>
          <w:p>
            <w:pPr/>
          </w:p>
        </w:tc>
        <w:tc>
          <w:tcPr>
            <w:tcW w:w="1008" w:type="dxa"/>
            <w:vMerge/>
            <w:tcBorders>
              <w:left w:val="single" w:sz="4" w:space="0" w:color="000000"/>
              <w:bottom w:val="single" w:sz="4" w:space="0" w:color="000000"/>
              <w:right w:val="single" w:sz="4" w:space="0" w:color="000000"/>
            </w:tcBorders>
            <w:shd w:val="clear" w:color="auto" w:fill="D3D3D3"/>
          </w:tcPr>
          <w:p>
            <w:pPr/>
          </w:p>
        </w:tc>
        <w:tc>
          <w:tcPr>
            <w:tcW w:w="1010" w:type="dxa"/>
            <w:vMerge/>
            <w:tcBorders>
              <w:left w:val="single" w:sz="4" w:space="0" w:color="000000"/>
              <w:bottom w:val="single" w:sz="4" w:space="0" w:color="000000"/>
              <w:right w:val="single" w:sz="4" w:space="0" w:color="000000"/>
            </w:tcBorders>
            <w:shd w:val="clear" w:color="auto" w:fill="D3D3D3"/>
          </w:tcPr>
          <w:p>
            <w:pPr/>
          </w:p>
        </w:tc>
        <w:tc>
          <w:tcPr>
            <w:tcW w:w="1010" w:type="dxa"/>
            <w:vMerge/>
            <w:tcBorders>
              <w:left w:val="single" w:sz="4" w:space="0" w:color="000000"/>
              <w:bottom w:val="single" w:sz="4" w:space="0" w:color="000000"/>
              <w:right w:val="single" w:sz="4" w:space="0" w:color="000000"/>
            </w:tcBorders>
            <w:shd w:val="clear" w:color="auto" w:fill="D3D3D3"/>
          </w:tcPr>
          <w:p>
            <w:pPr/>
          </w:p>
        </w:tc>
        <w:tc>
          <w:tcPr>
            <w:tcW w:w="1012" w:type="dxa"/>
            <w:vMerge/>
            <w:tcBorders>
              <w:left w:val="single" w:sz="4" w:space="0" w:color="000000"/>
              <w:bottom w:val="single" w:sz="4" w:space="0" w:color="000000"/>
              <w:right w:val="single" w:sz="4" w:space="0" w:color="000000"/>
            </w:tcBorders>
            <w:shd w:val="clear" w:color="auto" w:fill="D3D3D3"/>
          </w:tcPr>
          <w:p>
            <w:pPr/>
          </w:p>
        </w:tc>
        <w:tc>
          <w:tcPr>
            <w:tcW w:w="1003" w:type="dxa"/>
            <w:vMerge/>
            <w:tcBorders>
              <w:left w:val="single" w:sz="4" w:space="0" w:color="000000"/>
              <w:bottom w:val="single" w:sz="4" w:space="0" w:color="000000"/>
              <w:right w:val="single" w:sz="4" w:space="0" w:color="000000"/>
            </w:tcBorders>
            <w:shd w:val="clear" w:color="auto" w:fill="D3D3D3"/>
          </w:tcPr>
          <w:p>
            <w:pPr/>
          </w:p>
        </w:tc>
        <w:tc>
          <w:tcPr>
            <w:tcW w:w="1004" w:type="dxa"/>
            <w:vMerge/>
            <w:tcBorders>
              <w:left w:val="single" w:sz="4" w:space="0" w:color="000000"/>
              <w:bottom w:val="single" w:sz="4" w:space="0" w:color="000000"/>
              <w:right w:val="single" w:sz="4" w:space="0" w:color="000000"/>
            </w:tcBorders>
            <w:shd w:val="clear" w:color="auto" w:fill="D3D3D3"/>
          </w:tcPr>
          <w:p>
            <w:pPr/>
          </w:p>
        </w:tc>
        <w:tc>
          <w:tcPr>
            <w:tcW w:w="1002" w:type="dxa"/>
            <w:vMerge/>
            <w:tcBorders>
              <w:left w:val="single" w:sz="4" w:space="0" w:color="000000"/>
              <w:bottom w:val="single" w:sz="4" w:space="0" w:color="000000"/>
              <w:right w:val="single" w:sz="4" w:space="0" w:color="000000"/>
            </w:tcBorders>
            <w:shd w:val="clear" w:color="auto" w:fill="D3D3D3"/>
          </w:tcPr>
          <w:p>
            <w:pPr/>
          </w:p>
        </w:tc>
        <w:tc>
          <w:tcPr>
            <w:tcW w:w="1072" w:type="dxa"/>
            <w:vMerge/>
            <w:tcBorders>
              <w:left w:val="single" w:sz="4" w:space="0" w:color="000000"/>
              <w:bottom w:val="single" w:sz="4" w:space="0" w:color="000000"/>
              <w:right w:val="single" w:sz="4" w:space="0" w:color="000000"/>
            </w:tcBorders>
            <w:shd w:val="clear" w:color="auto" w:fill="D3D3D3"/>
          </w:tcPr>
          <w:p>
            <w:pPr/>
          </w:p>
        </w:tc>
      </w:tr>
      <w:tr>
        <w:trPr>
          <w:trHeight w:val="162" w:hRule="exact"/>
        </w:trPr>
        <w:tc>
          <w:tcPr>
            <w:tcW w:w="1507" w:type="dxa"/>
            <w:tcBorders>
              <w:top w:val="single" w:sz="4" w:space="0" w:color="000000"/>
              <w:left w:val="single" w:sz="4" w:space="0" w:color="000000"/>
              <w:bottom w:val="nil" w:sz="6" w:space="0" w:color="auto"/>
              <w:right w:val="single" w:sz="4" w:space="0" w:color="000000"/>
            </w:tcBorders>
            <w:shd w:val="clear" w:color="auto" w:fill="D3D3D3"/>
          </w:tcPr>
          <w:p>
            <w:pPr/>
          </w:p>
        </w:tc>
        <w:tc>
          <w:tcPr>
            <w:tcW w:w="1008" w:type="dxa"/>
            <w:vMerge w:val="restart"/>
            <w:tcBorders>
              <w:top w:val="single" w:sz="4" w:space="0" w:color="000000"/>
              <w:left w:val="single" w:sz="9" w:space="0" w:color="D3D3D3"/>
              <w:right w:val="single" w:sz="4" w:space="0" w:color="000000"/>
            </w:tcBorders>
          </w:tcPr>
          <w:p>
            <w:pPr>
              <w:pStyle w:val="TableParagraph"/>
              <w:spacing w:line="240" w:lineRule="auto" w:before="92"/>
              <w:ind w:left="66" w:right="0"/>
              <w:jc w:val="left"/>
              <w:rPr>
                <w:rFonts w:ascii="Arial" w:hAnsi="Arial" w:cs="Arial" w:eastAsia="Arial" w:hint="default"/>
                <w:sz w:val="18"/>
                <w:szCs w:val="18"/>
              </w:rPr>
            </w:pPr>
            <w:r>
              <w:rPr>
                <w:rFonts w:ascii="Arial"/>
                <w:sz w:val="18"/>
              </w:rPr>
              <w:t>142,487,19</w:t>
            </w:r>
          </w:p>
          <w:p>
            <w:pPr>
              <w:pStyle w:val="TableParagraph"/>
              <w:spacing w:line="240" w:lineRule="auto" w:before="105"/>
              <w:ind w:left="617" w:right="0"/>
              <w:jc w:val="left"/>
              <w:rPr>
                <w:rFonts w:ascii="Arial" w:hAnsi="Arial" w:cs="Arial" w:eastAsia="Arial" w:hint="default"/>
                <w:sz w:val="18"/>
                <w:szCs w:val="18"/>
              </w:rPr>
            </w:pPr>
            <w:r>
              <w:rPr>
                <w:rFonts w:ascii="Arial"/>
                <w:sz w:val="18"/>
              </w:rPr>
              <w:t>4.58</w:t>
            </w:r>
          </w:p>
        </w:tc>
        <w:tc>
          <w:tcPr>
            <w:tcW w:w="1010" w:type="dxa"/>
            <w:vMerge w:val="restart"/>
            <w:tcBorders>
              <w:top w:val="single" w:sz="4" w:space="0" w:color="000000"/>
              <w:left w:val="single" w:sz="4" w:space="0" w:color="000000"/>
              <w:right w:val="single" w:sz="4" w:space="0" w:color="000000"/>
            </w:tcBorders>
          </w:tcPr>
          <w:p>
            <w:pPr>
              <w:pStyle w:val="TableParagraph"/>
              <w:spacing w:line="240" w:lineRule="auto" w:before="92"/>
              <w:ind w:left="75" w:right="0"/>
              <w:jc w:val="left"/>
              <w:rPr>
                <w:rFonts w:ascii="Arial" w:hAnsi="Arial" w:cs="Arial" w:eastAsia="Arial" w:hint="default"/>
                <w:sz w:val="18"/>
                <w:szCs w:val="18"/>
              </w:rPr>
            </w:pPr>
            <w:r>
              <w:rPr>
                <w:rFonts w:ascii="Arial"/>
                <w:sz w:val="18"/>
              </w:rPr>
              <w:t>176,542,70</w:t>
            </w:r>
          </w:p>
          <w:p>
            <w:pPr>
              <w:pStyle w:val="TableParagraph"/>
              <w:spacing w:line="240" w:lineRule="auto" w:before="105"/>
              <w:ind w:left="626" w:right="0"/>
              <w:jc w:val="left"/>
              <w:rPr>
                <w:rFonts w:ascii="Arial" w:hAnsi="Arial" w:cs="Arial" w:eastAsia="Arial" w:hint="default"/>
                <w:sz w:val="18"/>
                <w:szCs w:val="18"/>
              </w:rPr>
            </w:pPr>
            <w:r>
              <w:rPr>
                <w:rFonts w:ascii="Arial"/>
                <w:sz w:val="18"/>
              </w:rPr>
              <w:t>3.26</w:t>
            </w:r>
          </w:p>
        </w:tc>
        <w:tc>
          <w:tcPr>
            <w:tcW w:w="1010" w:type="dxa"/>
            <w:vMerge w:val="restart"/>
            <w:tcBorders>
              <w:top w:val="single" w:sz="4" w:space="0" w:color="000000"/>
              <w:left w:val="single" w:sz="4" w:space="0" w:color="000000"/>
              <w:right w:val="single" w:sz="4" w:space="0" w:color="000000"/>
            </w:tcBorders>
          </w:tcPr>
          <w:p>
            <w:pPr>
              <w:pStyle w:val="TableParagraph"/>
              <w:spacing w:line="240" w:lineRule="auto" w:before="92"/>
              <w:ind w:left="76" w:right="0"/>
              <w:jc w:val="left"/>
              <w:rPr>
                <w:rFonts w:ascii="Arial" w:hAnsi="Arial" w:cs="Arial" w:eastAsia="Arial" w:hint="default"/>
                <w:sz w:val="18"/>
                <w:szCs w:val="18"/>
              </w:rPr>
            </w:pPr>
            <w:r>
              <w:rPr>
                <w:rFonts w:ascii="Arial"/>
                <w:sz w:val="18"/>
              </w:rPr>
              <w:t>123,298,56</w:t>
            </w:r>
          </w:p>
          <w:p>
            <w:pPr>
              <w:pStyle w:val="TableParagraph"/>
              <w:spacing w:line="240" w:lineRule="auto" w:before="105"/>
              <w:ind w:left="627" w:right="0"/>
              <w:jc w:val="left"/>
              <w:rPr>
                <w:rFonts w:ascii="Arial" w:hAnsi="Arial" w:cs="Arial" w:eastAsia="Arial" w:hint="default"/>
                <w:sz w:val="18"/>
                <w:szCs w:val="18"/>
              </w:rPr>
            </w:pPr>
            <w:r>
              <w:rPr>
                <w:rFonts w:ascii="Arial"/>
                <w:sz w:val="18"/>
              </w:rPr>
              <w:t>1.03</w:t>
            </w:r>
          </w:p>
        </w:tc>
        <w:tc>
          <w:tcPr>
            <w:tcW w:w="1012" w:type="dxa"/>
            <w:vMerge w:val="restart"/>
            <w:tcBorders>
              <w:top w:val="single" w:sz="4" w:space="0" w:color="000000"/>
              <w:left w:val="single" w:sz="4" w:space="0" w:color="000000"/>
              <w:right w:val="single" w:sz="4" w:space="0" w:color="000000"/>
            </w:tcBorders>
          </w:tcPr>
          <w:p>
            <w:pPr>
              <w:pStyle w:val="TableParagraph"/>
              <w:spacing w:line="240" w:lineRule="auto" w:before="92"/>
              <w:ind w:left="76" w:right="0"/>
              <w:jc w:val="left"/>
              <w:rPr>
                <w:rFonts w:ascii="Arial" w:hAnsi="Arial" w:cs="Arial" w:eastAsia="Arial" w:hint="default"/>
                <w:sz w:val="18"/>
                <w:szCs w:val="18"/>
              </w:rPr>
            </w:pPr>
            <w:r>
              <w:rPr>
                <w:rFonts w:ascii="Arial"/>
                <w:sz w:val="18"/>
              </w:rPr>
              <w:t>284,994,37</w:t>
            </w:r>
          </w:p>
          <w:p>
            <w:pPr>
              <w:pStyle w:val="TableParagraph"/>
              <w:spacing w:line="240" w:lineRule="auto" w:before="105"/>
              <w:ind w:left="627" w:right="0"/>
              <w:jc w:val="left"/>
              <w:rPr>
                <w:rFonts w:ascii="Arial" w:hAnsi="Arial" w:cs="Arial" w:eastAsia="Arial" w:hint="default"/>
                <w:sz w:val="18"/>
                <w:szCs w:val="18"/>
              </w:rPr>
            </w:pPr>
            <w:r>
              <w:rPr>
                <w:rFonts w:ascii="Arial"/>
                <w:sz w:val="18"/>
              </w:rPr>
              <w:t>4.51</w:t>
            </w:r>
          </w:p>
        </w:tc>
        <w:tc>
          <w:tcPr>
            <w:tcW w:w="1003" w:type="dxa"/>
            <w:vMerge w:val="restart"/>
            <w:tcBorders>
              <w:top w:val="single" w:sz="4" w:space="0" w:color="000000"/>
              <w:left w:val="single" w:sz="4" w:space="0" w:color="000000"/>
              <w:right w:val="single" w:sz="4" w:space="0" w:color="000000"/>
            </w:tcBorders>
          </w:tcPr>
          <w:p>
            <w:pPr>
              <w:pStyle w:val="TableParagraph"/>
              <w:spacing w:line="240" w:lineRule="auto" w:before="92"/>
              <w:ind w:left="69" w:right="0"/>
              <w:jc w:val="left"/>
              <w:rPr>
                <w:rFonts w:ascii="Arial" w:hAnsi="Arial" w:cs="Arial" w:eastAsia="Arial" w:hint="default"/>
                <w:sz w:val="18"/>
                <w:szCs w:val="18"/>
              </w:rPr>
            </w:pPr>
            <w:r>
              <w:rPr>
                <w:rFonts w:ascii="Arial"/>
                <w:sz w:val="18"/>
              </w:rPr>
              <w:t>154,966,48</w:t>
            </w:r>
          </w:p>
          <w:p>
            <w:pPr>
              <w:pStyle w:val="TableParagraph"/>
              <w:spacing w:line="240" w:lineRule="auto" w:before="105"/>
              <w:ind w:left="620" w:right="0"/>
              <w:jc w:val="left"/>
              <w:rPr>
                <w:rFonts w:ascii="Arial" w:hAnsi="Arial" w:cs="Arial" w:eastAsia="Arial" w:hint="default"/>
                <w:sz w:val="18"/>
                <w:szCs w:val="18"/>
              </w:rPr>
            </w:pPr>
            <w:r>
              <w:rPr>
                <w:rFonts w:ascii="Arial"/>
                <w:sz w:val="18"/>
              </w:rPr>
              <w:t>9.96</w:t>
            </w:r>
          </w:p>
        </w:tc>
        <w:tc>
          <w:tcPr>
            <w:tcW w:w="1004" w:type="dxa"/>
            <w:vMerge w:val="restart"/>
            <w:tcBorders>
              <w:top w:val="single" w:sz="4" w:space="0" w:color="000000"/>
              <w:left w:val="single" w:sz="4" w:space="0" w:color="000000"/>
              <w:right w:val="single" w:sz="4" w:space="0" w:color="000000"/>
            </w:tcBorders>
          </w:tcPr>
          <w:p>
            <w:pPr>
              <w:pStyle w:val="TableParagraph"/>
              <w:spacing w:line="240" w:lineRule="auto" w:before="92"/>
              <w:ind w:left="70" w:right="0"/>
              <w:jc w:val="left"/>
              <w:rPr>
                <w:rFonts w:ascii="Arial" w:hAnsi="Arial" w:cs="Arial" w:eastAsia="Arial" w:hint="default"/>
                <w:sz w:val="18"/>
                <w:szCs w:val="18"/>
              </w:rPr>
            </w:pPr>
            <w:r>
              <w:rPr>
                <w:rFonts w:ascii="Arial"/>
                <w:sz w:val="18"/>
              </w:rPr>
              <w:t>191,028,40</w:t>
            </w:r>
          </w:p>
          <w:p>
            <w:pPr>
              <w:pStyle w:val="TableParagraph"/>
              <w:spacing w:line="240" w:lineRule="auto" w:before="105"/>
              <w:ind w:left="621" w:right="0"/>
              <w:jc w:val="left"/>
              <w:rPr>
                <w:rFonts w:ascii="Arial" w:hAnsi="Arial" w:cs="Arial" w:eastAsia="Arial" w:hint="default"/>
                <w:sz w:val="18"/>
                <w:szCs w:val="18"/>
              </w:rPr>
            </w:pPr>
            <w:r>
              <w:rPr>
                <w:rFonts w:ascii="Arial"/>
                <w:sz w:val="18"/>
              </w:rPr>
              <w:t>0.28</w:t>
            </w:r>
          </w:p>
        </w:tc>
        <w:tc>
          <w:tcPr>
            <w:tcW w:w="1002" w:type="dxa"/>
            <w:vMerge w:val="restart"/>
            <w:tcBorders>
              <w:top w:val="single" w:sz="4" w:space="0" w:color="000000"/>
              <w:left w:val="single" w:sz="4" w:space="0" w:color="000000"/>
              <w:right w:val="single" w:sz="4" w:space="0" w:color="000000"/>
            </w:tcBorders>
          </w:tcPr>
          <w:p>
            <w:pPr>
              <w:pStyle w:val="TableParagraph"/>
              <w:spacing w:line="240" w:lineRule="auto" w:before="92"/>
              <w:ind w:left="67" w:right="0"/>
              <w:jc w:val="left"/>
              <w:rPr>
                <w:rFonts w:ascii="Arial" w:hAnsi="Arial" w:cs="Arial" w:eastAsia="Arial" w:hint="default"/>
                <w:sz w:val="18"/>
                <w:szCs w:val="18"/>
              </w:rPr>
            </w:pPr>
            <w:r>
              <w:rPr>
                <w:rFonts w:ascii="Arial"/>
                <w:sz w:val="18"/>
              </w:rPr>
              <w:t>131,386,83</w:t>
            </w:r>
          </w:p>
          <w:p>
            <w:pPr>
              <w:pStyle w:val="TableParagraph"/>
              <w:spacing w:line="240" w:lineRule="auto" w:before="105"/>
              <w:ind w:left="617" w:right="0"/>
              <w:jc w:val="left"/>
              <w:rPr>
                <w:rFonts w:ascii="Arial" w:hAnsi="Arial" w:cs="Arial" w:eastAsia="Arial" w:hint="default"/>
                <w:sz w:val="18"/>
                <w:szCs w:val="18"/>
              </w:rPr>
            </w:pPr>
            <w:r>
              <w:rPr>
                <w:rFonts w:ascii="Arial"/>
                <w:sz w:val="18"/>
              </w:rPr>
              <w:t>4.89</w:t>
            </w:r>
          </w:p>
        </w:tc>
        <w:tc>
          <w:tcPr>
            <w:tcW w:w="1072" w:type="dxa"/>
            <w:vMerge w:val="restart"/>
            <w:tcBorders>
              <w:top w:val="single" w:sz="4" w:space="0" w:color="000000"/>
              <w:left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335,106,640</w:t>
            </w:r>
          </w:p>
          <w:p>
            <w:pPr>
              <w:pStyle w:val="TableParagraph"/>
              <w:spacing w:line="240" w:lineRule="auto" w:before="105"/>
              <w:ind w:right="22"/>
              <w:jc w:val="right"/>
              <w:rPr>
                <w:rFonts w:ascii="Arial" w:hAnsi="Arial" w:cs="Arial" w:eastAsia="Arial" w:hint="default"/>
                <w:sz w:val="18"/>
                <w:szCs w:val="18"/>
              </w:rPr>
            </w:pPr>
            <w:r>
              <w:rPr>
                <w:rFonts w:ascii="Arial"/>
                <w:spacing w:val="-1"/>
                <w:w w:val="95"/>
                <w:sz w:val="18"/>
              </w:rPr>
              <w:t>.69</w:t>
            </w:r>
            <w:r>
              <w:rPr>
                <w:rFonts w:ascii="Arial"/>
                <w:w w:val="95"/>
                <w:sz w:val="18"/>
              </w:rPr>
            </w:r>
          </w:p>
        </w:tc>
      </w:tr>
      <w:tr>
        <w:trPr>
          <w:trHeight w:val="392" w:hRule="exact"/>
        </w:trPr>
        <w:tc>
          <w:tcPr>
            <w:tcW w:w="150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08" w:type="dxa"/>
            <w:vMerge/>
            <w:tcBorders>
              <w:left w:val="single" w:sz="9" w:space="0" w:color="D3D3D3"/>
              <w:right w:val="single" w:sz="4" w:space="0" w:color="000000"/>
            </w:tcBorders>
          </w:tcPr>
          <w:p>
            <w:pPr/>
          </w:p>
        </w:tc>
        <w:tc>
          <w:tcPr>
            <w:tcW w:w="1010" w:type="dxa"/>
            <w:vMerge/>
            <w:tcBorders>
              <w:left w:val="single" w:sz="4" w:space="0" w:color="000000"/>
              <w:right w:val="single" w:sz="4" w:space="0" w:color="000000"/>
            </w:tcBorders>
          </w:tcPr>
          <w:p>
            <w:pPr/>
          </w:p>
        </w:tc>
        <w:tc>
          <w:tcPr>
            <w:tcW w:w="1010" w:type="dxa"/>
            <w:vMerge/>
            <w:tcBorders>
              <w:left w:val="single" w:sz="4" w:space="0" w:color="000000"/>
              <w:right w:val="single" w:sz="4" w:space="0" w:color="000000"/>
            </w:tcBorders>
          </w:tcPr>
          <w:p>
            <w:pPr/>
          </w:p>
        </w:tc>
        <w:tc>
          <w:tcPr>
            <w:tcW w:w="1012" w:type="dxa"/>
            <w:vMerge/>
            <w:tcBorders>
              <w:left w:val="single" w:sz="4" w:space="0" w:color="000000"/>
              <w:right w:val="single" w:sz="4" w:space="0" w:color="000000"/>
            </w:tcBorders>
          </w:tcPr>
          <w:p>
            <w:pPr/>
          </w:p>
        </w:tc>
        <w:tc>
          <w:tcPr>
            <w:tcW w:w="1003" w:type="dxa"/>
            <w:vMerge/>
            <w:tcBorders>
              <w:left w:val="single" w:sz="4" w:space="0" w:color="000000"/>
              <w:right w:val="single" w:sz="4" w:space="0" w:color="000000"/>
            </w:tcBorders>
          </w:tcPr>
          <w:p>
            <w:pPr/>
          </w:p>
        </w:tc>
        <w:tc>
          <w:tcPr>
            <w:tcW w:w="1004" w:type="dxa"/>
            <w:vMerge/>
            <w:tcBorders>
              <w:left w:val="single" w:sz="4" w:space="0" w:color="000000"/>
              <w:right w:val="single" w:sz="4" w:space="0" w:color="000000"/>
            </w:tcBorders>
          </w:tcPr>
          <w:p>
            <w:pPr/>
          </w:p>
        </w:tc>
        <w:tc>
          <w:tcPr>
            <w:tcW w:w="1002" w:type="dxa"/>
            <w:vMerge/>
            <w:tcBorders>
              <w:left w:val="single" w:sz="4" w:space="0" w:color="000000"/>
              <w:right w:val="single" w:sz="4" w:space="0" w:color="000000"/>
            </w:tcBorders>
          </w:tcPr>
          <w:p>
            <w:pPr/>
          </w:p>
        </w:tc>
        <w:tc>
          <w:tcPr>
            <w:tcW w:w="1072" w:type="dxa"/>
            <w:vMerge/>
            <w:tcBorders>
              <w:left w:val="single" w:sz="4" w:space="0" w:color="000000"/>
              <w:right w:val="single" w:sz="4" w:space="0" w:color="000000"/>
            </w:tcBorders>
          </w:tcPr>
          <w:p>
            <w:pPr/>
          </w:p>
        </w:tc>
      </w:tr>
      <w:tr>
        <w:trPr>
          <w:trHeight w:val="161" w:hRule="exact"/>
        </w:trPr>
        <w:tc>
          <w:tcPr>
            <w:tcW w:w="1507" w:type="dxa"/>
            <w:tcBorders>
              <w:top w:val="nil" w:sz="6" w:space="0" w:color="auto"/>
              <w:left w:val="single" w:sz="4" w:space="0" w:color="000000"/>
              <w:bottom w:val="single" w:sz="4" w:space="0" w:color="000000"/>
              <w:right w:val="single" w:sz="4" w:space="0" w:color="000000"/>
            </w:tcBorders>
            <w:shd w:val="clear" w:color="auto" w:fill="D3D3D3"/>
          </w:tcPr>
          <w:p>
            <w:pPr/>
          </w:p>
        </w:tc>
        <w:tc>
          <w:tcPr>
            <w:tcW w:w="1008" w:type="dxa"/>
            <w:vMerge/>
            <w:tcBorders>
              <w:left w:val="single" w:sz="9" w:space="0" w:color="D3D3D3"/>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12" w:type="dxa"/>
            <w:vMerge/>
            <w:tcBorders>
              <w:left w:val="single" w:sz="4" w:space="0" w:color="000000"/>
              <w:bottom w:val="single" w:sz="4" w:space="0" w:color="000000"/>
              <w:right w:val="single" w:sz="4" w:space="0" w:color="000000"/>
            </w:tcBorders>
          </w:tcPr>
          <w:p>
            <w:pPr/>
          </w:p>
        </w:tc>
        <w:tc>
          <w:tcPr>
            <w:tcW w:w="1003" w:type="dxa"/>
            <w:vMerge/>
            <w:tcBorders>
              <w:left w:val="single" w:sz="4" w:space="0" w:color="000000"/>
              <w:bottom w:val="single" w:sz="4" w:space="0" w:color="000000"/>
              <w:right w:val="single" w:sz="4" w:space="0" w:color="000000"/>
            </w:tcBorders>
          </w:tcPr>
          <w:p>
            <w:pPr/>
          </w:p>
        </w:tc>
        <w:tc>
          <w:tcPr>
            <w:tcW w:w="1004" w:type="dxa"/>
            <w:vMerge/>
            <w:tcBorders>
              <w:left w:val="single" w:sz="4" w:space="0" w:color="000000"/>
              <w:bottom w:val="single" w:sz="4" w:space="0" w:color="000000"/>
              <w:right w:val="single" w:sz="4" w:space="0" w:color="000000"/>
            </w:tcBorders>
          </w:tcPr>
          <w:p>
            <w:pPr/>
          </w:p>
        </w:tc>
        <w:tc>
          <w:tcPr>
            <w:tcW w:w="1002" w:type="dxa"/>
            <w:vMerge/>
            <w:tcBorders>
              <w:left w:val="single" w:sz="4" w:space="0" w:color="000000"/>
              <w:bottom w:val="single" w:sz="4" w:space="0" w:color="000000"/>
              <w:right w:val="single" w:sz="4" w:space="0" w:color="000000"/>
            </w:tcBorders>
          </w:tcPr>
          <w:p>
            <w:pPr/>
          </w:p>
        </w:tc>
        <w:tc>
          <w:tcPr>
            <w:tcW w:w="1072" w:type="dxa"/>
            <w:vMerge/>
            <w:tcBorders>
              <w:left w:val="single" w:sz="4" w:space="0" w:color="000000"/>
              <w:bottom w:val="single" w:sz="4" w:space="0" w:color="000000"/>
              <w:right w:val="single" w:sz="4" w:space="0" w:color="000000"/>
            </w:tcBorders>
          </w:tcPr>
          <w:p>
            <w:pPr/>
          </w:p>
        </w:tc>
      </w:tr>
      <w:tr>
        <w:trPr>
          <w:trHeight w:val="715" w:hRule="exact"/>
        </w:trPr>
        <w:tc>
          <w:tcPr>
            <w:tcW w:w="15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43"/>
              <w:jc w:val="left"/>
              <w:rPr>
                <w:rFonts w:ascii="宋体" w:hAnsi="宋体" w:cs="宋体" w:eastAsia="宋体" w:hint="default"/>
                <w:sz w:val="18"/>
                <w:szCs w:val="18"/>
              </w:rPr>
            </w:pPr>
            <w:r>
              <w:rPr>
                <w:rFonts w:ascii="宋体" w:hAnsi="宋体" w:cs="宋体" w:eastAsia="宋体" w:hint="default"/>
                <w:sz w:val="18"/>
                <w:szCs w:val="18"/>
              </w:rPr>
              <w:t>归属于上市公司股 东的净利润</w:t>
            </w:r>
          </w:p>
        </w:tc>
        <w:tc>
          <w:tcPr>
            <w:tcW w:w="100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sz w:val="18"/>
              </w:rPr>
              <w:t>14,574,616.</w:t>
            </w:r>
            <w:r>
              <w:rPr>
                <w:rFonts w:ascii="Arial"/>
                <w:sz w:val="18"/>
              </w:rPr>
            </w:r>
          </w:p>
          <w:p>
            <w:pPr>
              <w:pStyle w:val="TableParagraph"/>
              <w:spacing w:line="240" w:lineRule="auto" w:before="105"/>
              <w:ind w:right="23"/>
              <w:jc w:val="right"/>
              <w:rPr>
                <w:rFonts w:ascii="Arial" w:hAnsi="Arial" w:cs="Arial" w:eastAsia="Arial" w:hint="default"/>
                <w:sz w:val="18"/>
                <w:szCs w:val="18"/>
              </w:rPr>
            </w:pPr>
            <w:r>
              <w:rPr>
                <w:rFonts w:ascii="Arial"/>
                <w:spacing w:val="-1"/>
                <w:w w:val="95"/>
                <w:sz w:val="18"/>
              </w:rPr>
              <w:t>42</w:t>
            </w:r>
            <w:r>
              <w:rPr>
                <w:rFonts w:ascii="Arial"/>
                <w:w w:val="95"/>
                <w:sz w:val="18"/>
              </w:rPr>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Arial" w:hAnsi="Arial" w:cs="Arial" w:eastAsia="Arial" w:hint="default"/>
                <w:sz w:val="18"/>
                <w:szCs w:val="18"/>
              </w:rPr>
            </w:pPr>
            <w:r>
              <w:rPr>
                <w:rFonts w:ascii="Arial"/>
                <w:spacing w:val="-1"/>
                <w:sz w:val="18"/>
              </w:rPr>
              <w:t>4,977,120.7</w:t>
            </w:r>
            <w:r>
              <w:rPr>
                <w:rFonts w:ascii="Arial"/>
                <w:sz w:val="18"/>
              </w:rPr>
            </w:r>
          </w:p>
          <w:p>
            <w:pPr>
              <w:pStyle w:val="TableParagraph"/>
              <w:spacing w:line="240" w:lineRule="auto" w:before="105"/>
              <w:ind w:right="21"/>
              <w:jc w:val="right"/>
              <w:rPr>
                <w:rFonts w:ascii="Arial" w:hAnsi="Arial" w:cs="Arial" w:eastAsia="Arial" w:hint="default"/>
                <w:sz w:val="18"/>
                <w:szCs w:val="18"/>
              </w:rPr>
            </w:pPr>
            <w:r>
              <w:rPr>
                <w:rFonts w:ascii="Arial"/>
                <w:sz w:val="18"/>
              </w:rPr>
              <w:t>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4,344,170.2</w:t>
            </w:r>
            <w:r>
              <w:rPr>
                <w:rFonts w:ascii="Arial"/>
                <w:sz w:val="18"/>
              </w:rPr>
            </w:r>
          </w:p>
          <w:p>
            <w:pPr>
              <w:pStyle w:val="TableParagraph"/>
              <w:spacing w:line="240" w:lineRule="auto" w:before="105"/>
              <w:ind w:right="20"/>
              <w:jc w:val="right"/>
              <w:rPr>
                <w:rFonts w:ascii="Arial" w:hAnsi="Arial" w:cs="Arial" w:eastAsia="Arial" w:hint="default"/>
                <w:sz w:val="18"/>
                <w:szCs w:val="18"/>
              </w:rPr>
            </w:pPr>
            <w:r>
              <w:rPr>
                <w:rFonts w:ascii="Arial"/>
                <w:sz w:val="18"/>
              </w:rPr>
              <w:t>1</w:t>
            </w:r>
          </w:p>
        </w:tc>
        <w:tc>
          <w:tcPr>
            <w:tcW w:w="1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2"/>
                <w:sz w:val="18"/>
              </w:rPr>
              <w:t>25,920,114.</w:t>
            </w:r>
            <w:r>
              <w:rPr>
                <w:rFonts w:ascii="Arial"/>
                <w:sz w:val="18"/>
              </w:rPr>
            </w:r>
          </w:p>
          <w:p>
            <w:pPr>
              <w:pStyle w:val="TableParagraph"/>
              <w:spacing w:line="240" w:lineRule="auto" w:before="105"/>
              <w:ind w:right="23"/>
              <w:jc w:val="right"/>
              <w:rPr>
                <w:rFonts w:ascii="Arial" w:hAnsi="Arial" w:cs="Arial" w:eastAsia="Arial" w:hint="default"/>
                <w:sz w:val="18"/>
                <w:szCs w:val="18"/>
              </w:rPr>
            </w:pPr>
            <w:r>
              <w:rPr>
                <w:rFonts w:ascii="Arial"/>
                <w:spacing w:val="-1"/>
                <w:w w:val="95"/>
                <w:sz w:val="18"/>
              </w:rPr>
              <w:t>43</w:t>
            </w:r>
            <w:r>
              <w:rPr>
                <w:rFonts w:ascii="Arial"/>
                <w:w w:val="95"/>
                <w:sz w:val="18"/>
              </w:rPr>
            </w:r>
          </w:p>
        </w:tc>
        <w:tc>
          <w:tcPr>
            <w:tcW w:w="10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14,575,375</w:t>
            </w:r>
          </w:p>
          <w:p>
            <w:pPr>
              <w:pStyle w:val="TableParagraph"/>
              <w:spacing w:line="240" w:lineRule="auto" w:before="105"/>
              <w:ind w:right="21"/>
              <w:jc w:val="right"/>
              <w:rPr>
                <w:rFonts w:ascii="Arial" w:hAnsi="Arial" w:cs="Arial" w:eastAsia="Arial" w:hint="default"/>
                <w:sz w:val="18"/>
                <w:szCs w:val="18"/>
              </w:rPr>
            </w:pPr>
            <w:r>
              <w:rPr>
                <w:rFonts w:ascii="Arial"/>
                <w:spacing w:val="-1"/>
                <w:w w:val="95"/>
                <w:sz w:val="18"/>
              </w:rPr>
              <w:t>.75</w:t>
            </w:r>
            <w:r>
              <w:rPr>
                <w:rFonts w:ascii="Arial"/>
                <w:w w:val="95"/>
                <w:sz w:val="18"/>
              </w:rPr>
            </w:r>
          </w:p>
        </w:tc>
        <w:tc>
          <w:tcPr>
            <w:tcW w:w="1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10,642,767</w:t>
            </w:r>
          </w:p>
          <w:p>
            <w:pPr>
              <w:pStyle w:val="TableParagraph"/>
              <w:spacing w:line="240" w:lineRule="auto" w:before="105"/>
              <w:ind w:right="20"/>
              <w:jc w:val="right"/>
              <w:rPr>
                <w:rFonts w:ascii="Arial" w:hAnsi="Arial" w:cs="Arial" w:eastAsia="Arial" w:hint="default"/>
                <w:sz w:val="18"/>
                <w:szCs w:val="18"/>
              </w:rPr>
            </w:pPr>
            <w:r>
              <w:rPr>
                <w:rFonts w:ascii="Arial"/>
                <w:sz w:val="18"/>
              </w:rPr>
              <w:t>.35</w:t>
            </w:r>
          </w:p>
        </w:tc>
        <w:tc>
          <w:tcPr>
            <w:tcW w:w="1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Arial" w:hAnsi="Arial" w:cs="Arial" w:eastAsia="Arial" w:hint="default"/>
                <w:sz w:val="18"/>
                <w:szCs w:val="18"/>
              </w:rPr>
            </w:pPr>
            <w:r>
              <w:rPr>
                <w:rFonts w:ascii="Arial"/>
                <w:spacing w:val="-1"/>
                <w:sz w:val="18"/>
              </w:rPr>
              <w:t>5,145,052.</w:t>
            </w:r>
            <w:r>
              <w:rPr>
                <w:rFonts w:ascii="Arial"/>
                <w:sz w:val="18"/>
              </w:rPr>
            </w:r>
          </w:p>
          <w:p>
            <w:pPr>
              <w:pStyle w:val="TableParagraph"/>
              <w:spacing w:line="240" w:lineRule="auto" w:before="105"/>
              <w:ind w:right="23"/>
              <w:jc w:val="right"/>
              <w:rPr>
                <w:rFonts w:ascii="Arial" w:hAnsi="Arial" w:cs="Arial" w:eastAsia="Arial" w:hint="default"/>
                <w:sz w:val="18"/>
                <w:szCs w:val="18"/>
              </w:rPr>
            </w:pPr>
            <w:r>
              <w:rPr>
                <w:rFonts w:ascii="Arial"/>
                <w:spacing w:val="-1"/>
                <w:w w:val="95"/>
                <w:sz w:val="18"/>
              </w:rPr>
              <w:t>03</w:t>
            </w:r>
            <w:r>
              <w:rPr>
                <w:rFonts w:ascii="Arial"/>
                <w:w w:val="95"/>
                <w:sz w:val="18"/>
              </w:rPr>
            </w:r>
          </w:p>
        </w:tc>
        <w:tc>
          <w:tcPr>
            <w:tcW w:w="1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Arial" w:hAnsi="Arial" w:cs="Arial" w:eastAsia="Arial" w:hint="default"/>
                <w:sz w:val="18"/>
                <w:szCs w:val="18"/>
              </w:rPr>
            </w:pPr>
            <w:r>
              <w:rPr>
                <w:rFonts w:ascii="Arial"/>
                <w:spacing w:val="-1"/>
                <w:sz w:val="18"/>
              </w:rPr>
              <w:t>2,924,517.9</w:t>
            </w:r>
            <w:r>
              <w:rPr>
                <w:rFonts w:ascii="Arial"/>
                <w:sz w:val="18"/>
              </w:rPr>
            </w:r>
          </w:p>
          <w:p>
            <w:pPr>
              <w:pStyle w:val="TableParagraph"/>
              <w:spacing w:line="240" w:lineRule="auto" w:before="105"/>
              <w:ind w:right="21"/>
              <w:jc w:val="right"/>
              <w:rPr>
                <w:rFonts w:ascii="Arial" w:hAnsi="Arial" w:cs="Arial" w:eastAsia="Arial" w:hint="default"/>
                <w:sz w:val="18"/>
                <w:szCs w:val="18"/>
              </w:rPr>
            </w:pPr>
            <w:r>
              <w:rPr>
                <w:rFonts w:ascii="Arial"/>
                <w:sz w:val="18"/>
              </w:rPr>
              <w:t>4</w:t>
            </w:r>
          </w:p>
        </w:tc>
      </w:tr>
    </w:tbl>
    <w:p>
      <w:pPr>
        <w:pStyle w:val="BodyText"/>
        <w:spacing w:line="357" w:lineRule="auto" w:before="51"/>
        <w:ind w:left="153" w:right="6611"/>
        <w:jc w:val="left"/>
      </w:pPr>
      <w:r>
        <w:rPr/>
        <w:t>说明经营季节性（或周期性）发生的原因及波动风险 无。</w:t>
      </w:r>
    </w:p>
    <w:p>
      <w:pPr>
        <w:spacing w:line="240" w:lineRule="auto" w:before="1"/>
        <w:rPr>
          <w:rFonts w:ascii="宋体" w:hAnsi="宋体" w:cs="宋体" w:eastAsia="宋体" w:hint="default"/>
          <w:sz w:val="20"/>
          <w:szCs w:val="20"/>
        </w:rPr>
      </w:pPr>
    </w:p>
    <w:p>
      <w:pPr>
        <w:pStyle w:val="Heading4"/>
        <w:spacing w:line="240" w:lineRule="auto"/>
        <w:ind w:right="2239"/>
        <w:jc w:val="left"/>
        <w:rPr>
          <w:b w:val="0"/>
          <w:bCs w:val="0"/>
        </w:rPr>
      </w:pPr>
      <w:r>
        <w:rPr/>
        <w:t>（</w:t>
      </w:r>
      <w:r>
        <w:rPr>
          <w:rFonts w:ascii="Arial" w:hAnsi="Arial" w:cs="Arial" w:eastAsia="Arial" w:hint="default"/>
        </w:rPr>
        <w:t>2</w:t>
      </w:r>
      <w:r>
        <w:rPr/>
        <w:t>）占公司营业收入或营业利润</w:t>
      </w:r>
      <w:r>
        <w:rPr>
          <w:spacing w:val="-61"/>
        </w:rPr>
        <w:t> </w:t>
      </w:r>
      <w:r>
        <w:rPr>
          <w:rFonts w:ascii="Arial" w:hAnsi="Arial" w:cs="Arial" w:eastAsia="Arial" w:hint="default"/>
        </w:rPr>
        <w:t>10%</w:t>
      </w:r>
      <w:r>
        <w:rPr/>
        <w:t>以上的行业、产品或地区情况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pStyle w:val="BodyText"/>
        <w:spacing w:line="240" w:lineRule="auto" w:before="104"/>
        <w:ind w:right="0"/>
        <w:jc w:val="left"/>
      </w:pPr>
      <w:r>
        <w:rPr/>
        <w:t>公司需遵守《深圳证券交易所行业信息披露指引第</w:t>
      </w:r>
      <w:r>
        <w:rPr>
          <w:spacing w:val="-46"/>
        </w:rPr>
        <w:t> </w:t>
      </w:r>
      <w:r>
        <w:rPr>
          <w:rFonts w:ascii="Arial" w:hAnsi="Arial" w:cs="Arial" w:eastAsia="Arial" w:hint="default"/>
        </w:rPr>
        <w:t>12</w:t>
      </w:r>
      <w:r>
        <w:rPr>
          <w:rFonts w:ascii="Arial" w:hAnsi="Arial" w:cs="Arial" w:eastAsia="Arial" w:hint="default"/>
          <w:spacing w:val="-7"/>
        </w:rPr>
        <w:t> </w:t>
      </w:r>
      <w:r>
        <w:rPr/>
        <w:t>号</w:t>
      </w:r>
      <w:r>
        <w:rPr>
          <w:rFonts w:ascii="Arial" w:hAnsi="Arial" w:cs="Arial" w:eastAsia="Arial" w:hint="default"/>
        </w:rPr>
        <w:t>——</w:t>
      </w:r>
      <w:r>
        <w:rPr/>
        <w:t>上市公司从事软件与信息技术服务业务》的披露要求</w:t>
      </w:r>
    </w:p>
    <w:p>
      <w:pPr>
        <w:pStyle w:val="BodyText"/>
        <w:spacing w:line="240" w:lineRule="auto" w:before="103"/>
        <w:ind w:left="0" w:right="1129"/>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7"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08" w:right="0"/>
              <w:jc w:val="left"/>
              <w:rPr>
                <w:rFonts w:ascii="宋体" w:hAnsi="宋体" w:cs="宋体" w:eastAsia="宋体" w:hint="default"/>
                <w:sz w:val="18"/>
                <w:szCs w:val="18"/>
              </w:rPr>
            </w:pPr>
            <w:r>
              <w:rPr>
                <w:rFonts w:ascii="宋体" w:hAnsi="宋体" w:cs="宋体" w:eastAsia="宋体" w:hint="default"/>
                <w:sz w:val="18"/>
                <w:szCs w:val="18"/>
              </w:rPr>
              <w:t>毛利率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营业收入比上年 同期增减</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17" w:right="47" w:hanging="270"/>
              <w:jc w:val="left"/>
              <w:rPr>
                <w:rFonts w:ascii="宋体" w:hAnsi="宋体" w:cs="宋体" w:eastAsia="宋体" w:hint="default"/>
                <w:sz w:val="18"/>
                <w:szCs w:val="18"/>
              </w:rPr>
            </w:pPr>
            <w:r>
              <w:rPr>
                <w:rFonts w:ascii="宋体" w:hAnsi="宋体" w:cs="宋体" w:eastAsia="宋体" w:hint="default"/>
                <w:sz w:val="18"/>
                <w:szCs w:val="18"/>
              </w:rPr>
              <w:t>营业成本比上年 同期增减</w:t>
            </w:r>
          </w:p>
        </w:tc>
        <w:tc>
          <w:tcPr>
            <w:tcW w:w="137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11" w:right="48" w:hanging="360"/>
              <w:jc w:val="left"/>
              <w:rPr>
                <w:rFonts w:ascii="宋体" w:hAnsi="宋体" w:cs="宋体" w:eastAsia="宋体" w:hint="default"/>
                <w:sz w:val="18"/>
                <w:szCs w:val="18"/>
              </w:rPr>
            </w:pPr>
            <w:r>
              <w:rPr>
                <w:rFonts w:ascii="宋体" w:hAnsi="宋体" w:cs="宋体" w:eastAsia="宋体" w:hint="default"/>
                <w:sz w:val="18"/>
                <w:szCs w:val="18"/>
              </w:rPr>
              <w:t>毛利率比上年同 期增减</w:t>
            </w:r>
          </w:p>
        </w:tc>
      </w:tr>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分客户所处行业</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信息技术行业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722,108,166.60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451,645,202.07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37.45%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-10.67%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-16.89%</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4.68%</w:t>
            </w:r>
            <w:r>
              <w:rPr>
                <w:rFonts w:ascii="Arial"/>
                <w:w w:val="95"/>
                <w:sz w:val="18"/>
              </w:rPr>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系统集成收入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372,422,962.14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316,947,303.07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14.90%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-7.48%</w:t>
            </w:r>
            <w:r>
              <w:rPr>
                <w:rFonts w:ascii="Arial"/>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-9.63%</w:t>
            </w:r>
            <w:r>
              <w:rPr>
                <w:rFonts w:ascii="Arial"/>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2.03%</w:t>
            </w:r>
            <w:r>
              <w:rPr>
                <w:rFonts w:ascii="Arial"/>
                <w:w w:val="95"/>
                <w:sz w:val="18"/>
              </w:rPr>
            </w:r>
          </w:p>
        </w:tc>
      </w:tr>
      <w:tr>
        <w:trPr>
          <w:trHeight w:val="715"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软件产品及服务 收入</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349,685,204.46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134,697,899.00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61.48%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-13.83%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-30.10%</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18"/>
                <w:szCs w:val="18"/>
              </w:rPr>
            </w:pPr>
            <w:r>
              <w:rPr>
                <w:rFonts w:ascii="Arial"/>
                <w:spacing w:val="-1"/>
                <w:w w:val="95"/>
                <w:sz w:val="18"/>
              </w:rPr>
              <w:t>8.96%</w:t>
            </w:r>
            <w:r>
              <w:rPr>
                <w:rFonts w:ascii="Arial"/>
                <w:w w:val="95"/>
                <w:sz w:val="18"/>
              </w:rPr>
            </w: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华北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sz w:val="18"/>
              </w:rPr>
              <w:t>84,763,384.06</w:t>
            </w:r>
            <w:r>
              <w:rPr>
                <w:rFonts w:ascii="Arial"/>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32,292,390.30</w:t>
            </w:r>
            <w:r>
              <w:rPr>
                <w:rFonts w:ascii="Arial"/>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61.90%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-34.15%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-62.41%</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28.64%</w:t>
            </w:r>
          </w:p>
        </w:tc>
      </w:tr>
    </w:tbl>
    <w:p>
      <w:pPr>
        <w:spacing w:after="0" w:line="240" w:lineRule="auto"/>
        <w:jc w:val="right"/>
        <w:rPr>
          <w:rFonts w:ascii="Arial" w:hAnsi="Arial" w:cs="Arial" w:eastAsia="Arial"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6"/>
        <w:gridCol w:w="1367"/>
        <w:gridCol w:w="1367"/>
        <w:gridCol w:w="1367"/>
        <w:gridCol w:w="1372"/>
      </w:tblGrid>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华东</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2"/>
                <w:sz w:val="18"/>
              </w:rPr>
              <w:t>211,357,321.51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128,295,073.93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39.30%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12.04%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8.94%</w:t>
            </w:r>
            <w:r>
              <w:rPr>
                <w:rFonts w:ascii="Arial"/>
                <w:w w:val="95"/>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1.73%</w:t>
            </w:r>
            <w:r>
              <w:rPr>
                <w:rFonts w:ascii="Arial"/>
                <w:w w:val="95"/>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华南</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314,057,250.79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217,335,125.74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30.80%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-5.56%</w:t>
            </w:r>
            <w:r>
              <w:rPr>
                <w:rFonts w:ascii="Arial"/>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1.90%</w:t>
            </w:r>
            <w:r>
              <w:rPr>
                <w:rFonts w:ascii="Arial"/>
                <w:w w:val="95"/>
                <w:sz w:val="18"/>
              </w:rPr>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-5.06%</w:t>
            </w:r>
            <w:r>
              <w:rPr>
                <w:rFonts w:ascii="Arial"/>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90,079,940.80</w:t>
            </w:r>
            <w:r>
              <w:rPr>
                <w:rFonts w:ascii="Arial"/>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61,237,287.95</w:t>
            </w:r>
            <w:r>
              <w:rPr>
                <w:rFonts w:ascii="Arial"/>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32.02%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1.45%</w:t>
            </w:r>
            <w:r>
              <w:rPr>
                <w:rFonts w:ascii="Arial"/>
                <w:w w:val="95"/>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-17.62%</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13.62%</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27,064,936.22</w:t>
            </w:r>
            <w:r>
              <w:rPr>
                <w:rFonts w:ascii="Arial"/>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2"/>
                <w:sz w:val="18"/>
              </w:rPr>
              <w:t>17,152,428.11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36.62%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-63.32%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-69.23%</w:t>
            </w:r>
          </w:p>
        </w:tc>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12.16%</w:t>
            </w:r>
          </w:p>
        </w:tc>
      </w:tr>
    </w:tbl>
    <w:p>
      <w:pPr>
        <w:pStyle w:val="BodyText"/>
        <w:spacing w:line="240" w:lineRule="auto" w:before="51"/>
        <w:ind w:right="0"/>
        <w:jc w:val="left"/>
      </w:pPr>
      <w:r>
        <w:rPr/>
        <w:t>公司主营业务数据统计口径在报告期发生调整的情况下，公司最近</w:t>
      </w:r>
      <w:r>
        <w:rPr>
          <w:spacing w:val="-46"/>
        </w:rPr>
        <w:t> </w:t>
      </w:r>
      <w:r>
        <w:rPr>
          <w:rFonts w:ascii="Arial" w:hAnsi="Arial" w:cs="Arial" w:eastAsia="Arial" w:hint="default"/>
        </w:rPr>
        <w:t>1</w:t>
      </w:r>
      <w:r>
        <w:rPr>
          <w:rFonts w:ascii="Arial" w:hAnsi="Arial" w:cs="Arial" w:eastAsia="Arial" w:hint="default"/>
          <w:spacing w:val="-5"/>
        </w:rPr>
        <w:t> </w:t>
      </w:r>
      <w:r>
        <w:rPr/>
        <w:t>年按报告期末口径调整后的主营业务数据</w:t>
      </w:r>
    </w:p>
    <w:p>
      <w:pPr>
        <w:pStyle w:val="BodyText"/>
        <w:spacing w:line="240" w:lineRule="auto" w:before="104"/>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2239"/>
        <w:jc w:val="left"/>
        <w:rPr>
          <w:b w:val="0"/>
          <w:bCs w:val="0"/>
        </w:rPr>
      </w:pPr>
      <w:r>
        <w:rPr/>
        <w:t>（</w:t>
      </w:r>
      <w:r>
        <w:rPr>
          <w:rFonts w:ascii="Arial" w:hAnsi="Arial" w:cs="Arial" w:eastAsia="Arial" w:hint="default"/>
        </w:rPr>
        <w:t>3</w:t>
      </w:r>
      <w:r>
        <w:rPr/>
        <w:t>）公司实物销售收入是否大于劳务收入</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2239"/>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29"/>
        </w:rPr>
        <w:t> </w:t>
      </w:r>
      <w:r>
        <w:rPr/>
        <w:t>否</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596"/>
        <w:gridCol w:w="1582"/>
        <w:gridCol w:w="1606"/>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78"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78"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val="restart"/>
            <w:tcBorders>
              <w:top w:val="single" w:sz="4" w:space="0" w:color="000000"/>
              <w:left w:val="single" w:sz="4" w:space="0" w:color="000000"/>
              <w:right w:val="single" w:sz="9" w:space="0" w:color="D3D3D3"/>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372,422,962.14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402,532,661.51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-7.48%</w:t>
            </w:r>
            <w:r>
              <w:rPr>
                <w:rFonts w:ascii="Arial"/>
                <w:sz w:val="18"/>
              </w:rPr>
            </w:r>
          </w:p>
        </w:tc>
      </w:tr>
      <w:tr>
        <w:trPr>
          <w:trHeight w:val="403" w:hRule="exact"/>
        </w:trPr>
        <w:tc>
          <w:tcPr>
            <w:tcW w:w="1596" w:type="dxa"/>
            <w:vMerge/>
            <w:tcBorders>
              <w:left w:val="single" w:sz="4" w:space="0" w:color="000000"/>
              <w:bottom w:val="single" w:sz="4" w:space="0" w:color="000000"/>
              <w:right w:val="single" w:sz="9" w:space="0" w:color="D3D3D3"/>
            </w:tcBorders>
          </w:tcPr>
          <w:p>
            <w:pPr/>
          </w:p>
        </w:tc>
        <w:tc>
          <w:tcPr>
            <w:tcW w:w="15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60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2"/>
                <w:sz w:val="18"/>
              </w:rPr>
              <w:t>117,866,473.85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2"/>
                <w:sz w:val="18"/>
              </w:rPr>
              <w:t>115,449,854.56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2.09%</w:t>
            </w:r>
            <w:r>
              <w:rPr>
                <w:rFonts w:ascii="Arial"/>
                <w:w w:val="95"/>
                <w:sz w:val="18"/>
              </w:rPr>
            </w:r>
          </w:p>
        </w:tc>
      </w:tr>
    </w:tbl>
    <w:p>
      <w:pPr>
        <w:pStyle w:val="BodyText"/>
        <w:spacing w:line="240" w:lineRule="auto" w:before="51"/>
        <w:ind w:right="2239"/>
        <w:jc w:val="left"/>
      </w:pPr>
      <w:r>
        <w:rPr/>
        <w:t>相关数据同比发生变动</w:t>
      </w:r>
      <w:r>
        <w:rPr>
          <w:spacing w:val="-47"/>
        </w:rPr>
        <w:t> </w:t>
      </w:r>
      <w:r>
        <w:rPr>
          <w:rFonts w:ascii="Arial" w:hAnsi="Arial" w:cs="Arial" w:eastAsia="Arial" w:hint="default"/>
        </w:rPr>
        <w:t>30%</w:t>
      </w:r>
      <w:r>
        <w:rPr/>
        <w:t>以上的原因说明</w:t>
      </w:r>
    </w:p>
    <w:p>
      <w:pPr>
        <w:pStyle w:val="BodyText"/>
        <w:spacing w:line="240" w:lineRule="auto" w:before="103"/>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11"/>
        <w:rPr>
          <w:rFonts w:ascii="宋体" w:hAnsi="宋体" w:cs="宋体" w:eastAsia="宋体" w:hint="default"/>
          <w:sz w:val="25"/>
          <w:szCs w:val="25"/>
        </w:rPr>
      </w:pPr>
    </w:p>
    <w:p>
      <w:pPr>
        <w:pStyle w:val="Heading4"/>
        <w:spacing w:line="240" w:lineRule="auto"/>
        <w:ind w:right="2239"/>
        <w:jc w:val="left"/>
        <w:rPr>
          <w:b w:val="0"/>
          <w:bCs w:val="0"/>
        </w:rPr>
      </w:pPr>
      <w:r>
        <w:rPr/>
        <w:t>（</w:t>
      </w:r>
      <w:r>
        <w:rPr>
          <w:rFonts w:ascii="Arial" w:hAnsi="Arial" w:cs="Arial" w:eastAsia="Arial" w:hint="default"/>
        </w:rPr>
        <w:t>4</w:t>
      </w:r>
      <w:r>
        <w:rPr/>
        <w:t>）公司已签订的重大销售合同截至本报告期的履行情况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11"/>
        <w:rPr>
          <w:rFonts w:ascii="宋体" w:hAnsi="宋体" w:cs="宋体" w:eastAsia="宋体" w:hint="default"/>
          <w:sz w:val="25"/>
          <w:szCs w:val="25"/>
        </w:rPr>
      </w:pPr>
    </w:p>
    <w:p>
      <w:pPr>
        <w:pStyle w:val="Heading4"/>
        <w:spacing w:line="240" w:lineRule="auto"/>
        <w:ind w:right="2239"/>
        <w:jc w:val="left"/>
        <w:rPr>
          <w:b w:val="0"/>
          <w:bCs w:val="0"/>
        </w:rPr>
      </w:pPr>
      <w:r>
        <w:rPr/>
        <w:t>（</w:t>
      </w:r>
      <w:r>
        <w:rPr>
          <w:rFonts w:ascii="Arial" w:hAnsi="Arial" w:cs="Arial" w:eastAsia="Arial" w:hint="default"/>
        </w:rPr>
        <w:t>5</w:t>
      </w:r>
      <w:r>
        <w:rPr/>
        <w:t>）营业成本构成</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right="2239"/>
        <w:jc w:val="left"/>
      </w:pPr>
      <w:r>
        <w:rPr/>
        <w:t>行业分类</w:t>
      </w:r>
    </w:p>
    <w:p>
      <w:pPr>
        <w:pStyle w:val="BodyText"/>
        <w:spacing w:line="240" w:lineRule="auto" w:before="116"/>
        <w:ind w:left="0" w:right="1131"/>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273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47"/>
              <w:jc w:val="right"/>
              <w:rPr>
                <w:rFonts w:ascii="宋体" w:hAnsi="宋体" w:cs="宋体" w:eastAsia="宋体" w:hint="default"/>
                <w:sz w:val="18"/>
                <w:szCs w:val="18"/>
              </w:rPr>
            </w:pPr>
            <w:r>
              <w:rPr>
                <w:rFonts w:ascii="宋体" w:hAnsi="宋体" w:cs="宋体" w:eastAsia="宋体" w:hint="default"/>
                <w:sz w:val="18"/>
                <w:szCs w:val="18"/>
              </w:rPr>
              <w:t>占营业成本比重</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信息技术行业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外购设备及外购 软件</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294,262,961.39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62.55%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340,974,074.94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62.55%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-13.70%</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信息技术行业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外包服务及其他</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157,382,240.68</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37.14%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202,456,159.69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37.14%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-22.26%</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园区租赁行业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4,667,103.96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0.31%</w:t>
            </w:r>
            <w:r>
              <w:rPr>
                <w:rFonts w:ascii="Arial"/>
                <w:w w:val="95"/>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2"/>
                <w:sz w:val="18"/>
              </w:rPr>
              <w:t>1,711,840.53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0.31%</w:t>
            </w:r>
            <w:r>
              <w:rPr>
                <w:rFonts w:ascii="Arial"/>
                <w:w w:val="95"/>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172.64%</w:t>
            </w:r>
          </w:p>
        </w:tc>
      </w:tr>
    </w:tbl>
    <w:p>
      <w:pPr>
        <w:pStyle w:val="BodyText"/>
        <w:spacing w:line="357" w:lineRule="auto" w:before="51"/>
        <w:ind w:right="10390"/>
        <w:jc w:val="left"/>
      </w:pPr>
      <w:r>
        <w:rPr/>
        <w:t>说明 无。</w:t>
      </w:r>
    </w:p>
    <w:p>
      <w:pPr>
        <w:pStyle w:val="BodyText"/>
        <w:spacing w:line="340" w:lineRule="auto" w:before="29"/>
        <w:ind w:right="1823"/>
        <w:jc w:val="left"/>
      </w:pPr>
      <w:r>
        <w:rPr/>
        <w:t>公司需遵守《深圳证券交易所行业信息披露指引第</w:t>
      </w:r>
      <w:r>
        <w:rPr>
          <w:spacing w:val="-46"/>
        </w:rPr>
        <w:t> </w:t>
      </w:r>
      <w:r>
        <w:rPr>
          <w:rFonts w:ascii="Arial" w:hAnsi="Arial" w:cs="Arial" w:eastAsia="Arial" w:hint="default"/>
        </w:rPr>
        <w:t>12</w:t>
      </w:r>
      <w:r>
        <w:rPr>
          <w:rFonts w:ascii="Arial" w:hAnsi="Arial" w:cs="Arial" w:eastAsia="Arial" w:hint="default"/>
          <w:spacing w:val="-7"/>
        </w:rPr>
        <w:t> </w:t>
      </w:r>
      <w:r>
        <w:rPr/>
        <w:t>号</w:t>
      </w:r>
      <w:r>
        <w:rPr>
          <w:rFonts w:ascii="Arial" w:hAnsi="Arial" w:cs="Arial" w:eastAsia="Arial" w:hint="default"/>
        </w:rPr>
        <w:t>——</w:t>
      </w:r>
      <w:r>
        <w:rPr/>
        <w:t>上市公司从事软件与信息技术服务业务》的披露要求 主营业务成本构成</w:t>
      </w:r>
    </w:p>
    <w:p>
      <w:pPr>
        <w:pStyle w:val="BodyText"/>
        <w:spacing w:line="240" w:lineRule="auto" w:before="40"/>
        <w:ind w:left="0" w:right="1129"/>
        <w:jc w:val="right"/>
      </w:pPr>
      <w:r>
        <w:rPr/>
        <w:t>单位：元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成本构成</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本报告期</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上年同期</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1596"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3"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2" w:right="0"/>
              <w:jc w:val="left"/>
              <w:rPr>
                <w:rFonts w:ascii="宋体" w:hAnsi="宋体" w:cs="宋体" w:eastAsia="宋体" w:hint="default"/>
                <w:sz w:val="18"/>
                <w:szCs w:val="18"/>
              </w:rPr>
            </w:pPr>
            <w:r>
              <w:rPr>
                <w:rFonts w:ascii="宋体" w:hAnsi="宋体" w:cs="宋体" w:eastAsia="宋体" w:hint="default"/>
                <w:sz w:val="18"/>
                <w:szCs w:val="18"/>
              </w:rPr>
              <w:t>占营业成本比重</w:t>
            </w:r>
          </w:p>
        </w:tc>
        <w:tc>
          <w:tcPr>
            <w:tcW w:w="159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0" w:right="0"/>
              <w:jc w:val="left"/>
              <w:rPr>
                <w:rFonts w:ascii="Arial" w:hAnsi="Arial" w:cs="Arial" w:eastAsia="Arial" w:hint="default"/>
                <w:sz w:val="18"/>
                <w:szCs w:val="18"/>
              </w:rPr>
            </w:pPr>
            <w:r>
              <w:rPr>
                <w:rFonts w:ascii="Arial"/>
                <w:sz w:val="18"/>
              </w:rPr>
              <w:t>316,947,303.07</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1" w:right="0"/>
              <w:jc w:val="left"/>
              <w:rPr>
                <w:rFonts w:ascii="Arial" w:hAnsi="Arial" w:cs="Arial" w:eastAsia="Arial" w:hint="default"/>
                <w:sz w:val="18"/>
                <w:szCs w:val="18"/>
              </w:rPr>
            </w:pPr>
            <w:r>
              <w:rPr>
                <w:rFonts w:ascii="Arial"/>
                <w:sz w:val="18"/>
              </w:rPr>
              <w:t>69.46%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0" w:right="0"/>
              <w:jc w:val="left"/>
              <w:rPr>
                <w:rFonts w:ascii="Arial" w:hAnsi="Arial" w:cs="Arial" w:eastAsia="Arial" w:hint="default"/>
                <w:sz w:val="18"/>
                <w:szCs w:val="18"/>
              </w:rPr>
            </w:pPr>
            <w:r>
              <w:rPr>
                <w:rFonts w:ascii="Arial"/>
                <w:sz w:val="18"/>
              </w:rPr>
              <w:t>350,738,681.62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50" w:right="0"/>
              <w:jc w:val="left"/>
              <w:rPr>
                <w:rFonts w:ascii="Arial" w:hAnsi="Arial" w:cs="Arial" w:eastAsia="Arial" w:hint="default"/>
                <w:sz w:val="18"/>
                <w:szCs w:val="18"/>
              </w:rPr>
            </w:pPr>
            <w:r>
              <w:rPr>
                <w:rFonts w:ascii="Arial"/>
                <w:sz w:val="18"/>
              </w:rPr>
              <w:t>64.12%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92" w:right="0"/>
              <w:jc w:val="left"/>
              <w:rPr>
                <w:rFonts w:ascii="Arial" w:hAnsi="Arial" w:cs="Arial" w:eastAsia="Arial" w:hint="default"/>
                <w:sz w:val="18"/>
                <w:szCs w:val="18"/>
              </w:rPr>
            </w:pPr>
            <w:r>
              <w:rPr>
                <w:rFonts w:ascii="Arial"/>
                <w:sz w:val="18"/>
              </w:rPr>
              <w:t>-9.63%</w:t>
            </w:r>
          </w:p>
        </w:tc>
      </w:tr>
    </w:tbl>
    <w:p>
      <w:pPr>
        <w:spacing w:after="0" w:line="240" w:lineRule="auto"/>
        <w:jc w:val="left"/>
        <w:rPr>
          <w:rFonts w:ascii="Arial" w:hAnsi="Arial" w:cs="Arial" w:eastAsia="Arial"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软件产品及服务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134,697,899.00</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29.52%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192,691,553.01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35.23%</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-30.10%</w:t>
            </w:r>
          </w:p>
        </w:tc>
      </w:tr>
      <w:tr>
        <w:trPr>
          <w:trHeight w:val="402"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软件园租赁</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4,667,103.96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1.02%</w:t>
            </w:r>
            <w:r>
              <w:rPr>
                <w:rFonts w:ascii="Arial"/>
                <w:w w:val="95"/>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3,596,179.83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0.66%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29.78%</w:t>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t>（</w:t>
      </w:r>
      <w:r>
        <w:rPr>
          <w:rFonts w:ascii="Arial" w:hAnsi="Arial" w:cs="Arial" w:eastAsia="Arial" w:hint="default"/>
        </w:rPr>
        <w:t>6</w:t>
      </w:r>
      <w:r>
        <w:rPr/>
        <w:t>）报告期内合并范围是否发生变动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2239"/>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29"/>
        </w:rPr>
        <w:t> </w:t>
      </w:r>
      <w:r>
        <w:rPr/>
        <w:t>否</w:t>
      </w:r>
    </w:p>
    <w:p>
      <w:pPr>
        <w:pStyle w:val="BodyText"/>
        <w:spacing w:line="240" w:lineRule="auto" w:before="103"/>
        <w:ind w:right="0"/>
        <w:jc w:val="left"/>
      </w:pPr>
      <w:r>
        <w:rPr/>
        <w:t>本集团</w:t>
      </w:r>
      <w:r>
        <w:rPr>
          <w:spacing w:val="-46"/>
        </w:rPr>
        <w:t> </w:t>
      </w:r>
      <w:r>
        <w:rPr>
          <w:rFonts w:ascii="Arial" w:hAnsi="Arial" w:cs="Arial" w:eastAsia="Arial" w:hint="default"/>
        </w:rPr>
        <w:t>2019</w:t>
      </w:r>
      <w:r>
        <w:rPr>
          <w:rFonts w:ascii="Arial" w:hAnsi="Arial" w:cs="Arial" w:eastAsia="Arial" w:hint="default"/>
          <w:spacing w:val="-7"/>
        </w:rPr>
        <w:t> </w:t>
      </w:r>
      <w:r>
        <w:rPr/>
        <w:t>年度纳入合并范围的子公司</w:t>
      </w:r>
      <w:r>
        <w:rPr>
          <w:spacing w:val="-46"/>
        </w:rPr>
        <w:t> </w:t>
      </w:r>
      <w:r>
        <w:rPr>
          <w:rFonts w:ascii="Arial" w:hAnsi="Arial" w:cs="Arial" w:eastAsia="Arial" w:hint="default"/>
        </w:rPr>
        <w:t>15</w:t>
      </w:r>
      <w:r>
        <w:rPr>
          <w:rFonts w:ascii="Arial" w:hAnsi="Arial" w:cs="Arial" w:eastAsia="Arial" w:hint="default"/>
          <w:spacing w:val="-5"/>
        </w:rPr>
        <w:t> </w:t>
      </w:r>
      <w:r>
        <w:rPr/>
        <w:t>家、孙公司</w:t>
      </w:r>
      <w:r>
        <w:rPr>
          <w:spacing w:val="-46"/>
        </w:rPr>
        <w:t> </w:t>
      </w:r>
      <w:r>
        <w:rPr>
          <w:rFonts w:ascii="Arial" w:hAnsi="Arial" w:cs="Arial" w:eastAsia="Arial" w:hint="default"/>
        </w:rPr>
        <w:t>3</w:t>
      </w:r>
      <w:r>
        <w:rPr>
          <w:rFonts w:ascii="Arial" w:hAnsi="Arial" w:cs="Arial" w:eastAsia="Arial" w:hint="default"/>
          <w:spacing w:val="-5"/>
        </w:rPr>
        <w:t> </w:t>
      </w:r>
      <w:r>
        <w:rPr/>
        <w:t>家，各家子、孙公司情况详见附注</w:t>
      </w:r>
      <w:r>
        <w:rPr>
          <w:rFonts w:ascii="Arial" w:hAnsi="Arial" w:cs="Arial" w:eastAsia="Arial" w:hint="default"/>
        </w:rPr>
        <w:t>“</w:t>
      </w:r>
      <w:r>
        <w:rPr/>
        <w:t>七、在其他主体中的权益</w:t>
      </w:r>
      <w:r>
        <w:rPr>
          <w:rFonts w:ascii="Arial" w:hAnsi="Arial" w:cs="Arial" w:eastAsia="Arial" w:hint="default"/>
        </w:rPr>
        <w:t>”</w:t>
      </w:r>
      <w:r>
        <w:rPr/>
        <w:t>。</w:t>
      </w:r>
    </w:p>
    <w:p>
      <w:pPr>
        <w:pStyle w:val="BodyText"/>
        <w:spacing w:line="240" w:lineRule="auto" w:before="63"/>
        <w:ind w:right="0"/>
        <w:jc w:val="left"/>
      </w:pPr>
      <w:r>
        <w:rPr/>
        <w:t>本集团本年度合并范围较上年度减少</w:t>
      </w:r>
      <w:r>
        <w:rPr>
          <w:spacing w:val="-46"/>
        </w:rPr>
        <w:t> </w:t>
      </w:r>
      <w:r>
        <w:rPr>
          <w:rFonts w:ascii="Arial" w:hAnsi="Arial" w:cs="Arial" w:eastAsia="Arial" w:hint="default"/>
        </w:rPr>
        <w:t>2</w:t>
      </w:r>
      <w:r>
        <w:rPr>
          <w:rFonts w:ascii="Arial" w:hAnsi="Arial" w:cs="Arial" w:eastAsia="Arial" w:hint="default"/>
          <w:spacing w:val="-7"/>
        </w:rPr>
        <w:t> </w:t>
      </w:r>
      <w:r>
        <w:rPr/>
        <w:t>家，系</w:t>
      </w:r>
      <w:r>
        <w:rPr>
          <w:spacing w:val="-46"/>
        </w:rPr>
        <w:t> </w:t>
      </w:r>
      <w:r>
        <w:rPr>
          <w:rFonts w:ascii="Arial" w:hAnsi="Arial" w:cs="Arial" w:eastAsia="Arial" w:hint="default"/>
        </w:rPr>
        <w:t>2</w:t>
      </w:r>
      <w:r>
        <w:rPr>
          <w:rFonts w:ascii="Arial" w:hAnsi="Arial" w:cs="Arial" w:eastAsia="Arial" w:hint="default"/>
          <w:spacing w:val="-7"/>
        </w:rPr>
        <w:t> </w:t>
      </w:r>
      <w:r>
        <w:rPr/>
        <w:t>家孙公司浙江检榕网络科技有限公司及榕基国计（北京）信息技术有限公</w:t>
      </w:r>
    </w:p>
    <w:p>
      <w:pPr>
        <w:pStyle w:val="BodyText"/>
        <w:spacing w:line="240" w:lineRule="auto" w:before="65"/>
        <w:ind w:right="2239"/>
        <w:jc w:val="left"/>
      </w:pPr>
      <w:r>
        <w:rPr/>
        <w:t>司于</w:t>
      </w:r>
      <w:r>
        <w:rPr>
          <w:spacing w:val="-46"/>
        </w:rPr>
        <w:t> </w:t>
      </w:r>
      <w:r>
        <w:rPr>
          <w:rFonts w:ascii="Arial" w:hAnsi="Arial" w:cs="Arial" w:eastAsia="Arial" w:hint="default"/>
        </w:rPr>
        <w:t>2019</w:t>
      </w:r>
      <w:r>
        <w:rPr>
          <w:rFonts w:ascii="Arial" w:hAnsi="Arial" w:cs="Arial" w:eastAsia="Arial" w:hint="default"/>
          <w:spacing w:val="-7"/>
        </w:rPr>
        <w:t> </w:t>
      </w:r>
      <w:r>
        <w:rPr/>
        <w:t>年度注销，详见附注</w:t>
      </w:r>
      <w:r>
        <w:rPr>
          <w:rFonts w:ascii="Arial" w:hAnsi="Arial" w:cs="Arial" w:eastAsia="Arial" w:hint="default"/>
        </w:rPr>
        <w:t>“</w:t>
      </w:r>
      <w:r>
        <w:rPr/>
        <w:t>六、合并范围的变动</w:t>
      </w:r>
      <w:r>
        <w:rPr>
          <w:rFonts w:ascii="Arial" w:hAnsi="Arial" w:cs="Arial" w:eastAsia="Arial" w:hint="default"/>
        </w:rPr>
        <w:t>”</w:t>
      </w:r>
      <w:r>
        <w:rPr/>
        <w:t>。</w:t>
      </w:r>
    </w:p>
    <w:p>
      <w:pPr>
        <w:spacing w:line="240" w:lineRule="auto" w:before="10"/>
        <w:rPr>
          <w:rFonts w:ascii="宋体" w:hAnsi="宋体" w:cs="宋体" w:eastAsia="宋体" w:hint="default"/>
          <w:sz w:val="25"/>
          <w:szCs w:val="25"/>
        </w:rPr>
      </w:pPr>
    </w:p>
    <w:p>
      <w:pPr>
        <w:pStyle w:val="Heading4"/>
        <w:spacing w:line="240" w:lineRule="auto"/>
        <w:ind w:right="2239"/>
        <w:jc w:val="left"/>
        <w:rPr>
          <w:b w:val="0"/>
          <w:bCs w:val="0"/>
        </w:rPr>
      </w:pPr>
      <w:r>
        <w:rPr/>
        <w:t>（</w:t>
      </w:r>
      <w:r>
        <w:rPr>
          <w:rFonts w:ascii="Arial" w:hAnsi="Arial" w:cs="Arial" w:eastAsia="Arial" w:hint="default"/>
        </w:rPr>
        <w:t>7</w:t>
      </w:r>
      <w:r>
        <w:rPr/>
        <w:t>）公司报告期内业务、产品或服务发生重大变化或调整有关情况</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2239"/>
        <w:jc w:val="left"/>
        <w:rPr>
          <w:b w:val="0"/>
          <w:bCs w:val="0"/>
        </w:rPr>
      </w:pPr>
      <w:r>
        <w:rPr/>
        <w:t>（</w:t>
      </w:r>
      <w:r>
        <w:rPr>
          <w:rFonts w:ascii="Arial" w:hAnsi="Arial" w:cs="Arial" w:eastAsia="Arial" w:hint="default"/>
        </w:rPr>
        <w:t>8</w:t>
      </w:r>
      <w:r>
        <w:rPr/>
        <w:t>）主要销售客户和主要供应商情况</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2239"/>
        <w:jc w:val="left"/>
      </w:pPr>
      <w:r>
        <w:rPr/>
        <w:t>公司主要销售客户情况</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176,112,</w:t>
            </w:r>
            <w:r>
              <w:rPr>
                <w:rFonts w:ascii="Times New Roman"/>
                <w:spacing w:val="-10"/>
                <w:sz w:val="18"/>
              </w:rPr>
              <w:t> </w:t>
            </w:r>
            <w:r>
              <w:rPr>
                <w:rFonts w:ascii="Times New Roman"/>
                <w:sz w:val="18"/>
              </w:rPr>
              <w:t>465.64</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24.21%</w:t>
            </w:r>
          </w:p>
        </w:tc>
      </w:tr>
      <w:tr>
        <w:trPr>
          <w:trHeight w:val="715"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82"/>
              <w:jc w:val="left"/>
              <w:rPr>
                <w:rFonts w:ascii="宋体" w:hAnsi="宋体" w:cs="宋体" w:eastAsia="宋体" w:hint="default"/>
                <w:sz w:val="18"/>
                <w:szCs w:val="18"/>
              </w:rPr>
            </w:pPr>
            <w:r>
              <w:rPr>
                <w:rFonts w:ascii="宋体" w:hAnsi="宋体" w:cs="宋体" w:eastAsia="宋体" w:hint="default"/>
                <w:sz w:val="18"/>
                <w:szCs w:val="18"/>
              </w:rPr>
              <w:t>前五名客户销售额中关联方销售额占年度销售总额比 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18"/>
                <w:szCs w:val="18"/>
              </w:rPr>
            </w:pPr>
            <w:r>
              <w:rPr>
                <w:rFonts w:ascii="Arial"/>
                <w:spacing w:val="-1"/>
                <w:w w:val="95"/>
                <w:sz w:val="18"/>
              </w:rPr>
              <w:t>0.00%</w:t>
            </w:r>
            <w:r>
              <w:rPr>
                <w:rFonts w:ascii="Arial"/>
                <w:w w:val="95"/>
                <w:sz w:val="18"/>
              </w:rPr>
            </w:r>
          </w:p>
        </w:tc>
      </w:tr>
    </w:tbl>
    <w:p>
      <w:pPr>
        <w:pStyle w:val="BodyText"/>
        <w:spacing w:line="240" w:lineRule="auto" w:before="51"/>
        <w:ind w:right="2239"/>
        <w:jc w:val="left"/>
      </w:pPr>
      <w:r>
        <w:rPr/>
        <w:t>公司前</w:t>
      </w:r>
      <w:r>
        <w:rPr>
          <w:spacing w:val="-46"/>
        </w:rPr>
        <w:t> </w:t>
      </w:r>
      <w:r>
        <w:rPr>
          <w:rFonts w:ascii="Arial" w:hAnsi="Arial" w:cs="Arial" w:eastAsia="Arial" w:hint="default"/>
        </w:rPr>
        <w:t>5</w:t>
      </w:r>
      <w:r>
        <w:rPr>
          <w:rFonts w:ascii="Arial" w:hAnsi="Arial" w:cs="Arial" w:eastAsia="Arial" w:hint="default"/>
          <w:spacing w:val="-7"/>
        </w:rPr>
        <w:t> </w:t>
      </w:r>
      <w:r>
        <w:rPr/>
        <w:t>大客户资料</w:t>
      </w:r>
    </w:p>
    <w:p>
      <w:pPr>
        <w:spacing w:line="240" w:lineRule="auto" w:before="13"/>
        <w:rPr>
          <w:rFonts w:ascii="宋体" w:hAnsi="宋体" w:cs="宋体" w:eastAsia="宋体" w:hint="default"/>
          <w:sz w:val="6"/>
          <w:szCs w:val="6"/>
        </w:rPr>
      </w:pPr>
    </w:p>
    <w:tbl>
      <w:tblPr>
        <w:tblW w:w="0" w:type="auto"/>
        <w:jc w:val="left"/>
        <w:tblInd w:w="160" w:type="dxa"/>
        <w:tblLayout w:type="fixed"/>
        <w:tblCellMar>
          <w:top w:w="0" w:type="dxa"/>
          <w:left w:w="0" w:type="dxa"/>
          <w:bottom w:w="0" w:type="dxa"/>
          <w:right w:w="0" w:type="dxa"/>
        </w:tblCellMar>
        <w:tblLook w:val="01E0"/>
      </w:tblPr>
      <w:tblGrid>
        <w:gridCol w:w="779"/>
        <w:gridCol w:w="3313"/>
        <w:gridCol w:w="2322"/>
        <w:gridCol w:w="3143"/>
      </w:tblGrid>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4"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15"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left"/>
              <w:rPr>
                <w:rFonts w:ascii="Arial" w:hAnsi="Arial" w:cs="Arial" w:eastAsia="Arial" w:hint="default"/>
                <w:sz w:val="18"/>
                <w:szCs w:val="18"/>
              </w:rPr>
            </w:pPr>
            <w:r>
              <w:rPr>
                <w:rFonts w:ascii="Arial"/>
                <w:sz w:val="18"/>
              </w:rPr>
              <w:t>1</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2"/>
                <w:sz w:val="18"/>
              </w:rPr>
              <w:t>49,153,113.21</w:t>
            </w:r>
            <w:r>
              <w:rPr>
                <w:rFonts w:ascii="Arial"/>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6.76%</w:t>
            </w:r>
            <w:r>
              <w:rPr>
                <w:rFonts w:ascii="Arial"/>
                <w:w w:val="95"/>
                <w:sz w:val="18"/>
              </w:rPr>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left"/>
              <w:rPr>
                <w:rFonts w:ascii="Arial" w:hAnsi="Arial" w:cs="Arial" w:eastAsia="Arial" w:hint="default"/>
                <w:sz w:val="18"/>
                <w:szCs w:val="18"/>
              </w:rPr>
            </w:pPr>
            <w:r>
              <w:rPr>
                <w:rFonts w:ascii="Arial"/>
                <w:sz w:val="18"/>
              </w:rPr>
              <w:t>2</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sz w:val="18"/>
              </w:rPr>
              <w:t>40,301,000.00</w:t>
            </w:r>
            <w:r>
              <w:rPr>
                <w:rFonts w:ascii="Arial"/>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5.54%</w:t>
            </w:r>
            <w:r>
              <w:rPr>
                <w:rFonts w:ascii="Arial"/>
                <w:w w:val="95"/>
                <w:sz w:val="18"/>
              </w:rPr>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left"/>
              <w:rPr>
                <w:rFonts w:ascii="Arial" w:hAnsi="Arial" w:cs="Arial" w:eastAsia="Arial" w:hint="default"/>
                <w:sz w:val="18"/>
                <w:szCs w:val="18"/>
              </w:rPr>
            </w:pPr>
            <w:r>
              <w:rPr>
                <w:rFonts w:ascii="Arial"/>
                <w:sz w:val="18"/>
              </w:rPr>
              <w:t>3</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31,054,704.15</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4.27%</w:t>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left"/>
              <w:rPr>
                <w:rFonts w:ascii="Arial" w:hAnsi="Arial" w:cs="Arial" w:eastAsia="Arial" w:hint="default"/>
                <w:sz w:val="18"/>
                <w:szCs w:val="18"/>
              </w:rPr>
            </w:pPr>
            <w:r>
              <w:rPr>
                <w:rFonts w:ascii="Arial"/>
                <w:sz w:val="18"/>
              </w:rPr>
              <w:t>4</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sz w:val="18"/>
              </w:rPr>
              <w:t>28,318,973.31</w:t>
            </w:r>
            <w:r>
              <w:rPr>
                <w:rFonts w:ascii="Arial"/>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3.89%</w:t>
            </w:r>
            <w:r>
              <w:rPr>
                <w:rFonts w:ascii="Arial"/>
                <w:w w:val="95"/>
                <w:sz w:val="18"/>
              </w:rPr>
            </w:r>
          </w:p>
        </w:tc>
      </w:tr>
      <w:tr>
        <w:trPr>
          <w:trHeight w:val="402"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1" w:right="0"/>
              <w:jc w:val="left"/>
              <w:rPr>
                <w:rFonts w:ascii="Arial" w:hAnsi="Arial" w:cs="Arial" w:eastAsia="Arial" w:hint="default"/>
                <w:sz w:val="18"/>
                <w:szCs w:val="18"/>
              </w:rPr>
            </w:pPr>
            <w:r>
              <w:rPr>
                <w:rFonts w:ascii="Arial"/>
                <w:sz w:val="18"/>
              </w:rPr>
              <w:t>5</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sz w:val="18"/>
              </w:rPr>
              <w:t>27,284,674.97</w:t>
            </w:r>
            <w:r>
              <w:rPr>
                <w:rFonts w:ascii="Arial"/>
                <w:sz w:val="18"/>
              </w:rPr>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3.75%</w:t>
            </w:r>
            <w:r>
              <w:rPr>
                <w:rFonts w:ascii="Arial"/>
                <w:w w:val="95"/>
                <w:sz w:val="18"/>
              </w:rPr>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2" w:right="0"/>
              <w:jc w:val="center"/>
              <w:rPr>
                <w:rFonts w:ascii="Arial" w:hAnsi="Arial" w:cs="Arial" w:eastAsia="Arial" w:hint="default"/>
                <w:sz w:val="18"/>
                <w:szCs w:val="18"/>
              </w:rPr>
            </w:pPr>
            <w:r>
              <w:rPr>
                <w:rFonts w:ascii="Arial"/>
                <w:sz w:val="18"/>
              </w:rPr>
              <w:t>--</w:t>
            </w:r>
          </w:p>
        </w:tc>
        <w:tc>
          <w:tcPr>
            <w:tcW w:w="23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176,112,465.64</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z w:val="18"/>
              </w:rPr>
              <w:t>24.21%</w:t>
            </w:r>
          </w:p>
        </w:tc>
      </w:tr>
    </w:tbl>
    <w:p>
      <w:pPr>
        <w:pStyle w:val="BodyText"/>
        <w:spacing w:line="240" w:lineRule="auto" w:before="51"/>
        <w:ind w:right="2239"/>
        <w:jc w:val="left"/>
      </w:pPr>
      <w:r>
        <w:rPr/>
        <w:t>主要客户其他情况说明</w:t>
      </w:r>
    </w:p>
    <w:p>
      <w:pPr>
        <w:pStyle w:val="BodyText"/>
        <w:spacing w:line="340" w:lineRule="auto" w:before="116"/>
        <w:ind w:right="913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公司主要供应商情况</w:t>
      </w:r>
    </w:p>
    <w:p>
      <w:pPr>
        <w:spacing w:line="240" w:lineRule="auto" w:before="3"/>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1"/>
      </w:tblGrid>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129,672,529.87</w:t>
            </w:r>
          </w:p>
        </w:tc>
      </w:tr>
      <w:tr>
        <w:trPr>
          <w:trHeight w:val="402"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前五名供应商合计采购金额占年度采购总额比例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23.18%</w:t>
            </w:r>
          </w:p>
        </w:tc>
      </w:tr>
      <w:tr>
        <w:trPr>
          <w:trHeight w:val="714" w:hRule="exact"/>
        </w:trPr>
        <w:tc>
          <w:tcPr>
            <w:tcW w:w="42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82"/>
              <w:jc w:val="left"/>
              <w:rPr>
                <w:rFonts w:ascii="宋体" w:hAnsi="宋体" w:cs="宋体" w:eastAsia="宋体" w:hint="default"/>
                <w:sz w:val="18"/>
                <w:szCs w:val="18"/>
              </w:rPr>
            </w:pPr>
            <w:r>
              <w:rPr>
                <w:rFonts w:ascii="宋体" w:hAnsi="宋体" w:cs="宋体" w:eastAsia="宋体" w:hint="default"/>
                <w:sz w:val="18"/>
                <w:szCs w:val="18"/>
              </w:rPr>
              <w:t>前五名供应商采购额中关联方采购额占年度采购总额 比例</w:t>
            </w:r>
          </w:p>
        </w:tc>
        <w:tc>
          <w:tcPr>
            <w:tcW w:w="53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w w:val="95"/>
                <w:sz w:val="18"/>
              </w:rPr>
              <w:t>0.00%</w:t>
            </w:r>
            <w:r>
              <w:rPr>
                <w:rFonts w:ascii="Arial"/>
                <w:w w:val="95"/>
                <w:sz w:val="18"/>
              </w:rPr>
            </w:r>
          </w:p>
        </w:tc>
      </w:tr>
    </w:tbl>
    <w:p>
      <w:pPr>
        <w:pStyle w:val="BodyText"/>
        <w:spacing w:line="240" w:lineRule="auto" w:before="51"/>
        <w:ind w:right="2239"/>
        <w:jc w:val="left"/>
      </w:pPr>
      <w:r>
        <w:rPr/>
        <w:t>公司前</w:t>
      </w:r>
      <w:r>
        <w:rPr>
          <w:spacing w:val="-46"/>
        </w:rPr>
        <w:t> </w:t>
      </w:r>
      <w:r>
        <w:rPr>
          <w:rFonts w:ascii="Arial" w:hAnsi="Arial" w:cs="Arial" w:eastAsia="Arial" w:hint="default"/>
        </w:rPr>
        <w:t>5</w:t>
      </w:r>
      <w:r>
        <w:rPr>
          <w:rFonts w:ascii="Arial" w:hAnsi="Arial" w:cs="Arial" w:eastAsia="Arial" w:hint="default"/>
          <w:spacing w:val="-7"/>
        </w:rPr>
        <w:t> </w:t>
      </w:r>
      <w:r>
        <w:rPr/>
        <w:t>名供应商资料</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935"/>
        <w:gridCol w:w="3168"/>
        <w:gridCol w:w="2322"/>
        <w:gridCol w:w="3143"/>
      </w:tblGrid>
      <w:tr>
        <w:trPr>
          <w:trHeight w:val="402" w:hRule="exact"/>
        </w:trPr>
        <w:tc>
          <w:tcPr>
            <w:tcW w:w="9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81"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3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5"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5"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912"/>
        <w:gridCol w:w="3179"/>
        <w:gridCol w:w="2322"/>
        <w:gridCol w:w="3143"/>
      </w:tblGrid>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Arial" w:hAnsi="Arial" w:cs="Arial" w:eastAsia="Arial" w:hint="default"/>
                <w:sz w:val="18"/>
                <w:szCs w:val="18"/>
              </w:rPr>
            </w:pPr>
            <w:r>
              <w:rPr>
                <w:rFonts w:ascii="Arial"/>
                <w:sz w:val="18"/>
              </w:rPr>
              <w:t>1</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42,566,731.53</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Arial" w:hAnsi="Arial" w:cs="Arial" w:eastAsia="Arial" w:hint="default"/>
                <w:sz w:val="18"/>
                <w:szCs w:val="18"/>
              </w:rPr>
            </w:pPr>
            <w:r>
              <w:rPr>
                <w:rFonts w:ascii="Arial"/>
                <w:sz w:val="18"/>
              </w:rPr>
              <w:t>2</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25,914,590.81</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4.63%</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Arial" w:hAnsi="Arial" w:cs="Arial" w:eastAsia="Arial" w:hint="default"/>
                <w:sz w:val="18"/>
                <w:szCs w:val="18"/>
              </w:rPr>
            </w:pPr>
            <w:r>
              <w:rPr>
                <w:rFonts w:ascii="Arial"/>
                <w:sz w:val="18"/>
              </w:rPr>
              <w:t>3</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22,452,830.19</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4.01%</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Arial" w:hAnsi="Arial" w:cs="Arial" w:eastAsia="Arial" w:hint="default"/>
                <w:sz w:val="18"/>
                <w:szCs w:val="18"/>
              </w:rPr>
            </w:pPr>
            <w:r>
              <w:rPr>
                <w:rFonts w:ascii="Arial"/>
                <w:sz w:val="18"/>
              </w:rPr>
              <w:t>4</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19,256,603.77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3.44%</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left"/>
              <w:rPr>
                <w:rFonts w:ascii="Arial" w:hAnsi="Arial" w:cs="Arial" w:eastAsia="Arial" w:hint="default"/>
                <w:sz w:val="18"/>
                <w:szCs w:val="18"/>
              </w:rPr>
            </w:pPr>
            <w:r>
              <w:rPr>
                <w:rFonts w:ascii="Arial"/>
                <w:sz w:val="18"/>
              </w:rPr>
              <w:t>5</w:t>
            </w:r>
          </w:p>
        </w:tc>
        <w:tc>
          <w:tcPr>
            <w:tcW w:w="31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19,481,773.57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3.48%</w:t>
            </w:r>
          </w:p>
        </w:tc>
      </w:tr>
      <w:tr>
        <w:trPr>
          <w:trHeight w:val="402" w:hRule="exact"/>
        </w:trPr>
        <w:tc>
          <w:tcPr>
            <w:tcW w:w="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8" w:right="0"/>
              <w:jc w:val="center"/>
              <w:rPr>
                <w:rFonts w:ascii="Arial" w:hAnsi="Arial" w:cs="Arial" w:eastAsia="Arial" w:hint="default"/>
                <w:sz w:val="18"/>
                <w:szCs w:val="18"/>
              </w:rPr>
            </w:pPr>
            <w:r>
              <w:rPr>
                <w:rFonts w:ascii="Arial"/>
                <w:sz w:val="18"/>
              </w:rPr>
              <w:t>--</w:t>
            </w:r>
          </w:p>
        </w:tc>
        <w:tc>
          <w:tcPr>
            <w:tcW w:w="232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129,672,529.87</w:t>
            </w:r>
          </w:p>
        </w:tc>
        <w:tc>
          <w:tcPr>
            <w:tcW w:w="31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23.18%</w:t>
            </w:r>
          </w:p>
        </w:tc>
      </w:tr>
    </w:tbl>
    <w:p>
      <w:pPr>
        <w:pStyle w:val="BodyText"/>
        <w:spacing w:line="240" w:lineRule="auto" w:before="51"/>
        <w:ind w:right="2239"/>
        <w:jc w:val="left"/>
      </w:pPr>
      <w:r>
        <w:rPr/>
        <w:t>主要供应商其他情况说明</w:t>
      </w:r>
    </w:p>
    <w:p>
      <w:pPr>
        <w:pStyle w:val="BodyText"/>
        <w:spacing w:line="240" w:lineRule="auto" w:before="117"/>
        <w:ind w:left="153"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2239"/>
        <w:jc w:val="left"/>
        <w:rPr>
          <w:b w:val="0"/>
          <w:bCs w:val="0"/>
        </w:rPr>
      </w:pPr>
      <w:r>
        <w:rPr>
          <w:rFonts w:ascii="Arial" w:hAnsi="Arial" w:cs="Arial" w:eastAsia="Arial" w:hint="default"/>
        </w:rPr>
        <w:t>3</w:t>
      </w:r>
      <w:r>
        <w:rPr/>
        <w:t>、费用</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2"/>
        <w:gridCol w:w="1649"/>
        <w:gridCol w:w="1637"/>
        <w:gridCol w:w="1462"/>
        <w:gridCol w:w="2917"/>
      </w:tblGrid>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6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12"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0"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64" w:right="0"/>
              <w:jc w:val="left"/>
              <w:rPr>
                <w:rFonts w:ascii="宋体" w:hAnsi="宋体" w:cs="宋体" w:eastAsia="宋体" w:hint="default"/>
                <w:sz w:val="18"/>
                <w:szCs w:val="18"/>
              </w:rPr>
            </w:pPr>
            <w:r>
              <w:rPr>
                <w:rFonts w:ascii="宋体" w:hAnsi="宋体" w:cs="宋体" w:eastAsia="宋体" w:hint="default"/>
                <w:sz w:val="18"/>
                <w:szCs w:val="18"/>
              </w:rPr>
              <w:t>同比增减</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1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4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40,293,457.57</w:t>
            </w:r>
            <w:r>
              <w:rPr>
                <w:rFonts w:ascii="Arial"/>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48,713,440.20</w:t>
            </w:r>
            <w:r>
              <w:rPr>
                <w:rFonts w:ascii="Arial"/>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sz w:val="18"/>
              </w:rPr>
              <w:t>-17.28%</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主要是报告期内职工薪酬减少所致</w:t>
            </w:r>
          </w:p>
        </w:tc>
      </w:tr>
      <w:tr>
        <w:trPr>
          <w:trHeight w:val="402" w:hRule="exact"/>
        </w:trPr>
        <w:tc>
          <w:tcPr>
            <w:tcW w:w="18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4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93,726,915.81</w:t>
            </w:r>
            <w:r>
              <w:rPr>
                <w:rFonts w:ascii="Arial"/>
                <w:sz w:val="18"/>
              </w:rPr>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96,588,592.43</w:t>
            </w:r>
            <w:r>
              <w:rPr>
                <w:rFonts w:ascii="Arial"/>
                <w:sz w:val="18"/>
              </w:rPr>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sz w:val="18"/>
              </w:rPr>
              <w:t>-2.96%</w:t>
            </w:r>
            <w:r>
              <w:rPr>
                <w:rFonts w:ascii="Arial"/>
                <w:sz w:val="18"/>
              </w:rPr>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162" w:hRule="exact"/>
        </w:trPr>
        <w:tc>
          <w:tcPr>
            <w:tcW w:w="1892" w:type="dxa"/>
            <w:tcBorders>
              <w:top w:val="single" w:sz="4" w:space="0" w:color="000000"/>
              <w:left w:val="single" w:sz="4" w:space="0" w:color="000000"/>
              <w:bottom w:val="nil" w:sz="6" w:space="0" w:color="auto"/>
              <w:right w:val="single" w:sz="4" w:space="0" w:color="000000"/>
            </w:tcBorders>
            <w:shd w:val="clear" w:color="auto" w:fill="D3D3D3"/>
          </w:tcPr>
          <w:p>
            <w:pPr/>
          </w:p>
        </w:tc>
        <w:tc>
          <w:tcPr>
            <w:tcW w:w="1649" w:type="dxa"/>
            <w:vMerge w:val="restart"/>
            <w:tcBorders>
              <w:top w:val="single" w:sz="4" w:space="0" w:color="000000"/>
              <w:left w:val="single" w:sz="10" w:space="0" w:color="D3D3D3"/>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58" w:right="0"/>
              <w:jc w:val="left"/>
              <w:rPr>
                <w:rFonts w:ascii="Arial" w:hAnsi="Arial" w:cs="Arial" w:eastAsia="Arial" w:hint="default"/>
                <w:sz w:val="18"/>
                <w:szCs w:val="18"/>
              </w:rPr>
            </w:pPr>
            <w:r>
              <w:rPr>
                <w:rFonts w:ascii="Arial"/>
                <w:sz w:val="18"/>
              </w:rPr>
              <w:t>20,682,671.66</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53" w:right="0"/>
              <w:jc w:val="left"/>
              <w:rPr>
                <w:rFonts w:ascii="Arial" w:hAnsi="Arial" w:cs="Arial" w:eastAsia="Arial" w:hint="default"/>
                <w:sz w:val="18"/>
                <w:szCs w:val="18"/>
              </w:rPr>
            </w:pPr>
            <w:r>
              <w:rPr>
                <w:rFonts w:ascii="Arial"/>
                <w:sz w:val="18"/>
              </w:rPr>
              <w:t>18,451,629.43</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17" w:right="0"/>
              <w:jc w:val="left"/>
              <w:rPr>
                <w:rFonts w:ascii="Arial" w:hAnsi="Arial" w:cs="Arial" w:eastAsia="Arial" w:hint="default"/>
                <w:sz w:val="18"/>
                <w:szCs w:val="18"/>
              </w:rPr>
            </w:pPr>
            <w:r>
              <w:rPr>
                <w:rFonts w:ascii="Arial"/>
                <w:sz w:val="18"/>
              </w:rPr>
              <w:t>12.09%</w:t>
            </w:r>
          </w:p>
        </w:tc>
        <w:tc>
          <w:tcPr>
            <w:tcW w:w="2917" w:type="dxa"/>
            <w:vMerge w:val="restart"/>
            <w:tcBorders>
              <w:top w:val="single" w:sz="4" w:space="0" w:color="000000"/>
              <w:left w:val="single" w:sz="4" w:space="0" w:color="000000"/>
              <w:right w:val="single" w:sz="4" w:space="0" w:color="000000"/>
            </w:tcBorders>
          </w:tcPr>
          <w:p>
            <w:pPr>
              <w:pStyle w:val="TableParagraph"/>
              <w:spacing w:line="316" w:lineRule="auto" w:before="52"/>
              <w:ind w:left="22" w:right="182"/>
              <w:jc w:val="left"/>
              <w:rPr>
                <w:rFonts w:ascii="宋体" w:hAnsi="宋体" w:cs="宋体" w:eastAsia="宋体" w:hint="default"/>
                <w:sz w:val="18"/>
                <w:szCs w:val="18"/>
              </w:rPr>
            </w:pPr>
            <w:r>
              <w:rPr>
                <w:rFonts w:ascii="宋体" w:hAnsi="宋体" w:cs="宋体" w:eastAsia="宋体" w:hint="default"/>
                <w:sz w:val="18"/>
                <w:szCs w:val="18"/>
              </w:rPr>
              <w:t>主要是报告期内短期借款利息支出 增加所致</w:t>
            </w:r>
          </w:p>
        </w:tc>
      </w:tr>
      <w:tr>
        <w:trPr>
          <w:trHeight w:val="391" w:hRule="exact"/>
        </w:trPr>
        <w:tc>
          <w:tcPr>
            <w:tcW w:w="18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49" w:type="dxa"/>
            <w:vMerge/>
            <w:tcBorders>
              <w:left w:val="single" w:sz="10" w:space="0" w:color="D3D3D3"/>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7" w:type="dxa"/>
            <w:vMerge/>
            <w:tcBorders>
              <w:left w:val="single" w:sz="4" w:space="0" w:color="000000"/>
              <w:right w:val="single" w:sz="4" w:space="0" w:color="000000"/>
            </w:tcBorders>
          </w:tcPr>
          <w:p>
            <w:pPr/>
          </w:p>
        </w:tc>
      </w:tr>
      <w:tr>
        <w:trPr>
          <w:trHeight w:val="161" w:hRule="exact"/>
        </w:trPr>
        <w:tc>
          <w:tcPr>
            <w:tcW w:w="1892" w:type="dxa"/>
            <w:tcBorders>
              <w:top w:val="nil" w:sz="6" w:space="0" w:color="auto"/>
              <w:left w:val="single" w:sz="4" w:space="0" w:color="000000"/>
              <w:bottom w:val="single" w:sz="4" w:space="0" w:color="000000"/>
              <w:right w:val="single" w:sz="4" w:space="0" w:color="000000"/>
            </w:tcBorders>
            <w:shd w:val="clear" w:color="auto" w:fill="D3D3D3"/>
          </w:tcPr>
          <w:p>
            <w:pPr/>
          </w:p>
        </w:tc>
        <w:tc>
          <w:tcPr>
            <w:tcW w:w="1649" w:type="dxa"/>
            <w:vMerge/>
            <w:tcBorders>
              <w:left w:val="single" w:sz="10" w:space="0" w:color="D3D3D3"/>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7" w:type="dxa"/>
            <w:vMerge/>
            <w:tcBorders>
              <w:left w:val="single" w:sz="4" w:space="0" w:color="000000"/>
              <w:bottom w:val="single" w:sz="4" w:space="0" w:color="000000"/>
              <w:right w:val="single" w:sz="4" w:space="0" w:color="000000"/>
            </w:tcBorders>
          </w:tcPr>
          <w:p>
            <w:pPr/>
          </w:p>
        </w:tc>
      </w:tr>
      <w:tr>
        <w:trPr>
          <w:trHeight w:val="403" w:hRule="exact"/>
        </w:trPr>
        <w:tc>
          <w:tcPr>
            <w:tcW w:w="18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649"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102,917,280.05</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106,006,467.08</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sz w:val="18"/>
              </w:rPr>
              <w:t>-2.91%</w:t>
            </w:r>
            <w:r>
              <w:rPr>
                <w:rFonts w:ascii="Arial"/>
                <w:sz w:val="18"/>
              </w:rPr>
            </w:r>
          </w:p>
        </w:tc>
        <w:tc>
          <w:tcPr>
            <w:tcW w:w="291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rFonts w:ascii="Arial" w:hAnsi="Arial" w:cs="Arial" w:eastAsia="Arial" w:hint="default"/>
        </w:rPr>
        <w:t>4</w:t>
      </w:r>
      <w:r>
        <w:rPr/>
        <w:t>、研发投入</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4" w:right="1030" w:hanging="36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w:t>
      </w:r>
      <w:r>
        <w:rPr>
          <w:spacing w:val="-4"/>
        </w:rPr>
        <w:t>报告期内研发支出主要用于榕基多元化协同纠纷综合治理平台、榕基安全可靠分布式全文检索系统、榕基易贸商务平台、</w:t>
      </w:r>
    </w:p>
    <w:p>
      <w:pPr>
        <w:pStyle w:val="BodyText"/>
        <w:spacing w:line="302" w:lineRule="auto" w:before="2"/>
        <w:ind w:right="1129"/>
        <w:jc w:val="left"/>
      </w:pPr>
      <w:r>
        <w:rPr/>
        <w:t>榕基移动视频、智慧城市便民服务指挥中心、榕基减刑假释智能办案平台、星榕基物联网运营支撑平台</w:t>
      </w:r>
      <w:r>
        <w:rPr>
          <w:rFonts w:ascii="Arial" w:hAnsi="Arial" w:cs="Arial" w:eastAsia="Arial" w:hint="default"/>
        </w:rPr>
        <w:t>V1.0</w:t>
      </w:r>
      <w:r>
        <w:rPr/>
        <w:t>、星榕基智慧 校园移动应用软件</w:t>
      </w:r>
      <w:r>
        <w:rPr>
          <w:rFonts w:ascii="Arial" w:hAnsi="Arial" w:cs="Arial" w:eastAsia="Arial" w:hint="default"/>
        </w:rPr>
        <w:t>V1.0</w:t>
      </w:r>
      <w:r>
        <w:rPr/>
        <w:t>、一种基于</w:t>
      </w:r>
      <w:r>
        <w:rPr>
          <w:rFonts w:ascii="Arial" w:hAnsi="Arial" w:cs="Arial" w:eastAsia="Arial" w:hint="default"/>
        </w:rPr>
        <w:t>LoRa</w:t>
      </w:r>
      <w:r>
        <w:rPr/>
        <w:t>通信的物联网管理建筑、榕基政府晾晒台软件、榕基政府会议管理系统软件、榕基 机关内部</w:t>
      </w:r>
      <w:r>
        <w:rPr>
          <w:rFonts w:ascii="Arial" w:hAnsi="Arial" w:cs="Arial" w:eastAsia="Arial" w:hint="default"/>
        </w:rPr>
        <w:t>“</w:t>
      </w:r>
      <w:r>
        <w:rPr/>
        <w:t>最多跑一次</w:t>
      </w:r>
      <w:r>
        <w:rPr>
          <w:rFonts w:ascii="Arial" w:hAnsi="Arial" w:cs="Arial" w:eastAsia="Arial" w:hint="default"/>
        </w:rPr>
        <w:t>”</w:t>
      </w:r>
      <w:r>
        <w:rPr/>
        <w:t>联办平台软件等项目的研发，研发进展等情况详见开发支出。</w:t>
      </w:r>
    </w:p>
    <w:p>
      <w:pPr>
        <w:pStyle w:val="BodyText"/>
        <w:spacing w:line="240" w:lineRule="auto" w:before="52"/>
        <w:ind w:left="153" w:right="2239"/>
        <w:jc w:val="left"/>
      </w:pPr>
      <w:r>
        <w:rPr/>
        <w:t>公司研发投入情况</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4"/>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变动比例</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研发人员数量（人）</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460</w:t>
            </w:r>
            <w:r>
              <w:rPr>
                <w:rFonts w:ascii="Arial"/>
                <w:w w:val="95"/>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448</w:t>
            </w:r>
            <w:r>
              <w:rPr>
                <w:rFonts w:ascii="Arial"/>
                <w:w w:val="95"/>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2.68%</w:t>
            </w:r>
            <w:r>
              <w:rPr>
                <w:rFonts w:ascii="Arial"/>
                <w:w w:val="95"/>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研发人员数量占比</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43.48%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43.66%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-0.18%</w:t>
            </w:r>
            <w:r>
              <w:rPr>
                <w:rFonts w:ascii="Arial"/>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99,227,066.98</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104,240,997.88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-4.81%</w:t>
            </w:r>
            <w:r>
              <w:rPr>
                <w:rFonts w:ascii="Arial"/>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研发投入占营业收入比例</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13.64%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12.83%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0.81%</w:t>
            </w:r>
            <w:r>
              <w:rPr>
                <w:rFonts w:ascii="Arial"/>
                <w:w w:val="95"/>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研发投入资本化的金额（元）</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28,244,048.90</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26,607,384.12</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6.15%</w:t>
            </w:r>
            <w:r>
              <w:rPr>
                <w:rFonts w:ascii="Arial"/>
                <w:w w:val="95"/>
                <w:sz w:val="18"/>
              </w:rPr>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85"/>
              <w:jc w:val="left"/>
              <w:rPr>
                <w:rFonts w:ascii="宋体" w:hAnsi="宋体" w:cs="宋体" w:eastAsia="宋体" w:hint="default"/>
                <w:sz w:val="18"/>
                <w:szCs w:val="18"/>
              </w:rPr>
            </w:pPr>
            <w:r>
              <w:rPr>
                <w:rFonts w:ascii="宋体" w:hAnsi="宋体" w:cs="宋体" w:eastAsia="宋体" w:hint="default"/>
                <w:sz w:val="18"/>
                <w:szCs w:val="18"/>
              </w:rPr>
              <w:t>资本化研发投入占研发投入 的比例</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28.46%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25.52%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w w:val="95"/>
                <w:sz w:val="18"/>
              </w:rPr>
              <w:t>2.94%</w:t>
            </w:r>
            <w:r>
              <w:rPr>
                <w:rFonts w:ascii="Arial"/>
                <w:w w:val="95"/>
                <w:sz w:val="18"/>
              </w:rPr>
            </w:r>
          </w:p>
        </w:tc>
      </w:tr>
    </w:tbl>
    <w:p>
      <w:pPr>
        <w:pStyle w:val="BodyText"/>
        <w:spacing w:line="240" w:lineRule="auto" w:before="51"/>
        <w:ind w:right="2239"/>
        <w:jc w:val="left"/>
      </w:pPr>
      <w:r>
        <w:rPr/>
        <w:t>研发投入总额占营业收入的比重较上年发生显著变化的原因</w:t>
      </w:r>
    </w:p>
    <w:p>
      <w:pPr>
        <w:pStyle w:val="BodyText"/>
        <w:spacing w:line="240" w:lineRule="auto" w:before="117"/>
        <w:ind w:left="153"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pStyle w:val="BodyText"/>
        <w:spacing w:line="240" w:lineRule="auto" w:before="103"/>
        <w:ind w:right="0"/>
        <w:jc w:val="left"/>
      </w:pPr>
      <w:r>
        <w:rPr/>
        <w:t>公司需遵守《深圳证券交易所行业信息披露指引第</w:t>
      </w:r>
      <w:r>
        <w:rPr>
          <w:spacing w:val="-46"/>
        </w:rPr>
        <w:t> </w:t>
      </w:r>
      <w:r>
        <w:rPr>
          <w:rFonts w:ascii="Arial" w:hAnsi="Arial" w:cs="Arial" w:eastAsia="Arial" w:hint="default"/>
        </w:rPr>
        <w:t>12</w:t>
      </w:r>
      <w:r>
        <w:rPr>
          <w:rFonts w:ascii="Arial" w:hAnsi="Arial" w:cs="Arial" w:eastAsia="Arial" w:hint="default"/>
          <w:spacing w:val="-7"/>
        </w:rPr>
        <w:t> </w:t>
      </w:r>
      <w:r>
        <w:rPr/>
        <w:t>号</w:t>
      </w:r>
      <w:r>
        <w:rPr>
          <w:rFonts w:ascii="Arial" w:hAnsi="Arial" w:cs="Arial" w:eastAsia="Arial" w:hint="default"/>
        </w:rPr>
        <w:t>——</w:t>
      </w:r>
      <w:r>
        <w:rPr/>
        <w:t>上市公司从事软件与信息技术服务业务》的披露要求</w:t>
      </w:r>
    </w:p>
    <w:p>
      <w:pPr>
        <w:spacing w:after="0" w:line="240" w:lineRule="auto"/>
        <w:jc w:val="left"/>
        <w:sectPr>
          <w:pgSz w:w="11910" w:h="16840"/>
          <w:pgMar w:header="747" w:footer="982" w:top="1060" w:bottom="1180" w:left="980" w:right="0"/>
        </w:sectPr>
      </w:pPr>
    </w:p>
    <w:p>
      <w:pPr>
        <w:spacing w:line="240" w:lineRule="auto" w:before="13"/>
        <w:rPr>
          <w:rFonts w:ascii="宋体" w:hAnsi="宋体" w:cs="宋体" w:eastAsia="宋体" w:hint="default"/>
          <w:sz w:val="25"/>
          <w:szCs w:val="25"/>
        </w:rPr>
      </w:pPr>
      <w:r>
        <w:rPr/>
        <w:pict>
          <v:group style="position:absolute;margin-left:475.140015pt;margin-top:310.399994pt;width:59.7pt;height:31.2pt;mso-position-horizontal-relative:page;mso-position-vertical-relative:page;z-index:-1406440" coordorigin="9503,6208" coordsize="1194,624">
            <v:shape style="position:absolute;left:9503;top:6208;width:1194;height:624" coordorigin="9503,6208" coordsize="1194,624" path="m9503,6832l10697,6832,10697,6208,9503,6208,9503,6832xe" filled="true" fillcolor="#ffffff" stroked="false">
              <v:path arrowok="t"/>
              <v:fill type="solid"/>
            </v:shape>
            <w10:wrap type="none"/>
          </v:group>
        </w:pict>
      </w:r>
      <w:r>
        <w:rPr/>
        <w:pict>
          <v:group style="position:absolute;margin-left:475.140015pt;margin-top:717.400024pt;width:59.7pt;height:45.8pt;mso-position-horizontal-relative:page;mso-position-vertical-relative:page;z-index:-1406416" coordorigin="9503,14348" coordsize="1194,916">
            <v:shape style="position:absolute;left:9503;top:14348;width:1194;height:916" coordorigin="9503,14348" coordsize="1194,916" path="m9503,15264l10697,15264,10697,14348,9503,14348,9503,15264xe" filled="true" fillcolor="#ffffff" stroked="false">
              <v:path arrowok="t"/>
              <v:fill type="solid"/>
            </v:shape>
            <w10:wrap type="none"/>
          </v:group>
        </w:pict>
      </w:r>
    </w:p>
    <w:p>
      <w:pPr>
        <w:pStyle w:val="BodyText"/>
        <w:spacing w:line="240" w:lineRule="auto" w:before="44"/>
        <w:ind w:left="0" w:right="1130"/>
        <w:jc w:val="right"/>
      </w:pPr>
      <w:r>
        <w:rPr/>
        <w:pict>
          <v:group style="position:absolute;margin-left:475.140015pt;margin-top:39.812111pt;width:59.7pt;height:31.2pt;mso-position-horizontal-relative:page;mso-position-vertical-relative:paragraph;z-index:-1406464" coordorigin="9503,796" coordsize="1194,624">
            <v:shape style="position:absolute;left:9503;top:796;width:1194;height:624" coordorigin="9503,796" coordsize="1194,624" path="m9503,1420l10697,1420,10697,796,9503,796,9503,1420xe" filled="true" fillcolor="#ffffff" stroked="false">
              <v:path arrowok="t"/>
              <v:fill type="solid"/>
            </v:shape>
            <w10:wrap type="none"/>
          </v:group>
        </w:pict>
      </w: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1720"/>
        <w:gridCol w:w="4253"/>
        <w:gridCol w:w="1204"/>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5" w:right="0"/>
              <w:jc w:val="left"/>
              <w:rPr>
                <w:rFonts w:ascii="宋体" w:hAnsi="宋体" w:cs="宋体" w:eastAsia="宋体" w:hint="default"/>
                <w:sz w:val="18"/>
                <w:szCs w:val="18"/>
              </w:rPr>
            </w:pPr>
            <w:r>
              <w:rPr>
                <w:rFonts w:ascii="宋体" w:hAnsi="宋体" w:cs="宋体" w:eastAsia="宋体" w:hint="default"/>
                <w:sz w:val="18"/>
                <w:szCs w:val="18"/>
              </w:rPr>
              <w:t>研发资本化金额</w:t>
            </w:r>
          </w:p>
        </w:tc>
        <w:tc>
          <w:tcPr>
            <w:tcW w:w="4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311" w:right="0"/>
              <w:jc w:val="left"/>
              <w:rPr>
                <w:rFonts w:ascii="宋体" w:hAnsi="宋体" w:cs="宋体" w:eastAsia="宋体" w:hint="default"/>
                <w:sz w:val="18"/>
                <w:szCs w:val="18"/>
              </w:rPr>
            </w:pPr>
            <w:r>
              <w:rPr>
                <w:rFonts w:ascii="宋体" w:hAnsi="宋体" w:cs="宋体" w:eastAsia="宋体" w:hint="default"/>
                <w:sz w:val="18"/>
                <w:szCs w:val="18"/>
              </w:rPr>
              <w:t>相关项目的基本情况</w:t>
            </w:r>
          </w:p>
        </w:tc>
        <w:tc>
          <w:tcPr>
            <w:tcW w:w="12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6" w:right="0"/>
              <w:jc w:val="left"/>
              <w:rPr>
                <w:rFonts w:ascii="宋体" w:hAnsi="宋体" w:cs="宋体" w:eastAsia="宋体" w:hint="default"/>
                <w:sz w:val="18"/>
                <w:szCs w:val="18"/>
              </w:rPr>
            </w:pPr>
            <w:r>
              <w:rPr>
                <w:rFonts w:ascii="宋体" w:hAnsi="宋体" w:cs="宋体" w:eastAsia="宋体" w:hint="default"/>
                <w:sz w:val="18"/>
                <w:szCs w:val="18"/>
              </w:rPr>
              <w:t>实施进度</w:t>
            </w:r>
          </w:p>
        </w:tc>
      </w:tr>
      <w:tr>
        <w:trPr>
          <w:trHeight w:val="358" w:hRule="exact"/>
        </w:trPr>
        <w:tc>
          <w:tcPr>
            <w:tcW w:w="2392" w:type="dxa"/>
            <w:tcBorders>
              <w:top w:val="single" w:sz="4" w:space="0" w:color="000000"/>
              <w:left w:val="single" w:sz="4" w:space="0" w:color="000000"/>
              <w:bottom w:val="nil" w:sz="6" w:space="0" w:color="auto"/>
              <w:right w:val="single" w:sz="4" w:space="0" w:color="000000"/>
            </w:tcBorders>
          </w:tcPr>
          <w:p>
            <w:pPr/>
          </w:p>
        </w:tc>
        <w:tc>
          <w:tcPr>
            <w:tcW w:w="1720" w:type="dxa"/>
            <w:tcBorders>
              <w:top w:val="single" w:sz="4" w:space="0" w:color="000000"/>
              <w:left w:val="single" w:sz="4" w:space="0" w:color="000000"/>
              <w:bottom w:val="nil" w:sz="6" w:space="0" w:color="auto"/>
              <w:right w:val="single" w:sz="4" w:space="0" w:color="000000"/>
            </w:tcBorders>
          </w:tcPr>
          <w:p>
            <w:pPr/>
          </w:p>
        </w:tc>
        <w:tc>
          <w:tcPr>
            <w:tcW w:w="42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本项目是基于大数据技术的司法信息汇聚、分析、展</w:t>
            </w:r>
          </w:p>
        </w:tc>
        <w:tc>
          <w:tcPr>
            <w:tcW w:w="1204" w:type="dxa"/>
            <w:tcBorders>
              <w:top w:val="single" w:sz="4" w:space="0" w:color="000000"/>
              <w:left w:val="single" w:sz="4" w:space="0" w:color="000000"/>
              <w:bottom w:val="nil" w:sz="6" w:space="0" w:color="auto"/>
              <w:right w:val="single" w:sz="4" w:space="0" w:color="000000"/>
            </w:tcBorders>
          </w:tcPr>
          <w:p>
            <w:pPr/>
          </w:p>
        </w:tc>
      </w:tr>
      <w:tr>
        <w:trPr>
          <w:trHeight w:val="936"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97"/>
              <w:jc w:val="left"/>
              <w:rPr>
                <w:rFonts w:ascii="宋体" w:hAnsi="宋体" w:cs="宋体" w:eastAsia="宋体" w:hint="default"/>
                <w:sz w:val="18"/>
                <w:szCs w:val="18"/>
              </w:rPr>
            </w:pPr>
            <w:r>
              <w:rPr>
                <w:rFonts w:ascii="宋体" w:hAnsi="宋体" w:cs="宋体" w:eastAsia="宋体" w:hint="default"/>
                <w:sz w:val="18"/>
                <w:szCs w:val="18"/>
              </w:rPr>
              <w:t>榕基多元化协同纠纷综合治 理平台</w:t>
            </w:r>
          </w:p>
        </w:tc>
        <w:tc>
          <w:tcPr>
            <w:tcW w:w="172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21"/>
              <w:jc w:val="right"/>
              <w:rPr>
                <w:rFonts w:ascii="Arial" w:hAnsi="Arial" w:cs="Arial" w:eastAsia="Arial" w:hint="default"/>
                <w:sz w:val="18"/>
                <w:szCs w:val="18"/>
              </w:rPr>
            </w:pPr>
            <w:r>
              <w:rPr>
                <w:rFonts w:ascii="Arial"/>
                <w:spacing w:val="-1"/>
                <w:sz w:val="18"/>
              </w:rPr>
              <w:t>4,240,872.24</w:t>
            </w: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8"/>
              <w:jc w:val="both"/>
              <w:rPr>
                <w:rFonts w:ascii="宋体" w:hAnsi="宋体" w:cs="宋体" w:eastAsia="宋体" w:hint="default"/>
                <w:sz w:val="18"/>
                <w:szCs w:val="18"/>
              </w:rPr>
            </w:pPr>
            <w:r>
              <w:rPr>
                <w:rFonts w:ascii="宋体" w:hAnsi="宋体" w:cs="宋体" w:eastAsia="宋体" w:hint="default"/>
                <w:spacing w:val="-2"/>
                <w:sz w:val="18"/>
                <w:szCs w:val="18"/>
              </w:rPr>
              <w:t>示平台。本平台对接了法院各类业务系统，以及公安</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政法委等外部单位数据，结合文书生成技术、文字识 别等技术，为用户提供全方位的司法信息展示，也充</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在研</w:t>
            </w:r>
          </w:p>
        </w:tc>
      </w:tr>
      <w:tr>
        <w:trPr>
          <w:trHeight w:val="356" w:hRule="exact"/>
        </w:trPr>
        <w:tc>
          <w:tcPr>
            <w:tcW w:w="2392" w:type="dxa"/>
            <w:tcBorders>
              <w:top w:val="nil" w:sz="6" w:space="0" w:color="auto"/>
              <w:left w:val="single" w:sz="4" w:space="0" w:color="000000"/>
              <w:bottom w:val="single" w:sz="4" w:space="0" w:color="000000"/>
              <w:right w:val="single" w:sz="4" w:space="0" w:color="000000"/>
            </w:tcBorders>
          </w:tcPr>
          <w:p>
            <w:pPr/>
          </w:p>
        </w:tc>
        <w:tc>
          <w:tcPr>
            <w:tcW w:w="1720" w:type="dxa"/>
            <w:tcBorders>
              <w:top w:val="nil" w:sz="6" w:space="0" w:color="auto"/>
              <w:left w:val="single" w:sz="4" w:space="0" w:color="000000"/>
              <w:bottom w:val="single" w:sz="4" w:space="0" w:color="000000"/>
              <w:right w:val="single" w:sz="4" w:space="0" w:color="000000"/>
            </w:tcBorders>
          </w:tcPr>
          <w:p>
            <w:pPr/>
          </w:p>
        </w:tc>
        <w:tc>
          <w:tcPr>
            <w:tcW w:w="42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分体现了法院</w:t>
            </w:r>
            <w:r>
              <w:rPr>
                <w:rFonts w:ascii="Arial" w:hAnsi="Arial" w:cs="Arial" w:eastAsia="Arial" w:hint="default"/>
                <w:sz w:val="18"/>
                <w:szCs w:val="18"/>
              </w:rPr>
              <w:t>“</w:t>
            </w:r>
            <w:r>
              <w:rPr>
                <w:rFonts w:ascii="宋体" w:hAnsi="宋体" w:cs="宋体" w:eastAsia="宋体" w:hint="default"/>
                <w:sz w:val="18"/>
                <w:szCs w:val="18"/>
              </w:rPr>
              <w:t>分调裁</w:t>
            </w:r>
            <w:r>
              <w:rPr>
                <w:rFonts w:ascii="Arial" w:hAnsi="Arial" w:cs="Arial" w:eastAsia="Arial" w:hint="default"/>
                <w:sz w:val="18"/>
                <w:szCs w:val="18"/>
              </w:rPr>
              <w:t>”</w:t>
            </w:r>
            <w:r>
              <w:rPr>
                <w:rFonts w:ascii="宋体" w:hAnsi="宋体" w:cs="宋体" w:eastAsia="宋体" w:hint="default"/>
                <w:sz w:val="18"/>
                <w:szCs w:val="18"/>
              </w:rPr>
              <w:t>机制改革的建设成效。</w:t>
            </w:r>
          </w:p>
        </w:tc>
        <w:tc>
          <w:tcPr>
            <w:tcW w:w="1204"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2392" w:type="dxa"/>
            <w:tcBorders>
              <w:top w:val="single" w:sz="4" w:space="0" w:color="000000"/>
              <w:left w:val="single" w:sz="4" w:space="0" w:color="000000"/>
              <w:bottom w:val="nil" w:sz="6" w:space="0" w:color="auto"/>
              <w:right w:val="single" w:sz="4" w:space="0" w:color="000000"/>
            </w:tcBorders>
          </w:tcPr>
          <w:p>
            <w:pPr/>
          </w:p>
        </w:tc>
        <w:tc>
          <w:tcPr>
            <w:tcW w:w="1720" w:type="dxa"/>
            <w:tcBorders>
              <w:top w:val="single" w:sz="4" w:space="0" w:color="000000"/>
              <w:left w:val="single" w:sz="4" w:space="0" w:color="000000"/>
              <w:bottom w:val="nil" w:sz="6" w:space="0" w:color="auto"/>
              <w:right w:val="single" w:sz="4" w:space="0" w:color="000000"/>
            </w:tcBorders>
          </w:tcPr>
          <w:p>
            <w:pPr/>
          </w:p>
        </w:tc>
        <w:tc>
          <w:tcPr>
            <w:tcW w:w="42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本项目为满足海量数据高效、精确检索和全文检索需</w:t>
            </w:r>
          </w:p>
        </w:tc>
        <w:tc>
          <w:tcPr>
            <w:tcW w:w="1204"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97"/>
              <w:jc w:val="left"/>
              <w:rPr>
                <w:rFonts w:ascii="宋体" w:hAnsi="宋体" w:cs="宋体" w:eastAsia="宋体" w:hint="default"/>
                <w:sz w:val="18"/>
                <w:szCs w:val="18"/>
              </w:rPr>
            </w:pPr>
            <w:r>
              <w:rPr>
                <w:rFonts w:ascii="宋体" w:hAnsi="宋体" w:cs="宋体" w:eastAsia="宋体" w:hint="default"/>
                <w:sz w:val="18"/>
                <w:szCs w:val="18"/>
              </w:rPr>
              <w:t>榕基安全可靠分布式全文检 索系统</w:t>
            </w:r>
          </w:p>
        </w:tc>
        <w:tc>
          <w:tcPr>
            <w:tcW w:w="1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Arial" w:hAnsi="Arial" w:cs="Arial" w:eastAsia="Arial" w:hint="default"/>
                <w:sz w:val="18"/>
                <w:szCs w:val="18"/>
              </w:rPr>
            </w:pPr>
            <w:r>
              <w:rPr>
                <w:rFonts w:ascii="Arial"/>
                <w:spacing w:val="-1"/>
                <w:sz w:val="18"/>
              </w:rPr>
              <w:t>4,351,905.98</w:t>
            </w: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8"/>
              <w:jc w:val="left"/>
              <w:rPr>
                <w:rFonts w:ascii="宋体" w:hAnsi="宋体" w:cs="宋体" w:eastAsia="宋体" w:hint="default"/>
                <w:sz w:val="18"/>
                <w:szCs w:val="18"/>
              </w:rPr>
            </w:pPr>
            <w:r>
              <w:rPr>
                <w:rFonts w:ascii="宋体" w:hAnsi="宋体" w:cs="宋体" w:eastAsia="宋体" w:hint="default"/>
                <w:sz w:val="18"/>
                <w:szCs w:val="18"/>
              </w:rPr>
              <w:t>要，基于全国产基础软硬件平台实现安全可靠分布式 全文检索系统，为安全可靠电子政务系统提供配套服</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在研</w:t>
            </w:r>
          </w:p>
        </w:tc>
      </w:tr>
      <w:tr>
        <w:trPr>
          <w:trHeight w:val="355" w:hRule="exact"/>
        </w:trPr>
        <w:tc>
          <w:tcPr>
            <w:tcW w:w="2392" w:type="dxa"/>
            <w:tcBorders>
              <w:top w:val="nil" w:sz="6" w:space="0" w:color="auto"/>
              <w:left w:val="single" w:sz="4" w:space="0" w:color="000000"/>
              <w:bottom w:val="single" w:sz="4" w:space="0" w:color="000000"/>
              <w:right w:val="single" w:sz="4" w:space="0" w:color="000000"/>
            </w:tcBorders>
          </w:tcPr>
          <w:p>
            <w:pPr/>
          </w:p>
        </w:tc>
        <w:tc>
          <w:tcPr>
            <w:tcW w:w="1720" w:type="dxa"/>
            <w:tcBorders>
              <w:top w:val="nil" w:sz="6" w:space="0" w:color="auto"/>
              <w:left w:val="single" w:sz="4" w:space="0" w:color="000000"/>
              <w:bottom w:val="single" w:sz="4" w:space="0" w:color="000000"/>
              <w:right w:val="single" w:sz="4" w:space="0" w:color="000000"/>
            </w:tcBorders>
          </w:tcPr>
          <w:p>
            <w:pPr/>
          </w:p>
        </w:tc>
        <w:tc>
          <w:tcPr>
            <w:tcW w:w="42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务，也可以单独与其他应用系统集成使用。</w:t>
            </w:r>
          </w:p>
        </w:tc>
        <w:tc>
          <w:tcPr>
            <w:tcW w:w="1204"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2392" w:type="dxa"/>
            <w:tcBorders>
              <w:top w:val="single" w:sz="4" w:space="0" w:color="000000"/>
              <w:left w:val="single" w:sz="4" w:space="0" w:color="000000"/>
              <w:bottom w:val="nil" w:sz="6" w:space="0" w:color="auto"/>
              <w:right w:val="single" w:sz="4" w:space="0" w:color="000000"/>
            </w:tcBorders>
          </w:tcPr>
          <w:p>
            <w:pPr/>
          </w:p>
        </w:tc>
        <w:tc>
          <w:tcPr>
            <w:tcW w:w="1720" w:type="dxa"/>
            <w:tcBorders>
              <w:top w:val="single" w:sz="4" w:space="0" w:color="000000"/>
              <w:left w:val="single" w:sz="4" w:space="0" w:color="000000"/>
              <w:bottom w:val="nil" w:sz="6" w:space="0" w:color="auto"/>
              <w:right w:val="single" w:sz="4" w:space="0" w:color="000000"/>
            </w:tcBorders>
          </w:tcPr>
          <w:p>
            <w:pPr/>
          </w:p>
        </w:tc>
        <w:tc>
          <w:tcPr>
            <w:tcW w:w="42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本项目将依托公司在海关工程的资源及经验，以现有</w:t>
            </w:r>
          </w:p>
        </w:tc>
        <w:tc>
          <w:tcPr>
            <w:tcW w:w="1204"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质检企业端软件营销网络和服务体系为基础进行扩</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榕基易贸商务平台</w:t>
            </w:r>
          </w:p>
        </w:tc>
        <w:tc>
          <w:tcPr>
            <w:tcW w:w="1720" w:type="dxa"/>
            <w:tcBorders>
              <w:top w:val="nil" w:sz="6" w:space="0" w:color="auto"/>
              <w:left w:val="single" w:sz="4" w:space="0" w:color="000000"/>
              <w:bottom w:val="nil" w:sz="6" w:space="0" w:color="auto"/>
              <w:right w:val="single" w:sz="4" w:space="0" w:color="000000"/>
            </w:tcBorders>
          </w:tcPr>
          <w:p>
            <w:pPr>
              <w:pStyle w:val="TableParagraph"/>
              <w:spacing w:line="240" w:lineRule="auto" w:before="52"/>
              <w:ind w:right="21"/>
              <w:jc w:val="right"/>
              <w:rPr>
                <w:rFonts w:ascii="Arial" w:hAnsi="Arial" w:cs="Arial" w:eastAsia="Arial" w:hint="default"/>
                <w:sz w:val="18"/>
                <w:szCs w:val="18"/>
              </w:rPr>
            </w:pPr>
            <w:r>
              <w:rPr>
                <w:rFonts w:ascii="Arial"/>
                <w:spacing w:val="-1"/>
                <w:sz w:val="18"/>
              </w:rPr>
              <w:t>7,047,479.98</w:t>
            </w: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建，建设</w:t>
            </w:r>
            <w:r>
              <w:rPr>
                <w:rFonts w:ascii="Arial" w:hAnsi="Arial" w:cs="Arial" w:eastAsia="Arial" w:hint="default"/>
                <w:sz w:val="18"/>
                <w:szCs w:val="18"/>
              </w:rPr>
              <w:t>“</w:t>
            </w:r>
            <w:r>
              <w:rPr>
                <w:rFonts w:ascii="宋体" w:hAnsi="宋体" w:cs="宋体" w:eastAsia="宋体" w:hint="default"/>
                <w:sz w:val="18"/>
                <w:szCs w:val="18"/>
              </w:rPr>
              <w:t>易贸</w:t>
            </w:r>
            <w:r>
              <w:rPr>
                <w:rFonts w:ascii="Arial" w:hAnsi="Arial" w:cs="Arial" w:eastAsia="Arial" w:hint="default"/>
                <w:sz w:val="18"/>
                <w:szCs w:val="18"/>
              </w:rPr>
              <w:t>”</w:t>
            </w:r>
            <w:r>
              <w:rPr>
                <w:rFonts w:ascii="宋体" w:hAnsi="宋体" w:cs="宋体" w:eastAsia="宋体" w:hint="default"/>
                <w:sz w:val="18"/>
                <w:szCs w:val="18"/>
              </w:rPr>
              <w:t>商务平台项目，完成</w:t>
            </w:r>
            <w:r>
              <w:rPr>
                <w:rFonts w:ascii="Arial" w:hAnsi="Arial" w:cs="Arial" w:eastAsia="Arial" w:hint="default"/>
                <w:sz w:val="18"/>
                <w:szCs w:val="18"/>
              </w:rPr>
              <w:t>”</w:t>
            </w:r>
            <w:r>
              <w:rPr>
                <w:rFonts w:ascii="宋体" w:hAnsi="宋体" w:cs="宋体" w:eastAsia="宋体" w:hint="default"/>
                <w:sz w:val="18"/>
                <w:szCs w:val="18"/>
              </w:rPr>
              <w:t>榕基易贸</w:t>
            </w:r>
            <w:r>
              <w:rPr>
                <w:rFonts w:ascii="Arial" w:hAnsi="Arial" w:cs="Arial" w:eastAsia="Arial" w:hint="default"/>
                <w:sz w:val="18"/>
                <w:szCs w:val="18"/>
              </w:rPr>
              <w:t>”</w:t>
            </w:r>
            <w:r>
              <w:rPr>
                <w:rFonts w:ascii="宋体" w:hAnsi="宋体" w:cs="宋体" w:eastAsia="宋体" w:hint="default"/>
                <w:sz w:val="18"/>
                <w:szCs w:val="18"/>
              </w:rPr>
              <w:t>企业端</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已完工</w:t>
            </w:r>
          </w:p>
        </w:tc>
      </w:tr>
      <w:tr>
        <w:trPr>
          <w:trHeight w:val="313"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Arial" w:hAnsi="Arial" w:cs="Arial" w:eastAsia="Arial" w:hint="default"/>
                <w:sz w:val="18"/>
                <w:szCs w:val="18"/>
              </w:rPr>
            </w:pPr>
            <w:r>
              <w:rPr>
                <w:rFonts w:ascii="宋体" w:hAnsi="宋体" w:cs="宋体" w:eastAsia="宋体" w:hint="default"/>
                <w:spacing w:val="-5"/>
                <w:sz w:val="18"/>
                <w:szCs w:val="18"/>
              </w:rPr>
              <w:t>软件、</w:t>
            </w:r>
            <w:r>
              <w:rPr>
                <w:rFonts w:ascii="Arial" w:hAnsi="Arial" w:cs="Arial" w:eastAsia="Arial" w:hint="default"/>
                <w:spacing w:val="-5"/>
                <w:sz w:val="18"/>
                <w:szCs w:val="18"/>
              </w:rPr>
              <w:t>”</w:t>
            </w:r>
            <w:r>
              <w:rPr>
                <w:rFonts w:ascii="宋体" w:hAnsi="宋体" w:cs="宋体" w:eastAsia="宋体" w:hint="default"/>
                <w:spacing w:val="-5"/>
                <w:sz w:val="18"/>
                <w:szCs w:val="18"/>
              </w:rPr>
              <w:t>榕基易贸</w:t>
            </w:r>
            <w:r>
              <w:rPr>
                <w:rFonts w:ascii="Arial" w:hAnsi="Arial" w:cs="Arial" w:eastAsia="Arial" w:hint="default"/>
                <w:spacing w:val="-5"/>
                <w:sz w:val="18"/>
                <w:szCs w:val="18"/>
              </w:rPr>
              <w:t>”</w:t>
            </w:r>
            <w:r>
              <w:rPr>
                <w:rFonts w:ascii="宋体" w:hAnsi="宋体" w:cs="宋体" w:eastAsia="宋体" w:hint="default"/>
                <w:spacing w:val="-5"/>
                <w:sz w:val="18"/>
                <w:szCs w:val="18"/>
              </w:rPr>
              <w:t>服务管理平台、</w:t>
            </w:r>
            <w:r>
              <w:rPr>
                <w:rFonts w:ascii="Arial" w:hAnsi="Arial" w:cs="Arial" w:eastAsia="Arial" w:hint="default"/>
                <w:spacing w:val="-5"/>
                <w:sz w:val="18"/>
                <w:szCs w:val="18"/>
              </w:rPr>
              <w:t>”</w:t>
            </w:r>
            <w:r>
              <w:rPr>
                <w:rFonts w:ascii="宋体" w:hAnsi="宋体" w:cs="宋体" w:eastAsia="宋体" w:hint="default"/>
                <w:spacing w:val="-5"/>
                <w:sz w:val="18"/>
                <w:szCs w:val="18"/>
              </w:rPr>
              <w:t>榕基易贸</w:t>
            </w:r>
            <w:r>
              <w:rPr>
                <w:rFonts w:ascii="Arial" w:hAnsi="Arial" w:cs="Arial" w:eastAsia="Arial" w:hint="default"/>
                <w:spacing w:val="-5"/>
                <w:sz w:val="18"/>
                <w:szCs w:val="18"/>
              </w:rPr>
              <w:t>”</w:t>
            </w:r>
            <w:r>
              <w:rPr>
                <w:rFonts w:ascii="宋体" w:hAnsi="宋体" w:cs="宋体" w:eastAsia="宋体" w:hint="default"/>
                <w:spacing w:val="-5"/>
                <w:sz w:val="18"/>
                <w:szCs w:val="18"/>
              </w:rPr>
              <w:t>企业</w:t>
            </w:r>
            <w:r>
              <w:rPr>
                <w:rFonts w:ascii="宋体" w:hAnsi="宋体" w:cs="宋体" w:eastAsia="宋体" w:hint="default"/>
                <w:spacing w:val="-29"/>
                <w:sz w:val="18"/>
                <w:szCs w:val="18"/>
              </w:rPr>
              <w:t> </w:t>
            </w:r>
            <w:r>
              <w:rPr>
                <w:rFonts w:ascii="Arial" w:hAnsi="Arial" w:cs="Arial" w:eastAsia="Arial" w:hint="default"/>
                <w:sz w:val="18"/>
                <w:szCs w:val="18"/>
              </w:rPr>
              <w:t>CRM</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51" w:hRule="exact"/>
        </w:trPr>
        <w:tc>
          <w:tcPr>
            <w:tcW w:w="2392" w:type="dxa"/>
            <w:tcBorders>
              <w:top w:val="nil" w:sz="6" w:space="0" w:color="auto"/>
              <w:left w:val="single" w:sz="4" w:space="0" w:color="000000"/>
              <w:bottom w:val="single" w:sz="4" w:space="0" w:color="000000"/>
              <w:right w:val="single" w:sz="4" w:space="0" w:color="000000"/>
            </w:tcBorders>
          </w:tcPr>
          <w:p>
            <w:pPr/>
          </w:p>
        </w:tc>
        <w:tc>
          <w:tcPr>
            <w:tcW w:w="1720" w:type="dxa"/>
            <w:tcBorders>
              <w:top w:val="nil" w:sz="6" w:space="0" w:color="auto"/>
              <w:left w:val="single" w:sz="4" w:space="0" w:color="000000"/>
              <w:bottom w:val="single" w:sz="4" w:space="0" w:color="000000"/>
              <w:right w:val="single" w:sz="4" w:space="0" w:color="000000"/>
            </w:tcBorders>
          </w:tcPr>
          <w:p>
            <w:pPr/>
          </w:p>
        </w:tc>
        <w:tc>
          <w:tcPr>
            <w:tcW w:w="42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客户管理和</w:t>
            </w:r>
            <w:r>
              <w:rPr>
                <w:rFonts w:ascii="Arial" w:hAnsi="Arial" w:cs="Arial" w:eastAsia="Arial" w:hint="default"/>
                <w:sz w:val="18"/>
                <w:szCs w:val="18"/>
              </w:rPr>
              <w:t>”</w:t>
            </w:r>
            <w:r>
              <w:rPr>
                <w:rFonts w:ascii="宋体" w:hAnsi="宋体" w:cs="宋体" w:eastAsia="宋体" w:hint="default"/>
                <w:sz w:val="18"/>
                <w:szCs w:val="18"/>
              </w:rPr>
              <w:t>榕基易贸</w:t>
            </w:r>
            <w:r>
              <w:rPr>
                <w:rFonts w:ascii="Arial" w:hAnsi="Arial" w:cs="Arial" w:eastAsia="Arial" w:hint="default"/>
                <w:sz w:val="18"/>
                <w:szCs w:val="18"/>
              </w:rPr>
              <w:t>”</w:t>
            </w:r>
            <w:r>
              <w:rPr>
                <w:rFonts w:ascii="宋体" w:hAnsi="宋体" w:cs="宋体" w:eastAsia="宋体" w:hint="default"/>
                <w:sz w:val="18"/>
                <w:szCs w:val="18"/>
              </w:rPr>
              <w:t>企业移动应用平台的软件研发</w:t>
            </w:r>
          </w:p>
        </w:tc>
        <w:tc>
          <w:tcPr>
            <w:tcW w:w="12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151"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58" w:hRule="exact"/>
        </w:trPr>
        <w:tc>
          <w:tcPr>
            <w:tcW w:w="2392" w:type="dxa"/>
            <w:tcBorders>
              <w:top w:val="single" w:sz="4" w:space="0" w:color="000000"/>
              <w:left w:val="single" w:sz="4" w:space="0" w:color="000000"/>
              <w:bottom w:val="nil" w:sz="6" w:space="0" w:color="auto"/>
              <w:right w:val="single" w:sz="4" w:space="0" w:color="000000"/>
            </w:tcBorders>
          </w:tcPr>
          <w:p>
            <w:pPr/>
          </w:p>
        </w:tc>
        <w:tc>
          <w:tcPr>
            <w:tcW w:w="1720" w:type="dxa"/>
            <w:tcBorders>
              <w:top w:val="single" w:sz="4" w:space="0" w:color="000000"/>
              <w:left w:val="single" w:sz="4" w:space="0" w:color="000000"/>
              <w:bottom w:val="nil" w:sz="6" w:space="0" w:color="auto"/>
              <w:right w:val="single" w:sz="4" w:space="0" w:color="000000"/>
            </w:tcBorders>
          </w:tcPr>
          <w:p>
            <w:pPr/>
          </w:p>
        </w:tc>
        <w:tc>
          <w:tcPr>
            <w:tcW w:w="42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本项目针对执法部门在执法活动中的存在具体问题和</w:t>
            </w:r>
          </w:p>
        </w:tc>
        <w:tc>
          <w:tcPr>
            <w:tcW w:w="1204"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难点，分析、梳理并设计符合业务特点的解决方案，</w:t>
            </w:r>
          </w:p>
        </w:tc>
        <w:tc>
          <w:tcPr>
            <w:tcW w:w="1204" w:type="dxa"/>
            <w:tcBorders>
              <w:top w:val="nil" w:sz="6" w:space="0" w:color="auto"/>
              <w:left w:val="single" w:sz="4" w:space="0" w:color="000000"/>
              <w:bottom w:val="nil" w:sz="6" w:space="0" w:color="auto"/>
              <w:right w:val="single" w:sz="4" w:space="0" w:color="000000"/>
            </w:tcBorders>
          </w:tcPr>
          <w:p>
            <w:pPr/>
          </w:p>
        </w:tc>
      </w:tr>
      <w:tr>
        <w:trPr>
          <w:trHeight w:val="628"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榕基移动视频</w:t>
            </w:r>
          </w:p>
        </w:tc>
        <w:tc>
          <w:tcPr>
            <w:tcW w:w="1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2"/>
              <w:jc w:val="right"/>
              <w:rPr>
                <w:rFonts w:ascii="Arial" w:hAnsi="Arial" w:cs="Arial" w:eastAsia="Arial" w:hint="default"/>
                <w:sz w:val="18"/>
                <w:szCs w:val="18"/>
              </w:rPr>
            </w:pPr>
            <w:r>
              <w:rPr>
                <w:rFonts w:ascii="Arial"/>
                <w:spacing w:val="-1"/>
                <w:sz w:val="18"/>
              </w:rPr>
              <w:t>67,196.37</w:t>
            </w:r>
            <w:r>
              <w:rPr>
                <w:rFonts w:ascii="Arial"/>
                <w:sz w:val="18"/>
              </w:rPr>
            </w: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302" w:lineRule="auto" w:before="10"/>
              <w:ind w:left="22" w:right="18"/>
              <w:jc w:val="left"/>
              <w:rPr>
                <w:rFonts w:ascii="宋体" w:hAnsi="宋体" w:cs="宋体" w:eastAsia="宋体" w:hint="default"/>
                <w:sz w:val="18"/>
                <w:szCs w:val="18"/>
              </w:rPr>
            </w:pPr>
            <w:r>
              <w:rPr>
                <w:rFonts w:ascii="宋体" w:hAnsi="宋体" w:cs="宋体" w:eastAsia="宋体" w:hint="default"/>
                <w:sz w:val="18"/>
                <w:szCs w:val="18"/>
              </w:rPr>
              <w:t>利用手机终端传输、流媒体等技术建成了</w:t>
            </w:r>
            <w:r>
              <w:rPr>
                <w:rFonts w:ascii="Arial" w:hAnsi="Arial" w:cs="Arial" w:eastAsia="Arial" w:hint="default"/>
                <w:sz w:val="18"/>
                <w:szCs w:val="18"/>
              </w:rPr>
              <w:t>“</w:t>
            </w:r>
            <w:r>
              <w:rPr>
                <w:rFonts w:ascii="宋体" w:hAnsi="宋体" w:cs="宋体" w:eastAsia="宋体" w:hint="default"/>
                <w:sz w:val="18"/>
                <w:szCs w:val="18"/>
              </w:rPr>
              <w:t>榕基移动视 频</w:t>
            </w:r>
            <w:r>
              <w:rPr>
                <w:rFonts w:ascii="Arial" w:hAnsi="Arial" w:cs="Arial" w:eastAsia="Arial" w:hint="default"/>
                <w:sz w:val="18"/>
                <w:szCs w:val="18"/>
              </w:rPr>
              <w:t>”</w:t>
            </w:r>
            <w:r>
              <w:rPr>
                <w:rFonts w:ascii="宋体" w:hAnsi="宋体" w:cs="宋体" w:eastAsia="宋体" w:hint="default"/>
                <w:sz w:val="18"/>
                <w:szCs w:val="18"/>
              </w:rPr>
              <w:t>平台，可以实现执法过程的统一管理、统一协调、</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已完工</w:t>
            </w:r>
          </w:p>
        </w:tc>
      </w:tr>
      <w:tr>
        <w:trPr>
          <w:trHeight w:val="308"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统一指挥，提高工作效率、方便群众，成为执法过程</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2392" w:type="dxa"/>
            <w:tcBorders>
              <w:top w:val="nil" w:sz="6" w:space="0" w:color="auto"/>
              <w:left w:val="single" w:sz="4" w:space="0" w:color="000000"/>
              <w:bottom w:val="single" w:sz="4" w:space="0" w:color="000000"/>
              <w:right w:val="single" w:sz="4" w:space="0" w:color="000000"/>
            </w:tcBorders>
          </w:tcPr>
          <w:p>
            <w:pPr/>
          </w:p>
        </w:tc>
        <w:tc>
          <w:tcPr>
            <w:tcW w:w="1720" w:type="dxa"/>
            <w:tcBorders>
              <w:top w:val="nil" w:sz="6" w:space="0" w:color="auto"/>
              <w:left w:val="single" w:sz="4" w:space="0" w:color="000000"/>
              <w:bottom w:val="single" w:sz="4" w:space="0" w:color="000000"/>
              <w:right w:val="single" w:sz="4" w:space="0" w:color="000000"/>
            </w:tcBorders>
          </w:tcPr>
          <w:p>
            <w:pPr/>
          </w:p>
        </w:tc>
        <w:tc>
          <w:tcPr>
            <w:tcW w:w="42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监控和指挥管理的有力补充。</w:t>
            </w:r>
          </w:p>
        </w:tc>
        <w:tc>
          <w:tcPr>
            <w:tcW w:w="1204"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2392" w:type="dxa"/>
            <w:tcBorders>
              <w:top w:val="single" w:sz="4" w:space="0" w:color="000000"/>
              <w:left w:val="single" w:sz="4" w:space="0" w:color="000000"/>
              <w:bottom w:val="nil" w:sz="6" w:space="0" w:color="auto"/>
              <w:right w:val="single" w:sz="4" w:space="0" w:color="000000"/>
            </w:tcBorders>
          </w:tcPr>
          <w:p>
            <w:pPr/>
          </w:p>
        </w:tc>
        <w:tc>
          <w:tcPr>
            <w:tcW w:w="1720" w:type="dxa"/>
            <w:tcBorders>
              <w:top w:val="single" w:sz="4" w:space="0" w:color="000000"/>
              <w:left w:val="single" w:sz="4" w:space="0" w:color="000000"/>
              <w:bottom w:val="nil" w:sz="6" w:space="0" w:color="auto"/>
              <w:right w:val="single" w:sz="4" w:space="0" w:color="000000"/>
            </w:tcBorders>
          </w:tcPr>
          <w:p>
            <w:pPr/>
          </w:p>
        </w:tc>
        <w:tc>
          <w:tcPr>
            <w:tcW w:w="42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本项目是传统政府公共服务管理与信息技术紧密结</w:t>
            </w:r>
          </w:p>
        </w:tc>
        <w:tc>
          <w:tcPr>
            <w:tcW w:w="1204"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合、创新的系统性工程，在互联网上构建了热线电话</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Arial" w:hAnsi="Arial" w:cs="Arial" w:eastAsia="Arial" w:hint="default"/>
                <w:sz w:val="18"/>
                <w:szCs w:val="18"/>
              </w:rPr>
              <w:t>12345</w:t>
            </w:r>
            <w:r>
              <w:rPr>
                <w:rFonts w:ascii="Arial" w:hAnsi="Arial" w:cs="Arial" w:eastAsia="Arial" w:hint="default"/>
                <w:spacing w:val="-7"/>
                <w:sz w:val="18"/>
                <w:szCs w:val="18"/>
              </w:rPr>
              <w:t> </w:t>
            </w:r>
            <w:r>
              <w:rPr>
                <w:rFonts w:ascii="宋体" w:hAnsi="宋体" w:cs="宋体" w:eastAsia="宋体" w:hint="default"/>
                <w:sz w:val="18"/>
                <w:szCs w:val="18"/>
              </w:rPr>
              <w:t>嵌入式的政民互动平台，依托互联网，叠加网</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智慧城市便民服务指挥中心</w:t>
            </w:r>
          </w:p>
        </w:tc>
        <w:tc>
          <w:tcPr>
            <w:tcW w:w="1720"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Arial" w:hAnsi="Arial" w:cs="Arial" w:eastAsia="Arial" w:hint="default"/>
                <w:sz w:val="18"/>
                <w:szCs w:val="18"/>
              </w:rPr>
            </w:pPr>
            <w:r>
              <w:rPr>
                <w:rFonts w:ascii="Arial"/>
                <w:spacing w:val="-1"/>
                <w:sz w:val="18"/>
              </w:rPr>
              <w:t>5,759,192.76</w:t>
            </w: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站、电话、</w:t>
            </w:r>
            <w:r>
              <w:rPr>
                <w:rFonts w:ascii="Arial" w:hAnsi="Arial" w:cs="Arial" w:eastAsia="Arial" w:hint="default"/>
                <w:sz w:val="18"/>
                <w:szCs w:val="18"/>
              </w:rPr>
              <w:t>EMAIL</w:t>
            </w:r>
            <w:r>
              <w:rPr>
                <w:rFonts w:ascii="宋体" w:hAnsi="宋体" w:cs="宋体" w:eastAsia="宋体" w:hint="default"/>
                <w:sz w:val="18"/>
                <w:szCs w:val="18"/>
              </w:rPr>
              <w:t>、短信、手机、微信等各种方式和</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已完工</w:t>
            </w:r>
          </w:p>
        </w:tc>
      </w:tr>
      <w:tr>
        <w:trPr>
          <w:trHeight w:val="308"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信息技术手段，为市民提供了良好的政府公共服务，</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拓展政府与广大人民群众沟通渠道，民有所呼，我有</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2392" w:type="dxa"/>
            <w:tcBorders>
              <w:top w:val="nil" w:sz="6" w:space="0" w:color="auto"/>
              <w:left w:val="single" w:sz="4" w:space="0" w:color="000000"/>
              <w:bottom w:val="single" w:sz="4" w:space="0" w:color="000000"/>
              <w:right w:val="single" w:sz="4" w:space="0" w:color="000000"/>
            </w:tcBorders>
          </w:tcPr>
          <w:p>
            <w:pPr/>
          </w:p>
        </w:tc>
        <w:tc>
          <w:tcPr>
            <w:tcW w:w="1720" w:type="dxa"/>
            <w:tcBorders>
              <w:top w:val="nil" w:sz="6" w:space="0" w:color="auto"/>
              <w:left w:val="single" w:sz="4" w:space="0" w:color="000000"/>
              <w:bottom w:val="single" w:sz="4" w:space="0" w:color="000000"/>
              <w:right w:val="single" w:sz="4" w:space="0" w:color="000000"/>
            </w:tcBorders>
          </w:tcPr>
          <w:p>
            <w:pPr/>
          </w:p>
        </w:tc>
        <w:tc>
          <w:tcPr>
            <w:tcW w:w="42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所应，以网络构建社会和谐。</w:t>
            </w:r>
          </w:p>
        </w:tc>
        <w:tc>
          <w:tcPr>
            <w:tcW w:w="1204"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2392" w:type="dxa"/>
            <w:tcBorders>
              <w:top w:val="single" w:sz="4" w:space="0" w:color="000000"/>
              <w:left w:val="single" w:sz="4" w:space="0" w:color="000000"/>
              <w:bottom w:val="nil" w:sz="6" w:space="0" w:color="auto"/>
              <w:right w:val="single" w:sz="4" w:space="0" w:color="000000"/>
            </w:tcBorders>
          </w:tcPr>
          <w:p>
            <w:pPr/>
          </w:p>
        </w:tc>
        <w:tc>
          <w:tcPr>
            <w:tcW w:w="1720" w:type="dxa"/>
            <w:tcBorders>
              <w:top w:val="single" w:sz="4" w:space="0" w:color="000000"/>
              <w:left w:val="single" w:sz="4" w:space="0" w:color="000000"/>
              <w:bottom w:val="nil" w:sz="6" w:space="0" w:color="auto"/>
              <w:right w:val="single" w:sz="4" w:space="0" w:color="000000"/>
            </w:tcBorders>
          </w:tcPr>
          <w:p>
            <w:pPr/>
          </w:p>
        </w:tc>
        <w:tc>
          <w:tcPr>
            <w:tcW w:w="42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本项目是国家相关部门对减刑、假释网上协同办案平</w:t>
            </w:r>
          </w:p>
        </w:tc>
        <w:tc>
          <w:tcPr>
            <w:tcW w:w="1204"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台的建设提出了明确要求的背景下，为了充分发挥网</w:t>
            </w:r>
          </w:p>
        </w:tc>
        <w:tc>
          <w:tcPr>
            <w:tcW w:w="1204" w:type="dxa"/>
            <w:tcBorders>
              <w:top w:val="nil" w:sz="6" w:space="0" w:color="auto"/>
              <w:left w:val="single" w:sz="4" w:space="0" w:color="000000"/>
              <w:bottom w:val="nil" w:sz="6" w:space="0" w:color="auto"/>
              <w:right w:val="single" w:sz="4" w:space="0" w:color="000000"/>
            </w:tcBorders>
          </w:tcPr>
          <w:p>
            <w:pPr/>
          </w:p>
        </w:tc>
      </w:tr>
      <w:tr>
        <w:trPr>
          <w:trHeight w:val="624"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榕基减刑假释智能办案平台</w:t>
            </w:r>
          </w:p>
        </w:tc>
        <w:tc>
          <w:tcPr>
            <w:tcW w:w="1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21"/>
              <w:jc w:val="right"/>
              <w:rPr>
                <w:rFonts w:ascii="Arial" w:hAnsi="Arial" w:cs="Arial" w:eastAsia="Arial" w:hint="default"/>
                <w:sz w:val="18"/>
                <w:szCs w:val="18"/>
              </w:rPr>
            </w:pPr>
            <w:r>
              <w:rPr>
                <w:rFonts w:ascii="Arial"/>
                <w:spacing w:val="-1"/>
                <w:sz w:val="18"/>
              </w:rPr>
              <w:t>2,187,192.67</w:t>
            </w: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8"/>
              <w:jc w:val="left"/>
              <w:rPr>
                <w:rFonts w:ascii="宋体" w:hAnsi="宋体" w:cs="宋体" w:eastAsia="宋体" w:hint="default"/>
                <w:sz w:val="18"/>
                <w:szCs w:val="18"/>
              </w:rPr>
            </w:pPr>
            <w:r>
              <w:rPr>
                <w:rFonts w:ascii="宋体" w:hAnsi="宋体" w:cs="宋体" w:eastAsia="宋体" w:hint="default"/>
                <w:sz w:val="18"/>
                <w:szCs w:val="18"/>
              </w:rPr>
              <w:t>上办案的优势，减轻法院办案人员的工作量，提升办 案质效。积极推动与刑罚执行机关和人民检察院的网</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已完工</w:t>
            </w:r>
          </w:p>
        </w:tc>
      </w:tr>
      <w:tr>
        <w:trPr>
          <w:trHeight w:val="313"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上信息共享、数据交换和协同办案，让数据跑路，实</w:t>
            </w:r>
          </w:p>
        </w:tc>
        <w:tc>
          <w:tcPr>
            <w:tcW w:w="1204" w:type="dxa"/>
            <w:tcBorders>
              <w:top w:val="nil" w:sz="6" w:space="0" w:color="auto"/>
              <w:left w:val="single" w:sz="4" w:space="0" w:color="000000"/>
              <w:bottom w:val="nil" w:sz="6" w:space="0" w:color="auto"/>
              <w:right w:val="single" w:sz="4" w:space="0" w:color="000000"/>
            </w:tcBorders>
          </w:tcPr>
          <w:p>
            <w:pPr/>
          </w:p>
        </w:tc>
      </w:tr>
      <w:tr>
        <w:trPr>
          <w:trHeight w:val="356" w:hRule="exact"/>
        </w:trPr>
        <w:tc>
          <w:tcPr>
            <w:tcW w:w="2392" w:type="dxa"/>
            <w:tcBorders>
              <w:top w:val="nil" w:sz="6" w:space="0" w:color="auto"/>
              <w:left w:val="single" w:sz="4" w:space="0" w:color="000000"/>
              <w:bottom w:val="single" w:sz="4" w:space="0" w:color="000000"/>
              <w:right w:val="single" w:sz="4" w:space="0" w:color="000000"/>
            </w:tcBorders>
          </w:tcPr>
          <w:p>
            <w:pPr/>
          </w:p>
        </w:tc>
        <w:tc>
          <w:tcPr>
            <w:tcW w:w="1720" w:type="dxa"/>
            <w:tcBorders>
              <w:top w:val="nil" w:sz="6" w:space="0" w:color="auto"/>
              <w:left w:val="single" w:sz="4" w:space="0" w:color="000000"/>
              <w:bottom w:val="single" w:sz="4" w:space="0" w:color="000000"/>
              <w:right w:val="single" w:sz="4" w:space="0" w:color="000000"/>
            </w:tcBorders>
          </w:tcPr>
          <w:p>
            <w:pPr/>
          </w:p>
        </w:tc>
        <w:tc>
          <w:tcPr>
            <w:tcW w:w="42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现执法、司法有效衔接。</w:t>
            </w:r>
          </w:p>
        </w:tc>
        <w:tc>
          <w:tcPr>
            <w:tcW w:w="1204" w:type="dxa"/>
            <w:tcBorders>
              <w:top w:val="nil" w:sz="6" w:space="0" w:color="auto"/>
              <w:left w:val="single" w:sz="4" w:space="0" w:color="000000"/>
              <w:bottom w:val="single" w:sz="4" w:space="0" w:color="000000"/>
              <w:right w:val="single" w:sz="4" w:space="0" w:color="000000"/>
            </w:tcBorders>
          </w:tcPr>
          <w:p>
            <w:pPr/>
          </w:p>
        </w:tc>
      </w:tr>
      <w:tr>
        <w:trPr>
          <w:trHeight w:val="358" w:hRule="exact"/>
        </w:trPr>
        <w:tc>
          <w:tcPr>
            <w:tcW w:w="2392" w:type="dxa"/>
            <w:tcBorders>
              <w:top w:val="single" w:sz="4" w:space="0" w:color="000000"/>
              <w:left w:val="single" w:sz="4" w:space="0" w:color="000000"/>
              <w:bottom w:val="nil" w:sz="6" w:space="0" w:color="auto"/>
              <w:right w:val="single" w:sz="4" w:space="0" w:color="000000"/>
            </w:tcBorders>
          </w:tcPr>
          <w:p>
            <w:pPr/>
          </w:p>
        </w:tc>
        <w:tc>
          <w:tcPr>
            <w:tcW w:w="1720" w:type="dxa"/>
            <w:tcBorders>
              <w:top w:val="single" w:sz="4" w:space="0" w:color="000000"/>
              <w:left w:val="single" w:sz="4" w:space="0" w:color="000000"/>
              <w:bottom w:val="nil" w:sz="6" w:space="0" w:color="auto"/>
              <w:right w:val="single" w:sz="4" w:space="0" w:color="000000"/>
            </w:tcBorders>
          </w:tcPr>
          <w:p>
            <w:pPr/>
          </w:p>
        </w:tc>
        <w:tc>
          <w:tcPr>
            <w:tcW w:w="42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项目是基于统一的物联网业务运营支撑平台的解决方</w:t>
            </w:r>
          </w:p>
        </w:tc>
        <w:tc>
          <w:tcPr>
            <w:tcW w:w="1204"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案建设的物联网运营支撑平台。通过对物联网管理对</w:t>
            </w:r>
          </w:p>
        </w:tc>
        <w:tc>
          <w:tcPr>
            <w:tcW w:w="1204"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47"/>
              <w:ind w:left="22" w:right="0"/>
              <w:jc w:val="left"/>
              <w:rPr>
                <w:rFonts w:ascii="宋体" w:hAnsi="宋体" w:cs="宋体" w:eastAsia="宋体" w:hint="default"/>
                <w:sz w:val="18"/>
                <w:szCs w:val="18"/>
              </w:rPr>
            </w:pPr>
            <w:r>
              <w:rPr>
                <w:rFonts w:ascii="宋体" w:hAnsi="宋体" w:cs="宋体" w:eastAsia="宋体" w:hint="default"/>
                <w:sz w:val="18"/>
                <w:szCs w:val="18"/>
              </w:rPr>
              <w:t>星榕基物联网运营支撑平台</w:t>
            </w:r>
          </w:p>
          <w:p>
            <w:pPr>
              <w:pStyle w:val="TableParagraph"/>
              <w:spacing w:line="240" w:lineRule="auto" w:before="116"/>
              <w:ind w:left="22" w:right="0"/>
              <w:jc w:val="left"/>
              <w:rPr>
                <w:rFonts w:ascii="Arial" w:hAnsi="Arial" w:cs="Arial" w:eastAsia="Arial" w:hint="default"/>
                <w:sz w:val="18"/>
                <w:szCs w:val="18"/>
              </w:rPr>
            </w:pPr>
            <w:r>
              <w:rPr>
                <w:rFonts w:ascii="Arial"/>
                <w:sz w:val="18"/>
              </w:rPr>
              <w:t>V1.0</w:t>
            </w:r>
          </w:p>
        </w:tc>
        <w:tc>
          <w:tcPr>
            <w:tcW w:w="1720"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21"/>
              <w:jc w:val="right"/>
              <w:rPr>
                <w:rFonts w:ascii="Arial" w:hAnsi="Arial" w:cs="Arial" w:eastAsia="Arial" w:hint="default"/>
                <w:sz w:val="18"/>
                <w:szCs w:val="18"/>
              </w:rPr>
            </w:pPr>
            <w:r>
              <w:rPr>
                <w:rFonts w:ascii="Arial"/>
                <w:spacing w:val="-1"/>
                <w:sz w:val="18"/>
              </w:rPr>
              <w:t>306,304.15</w:t>
            </w: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8"/>
              <w:jc w:val="both"/>
              <w:rPr>
                <w:rFonts w:ascii="宋体" w:hAnsi="宋体" w:cs="宋体" w:eastAsia="宋体" w:hint="default"/>
                <w:sz w:val="18"/>
                <w:szCs w:val="18"/>
              </w:rPr>
            </w:pPr>
            <w:r>
              <w:rPr>
                <w:rFonts w:ascii="宋体" w:hAnsi="宋体" w:cs="宋体" w:eastAsia="宋体" w:hint="default"/>
                <w:sz w:val="18"/>
                <w:szCs w:val="18"/>
              </w:rPr>
              <w:t>象和感知设备进行统一的编码管理，保证编码的唯一 性，实现物联管理对象、感知设备的识别和区别；通 过对感知设备和感知信息的统一接入，以及对信息资</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宋体" w:hAnsi="宋体" w:cs="宋体" w:eastAsia="宋体"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已完工</w:t>
            </w:r>
          </w:p>
        </w:tc>
      </w:tr>
      <w:tr>
        <w:trPr>
          <w:trHeight w:val="312" w:hRule="exact"/>
        </w:trPr>
        <w:tc>
          <w:tcPr>
            <w:tcW w:w="2392" w:type="dxa"/>
            <w:tcBorders>
              <w:top w:val="nil" w:sz="6" w:space="0" w:color="auto"/>
              <w:left w:val="single" w:sz="4" w:space="0" w:color="000000"/>
              <w:bottom w:val="nil" w:sz="6" w:space="0" w:color="auto"/>
              <w:right w:val="single" w:sz="4" w:space="0" w:color="000000"/>
            </w:tcBorders>
          </w:tcPr>
          <w:p>
            <w:pPr/>
          </w:p>
        </w:tc>
        <w:tc>
          <w:tcPr>
            <w:tcW w:w="1720" w:type="dxa"/>
            <w:tcBorders>
              <w:top w:val="nil" w:sz="6" w:space="0" w:color="auto"/>
              <w:left w:val="single" w:sz="4" w:space="0" w:color="000000"/>
              <w:bottom w:val="nil" w:sz="6" w:space="0" w:color="auto"/>
              <w:right w:val="single" w:sz="4" w:space="0" w:color="000000"/>
            </w:tcBorders>
          </w:tcPr>
          <w:p>
            <w:pP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源的目录定制、管理和发布，实现通讯的共享与交换</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4" w:right="0"/>
              <w:jc w:val="left"/>
              <w:rPr>
                <w:rFonts w:ascii="宋体" w:hAnsi="宋体" w:cs="宋体" w:eastAsia="宋体" w:hint="default"/>
                <w:sz w:val="18"/>
                <w:szCs w:val="18"/>
              </w:rPr>
            </w:pPr>
            <w:r>
              <w:rPr>
                <w:rFonts w:ascii="宋体" w:hAnsi="宋体" w:cs="宋体" w:eastAsia="宋体" w:hint="default"/>
                <w:sz w:val="18"/>
                <w:szCs w:val="18"/>
              </w:rPr>
              <w:t>；</w:t>
            </w:r>
          </w:p>
        </w:tc>
      </w:tr>
      <w:tr>
        <w:trPr>
          <w:trHeight w:val="317" w:hRule="exact"/>
        </w:trPr>
        <w:tc>
          <w:tcPr>
            <w:tcW w:w="2392" w:type="dxa"/>
            <w:tcBorders>
              <w:top w:val="nil" w:sz="6" w:space="0" w:color="auto"/>
              <w:left w:val="single" w:sz="4" w:space="0" w:color="000000"/>
              <w:bottom w:val="single" w:sz="4" w:space="0" w:color="000000"/>
              <w:right w:val="single" w:sz="4" w:space="0" w:color="000000"/>
            </w:tcBorders>
          </w:tcPr>
          <w:p>
            <w:pPr/>
          </w:p>
        </w:tc>
        <w:tc>
          <w:tcPr>
            <w:tcW w:w="1720" w:type="dxa"/>
            <w:tcBorders>
              <w:top w:val="nil" w:sz="6" w:space="0" w:color="auto"/>
              <w:left w:val="single" w:sz="4" w:space="0" w:color="000000"/>
              <w:bottom w:val="single" w:sz="4" w:space="0" w:color="000000"/>
              <w:right w:val="single" w:sz="4" w:space="0" w:color="000000"/>
            </w:tcBorders>
          </w:tcPr>
          <w:p>
            <w:pPr/>
          </w:p>
        </w:tc>
        <w:tc>
          <w:tcPr>
            <w:tcW w:w="42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同时，提供空间化、可视化的展示方式，为用户提供</w:t>
            </w:r>
          </w:p>
        </w:tc>
        <w:tc>
          <w:tcPr>
            <w:tcW w:w="1204"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1720"/>
        <w:gridCol w:w="4253"/>
        <w:gridCol w:w="1204"/>
      </w:tblGrid>
      <w:tr>
        <w:trPr>
          <w:trHeight w:val="362" w:hRule="exact"/>
        </w:trPr>
        <w:tc>
          <w:tcPr>
            <w:tcW w:w="2392" w:type="dxa"/>
            <w:tcBorders>
              <w:top w:val="single" w:sz="4" w:space="0" w:color="000000"/>
              <w:left w:val="single" w:sz="4" w:space="0" w:color="000000"/>
              <w:bottom w:val="single" w:sz="4" w:space="0" w:color="000000"/>
              <w:right w:val="single" w:sz="4" w:space="0" w:color="000000"/>
            </w:tcBorders>
          </w:tcPr>
          <w:p>
            <w:pPr/>
          </w:p>
        </w:tc>
        <w:tc>
          <w:tcPr>
            <w:tcW w:w="1720" w:type="dxa"/>
            <w:tcBorders>
              <w:top w:val="single" w:sz="4" w:space="0" w:color="000000"/>
              <w:left w:val="single" w:sz="4" w:space="0" w:color="000000"/>
              <w:bottom w:val="single" w:sz="4" w:space="0" w:color="000000"/>
              <w:right w:val="single" w:sz="4" w:space="0" w:color="000000"/>
            </w:tcBorders>
          </w:tcPr>
          <w:p>
            <w:pP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事件的全景信息。</w:t>
            </w:r>
          </w:p>
        </w:tc>
        <w:tc>
          <w:tcPr>
            <w:tcW w:w="1204"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2392" w:type="dxa"/>
            <w:tcBorders>
              <w:top w:val="single" w:sz="4" w:space="0" w:color="000000"/>
              <w:left w:val="single" w:sz="4" w:space="0" w:color="000000"/>
              <w:bottom w:val="nil" w:sz="6" w:space="0" w:color="auto"/>
              <w:right w:val="single" w:sz="4" w:space="0" w:color="000000"/>
            </w:tcBorders>
          </w:tcPr>
          <w:p>
            <w:pPr/>
          </w:p>
        </w:tc>
        <w:tc>
          <w:tcPr>
            <w:tcW w:w="1720" w:type="dxa"/>
            <w:tcBorders>
              <w:top w:val="single" w:sz="4" w:space="0" w:color="000000"/>
              <w:left w:val="single" w:sz="4" w:space="0" w:color="000000"/>
              <w:bottom w:val="nil" w:sz="6" w:space="0" w:color="auto"/>
              <w:right w:val="single" w:sz="4" w:space="0" w:color="000000"/>
            </w:tcBorders>
          </w:tcPr>
          <w:p>
            <w:pPr/>
          </w:p>
        </w:tc>
        <w:tc>
          <w:tcPr>
            <w:tcW w:w="42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该项目是一套应用于教育系统的高科技信息互动平</w:t>
            </w:r>
          </w:p>
        </w:tc>
        <w:tc>
          <w:tcPr>
            <w:tcW w:w="1204" w:type="dxa"/>
            <w:tcBorders>
              <w:top w:val="single" w:sz="4" w:space="0" w:color="000000"/>
              <w:left w:val="single" w:sz="4" w:space="0" w:color="000000"/>
              <w:bottom w:val="nil" w:sz="6" w:space="0" w:color="auto"/>
              <w:right w:val="single" w:sz="4" w:space="0" w:color="000000"/>
            </w:tcBorders>
          </w:tcPr>
          <w:p>
            <w:pPr/>
          </w:p>
        </w:tc>
      </w:tr>
      <w:tr>
        <w:trPr>
          <w:trHeight w:val="629"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97"/>
              <w:jc w:val="left"/>
              <w:rPr>
                <w:rFonts w:ascii="Arial" w:hAnsi="Arial" w:cs="Arial" w:eastAsia="Arial" w:hint="default"/>
                <w:sz w:val="18"/>
                <w:szCs w:val="18"/>
              </w:rPr>
            </w:pPr>
            <w:r>
              <w:rPr>
                <w:rFonts w:ascii="宋体" w:hAnsi="宋体" w:cs="宋体" w:eastAsia="宋体" w:hint="default"/>
                <w:sz w:val="18"/>
                <w:szCs w:val="18"/>
              </w:rPr>
              <w:t>星榕基智慧校园移动应用软 件</w:t>
            </w:r>
            <w:r>
              <w:rPr>
                <w:rFonts w:ascii="宋体" w:hAnsi="宋体" w:cs="宋体" w:eastAsia="宋体" w:hint="default"/>
                <w:spacing w:val="-46"/>
                <w:sz w:val="18"/>
                <w:szCs w:val="18"/>
              </w:rPr>
              <w:t> </w:t>
            </w:r>
            <w:r>
              <w:rPr>
                <w:rFonts w:ascii="Arial" w:hAnsi="Arial" w:cs="Arial" w:eastAsia="Arial" w:hint="default"/>
                <w:sz w:val="18"/>
                <w:szCs w:val="18"/>
              </w:rPr>
              <w:t>V1.0</w:t>
            </w:r>
          </w:p>
        </w:tc>
        <w:tc>
          <w:tcPr>
            <w:tcW w:w="1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Arial" w:hAnsi="Arial" w:cs="Arial" w:eastAsia="Arial" w:hint="default"/>
                <w:sz w:val="18"/>
                <w:szCs w:val="18"/>
              </w:rPr>
            </w:pPr>
            <w:r>
              <w:rPr>
                <w:rFonts w:ascii="Arial"/>
                <w:spacing w:val="-1"/>
                <w:sz w:val="18"/>
              </w:rPr>
              <w:t>198,986.80</w:t>
            </w: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8"/>
              <w:jc w:val="left"/>
              <w:rPr>
                <w:rFonts w:ascii="宋体" w:hAnsi="宋体" w:cs="宋体" w:eastAsia="宋体" w:hint="default"/>
                <w:sz w:val="18"/>
                <w:szCs w:val="18"/>
              </w:rPr>
            </w:pPr>
            <w:r>
              <w:rPr>
                <w:rFonts w:ascii="宋体" w:hAnsi="宋体" w:cs="宋体" w:eastAsia="宋体" w:hint="default"/>
                <w:sz w:val="18"/>
                <w:szCs w:val="18"/>
              </w:rPr>
              <w:t>台，它是集现代计算机信息技术、网络技术与无线通 信技术于一体，实现家庭与学校的互动、快捷、实时</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629"/>
              <w:jc w:val="right"/>
              <w:rPr>
                <w:rFonts w:ascii="宋体" w:hAnsi="宋体" w:cs="宋体" w:eastAsia="宋体" w:hint="default"/>
                <w:sz w:val="18"/>
                <w:szCs w:val="18"/>
              </w:rPr>
            </w:pPr>
            <w:r>
              <w:rPr>
                <w:rFonts w:ascii="宋体" w:hAnsi="宋体" w:cs="宋体" w:eastAsia="宋体" w:hint="default"/>
                <w:sz w:val="18"/>
                <w:szCs w:val="18"/>
              </w:rPr>
              <w:t>已完工</w:t>
            </w:r>
          </w:p>
        </w:tc>
      </w:tr>
      <w:tr>
        <w:trPr>
          <w:trHeight w:val="352" w:hRule="exact"/>
        </w:trPr>
        <w:tc>
          <w:tcPr>
            <w:tcW w:w="2392" w:type="dxa"/>
            <w:tcBorders>
              <w:top w:val="nil" w:sz="6" w:space="0" w:color="auto"/>
              <w:left w:val="single" w:sz="4" w:space="0" w:color="000000"/>
              <w:bottom w:val="single" w:sz="4" w:space="0" w:color="000000"/>
              <w:right w:val="single" w:sz="4" w:space="0" w:color="000000"/>
            </w:tcBorders>
          </w:tcPr>
          <w:p>
            <w:pPr/>
          </w:p>
        </w:tc>
        <w:tc>
          <w:tcPr>
            <w:tcW w:w="1720" w:type="dxa"/>
            <w:tcBorders>
              <w:top w:val="nil" w:sz="6" w:space="0" w:color="auto"/>
              <w:left w:val="single" w:sz="4" w:space="0" w:color="000000"/>
              <w:bottom w:val="single" w:sz="4" w:space="0" w:color="000000"/>
              <w:right w:val="single" w:sz="4" w:space="0" w:color="000000"/>
            </w:tcBorders>
          </w:tcPr>
          <w:p>
            <w:pPr/>
          </w:p>
        </w:tc>
        <w:tc>
          <w:tcPr>
            <w:tcW w:w="42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沟通的教育网络信息平台。</w:t>
            </w:r>
          </w:p>
        </w:tc>
        <w:tc>
          <w:tcPr>
            <w:tcW w:w="1204" w:type="dxa"/>
            <w:tcBorders>
              <w:top w:val="nil" w:sz="6" w:space="0" w:color="auto"/>
              <w:left w:val="single" w:sz="4" w:space="0" w:color="000000"/>
              <w:bottom w:val="single" w:sz="4" w:space="0" w:color="000000"/>
              <w:right w:val="single" w:sz="4" w:space="0" w:color="000000"/>
            </w:tcBorders>
          </w:tcPr>
          <w:p>
            <w:pPr/>
          </w:p>
        </w:tc>
      </w:tr>
      <w:tr>
        <w:trPr>
          <w:trHeight w:val="1026"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22" w:right="37"/>
              <w:jc w:val="left"/>
              <w:rPr>
                <w:rFonts w:ascii="宋体" w:hAnsi="宋体" w:cs="宋体" w:eastAsia="宋体" w:hint="default"/>
                <w:sz w:val="18"/>
                <w:szCs w:val="18"/>
              </w:rPr>
            </w:pPr>
            <w:r>
              <w:rPr>
                <w:rFonts w:ascii="宋体" w:hAnsi="宋体" w:cs="宋体" w:eastAsia="宋体" w:hint="default"/>
                <w:sz w:val="18"/>
                <w:szCs w:val="18"/>
              </w:rPr>
              <w:t>一种基于</w:t>
            </w:r>
            <w:r>
              <w:rPr>
                <w:rFonts w:ascii="宋体" w:hAnsi="宋体" w:cs="宋体" w:eastAsia="宋体" w:hint="default"/>
                <w:spacing w:val="-47"/>
                <w:sz w:val="18"/>
                <w:szCs w:val="18"/>
              </w:rPr>
              <w:t> </w:t>
            </w:r>
            <w:r>
              <w:rPr>
                <w:rFonts w:ascii="Arial" w:hAnsi="Arial" w:cs="Arial" w:eastAsia="Arial" w:hint="default"/>
                <w:sz w:val="18"/>
                <w:szCs w:val="18"/>
              </w:rPr>
              <w:t>LoRa</w:t>
            </w:r>
            <w:r>
              <w:rPr>
                <w:rFonts w:ascii="Arial" w:hAnsi="Arial" w:cs="Arial" w:eastAsia="Arial" w:hint="default"/>
                <w:spacing w:val="-8"/>
                <w:sz w:val="18"/>
                <w:szCs w:val="18"/>
              </w:rPr>
              <w:t> </w:t>
            </w:r>
            <w:r>
              <w:rPr>
                <w:rFonts w:ascii="宋体" w:hAnsi="宋体" w:cs="宋体" w:eastAsia="宋体" w:hint="default"/>
                <w:sz w:val="18"/>
                <w:szCs w:val="18"/>
              </w:rPr>
              <w:t>通信的物联网 管理建筑</w:t>
            </w:r>
          </w:p>
        </w:tc>
        <w:tc>
          <w:tcPr>
            <w:tcW w:w="1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176,645.31</w:t>
            </w:r>
          </w:p>
        </w:tc>
        <w:tc>
          <w:tcPr>
            <w:tcW w:w="4253"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宋体" w:hAnsi="宋体" w:cs="宋体" w:eastAsia="宋体" w:hint="default"/>
                <w:sz w:val="18"/>
                <w:szCs w:val="18"/>
              </w:rPr>
              <w:t>该项目采用</w:t>
            </w:r>
            <w:r>
              <w:rPr>
                <w:rFonts w:ascii="宋体" w:hAnsi="宋体" w:cs="宋体" w:eastAsia="宋体" w:hint="default"/>
                <w:spacing w:val="-47"/>
                <w:sz w:val="18"/>
                <w:szCs w:val="18"/>
              </w:rPr>
              <w:t> </w:t>
            </w:r>
            <w:r>
              <w:rPr>
                <w:rFonts w:ascii="Arial" w:hAnsi="Arial" w:cs="Arial" w:eastAsia="Arial" w:hint="default"/>
                <w:sz w:val="18"/>
                <w:szCs w:val="18"/>
              </w:rPr>
              <w:t>LoRa</w:t>
            </w:r>
            <w:r>
              <w:rPr>
                <w:rFonts w:ascii="Arial" w:hAnsi="Arial" w:cs="Arial" w:eastAsia="Arial" w:hint="default"/>
                <w:spacing w:val="-8"/>
                <w:sz w:val="18"/>
                <w:szCs w:val="18"/>
              </w:rPr>
              <w:t> </w:t>
            </w:r>
            <w:r>
              <w:rPr>
                <w:rFonts w:ascii="宋体" w:hAnsi="宋体" w:cs="宋体" w:eastAsia="宋体" w:hint="default"/>
                <w:sz w:val="18"/>
                <w:szCs w:val="18"/>
              </w:rPr>
              <w:t>远距离无线传输方案技术，采用 </w:t>
            </w:r>
            <w:r>
              <w:rPr>
                <w:rFonts w:ascii="Arial" w:hAnsi="Arial" w:cs="Arial" w:eastAsia="Arial" w:hint="default"/>
                <w:sz w:val="18"/>
                <w:szCs w:val="18"/>
              </w:rPr>
              <w:t>RFID </w:t>
            </w:r>
            <w:r>
              <w:rPr>
                <w:rFonts w:ascii="宋体" w:hAnsi="宋体" w:cs="宋体" w:eastAsia="宋体" w:hint="default"/>
                <w:spacing w:val="-3"/>
                <w:sz w:val="18"/>
                <w:szCs w:val="18"/>
              </w:rPr>
              <w:t>作为一种先进的自动识别技术，可以应用于仓库</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管理，实现远程智能盘点。</w:t>
            </w:r>
          </w:p>
        </w:tc>
        <w:tc>
          <w:tcPr>
            <w:tcW w:w="12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629"/>
              <w:jc w:val="right"/>
              <w:rPr>
                <w:rFonts w:ascii="宋体" w:hAnsi="宋体" w:cs="宋体" w:eastAsia="宋体" w:hint="default"/>
                <w:sz w:val="18"/>
                <w:szCs w:val="18"/>
              </w:rPr>
            </w:pPr>
            <w:r>
              <w:rPr>
                <w:rFonts w:ascii="宋体" w:hAnsi="宋体" w:cs="宋体" w:eastAsia="宋体" w:hint="default"/>
                <w:sz w:val="18"/>
                <w:szCs w:val="18"/>
              </w:rPr>
              <w:t>已完工</w:t>
            </w:r>
          </w:p>
        </w:tc>
      </w:tr>
      <w:tr>
        <w:trPr>
          <w:trHeight w:val="357" w:hRule="exact"/>
        </w:trPr>
        <w:tc>
          <w:tcPr>
            <w:tcW w:w="2392" w:type="dxa"/>
            <w:tcBorders>
              <w:top w:val="single" w:sz="4" w:space="0" w:color="000000"/>
              <w:left w:val="single" w:sz="4" w:space="0" w:color="000000"/>
              <w:bottom w:val="nil" w:sz="6" w:space="0" w:color="auto"/>
              <w:right w:val="single" w:sz="4" w:space="0" w:color="000000"/>
            </w:tcBorders>
          </w:tcPr>
          <w:p>
            <w:pPr/>
          </w:p>
        </w:tc>
        <w:tc>
          <w:tcPr>
            <w:tcW w:w="1720" w:type="dxa"/>
            <w:tcBorders>
              <w:top w:val="single" w:sz="4" w:space="0" w:color="000000"/>
              <w:left w:val="single" w:sz="4" w:space="0" w:color="000000"/>
              <w:bottom w:val="nil" w:sz="6" w:space="0" w:color="auto"/>
              <w:right w:val="single" w:sz="4" w:space="0" w:color="000000"/>
            </w:tcBorders>
          </w:tcPr>
          <w:p>
            <w:pPr/>
          </w:p>
        </w:tc>
        <w:tc>
          <w:tcPr>
            <w:tcW w:w="42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本项目主要包括会议管理、议题管理、日志与统计、</w:t>
            </w:r>
          </w:p>
        </w:tc>
        <w:tc>
          <w:tcPr>
            <w:tcW w:w="1204" w:type="dxa"/>
            <w:tcBorders>
              <w:top w:val="single" w:sz="4" w:space="0" w:color="000000"/>
              <w:left w:val="single" w:sz="4" w:space="0" w:color="000000"/>
              <w:bottom w:val="nil" w:sz="6" w:space="0" w:color="auto"/>
              <w:right w:val="single" w:sz="4" w:space="0" w:color="000000"/>
            </w:tcBorders>
          </w:tcPr>
          <w:p>
            <w:pPr/>
          </w:p>
        </w:tc>
      </w:tr>
      <w:tr>
        <w:trPr>
          <w:trHeight w:val="624"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榕基政府晾晒台软件</w:t>
            </w:r>
          </w:p>
        </w:tc>
        <w:tc>
          <w:tcPr>
            <w:tcW w:w="1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Arial" w:hAnsi="Arial" w:cs="Arial" w:eastAsia="Arial" w:hint="default"/>
                <w:sz w:val="18"/>
                <w:szCs w:val="18"/>
              </w:rPr>
            </w:pPr>
            <w:r>
              <w:rPr>
                <w:rFonts w:ascii="Arial"/>
                <w:spacing w:val="-1"/>
                <w:sz w:val="18"/>
              </w:rPr>
              <w:t>1,706,066.45</w:t>
            </w: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8"/>
              <w:jc w:val="left"/>
              <w:rPr>
                <w:rFonts w:ascii="宋体" w:hAnsi="宋体" w:cs="宋体" w:eastAsia="宋体" w:hint="default"/>
                <w:sz w:val="18"/>
                <w:szCs w:val="18"/>
              </w:rPr>
            </w:pPr>
            <w:r>
              <w:rPr>
                <w:rFonts w:ascii="宋体" w:hAnsi="宋体" w:cs="宋体" w:eastAsia="宋体" w:hint="default"/>
                <w:sz w:val="18"/>
                <w:szCs w:val="18"/>
              </w:rPr>
              <w:t>系统管理等模块，主要由信息管理、接入资源管理、 日志与统计、系统管理几部分构成，从而实现信息统</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629"/>
              <w:jc w:val="right"/>
              <w:rPr>
                <w:rFonts w:ascii="宋体" w:hAnsi="宋体" w:cs="宋体" w:eastAsia="宋体" w:hint="default"/>
                <w:sz w:val="18"/>
                <w:szCs w:val="18"/>
              </w:rPr>
            </w:pPr>
            <w:r>
              <w:rPr>
                <w:rFonts w:ascii="宋体" w:hAnsi="宋体" w:cs="宋体" w:eastAsia="宋体" w:hint="default"/>
                <w:sz w:val="18"/>
                <w:szCs w:val="18"/>
              </w:rPr>
              <w:t>已完工</w:t>
            </w:r>
          </w:p>
        </w:tc>
      </w:tr>
      <w:tr>
        <w:trPr>
          <w:trHeight w:val="357" w:hRule="exact"/>
        </w:trPr>
        <w:tc>
          <w:tcPr>
            <w:tcW w:w="2392" w:type="dxa"/>
            <w:tcBorders>
              <w:top w:val="nil" w:sz="6" w:space="0" w:color="auto"/>
              <w:left w:val="single" w:sz="4" w:space="0" w:color="000000"/>
              <w:bottom w:val="single" w:sz="4" w:space="0" w:color="000000"/>
              <w:right w:val="single" w:sz="4" w:space="0" w:color="000000"/>
            </w:tcBorders>
          </w:tcPr>
          <w:p>
            <w:pPr/>
          </w:p>
        </w:tc>
        <w:tc>
          <w:tcPr>
            <w:tcW w:w="1720" w:type="dxa"/>
            <w:tcBorders>
              <w:top w:val="nil" w:sz="6" w:space="0" w:color="auto"/>
              <w:left w:val="single" w:sz="4" w:space="0" w:color="000000"/>
              <w:bottom w:val="single" w:sz="4" w:space="0" w:color="000000"/>
              <w:right w:val="single" w:sz="4" w:space="0" w:color="000000"/>
            </w:tcBorders>
          </w:tcPr>
          <w:p>
            <w:pPr/>
          </w:p>
        </w:tc>
        <w:tc>
          <w:tcPr>
            <w:tcW w:w="42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一管理、数据同步等功能。</w:t>
            </w:r>
          </w:p>
        </w:tc>
        <w:tc>
          <w:tcPr>
            <w:tcW w:w="1204"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2392" w:type="dxa"/>
            <w:tcBorders>
              <w:top w:val="single" w:sz="4" w:space="0" w:color="000000"/>
              <w:left w:val="single" w:sz="4" w:space="0" w:color="000000"/>
              <w:bottom w:val="nil" w:sz="6" w:space="0" w:color="auto"/>
              <w:right w:val="single" w:sz="4" w:space="0" w:color="000000"/>
            </w:tcBorders>
          </w:tcPr>
          <w:p>
            <w:pPr/>
          </w:p>
        </w:tc>
        <w:tc>
          <w:tcPr>
            <w:tcW w:w="1720" w:type="dxa"/>
            <w:tcBorders>
              <w:top w:val="single" w:sz="4" w:space="0" w:color="000000"/>
              <w:left w:val="single" w:sz="4" w:space="0" w:color="000000"/>
              <w:bottom w:val="nil" w:sz="6" w:space="0" w:color="auto"/>
              <w:right w:val="single" w:sz="4" w:space="0" w:color="000000"/>
            </w:tcBorders>
          </w:tcPr>
          <w:p>
            <w:pPr/>
          </w:p>
        </w:tc>
        <w:tc>
          <w:tcPr>
            <w:tcW w:w="42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2"/>
                <w:sz w:val="18"/>
                <w:szCs w:val="18"/>
              </w:rPr>
              <w:t>本项主要包括公共数据平台、互联网</w:t>
            </w:r>
            <w:r>
              <w:rPr>
                <w:rFonts w:ascii="Arial" w:hAnsi="Arial" w:cs="Arial" w:eastAsia="Arial" w:hint="default"/>
                <w:spacing w:val="-2"/>
                <w:sz w:val="18"/>
                <w:szCs w:val="18"/>
              </w:rPr>
              <w:t>+</w:t>
            </w:r>
            <w:r>
              <w:rPr>
                <w:rFonts w:ascii="宋体" w:hAnsi="宋体" w:cs="宋体" w:eastAsia="宋体" w:hint="default"/>
                <w:spacing w:val="-2"/>
                <w:sz w:val="18"/>
                <w:szCs w:val="18"/>
              </w:rPr>
              <w:t>政务服务、浙政</w:t>
            </w:r>
          </w:p>
        </w:tc>
        <w:tc>
          <w:tcPr>
            <w:tcW w:w="1204" w:type="dxa"/>
            <w:tcBorders>
              <w:top w:val="single" w:sz="4" w:space="0" w:color="000000"/>
              <w:left w:val="single" w:sz="4" w:space="0" w:color="000000"/>
              <w:bottom w:val="nil" w:sz="6" w:space="0" w:color="auto"/>
              <w:right w:val="single" w:sz="4" w:space="0" w:color="000000"/>
            </w:tcBorders>
          </w:tcPr>
          <w:p>
            <w:pPr/>
          </w:p>
        </w:tc>
      </w:tr>
      <w:tr>
        <w:trPr>
          <w:trHeight w:val="620"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榕基政府会议管理系统软件</w:t>
            </w:r>
          </w:p>
        </w:tc>
        <w:tc>
          <w:tcPr>
            <w:tcW w:w="172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right="21"/>
              <w:jc w:val="right"/>
              <w:rPr>
                <w:rFonts w:ascii="Arial" w:hAnsi="Arial" w:cs="Arial" w:eastAsia="Arial" w:hint="default"/>
                <w:sz w:val="18"/>
                <w:szCs w:val="18"/>
              </w:rPr>
            </w:pPr>
            <w:r>
              <w:rPr>
                <w:rFonts w:ascii="Arial"/>
                <w:spacing w:val="-1"/>
                <w:sz w:val="18"/>
              </w:rPr>
              <w:t>1,599,765.93</w:t>
            </w: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78"/>
              <w:jc w:val="left"/>
              <w:rPr>
                <w:rFonts w:ascii="宋体" w:hAnsi="宋体" w:cs="宋体" w:eastAsia="宋体" w:hint="default"/>
                <w:sz w:val="18"/>
                <w:szCs w:val="18"/>
              </w:rPr>
            </w:pPr>
            <w:r>
              <w:rPr>
                <w:rFonts w:ascii="宋体" w:hAnsi="宋体" w:cs="宋体" w:eastAsia="宋体" w:hint="default"/>
                <w:sz w:val="18"/>
                <w:szCs w:val="18"/>
              </w:rPr>
              <w:t>钉、浙政钉掌上政务等模块，主要由信息管理、接入 资源管理等几部分构成，从而实现信息统一管理、数</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629"/>
              <w:jc w:val="right"/>
              <w:rPr>
                <w:rFonts w:ascii="宋体" w:hAnsi="宋体" w:cs="宋体" w:eastAsia="宋体" w:hint="default"/>
                <w:sz w:val="18"/>
                <w:szCs w:val="18"/>
              </w:rPr>
            </w:pPr>
            <w:r>
              <w:rPr>
                <w:rFonts w:ascii="宋体" w:hAnsi="宋体" w:cs="宋体" w:eastAsia="宋体" w:hint="default"/>
                <w:sz w:val="18"/>
                <w:szCs w:val="18"/>
              </w:rPr>
              <w:t>已完工</w:t>
            </w:r>
          </w:p>
        </w:tc>
      </w:tr>
      <w:tr>
        <w:trPr>
          <w:trHeight w:val="357" w:hRule="exact"/>
        </w:trPr>
        <w:tc>
          <w:tcPr>
            <w:tcW w:w="2392" w:type="dxa"/>
            <w:tcBorders>
              <w:top w:val="nil" w:sz="6" w:space="0" w:color="auto"/>
              <w:left w:val="single" w:sz="4" w:space="0" w:color="000000"/>
              <w:bottom w:val="single" w:sz="4" w:space="0" w:color="000000"/>
              <w:right w:val="single" w:sz="4" w:space="0" w:color="000000"/>
            </w:tcBorders>
          </w:tcPr>
          <w:p>
            <w:pPr/>
          </w:p>
        </w:tc>
        <w:tc>
          <w:tcPr>
            <w:tcW w:w="1720" w:type="dxa"/>
            <w:tcBorders>
              <w:top w:val="nil" w:sz="6" w:space="0" w:color="auto"/>
              <w:left w:val="single" w:sz="4" w:space="0" w:color="000000"/>
              <w:bottom w:val="single" w:sz="4" w:space="0" w:color="000000"/>
              <w:right w:val="single" w:sz="4" w:space="0" w:color="000000"/>
            </w:tcBorders>
          </w:tcPr>
          <w:p>
            <w:pPr/>
          </w:p>
        </w:tc>
        <w:tc>
          <w:tcPr>
            <w:tcW w:w="42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据同步等功能。</w:t>
            </w:r>
          </w:p>
        </w:tc>
        <w:tc>
          <w:tcPr>
            <w:tcW w:w="1204"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2392" w:type="dxa"/>
            <w:tcBorders>
              <w:top w:val="single" w:sz="4" w:space="0" w:color="000000"/>
              <w:left w:val="single" w:sz="4" w:space="0" w:color="000000"/>
              <w:bottom w:val="nil" w:sz="6" w:space="0" w:color="auto"/>
              <w:right w:val="single" w:sz="4" w:space="0" w:color="000000"/>
            </w:tcBorders>
          </w:tcPr>
          <w:p>
            <w:pPr/>
          </w:p>
        </w:tc>
        <w:tc>
          <w:tcPr>
            <w:tcW w:w="1720" w:type="dxa"/>
            <w:tcBorders>
              <w:top w:val="single" w:sz="4" w:space="0" w:color="000000"/>
              <w:left w:val="single" w:sz="4" w:space="0" w:color="000000"/>
              <w:bottom w:val="nil" w:sz="6" w:space="0" w:color="auto"/>
              <w:right w:val="single" w:sz="4" w:space="0" w:color="000000"/>
            </w:tcBorders>
          </w:tcPr>
          <w:p>
            <w:pPr/>
          </w:p>
        </w:tc>
        <w:tc>
          <w:tcPr>
            <w:tcW w:w="42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本项目针对我国政府职能部门间办公存在具体问题，</w:t>
            </w:r>
          </w:p>
        </w:tc>
        <w:tc>
          <w:tcPr>
            <w:tcW w:w="1204" w:type="dxa"/>
            <w:tcBorders>
              <w:top w:val="single" w:sz="4" w:space="0" w:color="000000"/>
              <w:left w:val="single" w:sz="4" w:space="0" w:color="000000"/>
              <w:bottom w:val="nil" w:sz="6" w:space="0" w:color="auto"/>
              <w:right w:val="single" w:sz="4" w:space="0" w:color="000000"/>
            </w:tcBorders>
          </w:tcPr>
          <w:p>
            <w:pPr/>
          </w:p>
        </w:tc>
      </w:tr>
      <w:tr>
        <w:trPr>
          <w:trHeight w:val="625" w:hRule="exact"/>
        </w:trPr>
        <w:tc>
          <w:tcPr>
            <w:tcW w:w="2392" w:type="dxa"/>
            <w:tcBorders>
              <w:top w:val="nil" w:sz="6" w:space="0" w:color="auto"/>
              <w:left w:val="single" w:sz="4" w:space="0" w:color="000000"/>
              <w:bottom w:val="nil" w:sz="6" w:space="0" w:color="auto"/>
              <w:right w:val="single" w:sz="4" w:space="0" w:color="000000"/>
            </w:tcBorders>
          </w:tcPr>
          <w:p>
            <w:pPr>
              <w:pStyle w:val="TableParagraph"/>
              <w:spacing w:line="302" w:lineRule="auto" w:before="11"/>
              <w:ind w:left="22" w:right="77"/>
              <w:jc w:val="left"/>
              <w:rPr>
                <w:rFonts w:ascii="宋体" w:hAnsi="宋体" w:cs="宋体" w:eastAsia="宋体" w:hint="default"/>
                <w:sz w:val="18"/>
                <w:szCs w:val="18"/>
              </w:rPr>
            </w:pPr>
            <w:r>
              <w:rPr>
                <w:rFonts w:ascii="宋体" w:hAnsi="宋体" w:cs="宋体" w:eastAsia="宋体" w:hint="default"/>
                <w:sz w:val="18"/>
                <w:szCs w:val="18"/>
              </w:rPr>
              <w:t>榕基机关内部</w:t>
            </w:r>
            <w:r>
              <w:rPr>
                <w:rFonts w:ascii="Arial" w:hAnsi="Arial" w:cs="Arial" w:eastAsia="Arial" w:hint="default"/>
                <w:sz w:val="18"/>
                <w:szCs w:val="18"/>
              </w:rPr>
              <w:t>“</w:t>
            </w:r>
            <w:r>
              <w:rPr>
                <w:rFonts w:ascii="宋体" w:hAnsi="宋体" w:cs="宋体" w:eastAsia="宋体" w:hint="default"/>
                <w:sz w:val="18"/>
                <w:szCs w:val="18"/>
              </w:rPr>
              <w:t>最多跑一次</w:t>
            </w:r>
            <w:r>
              <w:rPr>
                <w:rFonts w:ascii="Arial" w:hAnsi="Arial" w:cs="Arial" w:eastAsia="Arial" w:hint="default"/>
                <w:sz w:val="18"/>
                <w:szCs w:val="18"/>
              </w:rPr>
              <w:t>”</w:t>
            </w:r>
            <w:r>
              <w:rPr>
                <w:rFonts w:ascii="宋体" w:hAnsi="宋体" w:cs="宋体" w:eastAsia="宋体" w:hint="default"/>
                <w:sz w:val="18"/>
                <w:szCs w:val="18"/>
              </w:rPr>
              <w:t>联 办平台软件</w:t>
            </w:r>
          </w:p>
        </w:tc>
        <w:tc>
          <w:tcPr>
            <w:tcW w:w="1720"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21"/>
              <w:jc w:val="right"/>
              <w:rPr>
                <w:rFonts w:ascii="Arial" w:hAnsi="Arial" w:cs="Arial" w:eastAsia="Arial" w:hint="default"/>
                <w:sz w:val="18"/>
                <w:szCs w:val="18"/>
              </w:rPr>
            </w:pPr>
            <w:r>
              <w:rPr>
                <w:rFonts w:ascii="Arial"/>
                <w:spacing w:val="-1"/>
                <w:sz w:val="18"/>
              </w:rPr>
              <w:t>602,440.26</w:t>
            </w:r>
          </w:p>
        </w:tc>
        <w:tc>
          <w:tcPr>
            <w:tcW w:w="4253" w:type="dxa"/>
            <w:tcBorders>
              <w:top w:val="nil" w:sz="6" w:space="0" w:color="auto"/>
              <w:left w:val="single" w:sz="4" w:space="0" w:color="000000"/>
              <w:bottom w:val="nil" w:sz="6" w:space="0" w:color="auto"/>
              <w:right w:val="single" w:sz="4" w:space="0" w:color="000000"/>
            </w:tcBorders>
          </w:tcPr>
          <w:p>
            <w:pPr>
              <w:pStyle w:val="TableParagraph"/>
              <w:spacing w:line="302" w:lineRule="auto" w:before="10"/>
              <w:ind w:left="22" w:right="23"/>
              <w:jc w:val="left"/>
              <w:rPr>
                <w:rFonts w:ascii="宋体" w:hAnsi="宋体" w:cs="宋体" w:eastAsia="宋体" w:hint="default"/>
                <w:sz w:val="18"/>
                <w:szCs w:val="18"/>
              </w:rPr>
            </w:pPr>
            <w:r>
              <w:rPr>
                <w:rFonts w:ascii="宋体" w:hAnsi="宋体" w:cs="宋体" w:eastAsia="宋体" w:hint="default"/>
                <w:sz w:val="18"/>
                <w:szCs w:val="18"/>
              </w:rPr>
              <w:t>主要采用</w:t>
            </w:r>
            <w:r>
              <w:rPr>
                <w:rFonts w:ascii="宋体" w:hAnsi="宋体" w:cs="宋体" w:eastAsia="宋体" w:hint="default"/>
                <w:spacing w:val="-52"/>
                <w:sz w:val="18"/>
                <w:szCs w:val="18"/>
              </w:rPr>
              <w:t> </w:t>
            </w:r>
            <w:r>
              <w:rPr>
                <w:rFonts w:ascii="Arial" w:hAnsi="Arial" w:cs="Arial" w:eastAsia="Arial" w:hint="default"/>
                <w:sz w:val="18"/>
                <w:szCs w:val="18"/>
              </w:rPr>
              <w:t>Domino+J2EE/SOA</w:t>
            </w:r>
            <w:r>
              <w:rPr>
                <w:rFonts w:ascii="Arial" w:hAnsi="Arial" w:cs="Arial" w:eastAsia="Arial" w:hint="default"/>
                <w:spacing w:val="-10"/>
                <w:sz w:val="18"/>
                <w:szCs w:val="18"/>
              </w:rPr>
              <w:t> </w:t>
            </w:r>
            <w:r>
              <w:rPr>
                <w:rFonts w:ascii="宋体" w:hAnsi="宋体" w:cs="宋体" w:eastAsia="宋体" w:hint="default"/>
                <w:sz w:val="18"/>
                <w:szCs w:val="18"/>
              </w:rPr>
              <w:t>的技术路线，运用前沿 流行技术框架、公用模块组件进行构件化设计，并采</w:t>
            </w:r>
          </w:p>
        </w:tc>
        <w:tc>
          <w:tcPr>
            <w:tcW w:w="120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629"/>
              <w:jc w:val="right"/>
              <w:rPr>
                <w:rFonts w:ascii="宋体" w:hAnsi="宋体" w:cs="宋体" w:eastAsia="宋体" w:hint="default"/>
                <w:sz w:val="18"/>
                <w:szCs w:val="18"/>
              </w:rPr>
            </w:pPr>
            <w:r>
              <w:rPr>
                <w:rFonts w:ascii="宋体" w:hAnsi="宋体" w:cs="宋体" w:eastAsia="宋体" w:hint="default"/>
                <w:sz w:val="18"/>
                <w:szCs w:val="18"/>
              </w:rPr>
              <w:t>已完工</w:t>
            </w:r>
          </w:p>
        </w:tc>
      </w:tr>
      <w:tr>
        <w:trPr>
          <w:trHeight w:val="356" w:hRule="exact"/>
        </w:trPr>
        <w:tc>
          <w:tcPr>
            <w:tcW w:w="2392" w:type="dxa"/>
            <w:tcBorders>
              <w:top w:val="nil" w:sz="6" w:space="0" w:color="auto"/>
              <w:left w:val="single" w:sz="4" w:space="0" w:color="000000"/>
              <w:bottom w:val="single" w:sz="4" w:space="0" w:color="000000"/>
              <w:right w:val="single" w:sz="4" w:space="0" w:color="000000"/>
            </w:tcBorders>
          </w:tcPr>
          <w:p>
            <w:pPr/>
          </w:p>
        </w:tc>
        <w:tc>
          <w:tcPr>
            <w:tcW w:w="1720" w:type="dxa"/>
            <w:tcBorders>
              <w:top w:val="nil" w:sz="6" w:space="0" w:color="auto"/>
              <w:left w:val="single" w:sz="4" w:space="0" w:color="000000"/>
              <w:bottom w:val="single" w:sz="4" w:space="0" w:color="000000"/>
              <w:right w:val="single" w:sz="4" w:space="0" w:color="000000"/>
            </w:tcBorders>
          </w:tcPr>
          <w:p>
            <w:pPr/>
          </w:p>
        </w:tc>
        <w:tc>
          <w:tcPr>
            <w:tcW w:w="42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用</w:t>
            </w:r>
            <w:r>
              <w:rPr>
                <w:rFonts w:ascii="宋体" w:hAnsi="宋体" w:cs="宋体" w:eastAsia="宋体" w:hint="default"/>
                <w:spacing w:val="-46"/>
                <w:sz w:val="18"/>
                <w:szCs w:val="18"/>
              </w:rPr>
              <w:t> </w:t>
            </w:r>
            <w:r>
              <w:rPr>
                <w:rFonts w:ascii="Arial" w:hAnsi="Arial" w:cs="Arial" w:eastAsia="Arial" w:hint="default"/>
                <w:sz w:val="18"/>
                <w:szCs w:val="18"/>
              </w:rPr>
              <w:t>MVC</w:t>
            </w:r>
            <w:r>
              <w:rPr>
                <w:rFonts w:ascii="Arial" w:hAnsi="Arial" w:cs="Arial" w:eastAsia="Arial" w:hint="default"/>
                <w:spacing w:val="-6"/>
                <w:sz w:val="18"/>
                <w:szCs w:val="18"/>
              </w:rPr>
              <w:t> </w:t>
            </w:r>
            <w:r>
              <w:rPr>
                <w:rFonts w:ascii="宋体" w:hAnsi="宋体" w:cs="宋体" w:eastAsia="宋体" w:hint="default"/>
                <w:sz w:val="18"/>
                <w:szCs w:val="18"/>
              </w:rPr>
              <w:t>设计模式，将表示层、逻辑层、控制层分开</w:t>
            </w:r>
          </w:p>
        </w:tc>
        <w:tc>
          <w:tcPr>
            <w:tcW w:w="120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41" w:right="0"/>
              <w:jc w:val="left"/>
              <w:rPr>
                <w:rFonts w:ascii="宋体" w:hAnsi="宋体" w:cs="宋体" w:eastAsia="宋体" w:hint="default"/>
                <w:sz w:val="18"/>
                <w:szCs w:val="18"/>
              </w:rPr>
            </w:pPr>
            <w:r>
              <w:rPr>
                <w:rFonts w:ascii="宋体" w:hAnsi="宋体" w:cs="宋体" w:eastAsia="宋体" w:hint="default"/>
                <w:sz w:val="18"/>
                <w:szCs w:val="18"/>
              </w:rPr>
              <w:t>。</w:t>
            </w:r>
          </w:p>
        </w:tc>
      </w:tr>
    </w:tbl>
    <w:p>
      <w:pPr>
        <w:pStyle w:val="BodyText"/>
        <w:spacing w:line="240" w:lineRule="auto" w:before="10"/>
        <w:ind w:left="514" w:right="2239"/>
        <w:jc w:val="left"/>
      </w:pPr>
      <w:r>
        <w:rPr/>
        <w:pict>
          <v:group style="position:absolute;margin-left:475.140015pt;margin-top:-23.927984pt;width:59.7pt;height:23.4pt;mso-position-horizontal-relative:page;mso-position-vertical-relative:paragraph;z-index:-1406392" coordorigin="9503,-479" coordsize="1194,468">
            <v:shape style="position:absolute;left:9503;top:-479;width:1194;height:468" coordorigin="9503,-479" coordsize="1194,468" path="m9503,-11l10697,-11,10697,-479,9503,-479,9503,-11xe" filled="true" fillcolor="#ffffff" stroked="false">
              <v:path arrowok="t"/>
              <v:fill type="solid"/>
            </v:shape>
            <w10:wrap type="none"/>
          </v:group>
        </w:pict>
      </w:r>
      <w:r>
        <w:rPr/>
        <w:t>具体研发项目的资本化条件：</w:t>
      </w:r>
    </w:p>
    <w:p>
      <w:pPr>
        <w:pStyle w:val="BodyText"/>
        <w:spacing w:line="302" w:lineRule="auto" w:before="76"/>
        <w:ind w:left="153" w:right="1111" w:firstLine="360"/>
        <w:jc w:val="left"/>
      </w:pPr>
      <w:r>
        <w:rPr/>
        <w:t>（</w:t>
      </w:r>
      <w:r>
        <w:rPr>
          <w:rFonts w:ascii="Arial" w:hAnsi="Arial" w:cs="Arial" w:eastAsia="Arial" w:hint="default"/>
        </w:rPr>
        <w:t>1</w:t>
      </w:r>
      <w:r>
        <w:rPr/>
        <w:t>）公司目前资本化的研发支出项目中，项目均在研发测试阶段，公司完成该无形资产以使其能够使用或者出售在技 术上具有可行性；</w:t>
      </w:r>
    </w:p>
    <w:p>
      <w:pPr>
        <w:pStyle w:val="BodyText"/>
        <w:spacing w:line="302" w:lineRule="auto" w:before="29"/>
        <w:ind w:left="153" w:right="1111" w:firstLine="360"/>
        <w:jc w:val="left"/>
      </w:pPr>
      <w:r>
        <w:rPr/>
        <w:t>（</w:t>
      </w:r>
      <w:r>
        <w:rPr>
          <w:rFonts w:ascii="Arial" w:hAnsi="Arial" w:cs="Arial" w:eastAsia="Arial" w:hint="default"/>
        </w:rPr>
        <w:t>2</w:t>
      </w:r>
      <w:r>
        <w:rPr/>
        <w:t>）公司所有研发支出项目均是针对特定市场需求进行相关开发，以备将来出售，具有完成该无形资产并使用或出售 的意图；</w:t>
      </w:r>
    </w:p>
    <w:p>
      <w:pPr>
        <w:pStyle w:val="BodyText"/>
        <w:spacing w:line="302" w:lineRule="auto" w:before="29"/>
        <w:ind w:left="153" w:right="1111" w:firstLine="360"/>
        <w:jc w:val="left"/>
      </w:pPr>
      <w:r>
        <w:rPr/>
        <w:t>（</w:t>
      </w:r>
      <w:r>
        <w:rPr>
          <w:rFonts w:ascii="Arial" w:hAnsi="Arial" w:cs="Arial" w:eastAsia="Arial" w:hint="default"/>
        </w:rPr>
        <w:t>3</w:t>
      </w:r>
      <w:r>
        <w:rPr/>
        <w:t>）公司所有研发支出资本化项目均会形成测试版软件，表明公司运用该无形资产生产的产品存在市场或无形资产自 身存在市场；</w:t>
      </w:r>
    </w:p>
    <w:p>
      <w:pPr>
        <w:pStyle w:val="BodyText"/>
        <w:spacing w:line="302" w:lineRule="auto" w:before="29"/>
        <w:ind w:left="153" w:right="1111" w:firstLine="360"/>
        <w:jc w:val="left"/>
      </w:pPr>
      <w:r>
        <w:rPr/>
        <w:t>（</w:t>
      </w:r>
      <w:r>
        <w:rPr>
          <w:rFonts w:ascii="Arial" w:hAnsi="Arial" w:cs="Arial" w:eastAsia="Arial" w:hint="default"/>
        </w:rPr>
        <w:t>4</w:t>
      </w:r>
      <w:r>
        <w:rPr/>
        <w:t>）公司掌握研发支出资本化项目的核心技术，有能力完成相关无形资产的研发，表明公司有足够的技术、财务资源 和其他资源支持，以完成该无形资产的开发，并有能力出售该无形资产；</w:t>
      </w:r>
    </w:p>
    <w:p>
      <w:pPr>
        <w:pStyle w:val="BodyText"/>
        <w:spacing w:line="302" w:lineRule="auto" w:before="29"/>
        <w:ind w:left="153" w:right="1831" w:firstLine="360"/>
        <w:jc w:val="left"/>
      </w:pPr>
      <w:r>
        <w:rPr/>
        <w:t>（</w:t>
      </w:r>
      <w:r>
        <w:rPr>
          <w:rFonts w:ascii="Arial" w:hAnsi="Arial" w:cs="Arial" w:eastAsia="Arial" w:hint="default"/>
        </w:rPr>
        <w:t>5</w:t>
      </w:r>
      <w:r>
        <w:rPr/>
        <w:t>）公司资本化研发支出分部门按项目统计相关支出，归属于该无形资产开发阶段的支出能够可靠地计量。 研发投入资本化率大幅变动的原因及其合理性说明</w:t>
      </w:r>
    </w:p>
    <w:p>
      <w:pPr>
        <w:pStyle w:val="BodyText"/>
        <w:spacing w:line="240" w:lineRule="auto" w:before="70"/>
        <w:ind w:left="153"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11"/>
        <w:rPr>
          <w:rFonts w:ascii="宋体" w:hAnsi="宋体" w:cs="宋体" w:eastAsia="宋体" w:hint="default"/>
          <w:sz w:val="25"/>
          <w:szCs w:val="25"/>
        </w:rPr>
      </w:pPr>
    </w:p>
    <w:p>
      <w:pPr>
        <w:pStyle w:val="Heading4"/>
        <w:spacing w:line="240" w:lineRule="auto"/>
        <w:ind w:right="2239"/>
        <w:jc w:val="left"/>
        <w:rPr>
          <w:b w:val="0"/>
          <w:bCs w:val="0"/>
        </w:rPr>
      </w:pPr>
      <w:r>
        <w:rPr>
          <w:rFonts w:ascii="Arial" w:hAnsi="Arial" w:cs="Arial" w:eastAsia="Arial" w:hint="default"/>
        </w:rPr>
        <w:t>5</w:t>
      </w:r>
      <w:r>
        <w:rPr/>
        <w:t>、现金流</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4"/>
        <w:gridCol w:w="2392"/>
        <w:gridCol w:w="2392"/>
      </w:tblGrid>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同比增减</w:t>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853,149,183.94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828,349,046.53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2.99%</w:t>
            </w:r>
            <w:r>
              <w:rPr>
                <w:rFonts w:ascii="Arial"/>
                <w:w w:val="95"/>
                <w:sz w:val="18"/>
              </w:rPr>
            </w:r>
          </w:p>
        </w:tc>
      </w:tr>
      <w:tr>
        <w:trPr>
          <w:trHeight w:val="402"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744,905,217.61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801,953,783.50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4"/>
                <w:sz w:val="18"/>
              </w:rPr>
              <w:t>-7.11%</w:t>
            </w:r>
            <w:r>
              <w:rPr>
                <w:rFonts w:ascii="Arial"/>
                <w:sz w:val="18"/>
              </w:rPr>
            </w:r>
          </w:p>
        </w:tc>
      </w:tr>
      <w:tr>
        <w:trPr>
          <w:trHeight w:val="714" w:hRule="exact"/>
        </w:trPr>
        <w:tc>
          <w:tcPr>
            <w:tcW w:w="2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108,243,966.33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26,395,263.03</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310.09%</w:t>
            </w:r>
          </w:p>
        </w:tc>
      </w:tr>
    </w:tbl>
    <w:p>
      <w:pPr>
        <w:spacing w:after="0" w:line="240" w:lineRule="auto"/>
        <w:jc w:val="right"/>
        <w:rPr>
          <w:rFonts w:ascii="Arial" w:hAnsi="Arial" w:cs="Arial" w:eastAsia="Arial"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0"/>
        <w:gridCol w:w="2404"/>
        <w:gridCol w:w="2392"/>
        <w:gridCol w:w="2392"/>
      </w:tblGrid>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1,763,802,837.22</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2,430,975,983.39</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-27.44%</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1,813,513,289.50</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2,216,607,049.61</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-18.19%</w:t>
            </w:r>
          </w:p>
        </w:tc>
      </w:tr>
      <w:tr>
        <w:trPr>
          <w:trHeight w:val="714"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-49,710,452.28</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214,368,933.78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-123.19%</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1,077,092,827.79</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430,000,000.00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150.49%</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1,036,074,104.57</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523,096,167.92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98.07%</w:t>
            </w:r>
          </w:p>
        </w:tc>
      </w:tr>
      <w:tr>
        <w:trPr>
          <w:trHeight w:val="714"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85"/>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41,018,723.22</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-93,096,167.92</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144.06%</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40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101,161,017.72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152,185,265.17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-33.53%</w:t>
            </w:r>
          </w:p>
        </w:tc>
      </w:tr>
    </w:tbl>
    <w:p>
      <w:pPr>
        <w:pStyle w:val="BodyText"/>
        <w:spacing w:line="240" w:lineRule="auto" w:before="51"/>
        <w:ind w:right="2239"/>
        <w:jc w:val="left"/>
      </w:pPr>
      <w:r>
        <w:rPr/>
        <w:t>相关数据同比发生重大变动的主要影响因素说明</w:t>
      </w:r>
    </w:p>
    <w:p>
      <w:pPr>
        <w:pStyle w:val="BodyText"/>
        <w:spacing w:line="240" w:lineRule="auto" w:before="117"/>
        <w:ind w:left="153"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pStyle w:val="BodyText"/>
        <w:spacing w:line="302" w:lineRule="auto" w:before="102"/>
        <w:ind w:right="1119" w:firstLine="360"/>
        <w:jc w:val="left"/>
      </w:pPr>
      <w:r>
        <w:rPr/>
        <w:t>（</w:t>
      </w:r>
      <w:r>
        <w:rPr>
          <w:rFonts w:ascii="Arial" w:hAnsi="Arial" w:cs="Arial" w:eastAsia="Arial" w:hint="default"/>
        </w:rPr>
        <w:t>1</w:t>
      </w:r>
      <w:r>
        <w:rPr/>
        <w:t>）经营活动产生的现金流量净额较上年同期增加</w:t>
      </w:r>
      <w:r>
        <w:rPr>
          <w:rFonts w:ascii="Arial" w:hAnsi="Arial" w:cs="Arial" w:eastAsia="Arial" w:hint="default"/>
        </w:rPr>
        <w:t>310.09%</w:t>
      </w:r>
      <w:r>
        <w:rPr/>
        <w:t>，主要是报告期销售商品收到的现金增加及购买商品、接 受劳务支付的现金减少等所致。</w:t>
      </w:r>
    </w:p>
    <w:p>
      <w:pPr>
        <w:pStyle w:val="BodyText"/>
        <w:spacing w:line="240" w:lineRule="auto" w:before="70"/>
        <w:ind w:left="514" w:right="0"/>
        <w:jc w:val="left"/>
      </w:pPr>
      <w:r>
        <w:rPr/>
        <w:t>（</w:t>
      </w:r>
      <w:r>
        <w:rPr>
          <w:rFonts w:ascii="Arial" w:hAnsi="Arial" w:cs="Arial" w:eastAsia="Arial" w:hint="default"/>
        </w:rPr>
        <w:t>2</w:t>
      </w:r>
      <w:r>
        <w:rPr/>
        <w:t>）投资活动产生的现金流量净额较上年同期减少</w:t>
      </w:r>
      <w:r>
        <w:rPr>
          <w:rFonts w:ascii="Arial" w:hAnsi="Arial" w:cs="Arial" w:eastAsia="Arial" w:hint="default"/>
        </w:rPr>
        <w:t>123.19%</w:t>
      </w:r>
      <w:r>
        <w:rPr/>
        <w:t>，主要是报告期理财产品到期赎回金额减少所致。</w:t>
      </w:r>
    </w:p>
    <w:p>
      <w:pPr>
        <w:pStyle w:val="BodyText"/>
        <w:spacing w:line="240" w:lineRule="auto" w:before="103"/>
        <w:ind w:left="514" w:right="2239"/>
        <w:jc w:val="left"/>
      </w:pPr>
      <w:r>
        <w:rPr/>
        <w:t>（</w:t>
      </w:r>
      <w:r>
        <w:rPr>
          <w:rFonts w:ascii="Arial" w:hAnsi="Arial" w:cs="Arial" w:eastAsia="Arial" w:hint="default"/>
        </w:rPr>
        <w:t>3</w:t>
      </w:r>
      <w:r>
        <w:rPr/>
        <w:t>）筹资活动现金流入小计较上年同期增加</w:t>
      </w:r>
      <w:r>
        <w:rPr>
          <w:rFonts w:ascii="Arial" w:hAnsi="Arial" w:cs="Arial" w:eastAsia="Arial" w:hint="default"/>
        </w:rPr>
        <w:t>150.49%</w:t>
      </w:r>
      <w:r>
        <w:rPr/>
        <w:t>，主要是报告期借款增加所致。</w:t>
      </w:r>
    </w:p>
    <w:p>
      <w:pPr>
        <w:pStyle w:val="BodyText"/>
        <w:spacing w:line="240" w:lineRule="auto" w:before="103"/>
        <w:ind w:left="514" w:right="2239"/>
        <w:jc w:val="left"/>
      </w:pPr>
      <w:r>
        <w:rPr/>
        <w:t>（</w:t>
      </w:r>
      <w:r>
        <w:rPr>
          <w:rFonts w:ascii="Arial" w:hAnsi="Arial" w:cs="Arial" w:eastAsia="Arial" w:hint="default"/>
        </w:rPr>
        <w:t>4</w:t>
      </w:r>
      <w:r>
        <w:rPr/>
        <w:t>）筹资活动现金流出小计较上年同期增加</w:t>
      </w:r>
      <w:r>
        <w:rPr>
          <w:rFonts w:ascii="Arial" w:hAnsi="Arial" w:cs="Arial" w:eastAsia="Arial" w:hint="default"/>
        </w:rPr>
        <w:t>98.07%</w:t>
      </w:r>
      <w:r>
        <w:rPr/>
        <w:t>，主要是报告期偿还借款增加所致。</w:t>
      </w:r>
    </w:p>
    <w:p>
      <w:pPr>
        <w:pStyle w:val="BodyText"/>
        <w:spacing w:line="240" w:lineRule="auto" w:before="104"/>
        <w:ind w:left="514" w:right="2239"/>
        <w:jc w:val="left"/>
      </w:pPr>
      <w:r>
        <w:rPr/>
        <w:t>（</w:t>
      </w:r>
      <w:r>
        <w:rPr>
          <w:rFonts w:ascii="Arial" w:hAnsi="Arial" w:cs="Arial" w:eastAsia="Arial" w:hint="default"/>
        </w:rPr>
        <w:t>5</w:t>
      </w:r>
      <w:r>
        <w:rPr/>
        <w:t>）筹资活动产生的现金流量净额较上年同期增加</w:t>
      </w:r>
      <w:r>
        <w:rPr>
          <w:rFonts w:ascii="Arial" w:hAnsi="Arial" w:cs="Arial" w:eastAsia="Arial" w:hint="default"/>
        </w:rPr>
        <w:t>144.06%</w:t>
      </w:r>
      <w:r>
        <w:rPr/>
        <w:t>，主要是报告期借款净额增加所致。</w:t>
      </w:r>
    </w:p>
    <w:p>
      <w:pPr>
        <w:pStyle w:val="BodyText"/>
        <w:spacing w:line="340" w:lineRule="auto" w:before="103"/>
        <w:ind w:left="153" w:right="2120" w:firstLine="360"/>
        <w:jc w:val="left"/>
      </w:pPr>
      <w:r>
        <w:rPr/>
        <w:t>（</w:t>
      </w:r>
      <w:r>
        <w:rPr>
          <w:rFonts w:ascii="Arial" w:hAnsi="Arial" w:cs="Arial" w:eastAsia="Arial" w:hint="default"/>
        </w:rPr>
        <w:t>6</w:t>
      </w:r>
      <w:r>
        <w:rPr/>
        <w:t>）现金及现金等价物净增加额较上年同期减少</w:t>
      </w:r>
      <w:r>
        <w:rPr>
          <w:rFonts w:ascii="Arial" w:hAnsi="Arial" w:cs="Arial" w:eastAsia="Arial" w:hint="default"/>
        </w:rPr>
        <w:t>33.53%</w:t>
      </w:r>
      <w:r>
        <w:rPr/>
        <w:t>，主要是报告期赎回理财产品净额等减少所致。 报告期内公司经营活动产生的现金净流量与本年度净利润存在重大差异的原因说明</w:t>
      </w:r>
    </w:p>
    <w:p>
      <w:pPr>
        <w:pStyle w:val="BodyText"/>
        <w:spacing w:line="338" w:lineRule="auto" w:before="41"/>
        <w:ind w:right="157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因本报告期无形资产摊销、资产折旧、信用减值损失金额较大导致经营活动产生的现金净流量与净利润存在重大差异</w:t>
      </w:r>
    </w:p>
    <w:p>
      <w:pPr>
        <w:spacing w:line="240" w:lineRule="auto" w:before="7"/>
        <w:rPr>
          <w:rFonts w:ascii="宋体" w:hAnsi="宋体" w:cs="宋体" w:eastAsia="宋体" w:hint="default"/>
          <w:sz w:val="19"/>
          <w:szCs w:val="19"/>
        </w:rPr>
      </w:pPr>
    </w:p>
    <w:p>
      <w:pPr>
        <w:pStyle w:val="Heading2"/>
        <w:spacing w:line="240" w:lineRule="auto"/>
        <w:ind w:right="2239"/>
        <w:jc w:val="left"/>
        <w:rPr>
          <w:b w:val="0"/>
          <w:bCs w:val="0"/>
        </w:rPr>
      </w:pPr>
      <w:r>
        <w:rPr/>
        <w:t>三、非主营业务分析</w:t>
      </w:r>
      <w:r>
        <w:rPr>
          <w:b w:val="0"/>
          <w:bCs w:val="0"/>
        </w:rPr>
      </w:r>
    </w:p>
    <w:p>
      <w:pPr>
        <w:spacing w:line="240" w:lineRule="auto" w:before="2"/>
        <w:rPr>
          <w:rFonts w:ascii="宋体" w:hAnsi="宋体" w:cs="宋体" w:eastAsia="宋体" w:hint="default"/>
          <w:b/>
          <w:bCs/>
          <w:sz w:val="23"/>
          <w:szCs w:val="23"/>
        </w:rPr>
      </w:pPr>
    </w:p>
    <w:p>
      <w:pPr>
        <w:pStyle w:val="BodyText"/>
        <w:spacing w:line="240" w:lineRule="auto" w:before="44"/>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pStyle w:val="BodyText"/>
        <w:spacing w:line="240" w:lineRule="auto" w:before="103"/>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00"/>
        <w:gridCol w:w="1928"/>
        <w:gridCol w:w="1622"/>
        <w:gridCol w:w="2254"/>
        <w:gridCol w:w="2254"/>
      </w:tblGrid>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6" w:right="0"/>
              <w:jc w:val="left"/>
              <w:rPr>
                <w:rFonts w:ascii="宋体" w:hAnsi="宋体" w:cs="宋体" w:eastAsia="宋体" w:hint="default"/>
                <w:sz w:val="18"/>
                <w:szCs w:val="18"/>
              </w:rPr>
            </w:pPr>
            <w:r>
              <w:rPr>
                <w:rFonts w:ascii="宋体" w:hAnsi="宋体" w:cs="宋体" w:eastAsia="宋体" w:hint="default"/>
                <w:sz w:val="18"/>
                <w:szCs w:val="18"/>
              </w:rPr>
              <w:t>占利润总额比例</w:t>
            </w:r>
          </w:p>
        </w:tc>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81" w:right="0"/>
              <w:jc w:val="left"/>
              <w:rPr>
                <w:rFonts w:ascii="宋体" w:hAnsi="宋体" w:cs="宋体" w:eastAsia="宋体" w:hint="default"/>
                <w:sz w:val="18"/>
                <w:szCs w:val="18"/>
              </w:rPr>
            </w:pPr>
            <w:r>
              <w:rPr>
                <w:rFonts w:ascii="宋体" w:hAnsi="宋体" w:cs="宋体" w:eastAsia="宋体" w:hint="default"/>
                <w:sz w:val="18"/>
                <w:szCs w:val="18"/>
              </w:rPr>
              <w:t>形成原因说明</w:t>
            </w:r>
          </w:p>
        </w:tc>
        <w:tc>
          <w:tcPr>
            <w:tcW w:w="22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1" w:right="0"/>
              <w:jc w:val="left"/>
              <w:rPr>
                <w:rFonts w:ascii="宋体" w:hAnsi="宋体" w:cs="宋体" w:eastAsia="宋体" w:hint="default"/>
                <w:sz w:val="18"/>
                <w:szCs w:val="18"/>
              </w:rPr>
            </w:pPr>
            <w:r>
              <w:rPr>
                <w:rFonts w:ascii="宋体" w:hAnsi="宋体" w:cs="宋体" w:eastAsia="宋体" w:hint="default"/>
                <w:sz w:val="18"/>
                <w:szCs w:val="18"/>
              </w:rPr>
              <w:t>是否具有可持续性</w:t>
            </w:r>
          </w:p>
        </w:tc>
      </w:tr>
      <w:tr>
        <w:trPr>
          <w:trHeight w:val="161" w:hRule="exact"/>
        </w:trPr>
        <w:tc>
          <w:tcPr>
            <w:tcW w:w="1500" w:type="dxa"/>
            <w:tcBorders>
              <w:top w:val="single" w:sz="4" w:space="0" w:color="000000"/>
              <w:left w:val="single" w:sz="4" w:space="0" w:color="000000"/>
              <w:bottom w:val="nil" w:sz="6" w:space="0" w:color="auto"/>
              <w:right w:val="single" w:sz="4" w:space="0" w:color="000000"/>
            </w:tcBorders>
            <w:shd w:val="clear" w:color="auto" w:fill="D3D3D3"/>
          </w:tcPr>
          <w:p>
            <w:pPr/>
          </w:p>
        </w:tc>
        <w:tc>
          <w:tcPr>
            <w:tcW w:w="1928" w:type="dxa"/>
            <w:vMerge w:val="restart"/>
            <w:tcBorders>
              <w:top w:val="single" w:sz="4" w:space="0" w:color="000000"/>
              <w:left w:val="single" w:sz="9"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36" w:right="0"/>
              <w:jc w:val="left"/>
              <w:rPr>
                <w:rFonts w:ascii="Arial" w:hAnsi="Arial" w:cs="Arial" w:eastAsia="Arial" w:hint="default"/>
                <w:sz w:val="18"/>
                <w:szCs w:val="18"/>
              </w:rPr>
            </w:pPr>
            <w:r>
              <w:rPr>
                <w:rFonts w:ascii="Arial"/>
                <w:sz w:val="18"/>
              </w:rPr>
              <w:t>20,824,488.19</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9" w:right="0"/>
              <w:jc w:val="left"/>
              <w:rPr>
                <w:rFonts w:ascii="Arial" w:hAnsi="Arial" w:cs="Arial" w:eastAsia="Arial" w:hint="default"/>
                <w:sz w:val="18"/>
                <w:szCs w:val="18"/>
              </w:rPr>
            </w:pPr>
            <w:r>
              <w:rPr>
                <w:rFonts w:ascii="Arial"/>
                <w:sz w:val="18"/>
              </w:rPr>
              <w:t>37.27%</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9"/>
              <w:jc w:val="left"/>
              <w:rPr>
                <w:rFonts w:ascii="宋体" w:hAnsi="宋体" w:cs="宋体" w:eastAsia="宋体" w:hint="default"/>
                <w:sz w:val="18"/>
                <w:szCs w:val="18"/>
              </w:rPr>
            </w:pPr>
            <w:r>
              <w:rPr>
                <w:rFonts w:ascii="宋体" w:hAnsi="宋体" w:cs="宋体" w:eastAsia="宋体" w:hint="default"/>
                <w:sz w:val="18"/>
                <w:szCs w:val="18"/>
              </w:rPr>
              <w:t>理财收益、对联营企业的投 资收益</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理财收益不具有可持续</w:t>
            </w:r>
          </w:p>
        </w:tc>
      </w:tr>
      <w:tr>
        <w:trPr>
          <w:trHeight w:val="392" w:hRule="exact"/>
        </w:trPr>
        <w:tc>
          <w:tcPr>
            <w:tcW w:w="15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投资收益</w:t>
            </w:r>
          </w:p>
        </w:tc>
        <w:tc>
          <w:tcPr>
            <w:tcW w:w="1928" w:type="dxa"/>
            <w:vMerge/>
            <w:tcBorders>
              <w:left w:val="single" w:sz="9" w:space="0" w:color="D3D3D3"/>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0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28" w:type="dxa"/>
            <w:vMerge/>
            <w:tcBorders>
              <w:left w:val="single" w:sz="9" w:space="0" w:color="D3D3D3"/>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161" w:hRule="exact"/>
        </w:trPr>
        <w:tc>
          <w:tcPr>
            <w:tcW w:w="1500" w:type="dxa"/>
            <w:tcBorders>
              <w:top w:val="single" w:sz="4" w:space="0" w:color="000000"/>
              <w:left w:val="single" w:sz="4" w:space="0" w:color="000000"/>
              <w:bottom w:val="nil" w:sz="6" w:space="0" w:color="auto"/>
              <w:right w:val="single" w:sz="4" w:space="0" w:color="000000"/>
            </w:tcBorders>
            <w:shd w:val="clear" w:color="auto" w:fill="D3D3D3"/>
          </w:tcPr>
          <w:p>
            <w:pPr/>
          </w:p>
        </w:tc>
        <w:tc>
          <w:tcPr>
            <w:tcW w:w="1928" w:type="dxa"/>
            <w:vMerge w:val="restart"/>
            <w:tcBorders>
              <w:top w:val="single" w:sz="4" w:space="0" w:color="000000"/>
              <w:left w:val="single" w:sz="9"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36" w:right="0"/>
              <w:jc w:val="left"/>
              <w:rPr>
                <w:rFonts w:ascii="Arial" w:hAnsi="Arial" w:cs="Arial" w:eastAsia="Arial" w:hint="default"/>
                <w:sz w:val="18"/>
                <w:szCs w:val="18"/>
              </w:rPr>
            </w:pPr>
            <w:r>
              <w:rPr>
                <w:rFonts w:ascii="Arial"/>
                <w:sz w:val="18"/>
              </w:rPr>
              <w:t>9,687,401.57</w:t>
            </w:r>
          </w:p>
        </w:tc>
        <w:tc>
          <w:tcPr>
            <w:tcW w:w="16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9" w:right="0"/>
              <w:jc w:val="left"/>
              <w:rPr>
                <w:rFonts w:ascii="Arial" w:hAnsi="Arial" w:cs="Arial" w:eastAsia="Arial" w:hint="default"/>
                <w:sz w:val="18"/>
                <w:szCs w:val="18"/>
              </w:rPr>
            </w:pPr>
            <w:r>
              <w:rPr>
                <w:rFonts w:ascii="Arial"/>
                <w:sz w:val="18"/>
              </w:rPr>
              <w:t>17.34%</w:t>
            </w:r>
          </w:p>
        </w:tc>
        <w:tc>
          <w:tcPr>
            <w:tcW w:w="2254"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59"/>
              <w:jc w:val="left"/>
              <w:rPr>
                <w:rFonts w:ascii="宋体" w:hAnsi="宋体" w:cs="宋体" w:eastAsia="宋体" w:hint="default"/>
                <w:sz w:val="18"/>
                <w:szCs w:val="18"/>
              </w:rPr>
            </w:pPr>
            <w:r>
              <w:rPr>
                <w:rFonts w:ascii="宋体" w:hAnsi="宋体" w:cs="宋体" w:eastAsia="宋体" w:hint="default"/>
                <w:sz w:val="18"/>
                <w:szCs w:val="18"/>
              </w:rPr>
              <w:t>主要是对应收及其他应收款 计提减值准备</w:t>
            </w:r>
          </w:p>
        </w:tc>
        <w:tc>
          <w:tcPr>
            <w:tcW w:w="2254"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92" w:hRule="exact"/>
        </w:trPr>
        <w:tc>
          <w:tcPr>
            <w:tcW w:w="150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资产减值</w:t>
            </w:r>
          </w:p>
        </w:tc>
        <w:tc>
          <w:tcPr>
            <w:tcW w:w="1928" w:type="dxa"/>
            <w:vMerge/>
            <w:tcBorders>
              <w:left w:val="single" w:sz="9" w:space="0" w:color="D3D3D3"/>
              <w:right w:val="single" w:sz="4" w:space="0" w:color="000000"/>
            </w:tcBorders>
          </w:tcPr>
          <w:p>
            <w:pPr/>
          </w:p>
        </w:tc>
        <w:tc>
          <w:tcPr>
            <w:tcW w:w="1622"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c>
          <w:tcPr>
            <w:tcW w:w="2254" w:type="dxa"/>
            <w:vMerge/>
            <w:tcBorders>
              <w:left w:val="single" w:sz="4" w:space="0" w:color="000000"/>
              <w:right w:val="single" w:sz="4" w:space="0" w:color="000000"/>
            </w:tcBorders>
          </w:tcPr>
          <w:p>
            <w:pPr/>
          </w:p>
        </w:tc>
      </w:tr>
      <w:tr>
        <w:trPr>
          <w:trHeight w:val="161" w:hRule="exact"/>
        </w:trPr>
        <w:tc>
          <w:tcPr>
            <w:tcW w:w="150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28" w:type="dxa"/>
            <w:vMerge/>
            <w:tcBorders>
              <w:left w:val="single" w:sz="9" w:space="0" w:color="D3D3D3"/>
              <w:bottom w:val="single" w:sz="4" w:space="0" w:color="000000"/>
              <w:right w:val="single" w:sz="4" w:space="0" w:color="000000"/>
            </w:tcBorders>
          </w:tcPr>
          <w:p>
            <w:pPr/>
          </w:p>
        </w:tc>
        <w:tc>
          <w:tcPr>
            <w:tcW w:w="1622"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c>
          <w:tcPr>
            <w:tcW w:w="2254" w:type="dxa"/>
            <w:vMerge/>
            <w:tcBorders>
              <w:left w:val="single" w:sz="4" w:space="0" w:color="000000"/>
              <w:bottom w:val="single" w:sz="4" w:space="0" w:color="000000"/>
              <w:right w:val="single" w:sz="4" w:space="0" w:color="000000"/>
            </w:tcBorders>
          </w:tcPr>
          <w:p>
            <w:pP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营业外收入</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23,050,698.78</w:t>
            </w:r>
            <w:r>
              <w:rPr>
                <w:rFonts w:ascii="Arial"/>
                <w:sz w:val="18"/>
              </w:rPr>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41.25%</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主要是违约金收入</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营业外支出</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385,276.83</w:t>
            </w:r>
          </w:p>
        </w:tc>
        <w:tc>
          <w:tcPr>
            <w:tcW w:w="16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0.69%</w:t>
            </w:r>
            <w:r>
              <w:rPr>
                <w:rFonts w:ascii="Arial"/>
                <w:w w:val="95"/>
                <w:sz w:val="18"/>
              </w:rPr>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主要是对外捐赠</w:t>
            </w:r>
          </w:p>
        </w:tc>
        <w:tc>
          <w:tcPr>
            <w:tcW w:w="2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line="240" w:lineRule="auto" w:before="2"/>
        <w:rPr>
          <w:rFonts w:ascii="宋体" w:hAnsi="宋体" w:cs="宋体" w:eastAsia="宋体" w:hint="default"/>
          <w:sz w:val="18"/>
          <w:szCs w:val="18"/>
        </w:rPr>
      </w:pPr>
    </w:p>
    <w:p>
      <w:pPr>
        <w:pStyle w:val="Heading2"/>
        <w:spacing w:line="240" w:lineRule="auto" w:before="26"/>
        <w:ind w:right="2239"/>
        <w:jc w:val="left"/>
        <w:rPr>
          <w:b w:val="0"/>
          <w:bCs w:val="0"/>
        </w:rPr>
      </w:pPr>
      <w:r>
        <w:rPr/>
        <w:t>四、资产及负债状况分析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1</w:t>
      </w:r>
      <w:r>
        <w:rPr/>
        <w:t>、资产构成重大变动情况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2239"/>
        <w:jc w:val="left"/>
      </w:pPr>
      <w:r>
        <w:rPr/>
        <w:t>公司</w:t>
      </w:r>
      <w:r>
        <w:rPr>
          <w:spacing w:val="-46"/>
        </w:rPr>
        <w:t> </w:t>
      </w:r>
      <w:r>
        <w:rPr>
          <w:rFonts w:ascii="Arial" w:hAnsi="Arial" w:cs="Arial" w:eastAsia="Arial" w:hint="default"/>
        </w:rPr>
        <w:t>2019</w:t>
      </w:r>
      <w:r>
        <w:rPr>
          <w:rFonts w:ascii="Arial" w:hAnsi="Arial" w:cs="Arial" w:eastAsia="Arial" w:hint="default"/>
          <w:spacing w:val="-7"/>
        </w:rPr>
        <w:t> </w:t>
      </w:r>
      <w:r>
        <w:rPr/>
        <w:t>年起首次执行新金融工具准则、新收入准则或新租赁准则且调整执行当年年初财务报表相关项目</w:t>
      </w:r>
    </w:p>
    <w:p>
      <w:pPr>
        <w:spacing w:after="0" w:line="240" w:lineRule="auto"/>
        <w:jc w:val="left"/>
        <w:sectPr>
          <w:pgSz w:w="11910" w:h="16840"/>
          <w:pgMar w:header="747" w:footer="982" w:top="1060" w:bottom="118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153"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pStyle w:val="BodyText"/>
        <w:spacing w:line="240" w:lineRule="auto" w:before="103"/>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5"/>
        <w:gridCol w:w="1762"/>
        <w:gridCol w:w="992"/>
        <w:gridCol w:w="1276"/>
        <w:gridCol w:w="992"/>
        <w:gridCol w:w="992"/>
        <w:gridCol w:w="2197"/>
      </w:tblGrid>
      <w:tr>
        <w:trPr>
          <w:trHeight w:val="384" w:hRule="exact"/>
        </w:trPr>
        <w:tc>
          <w:tcPr>
            <w:tcW w:w="1345" w:type="dxa"/>
            <w:tcBorders>
              <w:top w:val="single" w:sz="4" w:space="0" w:color="000000"/>
              <w:left w:val="single" w:sz="4" w:space="0" w:color="000000"/>
              <w:bottom w:val="nil" w:sz="6" w:space="0" w:color="auto"/>
              <w:right w:val="single" w:sz="4" w:space="0" w:color="000000"/>
            </w:tcBorders>
            <w:shd w:val="clear" w:color="auto" w:fill="D3D3D3"/>
          </w:tcPr>
          <w:p>
            <w:pPr/>
          </w:p>
        </w:tc>
        <w:tc>
          <w:tcPr>
            <w:tcW w:w="275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9"/>
                <w:sz w:val="18"/>
                <w:szCs w:val="18"/>
              </w:rPr>
              <w:t> </w:t>
            </w:r>
            <w:r>
              <w:rPr>
                <w:rFonts w:ascii="宋体" w:hAnsi="宋体" w:cs="宋体" w:eastAsia="宋体" w:hint="default"/>
                <w:sz w:val="18"/>
                <w:szCs w:val="18"/>
              </w:rPr>
              <w:t>年末</w:t>
            </w:r>
          </w:p>
        </w:tc>
        <w:tc>
          <w:tcPr>
            <w:tcW w:w="22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25"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9"/>
                <w:sz w:val="18"/>
                <w:szCs w:val="18"/>
              </w:rPr>
              <w:t> </w:t>
            </w:r>
            <w:r>
              <w:rPr>
                <w:rFonts w:ascii="宋体" w:hAnsi="宋体" w:cs="宋体" w:eastAsia="宋体" w:hint="default"/>
                <w:sz w:val="18"/>
                <w:szCs w:val="18"/>
              </w:rPr>
              <w:t>年初</w:t>
            </w:r>
          </w:p>
        </w:tc>
        <w:tc>
          <w:tcPr>
            <w:tcW w:w="9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19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79" w:hRule="exact"/>
        </w:trPr>
        <w:tc>
          <w:tcPr>
            <w:tcW w:w="1345" w:type="dxa"/>
            <w:vMerge w:val="restart"/>
            <w:tcBorders>
              <w:top w:val="nil" w:sz="6" w:space="0" w:color="auto"/>
              <w:left w:val="single" w:sz="4" w:space="0" w:color="000000"/>
              <w:right w:val="single" w:sz="4" w:space="0" w:color="000000"/>
            </w:tcBorders>
            <w:shd w:val="clear" w:color="auto" w:fill="D3D3D3"/>
          </w:tcPr>
          <w:p>
            <w:pPr/>
          </w:p>
        </w:tc>
        <w:tc>
          <w:tcPr>
            <w:tcW w:w="1762" w:type="dxa"/>
            <w:tcBorders>
              <w:top w:val="single" w:sz="4" w:space="0" w:color="000000"/>
              <w:left w:val="single" w:sz="4" w:space="0" w:color="000000"/>
              <w:bottom w:val="nil" w:sz="6" w:space="0" w:color="auto"/>
              <w:right w:val="single" w:sz="4" w:space="0" w:color="000000"/>
            </w:tcBorders>
            <w:shd w:val="clear" w:color="auto" w:fill="D3D3D3"/>
          </w:tcPr>
          <w:p>
            <w:pPr/>
          </w:p>
        </w:tc>
        <w:tc>
          <w:tcPr>
            <w:tcW w:w="9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69"/>
              <w:ind w:left="400" w:right="41"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1276" w:type="dxa"/>
            <w:tcBorders>
              <w:top w:val="single" w:sz="4" w:space="0" w:color="000000"/>
              <w:left w:val="single" w:sz="4" w:space="0" w:color="000000"/>
              <w:bottom w:val="nil" w:sz="6" w:space="0" w:color="auto"/>
              <w:right w:val="single" w:sz="4" w:space="0" w:color="000000"/>
            </w:tcBorders>
            <w:shd w:val="clear" w:color="auto" w:fill="D3D3D3"/>
          </w:tcPr>
          <w:p>
            <w:pPr/>
          </w:p>
        </w:tc>
        <w:tc>
          <w:tcPr>
            <w:tcW w:w="992"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69"/>
              <w:ind w:left="400" w:right="41" w:hanging="360"/>
              <w:jc w:val="left"/>
              <w:rPr>
                <w:rFonts w:ascii="宋体" w:hAnsi="宋体" w:cs="宋体" w:eastAsia="宋体" w:hint="default"/>
                <w:sz w:val="18"/>
                <w:szCs w:val="18"/>
              </w:rPr>
            </w:pPr>
            <w:r>
              <w:rPr>
                <w:rFonts w:ascii="宋体" w:hAnsi="宋体" w:cs="宋体" w:eastAsia="宋体" w:hint="default"/>
                <w:sz w:val="18"/>
                <w:szCs w:val="18"/>
              </w:rPr>
              <w:t>占总资产比 例</w:t>
            </w:r>
          </w:p>
        </w:tc>
        <w:tc>
          <w:tcPr>
            <w:tcW w:w="99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8"/>
              <w:ind w:left="130" w:right="0"/>
              <w:jc w:val="left"/>
              <w:rPr>
                <w:rFonts w:ascii="宋体" w:hAnsi="宋体" w:cs="宋体" w:eastAsia="宋体" w:hint="default"/>
                <w:sz w:val="18"/>
                <w:szCs w:val="18"/>
              </w:rPr>
            </w:pPr>
            <w:r>
              <w:rPr>
                <w:rFonts w:ascii="宋体" w:hAnsi="宋体" w:cs="宋体" w:eastAsia="宋体" w:hint="default"/>
                <w:sz w:val="18"/>
                <w:szCs w:val="18"/>
              </w:rPr>
              <w:t>比重增减</w:t>
            </w:r>
          </w:p>
        </w:tc>
        <w:tc>
          <w:tcPr>
            <w:tcW w:w="21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8"/>
              <w:ind w:left="553"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45" w:type="dxa"/>
            <w:vMerge/>
            <w:tcBorders>
              <w:left w:val="single" w:sz="4" w:space="0" w:color="000000"/>
              <w:bottom w:val="nil" w:sz="6" w:space="0" w:color="auto"/>
              <w:right w:val="single" w:sz="4" w:space="0" w:color="000000"/>
            </w:tcBorders>
            <w:shd w:val="clear" w:color="auto" w:fill="D3D3D3"/>
          </w:tcPr>
          <w:p>
            <w:pPr/>
          </w:p>
        </w:tc>
        <w:tc>
          <w:tcPr>
            <w:tcW w:w="176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vMerge/>
            <w:tcBorders>
              <w:left w:val="single" w:sz="4" w:space="0" w:color="000000"/>
              <w:right w:val="single" w:sz="4" w:space="0" w:color="000000"/>
            </w:tcBorders>
            <w:shd w:val="clear" w:color="auto" w:fill="D3D3D3"/>
          </w:tcPr>
          <w:p>
            <w:pPr/>
          </w:p>
        </w:tc>
        <w:tc>
          <w:tcPr>
            <w:tcW w:w="127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92" w:type="dxa"/>
            <w:vMerge/>
            <w:tcBorders>
              <w:left w:val="single" w:sz="4" w:space="0" w:color="000000"/>
              <w:right w:val="single" w:sz="4" w:space="0" w:color="000000"/>
            </w:tcBorders>
            <w:shd w:val="clear" w:color="auto" w:fill="D3D3D3"/>
          </w:tcPr>
          <w:p>
            <w:pPr/>
          </w:p>
        </w:tc>
        <w:tc>
          <w:tcPr>
            <w:tcW w:w="992" w:type="dxa"/>
            <w:vMerge/>
            <w:tcBorders>
              <w:left w:val="single" w:sz="4" w:space="0" w:color="000000"/>
              <w:bottom w:val="nil" w:sz="6" w:space="0" w:color="auto"/>
              <w:right w:val="single" w:sz="4" w:space="0" w:color="000000"/>
            </w:tcBorders>
            <w:shd w:val="clear" w:color="auto" w:fill="D3D3D3"/>
          </w:tcPr>
          <w:p>
            <w:pPr/>
          </w:p>
        </w:tc>
        <w:tc>
          <w:tcPr>
            <w:tcW w:w="2197" w:type="dxa"/>
            <w:vMerge/>
            <w:tcBorders>
              <w:left w:val="single" w:sz="4" w:space="0" w:color="000000"/>
              <w:bottom w:val="nil" w:sz="6" w:space="0" w:color="auto"/>
              <w:right w:val="single" w:sz="4" w:space="0" w:color="000000"/>
            </w:tcBorders>
            <w:shd w:val="clear" w:color="auto" w:fill="D3D3D3"/>
          </w:tcPr>
          <w:p>
            <w:pPr/>
          </w:p>
        </w:tc>
      </w:tr>
      <w:tr>
        <w:trPr>
          <w:trHeight w:val="202" w:hRule="exact"/>
        </w:trPr>
        <w:tc>
          <w:tcPr>
            <w:tcW w:w="1345" w:type="dxa"/>
            <w:vMerge w:val="restart"/>
            <w:tcBorders>
              <w:top w:val="nil" w:sz="6" w:space="0" w:color="auto"/>
              <w:left w:val="single" w:sz="4" w:space="0" w:color="000000"/>
              <w:right w:val="single" w:sz="4" w:space="0" w:color="000000"/>
            </w:tcBorders>
            <w:shd w:val="clear" w:color="auto" w:fill="D3D3D3"/>
          </w:tcPr>
          <w:p>
            <w:pPr/>
          </w:p>
        </w:tc>
        <w:tc>
          <w:tcPr>
            <w:tcW w:w="1762" w:type="dxa"/>
            <w:vMerge/>
            <w:tcBorders>
              <w:left w:val="single" w:sz="4" w:space="0" w:color="000000"/>
              <w:bottom w:val="nil" w:sz="6" w:space="0" w:color="auto"/>
              <w:right w:val="single" w:sz="4" w:space="0" w:color="000000"/>
            </w:tcBorders>
            <w:shd w:val="clear" w:color="auto" w:fill="D3D3D3"/>
          </w:tcPr>
          <w:p>
            <w:pPr/>
          </w:p>
        </w:tc>
        <w:tc>
          <w:tcPr>
            <w:tcW w:w="992" w:type="dxa"/>
            <w:vMerge/>
            <w:tcBorders>
              <w:left w:val="single" w:sz="4" w:space="0" w:color="000000"/>
              <w:right w:val="single" w:sz="4" w:space="0" w:color="000000"/>
            </w:tcBorders>
            <w:shd w:val="clear" w:color="auto" w:fill="D3D3D3"/>
          </w:tcPr>
          <w:p>
            <w:pPr/>
          </w:p>
        </w:tc>
        <w:tc>
          <w:tcPr>
            <w:tcW w:w="1276" w:type="dxa"/>
            <w:vMerge/>
            <w:tcBorders>
              <w:left w:val="single" w:sz="4" w:space="0" w:color="000000"/>
              <w:bottom w:val="nil" w:sz="6" w:space="0" w:color="auto"/>
              <w:right w:val="single" w:sz="4" w:space="0" w:color="000000"/>
            </w:tcBorders>
            <w:shd w:val="clear" w:color="auto" w:fill="D3D3D3"/>
          </w:tcPr>
          <w:p>
            <w:pPr/>
          </w:p>
        </w:tc>
        <w:tc>
          <w:tcPr>
            <w:tcW w:w="992" w:type="dxa"/>
            <w:vMerge/>
            <w:tcBorders>
              <w:left w:val="single" w:sz="4" w:space="0" w:color="000000"/>
              <w:right w:val="single" w:sz="4" w:space="0" w:color="000000"/>
            </w:tcBorders>
            <w:shd w:val="clear" w:color="auto" w:fill="D3D3D3"/>
          </w:tcPr>
          <w:p>
            <w:pPr/>
          </w:p>
        </w:tc>
        <w:tc>
          <w:tcPr>
            <w:tcW w:w="992" w:type="dxa"/>
            <w:vMerge w:val="restart"/>
            <w:tcBorders>
              <w:top w:val="nil" w:sz="6" w:space="0" w:color="auto"/>
              <w:left w:val="single" w:sz="4" w:space="0" w:color="000000"/>
              <w:right w:val="single" w:sz="4" w:space="0" w:color="000000"/>
            </w:tcBorders>
            <w:shd w:val="clear" w:color="auto" w:fill="D3D3D3"/>
          </w:tcPr>
          <w:p>
            <w:pPr/>
          </w:p>
        </w:tc>
        <w:tc>
          <w:tcPr>
            <w:tcW w:w="2197"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345" w:type="dxa"/>
            <w:vMerge/>
            <w:tcBorders>
              <w:left w:val="single" w:sz="4" w:space="0" w:color="000000"/>
              <w:bottom w:val="single" w:sz="4" w:space="0" w:color="000000"/>
              <w:right w:val="single" w:sz="4" w:space="0" w:color="000000"/>
            </w:tcBorders>
            <w:shd w:val="clear" w:color="auto" w:fill="D3D3D3"/>
          </w:tcPr>
          <w:p>
            <w:pPr/>
          </w:p>
        </w:tc>
        <w:tc>
          <w:tcPr>
            <w:tcW w:w="1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992" w:type="dxa"/>
            <w:vMerge/>
            <w:tcBorders>
              <w:left w:val="single" w:sz="4" w:space="0" w:color="000000"/>
              <w:bottom w:val="single" w:sz="4" w:space="0" w:color="000000"/>
              <w:right w:val="single" w:sz="4" w:space="0" w:color="000000"/>
            </w:tcBorders>
            <w:shd w:val="clear" w:color="auto" w:fill="D3D3D3"/>
          </w:tcPr>
          <w:p>
            <w:pPr/>
          </w:p>
        </w:tc>
        <w:tc>
          <w:tcPr>
            <w:tcW w:w="1276" w:type="dxa"/>
            <w:tcBorders>
              <w:top w:val="nil" w:sz="6" w:space="0" w:color="auto"/>
              <w:left w:val="single" w:sz="4" w:space="0" w:color="000000"/>
              <w:bottom w:val="single" w:sz="4" w:space="0" w:color="000000"/>
              <w:right w:val="single" w:sz="4" w:space="0" w:color="000000"/>
            </w:tcBorders>
            <w:shd w:val="clear" w:color="auto" w:fill="D3D3D3"/>
          </w:tcPr>
          <w:p>
            <w:pPr/>
          </w:p>
        </w:tc>
        <w:tc>
          <w:tcPr>
            <w:tcW w:w="992" w:type="dxa"/>
            <w:vMerge/>
            <w:tcBorders>
              <w:left w:val="single" w:sz="4" w:space="0" w:color="000000"/>
              <w:bottom w:val="single" w:sz="4" w:space="0" w:color="000000"/>
              <w:right w:val="single" w:sz="4" w:space="0" w:color="000000"/>
            </w:tcBorders>
            <w:shd w:val="clear" w:color="auto" w:fill="D3D3D3"/>
          </w:tcPr>
          <w:p>
            <w:pPr/>
          </w:p>
        </w:tc>
        <w:tc>
          <w:tcPr>
            <w:tcW w:w="992" w:type="dxa"/>
            <w:vMerge/>
            <w:tcBorders>
              <w:left w:val="single" w:sz="4" w:space="0" w:color="000000"/>
              <w:bottom w:val="single" w:sz="4" w:space="0" w:color="000000"/>
              <w:right w:val="single" w:sz="4" w:space="0" w:color="000000"/>
            </w:tcBorders>
            <w:shd w:val="clear" w:color="auto" w:fill="D3D3D3"/>
          </w:tcPr>
          <w:p>
            <w:pPr/>
          </w:p>
        </w:tc>
        <w:tc>
          <w:tcPr>
            <w:tcW w:w="219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7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364,482,457.37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13.21%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center"/>
              <w:rPr>
                <w:rFonts w:ascii="Times New Roman" w:hAnsi="Times New Roman" w:cs="Times New Roman" w:eastAsia="Times New Roman" w:hint="default"/>
                <w:sz w:val="18"/>
                <w:szCs w:val="18"/>
              </w:rPr>
            </w:pPr>
            <w:r>
              <w:rPr>
                <w:rFonts w:ascii="Times New Roman"/>
                <w:sz w:val="18"/>
              </w:rPr>
              <w:t>331,107,179.16</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12.95%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0.26%</w:t>
            </w: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7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176,705,675.62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6.41%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center"/>
              <w:rPr>
                <w:rFonts w:ascii="Times New Roman" w:hAnsi="Times New Roman" w:cs="Times New Roman" w:eastAsia="Times New Roman" w:hint="default"/>
                <w:sz w:val="18"/>
                <w:szCs w:val="18"/>
              </w:rPr>
            </w:pPr>
            <w:r>
              <w:rPr>
                <w:rFonts w:ascii="Times New Roman"/>
                <w:sz w:val="18"/>
              </w:rPr>
              <w:t>178,425,721.05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6.98%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-0.57%</w:t>
            </w: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45" w:type="dxa"/>
            <w:tcBorders>
              <w:top w:val="single" w:sz="4" w:space="0" w:color="000000"/>
              <w:left w:val="single" w:sz="4" w:space="0" w:color="000000"/>
              <w:bottom w:val="nil" w:sz="6" w:space="0" w:color="auto"/>
              <w:right w:val="single" w:sz="4" w:space="0" w:color="000000"/>
            </w:tcBorders>
            <w:shd w:val="clear" w:color="auto" w:fill="D3D3D3"/>
          </w:tcPr>
          <w:p>
            <w:pPr/>
          </w:p>
        </w:tc>
        <w:tc>
          <w:tcPr>
            <w:tcW w:w="1762" w:type="dxa"/>
            <w:vMerge w:val="restart"/>
            <w:tcBorders>
              <w:top w:val="single" w:sz="4" w:space="0" w:color="000000"/>
              <w:left w:val="single" w:sz="9"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8" w:right="0"/>
              <w:jc w:val="left"/>
              <w:rPr>
                <w:rFonts w:ascii="Times New Roman" w:hAnsi="Times New Roman" w:cs="Times New Roman" w:eastAsia="Times New Roman" w:hint="default"/>
                <w:sz w:val="18"/>
                <w:szCs w:val="18"/>
              </w:rPr>
            </w:pPr>
            <w:r>
              <w:rPr>
                <w:rFonts w:ascii="Times New Roman"/>
                <w:sz w:val="18"/>
              </w:rPr>
              <w:t>917,363,784.29</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4" w:right="0"/>
              <w:jc w:val="left"/>
              <w:rPr>
                <w:rFonts w:ascii="Times New Roman" w:hAnsi="Times New Roman" w:cs="Times New Roman" w:eastAsia="Times New Roman" w:hint="default"/>
                <w:sz w:val="18"/>
                <w:szCs w:val="18"/>
              </w:rPr>
            </w:pPr>
            <w:r>
              <w:rPr>
                <w:rFonts w:ascii="Times New Roman"/>
                <w:sz w:val="18"/>
              </w:rPr>
              <w:t>33.25%</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814,215,427.15</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4" w:right="0"/>
              <w:jc w:val="left"/>
              <w:rPr>
                <w:rFonts w:ascii="Times New Roman" w:hAnsi="Times New Roman" w:cs="Times New Roman" w:eastAsia="Times New Roman" w:hint="default"/>
                <w:sz w:val="18"/>
                <w:szCs w:val="18"/>
              </w:rPr>
            </w:pPr>
            <w:r>
              <w:rPr>
                <w:rFonts w:ascii="Times New Roman"/>
                <w:sz w:val="18"/>
              </w:rPr>
              <w:t>31.85%</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1.40%</w:t>
            </w:r>
          </w:p>
        </w:tc>
        <w:tc>
          <w:tcPr>
            <w:tcW w:w="219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主要是报告期信阳园区投 入增加。</w:t>
            </w:r>
          </w:p>
        </w:tc>
      </w:tr>
      <w:tr>
        <w:trPr>
          <w:trHeight w:val="392" w:hRule="exact"/>
        </w:trPr>
        <w:tc>
          <w:tcPr>
            <w:tcW w:w="134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762" w:type="dxa"/>
            <w:vMerge/>
            <w:tcBorders>
              <w:left w:val="single" w:sz="9" w:space="0" w:color="D3D3D3"/>
              <w:right w:val="single" w:sz="4" w:space="0" w:color="000000"/>
            </w:tcBorders>
          </w:tcPr>
          <w:p>
            <w:pPr/>
          </w:p>
        </w:tc>
        <w:tc>
          <w:tcPr>
            <w:tcW w:w="992"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2197" w:type="dxa"/>
            <w:vMerge/>
            <w:tcBorders>
              <w:left w:val="single" w:sz="4" w:space="0" w:color="000000"/>
              <w:right w:val="single" w:sz="4" w:space="0" w:color="000000"/>
            </w:tcBorders>
          </w:tcPr>
          <w:p>
            <w:pPr/>
          </w:p>
        </w:tc>
      </w:tr>
      <w:tr>
        <w:trPr>
          <w:trHeight w:val="161" w:hRule="exact"/>
        </w:trPr>
        <w:tc>
          <w:tcPr>
            <w:tcW w:w="1345" w:type="dxa"/>
            <w:tcBorders>
              <w:top w:val="nil" w:sz="6" w:space="0" w:color="auto"/>
              <w:left w:val="single" w:sz="4" w:space="0" w:color="000000"/>
              <w:bottom w:val="single" w:sz="4" w:space="0" w:color="000000"/>
              <w:right w:val="single" w:sz="4" w:space="0" w:color="000000"/>
            </w:tcBorders>
            <w:shd w:val="clear" w:color="auto" w:fill="D3D3D3"/>
          </w:tcPr>
          <w:p>
            <w:pPr/>
          </w:p>
        </w:tc>
        <w:tc>
          <w:tcPr>
            <w:tcW w:w="1762" w:type="dxa"/>
            <w:vMerge/>
            <w:tcBorders>
              <w:left w:val="single" w:sz="9" w:space="0" w:color="D3D3D3"/>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2197" w:type="dxa"/>
            <w:vMerge/>
            <w:tcBorders>
              <w:left w:val="single" w:sz="4" w:space="0" w:color="000000"/>
              <w:bottom w:val="single" w:sz="4" w:space="0" w:color="000000"/>
              <w:right w:val="single" w:sz="4" w:space="0" w:color="000000"/>
            </w:tcBorders>
          </w:tcPr>
          <w:p>
            <w:pP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7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75,814,987.47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2.75%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74,816,244.95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2.93%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-0.18%</w:t>
            </w: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7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117,527,819.80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4.26%</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3" w:right="0"/>
              <w:jc w:val="center"/>
              <w:rPr>
                <w:rFonts w:ascii="Times New Roman" w:hAnsi="Times New Roman" w:cs="Times New Roman" w:eastAsia="Times New Roman" w:hint="default"/>
                <w:sz w:val="18"/>
                <w:szCs w:val="18"/>
              </w:rPr>
            </w:pPr>
            <w:r>
              <w:rPr>
                <w:rFonts w:ascii="Times New Roman"/>
                <w:sz w:val="18"/>
              </w:rPr>
              <w:t>117,136,960.65</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4.58%</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-0.32%</w:t>
            </w: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76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21,666,791.10</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0.79%</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 w:right="0"/>
              <w:jc w:val="center"/>
              <w:rPr>
                <w:rFonts w:ascii="Times New Roman" w:hAnsi="Times New Roman" w:cs="Times New Roman" w:eastAsia="Times New Roman" w:hint="default"/>
                <w:sz w:val="18"/>
                <w:szCs w:val="18"/>
              </w:rPr>
            </w:pPr>
            <w:r>
              <w:rPr>
                <w:rFonts w:ascii="Times New Roman"/>
                <w:sz w:val="18"/>
              </w:rPr>
              <w:t>23,448,537.09</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0.92%</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w:t>
            </w:r>
          </w:p>
        </w:tc>
        <w:tc>
          <w:tcPr>
            <w:tcW w:w="2197"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345" w:type="dxa"/>
            <w:tcBorders>
              <w:top w:val="single" w:sz="4" w:space="0" w:color="000000"/>
              <w:left w:val="single" w:sz="4" w:space="0" w:color="000000"/>
              <w:bottom w:val="nil" w:sz="6" w:space="0" w:color="auto"/>
              <w:right w:val="single" w:sz="4" w:space="0" w:color="000000"/>
            </w:tcBorders>
            <w:shd w:val="clear" w:color="auto" w:fill="D3D3D3"/>
          </w:tcPr>
          <w:p>
            <w:pPr/>
          </w:p>
        </w:tc>
        <w:tc>
          <w:tcPr>
            <w:tcW w:w="1762" w:type="dxa"/>
            <w:vMerge w:val="restart"/>
            <w:tcBorders>
              <w:top w:val="single" w:sz="4" w:space="0" w:color="000000"/>
              <w:left w:val="single" w:sz="9"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8" w:right="0"/>
              <w:jc w:val="left"/>
              <w:rPr>
                <w:rFonts w:ascii="Times New Roman" w:hAnsi="Times New Roman" w:cs="Times New Roman" w:eastAsia="Times New Roman" w:hint="default"/>
                <w:sz w:val="18"/>
                <w:szCs w:val="18"/>
              </w:rPr>
            </w:pPr>
            <w:r>
              <w:rPr>
                <w:rFonts w:ascii="Times New Roman"/>
                <w:sz w:val="18"/>
              </w:rPr>
              <w:t>326,713,347.82</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0" w:right="0"/>
              <w:jc w:val="left"/>
              <w:rPr>
                <w:rFonts w:ascii="Times New Roman" w:hAnsi="Times New Roman" w:cs="Times New Roman" w:eastAsia="Times New Roman" w:hint="default"/>
                <w:sz w:val="18"/>
                <w:szCs w:val="18"/>
              </w:rPr>
            </w:pPr>
            <w:r>
              <w:rPr>
                <w:rFonts w:ascii="Times New Roman"/>
                <w:sz w:val="18"/>
              </w:rPr>
              <w:t>11.84%</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206,642,453.30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8.08%</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3.76%</w:t>
            </w:r>
          </w:p>
        </w:tc>
        <w:tc>
          <w:tcPr>
            <w:tcW w:w="219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主要是上海园区、福州园区</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建设投入增加。</w:t>
            </w:r>
          </w:p>
        </w:tc>
      </w:tr>
      <w:tr>
        <w:trPr>
          <w:trHeight w:val="392" w:hRule="exact"/>
        </w:trPr>
        <w:tc>
          <w:tcPr>
            <w:tcW w:w="134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762" w:type="dxa"/>
            <w:vMerge/>
            <w:tcBorders>
              <w:left w:val="single" w:sz="9" w:space="0" w:color="D3D3D3"/>
              <w:right w:val="single" w:sz="4" w:space="0" w:color="000000"/>
            </w:tcBorders>
          </w:tcPr>
          <w:p>
            <w:pPr/>
          </w:p>
        </w:tc>
        <w:tc>
          <w:tcPr>
            <w:tcW w:w="992"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2197" w:type="dxa"/>
            <w:vMerge/>
            <w:tcBorders>
              <w:left w:val="single" w:sz="4" w:space="0" w:color="000000"/>
              <w:right w:val="single" w:sz="4" w:space="0" w:color="000000"/>
            </w:tcBorders>
          </w:tcPr>
          <w:p>
            <w:pPr/>
          </w:p>
        </w:tc>
      </w:tr>
      <w:tr>
        <w:trPr>
          <w:trHeight w:val="161" w:hRule="exact"/>
        </w:trPr>
        <w:tc>
          <w:tcPr>
            <w:tcW w:w="1345" w:type="dxa"/>
            <w:tcBorders>
              <w:top w:val="nil" w:sz="6" w:space="0" w:color="auto"/>
              <w:left w:val="single" w:sz="4" w:space="0" w:color="000000"/>
              <w:bottom w:val="single" w:sz="4" w:space="0" w:color="000000"/>
              <w:right w:val="single" w:sz="4" w:space="0" w:color="000000"/>
            </w:tcBorders>
            <w:shd w:val="clear" w:color="auto" w:fill="D3D3D3"/>
          </w:tcPr>
          <w:p>
            <w:pPr/>
          </w:p>
        </w:tc>
        <w:tc>
          <w:tcPr>
            <w:tcW w:w="1762" w:type="dxa"/>
            <w:vMerge/>
            <w:tcBorders>
              <w:left w:val="single" w:sz="9" w:space="0" w:color="D3D3D3"/>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2197" w:type="dxa"/>
            <w:vMerge/>
            <w:tcBorders>
              <w:left w:val="single" w:sz="4" w:space="0" w:color="000000"/>
              <w:bottom w:val="single" w:sz="4" w:space="0" w:color="000000"/>
              <w:right w:val="single" w:sz="4" w:space="0" w:color="000000"/>
            </w:tcBorders>
          </w:tcPr>
          <w:p>
            <w:pPr/>
          </w:p>
        </w:tc>
      </w:tr>
      <w:tr>
        <w:trPr>
          <w:trHeight w:val="161" w:hRule="exact"/>
        </w:trPr>
        <w:tc>
          <w:tcPr>
            <w:tcW w:w="1345" w:type="dxa"/>
            <w:tcBorders>
              <w:top w:val="single" w:sz="4" w:space="0" w:color="000000"/>
              <w:left w:val="single" w:sz="4" w:space="0" w:color="000000"/>
              <w:bottom w:val="nil" w:sz="6" w:space="0" w:color="auto"/>
              <w:right w:val="single" w:sz="4" w:space="0" w:color="000000"/>
            </w:tcBorders>
            <w:shd w:val="clear" w:color="auto" w:fill="D3D3D3"/>
          </w:tcPr>
          <w:p>
            <w:pPr/>
          </w:p>
        </w:tc>
        <w:tc>
          <w:tcPr>
            <w:tcW w:w="1762" w:type="dxa"/>
            <w:vMerge w:val="restart"/>
            <w:tcBorders>
              <w:top w:val="single" w:sz="4" w:space="0" w:color="000000"/>
              <w:left w:val="single" w:sz="9"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8" w:right="0"/>
              <w:jc w:val="left"/>
              <w:rPr>
                <w:rFonts w:ascii="Times New Roman" w:hAnsi="Times New Roman" w:cs="Times New Roman" w:eastAsia="Times New Roman" w:hint="default"/>
                <w:sz w:val="18"/>
                <w:szCs w:val="18"/>
              </w:rPr>
            </w:pPr>
            <w:r>
              <w:rPr>
                <w:rFonts w:ascii="Times New Roman"/>
                <w:sz w:val="18"/>
              </w:rPr>
              <w:t>501,557,343.75</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4" w:right="0"/>
              <w:jc w:val="left"/>
              <w:rPr>
                <w:rFonts w:ascii="Times New Roman" w:hAnsi="Times New Roman" w:cs="Times New Roman" w:eastAsia="Times New Roman" w:hint="default"/>
                <w:sz w:val="18"/>
                <w:szCs w:val="18"/>
              </w:rPr>
            </w:pPr>
            <w:r>
              <w:rPr>
                <w:rFonts w:ascii="Times New Roman"/>
                <w:sz w:val="18"/>
              </w:rPr>
              <w:t>18.18%</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18" w:right="0"/>
              <w:jc w:val="left"/>
              <w:rPr>
                <w:rFonts w:ascii="Times New Roman" w:hAnsi="Times New Roman" w:cs="Times New Roman" w:eastAsia="Times New Roman" w:hint="default"/>
                <w:sz w:val="18"/>
                <w:szCs w:val="18"/>
              </w:rPr>
            </w:pPr>
            <w:r>
              <w:rPr>
                <w:rFonts w:ascii="Times New Roman"/>
                <w:sz w:val="18"/>
              </w:rPr>
              <w:t>430,502,012.50</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04" w:right="0"/>
              <w:jc w:val="left"/>
              <w:rPr>
                <w:rFonts w:ascii="Times New Roman" w:hAnsi="Times New Roman" w:cs="Times New Roman" w:eastAsia="Times New Roman" w:hint="default"/>
                <w:sz w:val="18"/>
                <w:szCs w:val="18"/>
              </w:rPr>
            </w:pPr>
            <w:r>
              <w:rPr>
                <w:rFonts w:ascii="Times New Roman"/>
                <w:sz w:val="18"/>
              </w:rPr>
              <w:t>16.84%</w:t>
            </w:r>
          </w:p>
        </w:tc>
        <w:tc>
          <w:tcPr>
            <w:tcW w:w="99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94" w:right="0"/>
              <w:jc w:val="left"/>
              <w:rPr>
                <w:rFonts w:ascii="Times New Roman" w:hAnsi="Times New Roman" w:cs="Times New Roman" w:eastAsia="Times New Roman" w:hint="default"/>
                <w:sz w:val="18"/>
                <w:szCs w:val="18"/>
              </w:rPr>
            </w:pPr>
            <w:r>
              <w:rPr>
                <w:rFonts w:ascii="Times New Roman"/>
                <w:sz w:val="18"/>
              </w:rPr>
              <w:t>1.34%</w:t>
            </w:r>
          </w:p>
        </w:tc>
        <w:tc>
          <w:tcPr>
            <w:tcW w:w="2197"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182"/>
              <w:jc w:val="left"/>
              <w:rPr>
                <w:rFonts w:ascii="宋体" w:hAnsi="宋体" w:cs="宋体" w:eastAsia="宋体" w:hint="default"/>
                <w:sz w:val="18"/>
                <w:szCs w:val="18"/>
              </w:rPr>
            </w:pPr>
            <w:r>
              <w:rPr>
                <w:rFonts w:ascii="宋体" w:hAnsi="宋体" w:cs="宋体" w:eastAsia="宋体" w:hint="default"/>
                <w:sz w:val="18"/>
                <w:szCs w:val="18"/>
              </w:rPr>
              <w:t>主要是报告期短期信用借 款增加。</w:t>
            </w:r>
          </w:p>
        </w:tc>
      </w:tr>
      <w:tr>
        <w:trPr>
          <w:trHeight w:val="392" w:hRule="exact"/>
        </w:trPr>
        <w:tc>
          <w:tcPr>
            <w:tcW w:w="134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762" w:type="dxa"/>
            <w:vMerge/>
            <w:tcBorders>
              <w:left w:val="single" w:sz="9" w:space="0" w:color="D3D3D3"/>
              <w:right w:val="single" w:sz="4" w:space="0" w:color="000000"/>
            </w:tcBorders>
          </w:tcPr>
          <w:p>
            <w:pPr/>
          </w:p>
        </w:tc>
        <w:tc>
          <w:tcPr>
            <w:tcW w:w="992"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992" w:type="dxa"/>
            <w:vMerge/>
            <w:tcBorders>
              <w:left w:val="single" w:sz="4" w:space="0" w:color="000000"/>
              <w:right w:val="single" w:sz="4" w:space="0" w:color="000000"/>
            </w:tcBorders>
          </w:tcPr>
          <w:p>
            <w:pPr/>
          </w:p>
        </w:tc>
        <w:tc>
          <w:tcPr>
            <w:tcW w:w="2197" w:type="dxa"/>
            <w:vMerge/>
            <w:tcBorders>
              <w:left w:val="single" w:sz="4" w:space="0" w:color="000000"/>
              <w:right w:val="single" w:sz="4" w:space="0" w:color="000000"/>
            </w:tcBorders>
          </w:tcPr>
          <w:p>
            <w:pPr/>
          </w:p>
        </w:tc>
      </w:tr>
      <w:tr>
        <w:trPr>
          <w:trHeight w:val="161" w:hRule="exact"/>
        </w:trPr>
        <w:tc>
          <w:tcPr>
            <w:tcW w:w="1345" w:type="dxa"/>
            <w:tcBorders>
              <w:top w:val="nil" w:sz="6" w:space="0" w:color="auto"/>
              <w:left w:val="single" w:sz="4" w:space="0" w:color="000000"/>
              <w:bottom w:val="single" w:sz="4" w:space="0" w:color="000000"/>
              <w:right w:val="single" w:sz="4" w:space="0" w:color="000000"/>
            </w:tcBorders>
            <w:shd w:val="clear" w:color="auto" w:fill="D3D3D3"/>
          </w:tcPr>
          <w:p>
            <w:pPr/>
          </w:p>
        </w:tc>
        <w:tc>
          <w:tcPr>
            <w:tcW w:w="1762" w:type="dxa"/>
            <w:vMerge/>
            <w:tcBorders>
              <w:left w:val="single" w:sz="9" w:space="0" w:color="D3D3D3"/>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992" w:type="dxa"/>
            <w:vMerge/>
            <w:tcBorders>
              <w:left w:val="single" w:sz="4" w:space="0" w:color="000000"/>
              <w:bottom w:val="single" w:sz="4" w:space="0" w:color="000000"/>
              <w:right w:val="single" w:sz="4" w:space="0" w:color="000000"/>
            </w:tcBorders>
          </w:tcPr>
          <w:p>
            <w:pPr/>
          </w:p>
        </w:tc>
        <w:tc>
          <w:tcPr>
            <w:tcW w:w="2197" w:type="dxa"/>
            <w:vMerge/>
            <w:tcBorders>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rFonts w:ascii="Arial" w:hAnsi="Arial" w:cs="Arial" w:eastAsia="Arial" w:hint="default"/>
        </w:rPr>
        <w:t>2</w:t>
      </w:r>
      <w:r>
        <w:rPr/>
        <w:t>、以公允价值计量的资产和负债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pStyle w:val="BodyText"/>
        <w:spacing w:line="240" w:lineRule="auto" w:before="103"/>
        <w:ind w:left="0" w:right="1131"/>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828"/>
        <w:gridCol w:w="1351"/>
        <w:gridCol w:w="1211"/>
        <w:gridCol w:w="1276"/>
        <w:gridCol w:w="709"/>
        <w:gridCol w:w="1163"/>
        <w:gridCol w:w="1254"/>
        <w:gridCol w:w="413"/>
        <w:gridCol w:w="1351"/>
      </w:tblGrid>
      <w:tr>
        <w:trPr>
          <w:trHeight w:val="161" w:hRule="exact"/>
        </w:trPr>
        <w:tc>
          <w:tcPr>
            <w:tcW w:w="828" w:type="dxa"/>
            <w:vMerge w:val="restart"/>
            <w:tcBorders>
              <w:top w:val="single" w:sz="4" w:space="0" w:color="000000"/>
              <w:left w:val="single" w:sz="4" w:space="0" w:color="000000"/>
              <w:right w:val="single" w:sz="4" w:space="0" w:color="000000"/>
            </w:tcBorders>
            <w:shd w:val="clear" w:color="auto" w:fill="D3D3D3"/>
          </w:tcPr>
          <w:p>
            <w:pPr/>
          </w:p>
        </w:tc>
        <w:tc>
          <w:tcPr>
            <w:tcW w:w="1351" w:type="dxa"/>
            <w:vMerge w:val="restart"/>
            <w:tcBorders>
              <w:top w:val="single" w:sz="4" w:space="0" w:color="000000"/>
              <w:left w:val="single" w:sz="4" w:space="0" w:color="000000"/>
              <w:right w:val="single" w:sz="4" w:space="0" w:color="000000"/>
            </w:tcBorders>
            <w:shd w:val="clear" w:color="auto" w:fill="D3D3D3"/>
          </w:tcPr>
          <w:p>
            <w:pPr/>
          </w:p>
        </w:tc>
        <w:tc>
          <w:tcPr>
            <w:tcW w:w="1211" w:type="dxa"/>
            <w:tcBorders>
              <w:top w:val="single" w:sz="4" w:space="0" w:color="000000"/>
              <w:left w:val="single" w:sz="4" w:space="0" w:color="000000"/>
              <w:bottom w:val="nil" w:sz="6" w:space="0" w:color="auto"/>
              <w:right w:val="single" w:sz="4" w:space="0" w:color="000000"/>
            </w:tcBorders>
            <w:shd w:val="clear" w:color="auto" w:fill="D3D3D3"/>
          </w:tcPr>
          <w:p>
            <w:pP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70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0" w:right="77"/>
              <w:jc w:val="center"/>
              <w:rPr>
                <w:rFonts w:ascii="宋体" w:hAnsi="宋体" w:cs="宋体" w:eastAsia="宋体" w:hint="default"/>
                <w:sz w:val="18"/>
                <w:szCs w:val="18"/>
              </w:rPr>
            </w:pPr>
            <w:r>
              <w:rPr>
                <w:rFonts w:ascii="宋体" w:hAnsi="宋体" w:cs="宋体" w:eastAsia="宋体" w:hint="default"/>
                <w:sz w:val="18"/>
                <w:szCs w:val="18"/>
              </w:rPr>
              <w:t>本期计 提的减 值</w:t>
            </w:r>
          </w:p>
        </w:tc>
        <w:tc>
          <w:tcPr>
            <w:tcW w:w="1163" w:type="dxa"/>
            <w:vMerge w:val="restart"/>
            <w:tcBorders>
              <w:top w:val="single" w:sz="4" w:space="0" w:color="000000"/>
              <w:left w:val="single" w:sz="4" w:space="0" w:color="000000"/>
              <w:right w:val="single" w:sz="4" w:space="0" w:color="000000"/>
            </w:tcBorders>
            <w:shd w:val="clear" w:color="auto" w:fill="D3D3D3"/>
          </w:tcPr>
          <w:p>
            <w:pPr/>
          </w:p>
        </w:tc>
        <w:tc>
          <w:tcPr>
            <w:tcW w:w="1254" w:type="dxa"/>
            <w:vMerge w:val="restart"/>
            <w:tcBorders>
              <w:top w:val="single" w:sz="4" w:space="0" w:color="000000"/>
              <w:left w:val="single" w:sz="4" w:space="0" w:color="000000"/>
              <w:right w:val="single" w:sz="4" w:space="0" w:color="000000"/>
            </w:tcBorders>
            <w:shd w:val="clear" w:color="auto" w:fill="D3D3D3"/>
          </w:tcPr>
          <w:p>
            <w:pPr/>
          </w:p>
        </w:tc>
        <w:tc>
          <w:tcPr>
            <w:tcW w:w="413" w:type="dxa"/>
            <w:tcBorders>
              <w:top w:val="single" w:sz="4" w:space="0" w:color="000000"/>
              <w:left w:val="single" w:sz="4" w:space="0" w:color="000000"/>
              <w:bottom w:val="nil" w:sz="6" w:space="0" w:color="auto"/>
              <w:right w:val="single" w:sz="4" w:space="0" w:color="000000"/>
            </w:tcBorders>
            <w:shd w:val="clear" w:color="auto" w:fill="D3D3D3"/>
          </w:tcPr>
          <w:p>
            <w:pPr/>
          </w:p>
        </w:tc>
        <w:tc>
          <w:tcPr>
            <w:tcW w:w="1351" w:type="dxa"/>
            <w:vMerge w:val="restart"/>
            <w:tcBorders>
              <w:top w:val="single" w:sz="4" w:space="0" w:color="000000"/>
              <w:left w:val="single" w:sz="4" w:space="0" w:color="000000"/>
              <w:right w:val="single" w:sz="4" w:space="0" w:color="000000"/>
            </w:tcBorders>
            <w:shd w:val="clear" w:color="auto" w:fill="D3D3D3"/>
          </w:tcPr>
          <w:p>
            <w:pPr/>
          </w:p>
        </w:tc>
      </w:tr>
      <w:tr>
        <w:trPr>
          <w:trHeight w:val="156" w:hRule="exact"/>
        </w:trPr>
        <w:tc>
          <w:tcPr>
            <w:tcW w:w="828" w:type="dxa"/>
            <w:vMerge/>
            <w:tcBorders>
              <w:left w:val="single" w:sz="4" w:space="0" w:color="000000"/>
              <w:bottom w:val="nil" w:sz="6" w:space="0" w:color="auto"/>
              <w:right w:val="single" w:sz="4" w:space="0" w:color="000000"/>
            </w:tcBorders>
            <w:shd w:val="clear" w:color="auto" w:fill="D3D3D3"/>
          </w:tcPr>
          <w:p>
            <w:pPr/>
          </w:p>
        </w:tc>
        <w:tc>
          <w:tcPr>
            <w:tcW w:w="1351" w:type="dxa"/>
            <w:vMerge/>
            <w:tcBorders>
              <w:left w:val="single" w:sz="4" w:space="0" w:color="000000"/>
              <w:bottom w:val="nil" w:sz="6" w:space="0" w:color="auto"/>
              <w:right w:val="single" w:sz="4" w:space="0" w:color="000000"/>
            </w:tcBorders>
            <w:shd w:val="clear" w:color="auto" w:fill="D3D3D3"/>
          </w:tcPr>
          <w:p>
            <w:pPr/>
          </w:p>
        </w:tc>
        <w:tc>
          <w:tcPr>
            <w:tcW w:w="1211"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37" w:right="61"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276" w:type="dxa"/>
            <w:vMerge/>
            <w:tcBorders>
              <w:left w:val="single" w:sz="4" w:space="0" w:color="000000"/>
              <w:right w:val="single" w:sz="4" w:space="0" w:color="000000"/>
            </w:tcBorders>
            <w:shd w:val="clear" w:color="auto" w:fill="D3D3D3"/>
          </w:tcPr>
          <w:p>
            <w:pPr/>
          </w:p>
        </w:tc>
        <w:tc>
          <w:tcPr>
            <w:tcW w:w="709" w:type="dxa"/>
            <w:vMerge/>
            <w:tcBorders>
              <w:left w:val="single" w:sz="4" w:space="0" w:color="000000"/>
              <w:right w:val="single" w:sz="4" w:space="0" w:color="000000"/>
            </w:tcBorders>
            <w:shd w:val="clear" w:color="auto" w:fill="D3D3D3"/>
          </w:tcPr>
          <w:p>
            <w:pPr/>
          </w:p>
        </w:tc>
        <w:tc>
          <w:tcPr>
            <w:tcW w:w="1163" w:type="dxa"/>
            <w:vMerge/>
            <w:tcBorders>
              <w:left w:val="single" w:sz="4" w:space="0" w:color="000000"/>
              <w:bottom w:val="nil" w:sz="6" w:space="0" w:color="auto"/>
              <w:right w:val="single" w:sz="4" w:space="0" w:color="000000"/>
            </w:tcBorders>
            <w:shd w:val="clear" w:color="auto" w:fill="D3D3D3"/>
          </w:tcPr>
          <w:p>
            <w:pPr/>
          </w:p>
        </w:tc>
        <w:tc>
          <w:tcPr>
            <w:tcW w:w="1254" w:type="dxa"/>
            <w:vMerge/>
            <w:tcBorders>
              <w:left w:val="single" w:sz="4" w:space="0" w:color="000000"/>
              <w:bottom w:val="nil" w:sz="6" w:space="0" w:color="auto"/>
              <w:right w:val="single" w:sz="4" w:space="0" w:color="000000"/>
            </w:tcBorders>
            <w:shd w:val="clear" w:color="auto" w:fill="D3D3D3"/>
          </w:tcPr>
          <w:p>
            <w:pPr/>
          </w:p>
        </w:tc>
        <w:tc>
          <w:tcPr>
            <w:tcW w:w="413"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0" w:right="20"/>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351" w:type="dxa"/>
            <w:vMerge/>
            <w:tcBorders>
              <w:left w:val="single" w:sz="4" w:space="0" w:color="000000"/>
              <w:bottom w:val="nil" w:sz="6" w:space="0" w:color="auto"/>
              <w:right w:val="single" w:sz="4" w:space="0" w:color="000000"/>
            </w:tcBorders>
            <w:shd w:val="clear" w:color="auto" w:fill="D3D3D3"/>
          </w:tcPr>
          <w:p>
            <w:pPr/>
          </w:p>
        </w:tc>
      </w:tr>
      <w:tr>
        <w:trPr>
          <w:trHeight w:val="392" w:hRule="exact"/>
        </w:trPr>
        <w:tc>
          <w:tcPr>
            <w:tcW w:w="82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402"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11" w:type="dxa"/>
            <w:vMerge/>
            <w:tcBorders>
              <w:left w:val="single" w:sz="4" w:space="0" w:color="000000"/>
              <w:right w:val="single" w:sz="4" w:space="0" w:color="000000"/>
            </w:tcBorders>
            <w:shd w:val="clear" w:color="auto" w:fill="D3D3D3"/>
          </w:tcPr>
          <w:p>
            <w:pPr/>
          </w:p>
        </w:tc>
        <w:tc>
          <w:tcPr>
            <w:tcW w:w="1276" w:type="dxa"/>
            <w:vMerge/>
            <w:tcBorders>
              <w:left w:val="single" w:sz="4" w:space="0" w:color="000000"/>
              <w:right w:val="single" w:sz="4" w:space="0" w:color="000000"/>
            </w:tcBorders>
            <w:shd w:val="clear" w:color="auto" w:fill="D3D3D3"/>
          </w:tcPr>
          <w:p>
            <w:pPr/>
          </w:p>
        </w:tc>
        <w:tc>
          <w:tcPr>
            <w:tcW w:w="709" w:type="dxa"/>
            <w:vMerge/>
            <w:tcBorders>
              <w:left w:val="single" w:sz="4" w:space="0" w:color="000000"/>
              <w:right w:val="single" w:sz="4" w:space="0" w:color="000000"/>
            </w:tcBorders>
            <w:shd w:val="clear" w:color="auto" w:fill="D3D3D3"/>
          </w:tcPr>
          <w:p>
            <w:pPr/>
          </w:p>
        </w:tc>
        <w:tc>
          <w:tcPr>
            <w:tcW w:w="116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本期购买金额</w:t>
            </w:r>
          </w:p>
        </w:tc>
        <w:tc>
          <w:tcPr>
            <w:tcW w:w="12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77" w:right="0"/>
              <w:jc w:val="left"/>
              <w:rPr>
                <w:rFonts w:ascii="宋体" w:hAnsi="宋体" w:cs="宋体" w:eastAsia="宋体" w:hint="default"/>
                <w:sz w:val="18"/>
                <w:szCs w:val="18"/>
              </w:rPr>
            </w:pPr>
            <w:r>
              <w:rPr>
                <w:rFonts w:ascii="宋体" w:hAnsi="宋体" w:cs="宋体" w:eastAsia="宋体" w:hint="default"/>
                <w:sz w:val="18"/>
                <w:szCs w:val="18"/>
              </w:rPr>
              <w:t>本期出售金额</w:t>
            </w:r>
          </w:p>
        </w:tc>
        <w:tc>
          <w:tcPr>
            <w:tcW w:w="413" w:type="dxa"/>
            <w:vMerge/>
            <w:tcBorders>
              <w:left w:val="single" w:sz="4" w:space="0" w:color="000000"/>
              <w:right w:val="single" w:sz="4" w:space="0" w:color="000000"/>
            </w:tcBorders>
            <w:shd w:val="clear" w:color="auto" w:fill="D3D3D3"/>
          </w:tcPr>
          <w:p>
            <w:pPr/>
          </w:p>
        </w:tc>
        <w:tc>
          <w:tcPr>
            <w:tcW w:w="135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0"/>
              <w:ind w:left="40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828" w:type="dxa"/>
            <w:vMerge w:val="restart"/>
            <w:tcBorders>
              <w:top w:val="nil" w:sz="6" w:space="0" w:color="auto"/>
              <w:left w:val="single" w:sz="4" w:space="0" w:color="000000"/>
              <w:right w:val="single" w:sz="4" w:space="0" w:color="000000"/>
            </w:tcBorders>
            <w:shd w:val="clear" w:color="auto" w:fill="D3D3D3"/>
          </w:tcPr>
          <w:p>
            <w:pPr/>
          </w:p>
        </w:tc>
        <w:tc>
          <w:tcPr>
            <w:tcW w:w="1351" w:type="dxa"/>
            <w:vMerge w:val="restart"/>
            <w:tcBorders>
              <w:top w:val="nil" w:sz="6" w:space="0" w:color="auto"/>
              <w:left w:val="single" w:sz="4" w:space="0" w:color="000000"/>
              <w:right w:val="single" w:sz="4" w:space="0" w:color="000000"/>
            </w:tcBorders>
            <w:shd w:val="clear" w:color="auto" w:fill="D3D3D3"/>
          </w:tcPr>
          <w:p>
            <w:pPr/>
          </w:p>
        </w:tc>
        <w:tc>
          <w:tcPr>
            <w:tcW w:w="1211" w:type="dxa"/>
            <w:vMerge/>
            <w:tcBorders>
              <w:left w:val="single" w:sz="4" w:space="0" w:color="000000"/>
              <w:bottom w:val="nil" w:sz="6" w:space="0" w:color="auto"/>
              <w:right w:val="single" w:sz="4" w:space="0" w:color="000000"/>
            </w:tcBorders>
            <w:shd w:val="clear" w:color="auto" w:fill="D3D3D3"/>
          </w:tcPr>
          <w:p>
            <w:pPr/>
          </w:p>
        </w:tc>
        <w:tc>
          <w:tcPr>
            <w:tcW w:w="1276" w:type="dxa"/>
            <w:vMerge/>
            <w:tcBorders>
              <w:left w:val="single" w:sz="4" w:space="0" w:color="000000"/>
              <w:right w:val="single" w:sz="4" w:space="0" w:color="000000"/>
            </w:tcBorders>
            <w:shd w:val="clear" w:color="auto" w:fill="D3D3D3"/>
          </w:tcPr>
          <w:p>
            <w:pPr/>
          </w:p>
        </w:tc>
        <w:tc>
          <w:tcPr>
            <w:tcW w:w="709" w:type="dxa"/>
            <w:vMerge/>
            <w:tcBorders>
              <w:left w:val="single" w:sz="4" w:space="0" w:color="000000"/>
              <w:right w:val="single" w:sz="4" w:space="0" w:color="000000"/>
            </w:tcBorders>
            <w:shd w:val="clear" w:color="auto" w:fill="D3D3D3"/>
          </w:tcPr>
          <w:p>
            <w:pPr/>
          </w:p>
        </w:tc>
        <w:tc>
          <w:tcPr>
            <w:tcW w:w="1163" w:type="dxa"/>
            <w:vMerge w:val="restart"/>
            <w:tcBorders>
              <w:top w:val="nil" w:sz="6" w:space="0" w:color="auto"/>
              <w:left w:val="single" w:sz="4" w:space="0" w:color="000000"/>
              <w:right w:val="single" w:sz="4" w:space="0" w:color="000000"/>
            </w:tcBorders>
            <w:shd w:val="clear" w:color="auto" w:fill="D3D3D3"/>
          </w:tcPr>
          <w:p>
            <w:pPr/>
          </w:p>
        </w:tc>
        <w:tc>
          <w:tcPr>
            <w:tcW w:w="1254" w:type="dxa"/>
            <w:vMerge w:val="restart"/>
            <w:tcBorders>
              <w:top w:val="nil" w:sz="6" w:space="0" w:color="auto"/>
              <w:left w:val="single" w:sz="4" w:space="0" w:color="000000"/>
              <w:right w:val="single" w:sz="4" w:space="0" w:color="000000"/>
            </w:tcBorders>
            <w:shd w:val="clear" w:color="auto" w:fill="D3D3D3"/>
          </w:tcPr>
          <w:p>
            <w:pPr/>
          </w:p>
        </w:tc>
        <w:tc>
          <w:tcPr>
            <w:tcW w:w="413" w:type="dxa"/>
            <w:vMerge/>
            <w:tcBorders>
              <w:left w:val="single" w:sz="4" w:space="0" w:color="000000"/>
              <w:bottom w:val="nil" w:sz="6" w:space="0" w:color="auto"/>
              <w:right w:val="single" w:sz="4" w:space="0" w:color="000000"/>
            </w:tcBorders>
            <w:shd w:val="clear" w:color="auto" w:fill="D3D3D3"/>
          </w:tcPr>
          <w:p>
            <w:pPr/>
          </w:p>
        </w:tc>
        <w:tc>
          <w:tcPr>
            <w:tcW w:w="1351"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828" w:type="dxa"/>
            <w:vMerge/>
            <w:tcBorders>
              <w:left w:val="single" w:sz="4" w:space="0" w:color="000000"/>
              <w:bottom w:val="single" w:sz="4" w:space="0" w:color="000000"/>
              <w:right w:val="single" w:sz="4" w:space="0" w:color="000000"/>
            </w:tcBorders>
            <w:shd w:val="clear" w:color="auto" w:fill="D3D3D3"/>
          </w:tcPr>
          <w:p>
            <w:pPr/>
          </w:p>
        </w:tc>
        <w:tc>
          <w:tcPr>
            <w:tcW w:w="1351" w:type="dxa"/>
            <w:vMerge/>
            <w:tcBorders>
              <w:left w:val="single" w:sz="4" w:space="0" w:color="000000"/>
              <w:bottom w:val="single" w:sz="4" w:space="0" w:color="000000"/>
              <w:right w:val="single" w:sz="4" w:space="0" w:color="000000"/>
            </w:tcBorders>
            <w:shd w:val="clear" w:color="auto" w:fill="D3D3D3"/>
          </w:tcPr>
          <w:p>
            <w:pPr/>
          </w:p>
        </w:tc>
        <w:tc>
          <w:tcPr>
            <w:tcW w:w="1211" w:type="dxa"/>
            <w:tcBorders>
              <w:top w:val="nil" w:sz="6" w:space="0" w:color="auto"/>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c>
          <w:tcPr>
            <w:tcW w:w="709" w:type="dxa"/>
            <w:vMerge/>
            <w:tcBorders>
              <w:left w:val="single" w:sz="4" w:space="0" w:color="000000"/>
              <w:bottom w:val="single" w:sz="4" w:space="0" w:color="000000"/>
              <w:right w:val="single" w:sz="4" w:space="0" w:color="000000"/>
            </w:tcBorders>
            <w:shd w:val="clear" w:color="auto" w:fill="D3D3D3"/>
          </w:tcPr>
          <w:p>
            <w:pPr/>
          </w:p>
        </w:tc>
        <w:tc>
          <w:tcPr>
            <w:tcW w:w="1163" w:type="dxa"/>
            <w:vMerge/>
            <w:tcBorders>
              <w:left w:val="single" w:sz="4" w:space="0" w:color="000000"/>
              <w:bottom w:val="single" w:sz="4" w:space="0" w:color="000000"/>
              <w:right w:val="single" w:sz="4" w:space="0" w:color="000000"/>
            </w:tcBorders>
            <w:shd w:val="clear" w:color="auto" w:fill="D3D3D3"/>
          </w:tcPr>
          <w:p>
            <w:pPr/>
          </w:p>
        </w:tc>
        <w:tc>
          <w:tcPr>
            <w:tcW w:w="1254" w:type="dxa"/>
            <w:vMerge/>
            <w:tcBorders>
              <w:left w:val="single" w:sz="4" w:space="0" w:color="000000"/>
              <w:bottom w:val="single" w:sz="4" w:space="0" w:color="000000"/>
              <w:right w:val="single" w:sz="4" w:space="0" w:color="000000"/>
            </w:tcBorders>
            <w:shd w:val="clear" w:color="auto" w:fill="D3D3D3"/>
          </w:tcPr>
          <w:p>
            <w:pPr/>
          </w:p>
        </w:tc>
        <w:tc>
          <w:tcPr>
            <w:tcW w:w="413" w:type="dxa"/>
            <w:tcBorders>
              <w:top w:val="nil" w:sz="6" w:space="0" w:color="auto"/>
              <w:left w:val="single" w:sz="4" w:space="0" w:color="000000"/>
              <w:bottom w:val="single" w:sz="4" w:space="0" w:color="000000"/>
              <w:right w:val="single" w:sz="4" w:space="0" w:color="000000"/>
            </w:tcBorders>
            <w:shd w:val="clear" w:color="auto" w:fill="D3D3D3"/>
          </w:tcPr>
          <w:p>
            <w:pPr/>
          </w:p>
        </w:tc>
        <w:tc>
          <w:tcPr>
            <w:tcW w:w="1351"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8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3"/>
              <w:jc w:val="center"/>
              <w:rPr>
                <w:rFonts w:ascii="宋体" w:hAnsi="宋体" w:cs="宋体" w:eastAsia="宋体" w:hint="default"/>
                <w:sz w:val="18"/>
                <w:szCs w:val="18"/>
              </w:rPr>
            </w:pPr>
            <w:r>
              <w:rPr>
                <w:rFonts w:ascii="宋体" w:hAnsi="宋体" w:cs="宋体" w:eastAsia="宋体" w:hint="default"/>
                <w:sz w:val="18"/>
                <w:szCs w:val="18"/>
              </w:rPr>
              <w:t>金融资产</w:t>
            </w:r>
          </w:p>
        </w:tc>
        <w:tc>
          <w:tcPr>
            <w:tcW w:w="8728" w:type="dxa"/>
            <w:gridSpan w:val="8"/>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1650" w:hRule="exact"/>
        </w:trPr>
        <w:tc>
          <w:tcPr>
            <w:tcW w:w="8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0" w:lineRule="auto" w:before="51"/>
              <w:ind w:left="11" w:right="86"/>
              <w:jc w:val="both"/>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交易性 金融资产</w:t>
            </w:r>
          </w:p>
          <w:p>
            <w:pPr>
              <w:pStyle w:val="TableParagraph"/>
              <w:spacing w:line="319" w:lineRule="auto" w:before="31"/>
              <w:ind w:left="11" w:right="86"/>
              <w:jc w:val="both"/>
              <w:rPr>
                <w:rFonts w:ascii="宋体" w:hAnsi="宋体" w:cs="宋体" w:eastAsia="宋体" w:hint="default"/>
                <w:sz w:val="18"/>
                <w:szCs w:val="18"/>
              </w:rPr>
            </w:pPr>
            <w:r>
              <w:rPr>
                <w:rFonts w:ascii="宋体" w:hAnsi="宋体" w:cs="宋体" w:eastAsia="宋体" w:hint="default"/>
                <w:sz w:val="18"/>
                <w:szCs w:val="18"/>
              </w:rPr>
              <w:t>（不含衍 生金融资 产）</w:t>
            </w:r>
          </w:p>
        </w:tc>
        <w:tc>
          <w:tcPr>
            <w:tcW w:w="13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7"/>
              <w:jc w:val="right"/>
              <w:rPr>
                <w:rFonts w:ascii="Arial" w:hAnsi="Arial" w:cs="Arial" w:eastAsia="Arial" w:hint="default"/>
                <w:sz w:val="18"/>
                <w:szCs w:val="18"/>
              </w:rPr>
            </w:pPr>
            <w:r>
              <w:rPr>
                <w:rFonts w:ascii="Arial"/>
                <w:spacing w:val="-1"/>
                <w:sz w:val="18"/>
              </w:rPr>
              <w:t>408,340,000.00</w:t>
            </w:r>
          </w:p>
        </w:tc>
        <w:tc>
          <w:tcPr>
            <w:tcW w:w="1211" w:type="dxa"/>
            <w:tcBorders>
              <w:top w:val="single" w:sz="4" w:space="0" w:color="000000"/>
              <w:left w:val="single" w:sz="4" w:space="0" w:color="000000"/>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1,532,500,000.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00</w:t>
            </w:r>
          </w:p>
        </w:tc>
        <w:tc>
          <w:tcPr>
            <w:tcW w:w="12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1,620,020,000.0</w:t>
            </w:r>
          </w:p>
          <w:p>
            <w:pPr>
              <w:pStyle w:val="TableParagraph"/>
              <w:spacing w:line="240" w:lineRule="auto" w:before="105"/>
              <w:ind w:right="27"/>
              <w:jc w:val="right"/>
              <w:rPr>
                <w:rFonts w:ascii="Times New Roman" w:hAnsi="Times New Roman" w:cs="Times New Roman" w:eastAsia="Times New Roman" w:hint="default"/>
                <w:sz w:val="18"/>
                <w:szCs w:val="18"/>
              </w:rPr>
            </w:pPr>
            <w:r>
              <w:rPr>
                <w:rFonts w:ascii="Times New Roman"/>
                <w:sz w:val="18"/>
              </w:rPr>
              <w:t>0</w:t>
            </w:r>
          </w:p>
        </w:tc>
        <w:tc>
          <w:tcPr>
            <w:tcW w:w="413"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320,820,000.00</w:t>
            </w:r>
          </w:p>
        </w:tc>
      </w:tr>
      <w:tr>
        <w:trPr>
          <w:trHeight w:val="1026" w:hRule="exact"/>
        </w:trPr>
        <w:tc>
          <w:tcPr>
            <w:tcW w:w="8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11" w:right="86"/>
              <w:jc w:val="both"/>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其他权 益工具投 资</w:t>
            </w:r>
          </w:p>
        </w:tc>
        <w:tc>
          <w:tcPr>
            <w:tcW w:w="13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9"/>
              <w:jc w:val="right"/>
              <w:rPr>
                <w:rFonts w:ascii="Arial" w:hAnsi="Arial" w:cs="Arial" w:eastAsia="Arial" w:hint="default"/>
                <w:sz w:val="18"/>
                <w:szCs w:val="18"/>
              </w:rPr>
            </w:pPr>
            <w:r>
              <w:rPr>
                <w:rFonts w:ascii="Arial"/>
                <w:spacing w:val="-1"/>
                <w:sz w:val="18"/>
              </w:rPr>
              <w:t>78,722,530.86</w:t>
            </w:r>
            <w:r>
              <w:rPr>
                <w:rFonts w:ascii="Arial"/>
                <w:sz w:val="18"/>
              </w:rPr>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9,683,832.64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92" w:right="0"/>
              <w:jc w:val="left"/>
              <w:rPr>
                <w:rFonts w:ascii="Arial" w:hAnsi="Arial" w:cs="Arial" w:eastAsia="Arial" w:hint="default"/>
                <w:sz w:val="18"/>
                <w:szCs w:val="18"/>
              </w:rPr>
            </w:pPr>
            <w:r>
              <w:rPr>
                <w:rFonts w:ascii="Arial"/>
                <w:sz w:val="18"/>
              </w:rPr>
              <w:t>40,506,363.50</w:t>
            </w:r>
          </w:p>
        </w:tc>
        <w:tc>
          <w:tcPr>
            <w:tcW w:w="70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3" w:right="0"/>
              <w:jc w:val="center"/>
              <w:rPr>
                <w:rFonts w:ascii="Arial" w:hAnsi="Arial" w:cs="Arial" w:eastAsia="Arial" w:hint="default"/>
                <w:sz w:val="18"/>
                <w:szCs w:val="18"/>
              </w:rPr>
            </w:pPr>
            <w:r>
              <w:rPr>
                <w:rFonts w:ascii="Arial"/>
                <w:sz w:val="18"/>
              </w:rPr>
              <w:t>7,500,000.00</w:t>
            </w:r>
          </w:p>
        </w:tc>
        <w:tc>
          <w:tcPr>
            <w:tcW w:w="1254"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sz w:val="18"/>
              </w:rPr>
              <w:t>95,906,363.50</w:t>
            </w:r>
            <w:r>
              <w:rPr>
                <w:rFonts w:ascii="Arial"/>
                <w:sz w:val="18"/>
              </w:rPr>
            </w:r>
          </w:p>
        </w:tc>
      </w:tr>
      <w:tr>
        <w:trPr>
          <w:trHeight w:val="161" w:hRule="exact"/>
        </w:trPr>
        <w:tc>
          <w:tcPr>
            <w:tcW w:w="82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51" w:type="dxa"/>
            <w:vMerge w:val="restart"/>
            <w:tcBorders>
              <w:top w:val="single" w:sz="4" w:space="0" w:color="000000"/>
              <w:left w:val="single" w:sz="9" w:space="0" w:color="D3D3D3"/>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Arial" w:hAnsi="Arial" w:cs="Arial" w:eastAsia="Arial" w:hint="default"/>
                <w:sz w:val="18"/>
                <w:szCs w:val="18"/>
              </w:rPr>
            </w:pPr>
            <w:r>
              <w:rPr>
                <w:rFonts w:ascii="Arial"/>
                <w:sz w:val="18"/>
              </w:rPr>
              <w:t>487,062,530.86</w:t>
            </w:r>
          </w:p>
        </w:tc>
        <w:tc>
          <w:tcPr>
            <w:tcW w:w="121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7" w:right="0"/>
              <w:jc w:val="left"/>
              <w:rPr>
                <w:rFonts w:ascii="Arial" w:hAnsi="Arial" w:cs="Arial" w:eastAsia="Arial" w:hint="default"/>
                <w:sz w:val="18"/>
                <w:szCs w:val="18"/>
              </w:rPr>
            </w:pPr>
            <w:r>
              <w:rPr>
                <w:rFonts w:ascii="Arial"/>
                <w:sz w:val="18"/>
              </w:rPr>
              <w:t>9,683,832.64</w:t>
            </w:r>
          </w:p>
        </w:tc>
        <w:tc>
          <w:tcPr>
            <w:tcW w:w="127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Arial" w:hAnsi="Arial" w:cs="Arial" w:eastAsia="Arial" w:hint="default"/>
                <w:sz w:val="18"/>
                <w:szCs w:val="18"/>
              </w:rPr>
            </w:pPr>
            <w:r>
              <w:rPr>
                <w:rFonts w:ascii="Arial"/>
                <w:sz w:val="18"/>
              </w:rPr>
              <w:t>40,506,363.50</w:t>
            </w:r>
          </w:p>
        </w:tc>
        <w:tc>
          <w:tcPr>
            <w:tcW w:w="709"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26" w:right="0"/>
              <w:jc w:val="left"/>
              <w:rPr>
                <w:rFonts w:ascii="Arial" w:hAnsi="Arial" w:cs="Arial" w:eastAsia="Arial" w:hint="default"/>
                <w:sz w:val="18"/>
                <w:szCs w:val="18"/>
              </w:rPr>
            </w:pPr>
            <w:r>
              <w:rPr>
                <w:rFonts w:ascii="Arial"/>
                <w:sz w:val="18"/>
              </w:rPr>
              <w:t>0.00</w:t>
            </w:r>
          </w:p>
        </w:tc>
        <w:tc>
          <w:tcPr>
            <w:tcW w:w="1163"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1,540,000,00</w:t>
            </w:r>
          </w:p>
          <w:p>
            <w:pPr>
              <w:pStyle w:val="TableParagraph"/>
              <w:spacing w:line="240" w:lineRule="auto" w:before="105"/>
              <w:ind w:right="23"/>
              <w:jc w:val="right"/>
              <w:rPr>
                <w:rFonts w:ascii="Arial" w:hAnsi="Arial" w:cs="Arial" w:eastAsia="Arial" w:hint="default"/>
                <w:sz w:val="18"/>
                <w:szCs w:val="18"/>
              </w:rPr>
            </w:pPr>
            <w:r>
              <w:rPr>
                <w:rFonts w:ascii="Arial"/>
                <w:spacing w:val="-1"/>
                <w:w w:val="95"/>
                <w:sz w:val="18"/>
              </w:rPr>
              <w:t>0.00</w:t>
            </w:r>
            <w:r>
              <w:rPr>
                <w:rFonts w:ascii="Arial"/>
                <w:w w:val="95"/>
                <w:sz w:val="18"/>
              </w:rPr>
            </w:r>
          </w:p>
        </w:tc>
        <w:tc>
          <w:tcPr>
            <w:tcW w:w="1254" w:type="dxa"/>
            <w:vMerge w:val="restart"/>
            <w:tcBorders>
              <w:top w:val="single" w:sz="4" w:space="0" w:color="000000"/>
              <w:left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1,620,020,000.0</w:t>
            </w:r>
          </w:p>
          <w:p>
            <w:pPr>
              <w:pStyle w:val="TableParagraph"/>
              <w:spacing w:line="240" w:lineRule="auto" w:before="105"/>
              <w:ind w:right="27"/>
              <w:jc w:val="right"/>
              <w:rPr>
                <w:rFonts w:ascii="Times New Roman" w:hAnsi="Times New Roman" w:cs="Times New Roman" w:eastAsia="Times New Roman" w:hint="default"/>
                <w:sz w:val="18"/>
                <w:szCs w:val="18"/>
              </w:rPr>
            </w:pPr>
            <w:r>
              <w:rPr>
                <w:rFonts w:ascii="Times New Roman"/>
                <w:sz w:val="18"/>
              </w:rPr>
              <w:t>0</w:t>
            </w:r>
          </w:p>
        </w:tc>
        <w:tc>
          <w:tcPr>
            <w:tcW w:w="41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5" w:right="0"/>
              <w:jc w:val="left"/>
              <w:rPr>
                <w:rFonts w:ascii="Arial" w:hAnsi="Arial" w:cs="Arial" w:eastAsia="Arial" w:hint="default"/>
                <w:sz w:val="18"/>
                <w:szCs w:val="18"/>
              </w:rPr>
            </w:pPr>
            <w:r>
              <w:rPr>
                <w:rFonts w:ascii="Arial"/>
                <w:sz w:val="18"/>
              </w:rPr>
              <w:t>0.00</w:t>
            </w:r>
          </w:p>
        </w:tc>
        <w:tc>
          <w:tcPr>
            <w:tcW w:w="1351"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8" w:right="0"/>
              <w:jc w:val="left"/>
              <w:rPr>
                <w:rFonts w:ascii="Arial" w:hAnsi="Arial" w:cs="Arial" w:eastAsia="Arial" w:hint="default"/>
                <w:sz w:val="18"/>
                <w:szCs w:val="18"/>
              </w:rPr>
            </w:pPr>
            <w:r>
              <w:rPr>
                <w:rFonts w:ascii="Arial"/>
                <w:sz w:val="18"/>
              </w:rPr>
              <w:t>416,726,363.50</w:t>
            </w:r>
          </w:p>
        </w:tc>
      </w:tr>
      <w:tr>
        <w:trPr>
          <w:trHeight w:val="392" w:hRule="exact"/>
        </w:trPr>
        <w:tc>
          <w:tcPr>
            <w:tcW w:w="82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73"/>
              <w:jc w:val="center"/>
              <w:rPr>
                <w:rFonts w:ascii="宋体" w:hAnsi="宋体" w:cs="宋体" w:eastAsia="宋体" w:hint="default"/>
                <w:sz w:val="18"/>
                <w:szCs w:val="18"/>
              </w:rPr>
            </w:pPr>
            <w:r>
              <w:rPr>
                <w:rFonts w:ascii="宋体" w:hAnsi="宋体" w:cs="宋体" w:eastAsia="宋体" w:hint="default"/>
                <w:sz w:val="18"/>
                <w:szCs w:val="18"/>
              </w:rPr>
              <w:t>上述合计</w:t>
            </w:r>
          </w:p>
        </w:tc>
        <w:tc>
          <w:tcPr>
            <w:tcW w:w="1351" w:type="dxa"/>
            <w:vMerge/>
            <w:tcBorders>
              <w:left w:val="single" w:sz="9" w:space="0" w:color="D3D3D3"/>
              <w:right w:val="single" w:sz="4" w:space="0" w:color="000000"/>
            </w:tcBorders>
          </w:tcPr>
          <w:p>
            <w:pPr/>
          </w:p>
        </w:tc>
        <w:tc>
          <w:tcPr>
            <w:tcW w:w="1211" w:type="dxa"/>
            <w:vMerge/>
            <w:tcBorders>
              <w:left w:val="single" w:sz="4" w:space="0" w:color="000000"/>
              <w:right w:val="single" w:sz="4" w:space="0" w:color="000000"/>
            </w:tcBorders>
          </w:tcPr>
          <w:p>
            <w:pPr/>
          </w:p>
        </w:tc>
        <w:tc>
          <w:tcPr>
            <w:tcW w:w="127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1163" w:type="dxa"/>
            <w:vMerge/>
            <w:tcBorders>
              <w:left w:val="single" w:sz="4" w:space="0" w:color="000000"/>
              <w:right w:val="single" w:sz="4" w:space="0" w:color="000000"/>
            </w:tcBorders>
          </w:tcPr>
          <w:p>
            <w:pPr/>
          </w:p>
        </w:tc>
        <w:tc>
          <w:tcPr>
            <w:tcW w:w="1254" w:type="dxa"/>
            <w:vMerge/>
            <w:tcBorders>
              <w:left w:val="single" w:sz="4" w:space="0" w:color="000000"/>
              <w:right w:val="single" w:sz="4" w:space="0" w:color="000000"/>
            </w:tcBorders>
          </w:tcPr>
          <w:p>
            <w:pPr/>
          </w:p>
        </w:tc>
        <w:tc>
          <w:tcPr>
            <w:tcW w:w="413" w:type="dxa"/>
            <w:vMerge/>
            <w:tcBorders>
              <w:left w:val="single" w:sz="4" w:space="0" w:color="000000"/>
              <w:right w:val="single" w:sz="4" w:space="0" w:color="000000"/>
            </w:tcBorders>
          </w:tcPr>
          <w:p>
            <w:pPr/>
          </w:p>
        </w:tc>
        <w:tc>
          <w:tcPr>
            <w:tcW w:w="1351" w:type="dxa"/>
            <w:vMerge/>
            <w:tcBorders>
              <w:left w:val="single" w:sz="4" w:space="0" w:color="000000"/>
              <w:right w:val="single" w:sz="4" w:space="0" w:color="000000"/>
            </w:tcBorders>
          </w:tcPr>
          <w:p>
            <w:pPr/>
          </w:p>
        </w:tc>
      </w:tr>
      <w:tr>
        <w:trPr>
          <w:trHeight w:val="161" w:hRule="exact"/>
        </w:trPr>
        <w:tc>
          <w:tcPr>
            <w:tcW w:w="82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51" w:type="dxa"/>
            <w:vMerge/>
            <w:tcBorders>
              <w:left w:val="single" w:sz="9" w:space="0" w:color="D3D3D3"/>
              <w:bottom w:val="single" w:sz="4" w:space="0" w:color="000000"/>
              <w:right w:val="single" w:sz="4" w:space="0" w:color="000000"/>
            </w:tcBorders>
          </w:tcPr>
          <w:p>
            <w:pPr/>
          </w:p>
        </w:tc>
        <w:tc>
          <w:tcPr>
            <w:tcW w:w="1211" w:type="dxa"/>
            <w:vMerge/>
            <w:tcBorders>
              <w:left w:val="single" w:sz="4" w:space="0" w:color="000000"/>
              <w:bottom w:val="single" w:sz="4" w:space="0" w:color="000000"/>
              <w:right w:val="single" w:sz="4" w:space="0" w:color="000000"/>
            </w:tcBorders>
          </w:tcPr>
          <w:p>
            <w:pPr/>
          </w:p>
        </w:tc>
        <w:tc>
          <w:tcPr>
            <w:tcW w:w="1276"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1163" w:type="dxa"/>
            <w:vMerge/>
            <w:tcBorders>
              <w:left w:val="single" w:sz="4" w:space="0" w:color="000000"/>
              <w:bottom w:val="single" w:sz="4" w:space="0" w:color="000000"/>
              <w:right w:val="single" w:sz="4" w:space="0" w:color="000000"/>
            </w:tcBorders>
          </w:tcPr>
          <w:p>
            <w:pPr/>
          </w:p>
        </w:tc>
        <w:tc>
          <w:tcPr>
            <w:tcW w:w="1254" w:type="dxa"/>
            <w:vMerge/>
            <w:tcBorders>
              <w:left w:val="single" w:sz="4" w:space="0" w:color="000000"/>
              <w:bottom w:val="single" w:sz="4" w:space="0" w:color="000000"/>
              <w:right w:val="single" w:sz="4" w:space="0" w:color="000000"/>
            </w:tcBorders>
          </w:tcPr>
          <w:p>
            <w:pPr/>
          </w:p>
        </w:tc>
        <w:tc>
          <w:tcPr>
            <w:tcW w:w="413" w:type="dxa"/>
            <w:vMerge/>
            <w:tcBorders>
              <w:left w:val="single" w:sz="4" w:space="0" w:color="000000"/>
              <w:bottom w:val="single" w:sz="4" w:space="0" w:color="000000"/>
              <w:right w:val="single" w:sz="4" w:space="0" w:color="000000"/>
            </w:tcBorders>
          </w:tcPr>
          <w:p>
            <w:pPr/>
          </w:p>
        </w:tc>
        <w:tc>
          <w:tcPr>
            <w:tcW w:w="1351" w:type="dxa"/>
            <w:vMerge/>
            <w:tcBorders>
              <w:left w:val="single" w:sz="4" w:space="0" w:color="000000"/>
              <w:bottom w:val="single" w:sz="4" w:space="0" w:color="000000"/>
              <w:right w:val="single" w:sz="4" w:space="0" w:color="000000"/>
            </w:tcBorders>
          </w:tcPr>
          <w:p>
            <w:pPr/>
          </w:p>
        </w:tc>
      </w:tr>
      <w:tr>
        <w:trPr>
          <w:trHeight w:val="402" w:hRule="exact"/>
        </w:trPr>
        <w:tc>
          <w:tcPr>
            <w:tcW w:w="8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3"/>
              <w:jc w:val="center"/>
              <w:rPr>
                <w:rFonts w:ascii="宋体" w:hAnsi="宋体" w:cs="宋体" w:eastAsia="宋体" w:hint="default"/>
                <w:sz w:val="18"/>
                <w:szCs w:val="18"/>
              </w:rPr>
            </w:pPr>
            <w:r>
              <w:rPr>
                <w:rFonts w:ascii="宋体" w:hAnsi="宋体" w:cs="宋体" w:eastAsia="宋体" w:hint="default"/>
                <w:sz w:val="18"/>
                <w:szCs w:val="18"/>
              </w:rPr>
              <w:t>金融负债</w:t>
            </w:r>
          </w:p>
        </w:tc>
        <w:tc>
          <w:tcPr>
            <w:tcW w:w="135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9"/>
              <w:jc w:val="right"/>
              <w:rPr>
                <w:rFonts w:ascii="Arial" w:hAnsi="Arial" w:cs="Arial" w:eastAsia="Arial" w:hint="default"/>
                <w:sz w:val="18"/>
                <w:szCs w:val="18"/>
              </w:rPr>
            </w:pPr>
            <w:r>
              <w:rPr>
                <w:rFonts w:ascii="Arial"/>
                <w:spacing w:val="-1"/>
                <w:w w:val="95"/>
                <w:sz w:val="18"/>
              </w:rPr>
              <w:t>0.00</w:t>
            </w:r>
            <w:r>
              <w:rPr>
                <w:rFonts w:ascii="Arial"/>
                <w:w w:val="95"/>
                <w:sz w:val="18"/>
              </w:rPr>
            </w:r>
          </w:p>
        </w:tc>
        <w:tc>
          <w:tcPr>
            <w:tcW w:w="12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0.00</w:t>
            </w:r>
            <w:r>
              <w:rPr>
                <w:rFonts w:ascii="Arial"/>
                <w:w w:val="95"/>
                <w:sz w:val="18"/>
              </w:rPr>
            </w:r>
          </w:p>
        </w:tc>
        <w:tc>
          <w:tcPr>
            <w:tcW w:w="127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1163" w:type="dxa"/>
            <w:tcBorders>
              <w:top w:val="single" w:sz="4" w:space="0" w:color="000000"/>
              <w:left w:val="single" w:sz="4" w:space="0" w:color="000000"/>
              <w:bottom w:val="single" w:sz="4" w:space="0" w:color="000000"/>
              <w:right w:val="single" w:sz="4" w:space="0" w:color="000000"/>
            </w:tcBorders>
          </w:tcPr>
          <w:p>
            <w:pPr/>
          </w:p>
        </w:tc>
        <w:tc>
          <w:tcPr>
            <w:tcW w:w="1254" w:type="dxa"/>
            <w:tcBorders>
              <w:top w:val="single" w:sz="4" w:space="0" w:color="000000"/>
              <w:left w:val="single" w:sz="4" w:space="0" w:color="000000"/>
              <w:bottom w:val="single" w:sz="4" w:space="0" w:color="000000"/>
              <w:right w:val="single" w:sz="4" w:space="0" w:color="000000"/>
            </w:tcBorders>
          </w:tcPr>
          <w:p>
            <w:pPr/>
          </w:p>
        </w:tc>
        <w:tc>
          <w:tcPr>
            <w:tcW w:w="413"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0.00</w:t>
            </w:r>
            <w:r>
              <w:rPr>
                <w:rFonts w:ascii="Arial"/>
                <w:w w:val="95"/>
                <w:sz w:val="18"/>
              </w:rPr>
            </w:r>
          </w:p>
        </w:tc>
      </w:tr>
    </w:tbl>
    <w:p>
      <w:pPr>
        <w:pStyle w:val="BodyText"/>
        <w:spacing w:line="357" w:lineRule="auto" w:before="51"/>
        <w:ind w:right="9490"/>
        <w:jc w:val="left"/>
      </w:pPr>
      <w:r>
        <w:rPr/>
        <w:t>其他变动的内容 无</w:t>
      </w:r>
    </w:p>
    <w:p>
      <w:pPr>
        <w:pStyle w:val="BodyText"/>
        <w:spacing w:line="240" w:lineRule="auto" w:before="29"/>
        <w:ind w:right="2239"/>
        <w:jc w:val="left"/>
      </w:pPr>
      <w:r>
        <w:rPr/>
        <w:t>报告期内公司主要资产计量属性是否发生重大变化</w:t>
      </w:r>
    </w:p>
    <w:p>
      <w:pPr>
        <w:spacing w:after="0" w:line="240" w:lineRule="auto"/>
        <w:jc w:val="left"/>
        <w:sectPr>
          <w:pgSz w:w="11910" w:h="16840"/>
          <w:pgMar w:header="747" w:footer="982" w:top="1060" w:bottom="118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153" w:right="2239"/>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29"/>
        </w:rPr>
        <w:t> </w:t>
      </w:r>
      <w:r>
        <w:rPr/>
        <w:t>否</w:t>
      </w:r>
    </w:p>
    <w:p>
      <w:pPr>
        <w:spacing w:line="240" w:lineRule="auto" w:before="10"/>
        <w:rPr>
          <w:rFonts w:ascii="宋体" w:hAnsi="宋体" w:cs="宋体" w:eastAsia="宋体" w:hint="default"/>
          <w:sz w:val="25"/>
          <w:szCs w:val="25"/>
        </w:rPr>
      </w:pPr>
    </w:p>
    <w:p>
      <w:pPr>
        <w:pStyle w:val="Heading4"/>
        <w:spacing w:line="240" w:lineRule="auto"/>
        <w:ind w:right="2239"/>
        <w:jc w:val="left"/>
        <w:rPr>
          <w:b w:val="0"/>
          <w:bCs w:val="0"/>
        </w:rPr>
      </w:pPr>
      <w:r>
        <w:rPr>
          <w:rFonts w:ascii="Arial" w:hAnsi="Arial" w:cs="Arial" w:eastAsia="Arial" w:hint="default"/>
        </w:rPr>
        <w:t>3</w:t>
      </w:r>
      <w:r>
        <w:rPr/>
        <w:t>、截至报告期末的资产权利受限情况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296"/>
        <w:gridCol w:w="3854"/>
        <w:gridCol w:w="2975"/>
      </w:tblGrid>
      <w:tr>
        <w:trPr>
          <w:trHeight w:val="342" w:hRule="exact"/>
        </w:trPr>
        <w:tc>
          <w:tcPr>
            <w:tcW w:w="22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5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112" w:right="0"/>
              <w:jc w:val="left"/>
              <w:rPr>
                <w:rFonts w:ascii="宋体" w:hAnsi="宋体" w:cs="宋体" w:eastAsia="宋体" w:hint="default"/>
                <w:sz w:val="18"/>
                <w:szCs w:val="18"/>
              </w:rPr>
            </w:pPr>
            <w:r>
              <w:rPr>
                <w:rFonts w:ascii="宋体" w:hAnsi="宋体" w:cs="宋体" w:eastAsia="宋体" w:hint="default"/>
                <w:sz w:val="18"/>
                <w:szCs w:val="18"/>
              </w:rPr>
              <w:t>期末账面价值（元）</w:t>
            </w:r>
          </w:p>
        </w:tc>
        <w:tc>
          <w:tcPr>
            <w:tcW w:w="297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22" w:hRule="exact"/>
        </w:trPr>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
              <w:jc w:val="right"/>
              <w:rPr>
                <w:rFonts w:ascii="Arial" w:hAnsi="Arial" w:cs="Arial" w:eastAsia="Arial" w:hint="default"/>
                <w:sz w:val="18"/>
                <w:szCs w:val="18"/>
              </w:rPr>
            </w:pPr>
            <w:r>
              <w:rPr>
                <w:rFonts w:ascii="Arial"/>
                <w:spacing w:val="-1"/>
                <w:sz w:val="18"/>
              </w:rPr>
              <w:t>18,276,106.44</w:t>
            </w:r>
            <w:r>
              <w:rPr>
                <w:rFonts w:ascii="Arial"/>
                <w:sz w:val="18"/>
              </w:rPr>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保函保证金</w:t>
            </w:r>
          </w:p>
        </w:tc>
      </w:tr>
      <w:tr>
        <w:trPr>
          <w:trHeight w:val="421" w:hRule="exact"/>
        </w:trPr>
        <w:tc>
          <w:tcPr>
            <w:tcW w:w="22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货币资金</w:t>
            </w:r>
          </w:p>
        </w:tc>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1"/>
              <w:ind w:right="3"/>
              <w:jc w:val="right"/>
              <w:rPr>
                <w:rFonts w:ascii="Arial" w:hAnsi="Arial" w:cs="Arial" w:eastAsia="Arial" w:hint="default"/>
                <w:sz w:val="18"/>
                <w:szCs w:val="18"/>
              </w:rPr>
            </w:pPr>
            <w:r>
              <w:rPr>
                <w:rFonts w:ascii="Arial"/>
                <w:spacing w:val="-1"/>
                <w:sz w:val="18"/>
              </w:rPr>
              <w:t>852,673.31</w:t>
            </w:r>
          </w:p>
        </w:tc>
        <w:tc>
          <w:tcPr>
            <w:tcW w:w="29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0"/>
              <w:ind w:left="4" w:right="0"/>
              <w:jc w:val="left"/>
              <w:rPr>
                <w:rFonts w:ascii="宋体" w:hAnsi="宋体" w:cs="宋体" w:eastAsia="宋体" w:hint="default"/>
                <w:sz w:val="18"/>
                <w:szCs w:val="18"/>
              </w:rPr>
            </w:pPr>
            <w:r>
              <w:rPr>
                <w:rFonts w:ascii="宋体" w:hAnsi="宋体" w:cs="宋体" w:eastAsia="宋体" w:hint="default"/>
                <w:sz w:val="18"/>
                <w:szCs w:val="18"/>
              </w:rPr>
              <w:t>银行承兑汇票保证金</w:t>
            </w:r>
          </w:p>
        </w:tc>
      </w:tr>
      <w:tr>
        <w:trPr>
          <w:trHeight w:val="422" w:hRule="exact"/>
        </w:trPr>
        <w:tc>
          <w:tcPr>
            <w:tcW w:w="2296"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8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2"/>
              <w:ind w:right="4"/>
              <w:jc w:val="right"/>
              <w:rPr>
                <w:rFonts w:ascii="Arial" w:hAnsi="Arial" w:cs="Arial" w:eastAsia="Arial" w:hint="default"/>
                <w:sz w:val="18"/>
                <w:szCs w:val="18"/>
              </w:rPr>
            </w:pPr>
            <w:r>
              <w:rPr>
                <w:rFonts w:ascii="Arial"/>
                <w:spacing w:val="-1"/>
                <w:sz w:val="18"/>
              </w:rPr>
              <w:t>19,128,779.75</w:t>
            </w:r>
            <w:r>
              <w:rPr>
                <w:rFonts w:ascii="Arial"/>
                <w:sz w:val="18"/>
              </w:rPr>
            </w:r>
          </w:p>
        </w:tc>
        <w:tc>
          <w:tcPr>
            <w:tcW w:w="297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b/>
          <w:bCs/>
          <w:sz w:val="18"/>
          <w:szCs w:val="18"/>
        </w:rPr>
      </w:pPr>
    </w:p>
    <w:p>
      <w:pPr>
        <w:pStyle w:val="Heading2"/>
        <w:spacing w:line="240" w:lineRule="auto" w:before="26"/>
        <w:ind w:right="2239"/>
        <w:jc w:val="left"/>
        <w:rPr>
          <w:b w:val="0"/>
          <w:bCs w:val="0"/>
        </w:rPr>
      </w:pPr>
      <w:r>
        <w:rPr/>
        <w:t>五、投资状况分析</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1</w:t>
      </w:r>
      <w:r>
        <w:rPr/>
        <w:t>、总体情况</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报告期投资额（元）</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0" w:right="0"/>
              <w:jc w:val="left"/>
              <w:rPr>
                <w:rFonts w:ascii="宋体" w:hAnsi="宋体" w:cs="宋体" w:eastAsia="宋体" w:hint="default"/>
                <w:sz w:val="18"/>
                <w:szCs w:val="18"/>
              </w:rPr>
            </w:pPr>
            <w:r>
              <w:rPr>
                <w:rFonts w:ascii="宋体" w:hAnsi="宋体" w:cs="宋体" w:eastAsia="宋体" w:hint="default"/>
                <w:sz w:val="18"/>
                <w:szCs w:val="18"/>
              </w:rPr>
              <w:t>上年同期投资额（元）</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变动幅度</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417,676.74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0.00</w:t>
            </w:r>
            <w:r>
              <w:rPr>
                <w:rFonts w:ascii="Arial"/>
                <w:w w:val="95"/>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100.00%</w:t>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rFonts w:ascii="Arial" w:hAnsi="Arial" w:cs="Arial" w:eastAsia="Arial" w:hint="default"/>
        </w:rPr>
        <w:t>2</w:t>
      </w:r>
      <w:r>
        <w:rPr/>
        <w:t>、报告期内获取的重大的股权投资情况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11"/>
        <w:rPr>
          <w:rFonts w:ascii="宋体" w:hAnsi="宋体" w:cs="宋体" w:eastAsia="宋体" w:hint="default"/>
          <w:sz w:val="25"/>
          <w:szCs w:val="25"/>
        </w:rPr>
      </w:pPr>
    </w:p>
    <w:p>
      <w:pPr>
        <w:pStyle w:val="Heading4"/>
        <w:spacing w:line="240" w:lineRule="auto"/>
        <w:ind w:right="2239"/>
        <w:jc w:val="left"/>
        <w:rPr>
          <w:b w:val="0"/>
          <w:bCs w:val="0"/>
        </w:rPr>
      </w:pPr>
      <w:r>
        <w:rPr>
          <w:rFonts w:ascii="Arial" w:hAnsi="Arial" w:cs="Arial" w:eastAsia="Arial" w:hint="default"/>
        </w:rPr>
        <w:t>3</w:t>
      </w:r>
      <w:r>
        <w:rPr/>
        <w:t>、报告期内正在进行的重大的非股权投资情况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11"/>
        <w:rPr>
          <w:rFonts w:ascii="宋体" w:hAnsi="宋体" w:cs="宋体" w:eastAsia="宋体" w:hint="default"/>
          <w:sz w:val="25"/>
          <w:szCs w:val="25"/>
        </w:rPr>
      </w:pPr>
    </w:p>
    <w:p>
      <w:pPr>
        <w:pStyle w:val="Heading4"/>
        <w:spacing w:line="240" w:lineRule="auto"/>
        <w:ind w:right="2239"/>
        <w:jc w:val="left"/>
        <w:rPr>
          <w:b w:val="0"/>
          <w:bCs w:val="0"/>
        </w:rPr>
      </w:pPr>
      <w:r>
        <w:rPr>
          <w:rFonts w:ascii="Arial" w:hAnsi="Arial" w:cs="Arial" w:eastAsia="Arial" w:hint="default"/>
        </w:rPr>
        <w:t>4</w:t>
      </w:r>
      <w:r>
        <w:rPr/>
        <w:t>、以公允价值计量的金融资产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pStyle w:val="BodyText"/>
        <w:spacing w:line="240" w:lineRule="auto" w:before="104"/>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44" w:type="dxa"/>
        <w:tblLayout w:type="fixed"/>
        <w:tblCellMar>
          <w:top w:w="0" w:type="dxa"/>
          <w:left w:w="0" w:type="dxa"/>
          <w:bottom w:w="0" w:type="dxa"/>
          <w:right w:w="0" w:type="dxa"/>
        </w:tblCellMar>
        <w:tblLook w:val="01E0"/>
      </w:tblPr>
      <w:tblGrid>
        <w:gridCol w:w="568"/>
        <w:gridCol w:w="1417"/>
        <w:gridCol w:w="1134"/>
        <w:gridCol w:w="1277"/>
        <w:gridCol w:w="1134"/>
        <w:gridCol w:w="850"/>
        <w:gridCol w:w="1418"/>
        <w:gridCol w:w="1274"/>
        <w:gridCol w:w="851"/>
      </w:tblGrid>
      <w:tr>
        <w:trPr>
          <w:trHeight w:val="1026" w:hRule="exact"/>
        </w:trPr>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98" w:right="97"/>
              <w:jc w:val="left"/>
              <w:rPr>
                <w:rFonts w:ascii="宋体" w:hAnsi="宋体" w:cs="宋体" w:eastAsia="宋体" w:hint="default"/>
                <w:sz w:val="18"/>
                <w:szCs w:val="18"/>
              </w:rPr>
            </w:pPr>
            <w:r>
              <w:rPr>
                <w:rFonts w:ascii="宋体" w:hAnsi="宋体" w:cs="宋体" w:eastAsia="宋体" w:hint="default"/>
                <w:sz w:val="18"/>
                <w:szCs w:val="18"/>
              </w:rPr>
              <w:t>资产 类别</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3" w:right="0"/>
              <w:jc w:val="left"/>
              <w:rPr>
                <w:rFonts w:ascii="宋体" w:hAnsi="宋体" w:cs="宋体" w:eastAsia="宋体" w:hint="default"/>
                <w:sz w:val="18"/>
                <w:szCs w:val="18"/>
              </w:rPr>
            </w:pPr>
            <w:r>
              <w:rPr>
                <w:rFonts w:ascii="宋体" w:hAnsi="宋体" w:cs="宋体" w:eastAsia="宋体" w:hint="default"/>
                <w:sz w:val="18"/>
                <w:szCs w:val="18"/>
              </w:rPr>
              <w:t>初始投资成本</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111" w:right="110"/>
              <w:jc w:val="left"/>
              <w:rPr>
                <w:rFonts w:ascii="宋体" w:hAnsi="宋体" w:cs="宋体" w:eastAsia="宋体" w:hint="default"/>
                <w:sz w:val="18"/>
                <w:szCs w:val="18"/>
              </w:rPr>
            </w:pPr>
            <w:r>
              <w:rPr>
                <w:rFonts w:ascii="宋体" w:hAnsi="宋体" w:cs="宋体" w:eastAsia="宋体" w:hint="default"/>
                <w:sz w:val="18"/>
                <w:szCs w:val="18"/>
              </w:rPr>
              <w:t>本期公允价 值变动损益</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2" w:right="92"/>
              <w:jc w:val="center"/>
              <w:rPr>
                <w:rFonts w:ascii="宋体" w:hAnsi="宋体" w:cs="宋体" w:eastAsia="宋体" w:hint="default"/>
                <w:sz w:val="18"/>
                <w:szCs w:val="18"/>
              </w:rPr>
            </w:pPr>
            <w:r>
              <w:rPr>
                <w:rFonts w:ascii="宋体" w:hAnsi="宋体" w:cs="宋体" w:eastAsia="宋体" w:hint="default"/>
                <w:sz w:val="18"/>
                <w:szCs w:val="18"/>
              </w:rPr>
              <w:t>计入权益的累 计公允价值变 动</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91" w:right="110" w:hanging="180"/>
              <w:jc w:val="left"/>
              <w:rPr>
                <w:rFonts w:ascii="宋体" w:hAnsi="宋体" w:cs="宋体" w:eastAsia="宋体" w:hint="default"/>
                <w:sz w:val="18"/>
                <w:szCs w:val="18"/>
              </w:rPr>
            </w:pPr>
            <w:r>
              <w:rPr>
                <w:rFonts w:ascii="宋体" w:hAnsi="宋体" w:cs="宋体" w:eastAsia="宋体" w:hint="default"/>
                <w:sz w:val="18"/>
                <w:szCs w:val="18"/>
              </w:rPr>
              <w:t>报告期内购 入金额</w:t>
            </w:r>
          </w:p>
        </w:tc>
        <w:tc>
          <w:tcPr>
            <w:tcW w:w="8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60" w:right="58"/>
              <w:jc w:val="left"/>
              <w:rPr>
                <w:rFonts w:ascii="宋体" w:hAnsi="宋体" w:cs="宋体" w:eastAsia="宋体" w:hint="default"/>
                <w:sz w:val="18"/>
                <w:szCs w:val="18"/>
              </w:rPr>
            </w:pPr>
            <w:r>
              <w:rPr>
                <w:rFonts w:ascii="宋体" w:hAnsi="宋体" w:cs="宋体" w:eastAsia="宋体" w:hint="default"/>
                <w:sz w:val="18"/>
                <w:szCs w:val="18"/>
              </w:rPr>
              <w:t>报告期内 售出金额</w:t>
            </w: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63" w:right="0"/>
              <w:jc w:val="left"/>
              <w:rPr>
                <w:rFonts w:ascii="宋体" w:hAnsi="宋体" w:cs="宋体" w:eastAsia="宋体" w:hint="default"/>
                <w:sz w:val="18"/>
                <w:szCs w:val="18"/>
              </w:rPr>
            </w:pPr>
            <w:r>
              <w:rPr>
                <w:rFonts w:ascii="宋体" w:hAnsi="宋体" w:cs="宋体" w:eastAsia="宋体" w:hint="default"/>
                <w:sz w:val="18"/>
                <w:szCs w:val="18"/>
              </w:rPr>
              <w:t>累计投资收益</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59" w:right="0"/>
              <w:jc w:val="left"/>
              <w:rPr>
                <w:rFonts w:ascii="宋体" w:hAnsi="宋体" w:cs="宋体" w:eastAsia="宋体" w:hint="default"/>
                <w:sz w:val="18"/>
                <w:szCs w:val="18"/>
              </w:rPr>
            </w:pPr>
            <w:r>
              <w:rPr>
                <w:rFonts w:ascii="宋体" w:hAnsi="宋体" w:cs="宋体" w:eastAsia="宋体" w:hint="default"/>
                <w:sz w:val="18"/>
                <w:szCs w:val="18"/>
              </w:rPr>
              <w:t>资金来源</w:t>
            </w:r>
          </w:p>
        </w:tc>
      </w:tr>
      <w:tr>
        <w:trPr>
          <w:trHeight w:val="719" w:hRule="exact"/>
        </w:trPr>
        <w:tc>
          <w:tcPr>
            <w:tcW w:w="568"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Arial" w:hAnsi="Arial" w:cs="Arial" w:eastAsia="Arial" w:hint="default"/>
                <w:sz w:val="18"/>
                <w:szCs w:val="18"/>
              </w:rPr>
            </w:pPr>
            <w:r>
              <w:rPr>
                <w:rFonts w:ascii="Arial"/>
                <w:spacing w:val="-1"/>
                <w:sz w:val="18"/>
              </w:rPr>
              <w:t>408,340,000.00</w:t>
            </w:r>
          </w:p>
        </w:tc>
        <w:tc>
          <w:tcPr>
            <w:tcW w:w="1134" w:type="dxa"/>
            <w:tcBorders>
              <w:top w:val="single" w:sz="4" w:space="0" w:color="000000"/>
              <w:left w:val="single" w:sz="8" w:space="0" w:color="000000"/>
              <w:bottom w:val="single" w:sz="8" w:space="0" w:color="000000"/>
              <w:right w:val="single" w:sz="8" w:space="0" w:color="000000"/>
            </w:tcBorders>
          </w:tcPr>
          <w:p>
            <w:pPr/>
          </w:p>
        </w:tc>
        <w:tc>
          <w:tcPr>
            <w:tcW w:w="1277" w:type="dxa"/>
            <w:tcBorders>
              <w:top w:val="single" w:sz="4" w:space="0" w:color="000000"/>
              <w:left w:val="single" w:sz="8" w:space="0" w:color="000000"/>
              <w:bottom w:val="single" w:sz="8" w:space="0" w:color="000000"/>
              <w:right w:val="single" w:sz="8" w:space="0" w:color="000000"/>
            </w:tcBorders>
          </w:tcPr>
          <w:p>
            <w:pPr/>
          </w:p>
        </w:tc>
        <w:tc>
          <w:tcPr>
            <w:tcW w:w="1134"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1"/>
              <w:ind w:right="17"/>
              <w:jc w:val="right"/>
              <w:rPr>
                <w:rFonts w:ascii="Arial" w:hAnsi="Arial" w:cs="Arial" w:eastAsia="Arial" w:hint="default"/>
                <w:sz w:val="18"/>
                <w:szCs w:val="18"/>
              </w:rPr>
            </w:pPr>
            <w:r>
              <w:rPr>
                <w:rFonts w:ascii="Arial"/>
                <w:spacing w:val="-1"/>
                <w:sz w:val="18"/>
              </w:rPr>
              <w:t>1,532,500,00</w:t>
            </w:r>
          </w:p>
          <w:p>
            <w:pPr>
              <w:pStyle w:val="TableParagraph"/>
              <w:spacing w:line="240" w:lineRule="auto" w:before="106"/>
              <w:ind w:right="17"/>
              <w:jc w:val="right"/>
              <w:rPr>
                <w:rFonts w:ascii="Arial" w:hAnsi="Arial" w:cs="Arial" w:eastAsia="Arial" w:hint="default"/>
                <w:sz w:val="18"/>
                <w:szCs w:val="18"/>
              </w:rPr>
            </w:pPr>
            <w:r>
              <w:rPr>
                <w:rFonts w:ascii="Arial"/>
                <w:spacing w:val="-1"/>
                <w:w w:val="95"/>
                <w:sz w:val="18"/>
              </w:rPr>
              <w:t>0.00</w:t>
            </w:r>
            <w:r>
              <w:rPr>
                <w:rFonts w:ascii="Arial"/>
                <w:w w:val="95"/>
                <w:sz w:val="18"/>
              </w:rPr>
            </w:r>
          </w:p>
        </w:tc>
        <w:tc>
          <w:tcPr>
            <w:tcW w:w="85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1"/>
              <w:ind w:left="111" w:right="0"/>
              <w:jc w:val="left"/>
              <w:rPr>
                <w:rFonts w:ascii="Arial" w:hAnsi="Arial" w:cs="Arial" w:eastAsia="Arial" w:hint="default"/>
                <w:sz w:val="18"/>
                <w:szCs w:val="18"/>
              </w:rPr>
            </w:pPr>
            <w:r>
              <w:rPr>
                <w:rFonts w:ascii="Arial"/>
                <w:sz w:val="18"/>
              </w:rPr>
              <w:t>1,620,02</w:t>
            </w:r>
          </w:p>
          <w:p>
            <w:pPr>
              <w:pStyle w:val="TableParagraph"/>
              <w:spacing w:line="240" w:lineRule="auto" w:before="106"/>
              <w:ind w:left="112" w:right="0"/>
              <w:jc w:val="left"/>
              <w:rPr>
                <w:rFonts w:ascii="Arial" w:hAnsi="Arial" w:cs="Arial" w:eastAsia="Arial" w:hint="default"/>
                <w:sz w:val="18"/>
                <w:szCs w:val="18"/>
              </w:rPr>
            </w:pPr>
            <w:r>
              <w:rPr>
                <w:rFonts w:ascii="Arial"/>
                <w:sz w:val="18"/>
              </w:rPr>
              <w:t>0,000.00</w:t>
            </w:r>
          </w:p>
        </w:tc>
        <w:tc>
          <w:tcPr>
            <w:tcW w:w="1418"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Arial" w:hAnsi="Arial" w:cs="Arial" w:eastAsia="Arial" w:hint="default"/>
                <w:sz w:val="18"/>
                <w:szCs w:val="18"/>
              </w:rPr>
            </w:pPr>
            <w:r>
              <w:rPr>
                <w:rFonts w:ascii="Arial"/>
                <w:spacing w:val="-1"/>
                <w:sz w:val="18"/>
              </w:rPr>
              <w:t>19,433,133.13</w:t>
            </w:r>
            <w:r>
              <w:rPr>
                <w:rFonts w:ascii="Arial"/>
                <w:sz w:val="18"/>
              </w:rPr>
            </w:r>
          </w:p>
        </w:tc>
        <w:tc>
          <w:tcPr>
            <w:tcW w:w="1274"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1"/>
              <w:ind w:right="17"/>
              <w:jc w:val="right"/>
              <w:rPr>
                <w:rFonts w:ascii="Arial" w:hAnsi="Arial" w:cs="Arial" w:eastAsia="Arial" w:hint="default"/>
                <w:sz w:val="18"/>
                <w:szCs w:val="18"/>
              </w:rPr>
            </w:pPr>
            <w:r>
              <w:rPr>
                <w:rFonts w:ascii="Arial"/>
                <w:spacing w:val="-1"/>
                <w:sz w:val="18"/>
              </w:rPr>
              <w:t>320,820,000.0</w:t>
            </w:r>
            <w:r>
              <w:rPr>
                <w:rFonts w:ascii="Arial"/>
                <w:sz w:val="18"/>
              </w:rPr>
            </w:r>
          </w:p>
          <w:p>
            <w:pPr>
              <w:pStyle w:val="TableParagraph"/>
              <w:spacing w:line="240" w:lineRule="auto" w:before="106"/>
              <w:ind w:right="15"/>
              <w:jc w:val="right"/>
              <w:rPr>
                <w:rFonts w:ascii="Arial" w:hAnsi="Arial" w:cs="Arial" w:eastAsia="Arial" w:hint="default"/>
                <w:sz w:val="18"/>
                <w:szCs w:val="18"/>
              </w:rPr>
            </w:pPr>
            <w:r>
              <w:rPr>
                <w:rFonts w:ascii="Arial"/>
                <w:sz w:val="18"/>
              </w:rPr>
              <w:t>0</w:t>
            </w:r>
          </w:p>
        </w:tc>
        <w:tc>
          <w:tcPr>
            <w:tcW w:w="851" w:type="dxa"/>
            <w:tcBorders>
              <w:top w:val="single" w:sz="4" w:space="0" w:color="000000"/>
              <w:left w:val="single" w:sz="8" w:space="0" w:color="000000"/>
              <w:bottom w:val="single" w:sz="8" w:space="0" w:color="000000"/>
              <w:right w:val="single" w:sz="8" w:space="0" w:color="000000"/>
            </w:tcBorders>
          </w:tcPr>
          <w:p>
            <w:pPr>
              <w:pStyle w:val="TableParagraph"/>
              <w:spacing w:line="319" w:lineRule="auto" w:before="51"/>
              <w:ind w:left="17" w:right="91"/>
              <w:jc w:val="left"/>
              <w:rPr>
                <w:rFonts w:ascii="宋体" w:hAnsi="宋体" w:cs="宋体" w:eastAsia="宋体" w:hint="default"/>
                <w:sz w:val="18"/>
                <w:szCs w:val="18"/>
              </w:rPr>
            </w:pPr>
            <w:r>
              <w:rPr>
                <w:rFonts w:ascii="宋体" w:hAnsi="宋体" w:cs="宋体" w:eastAsia="宋体" w:hint="default"/>
                <w:sz w:val="18"/>
                <w:szCs w:val="18"/>
              </w:rPr>
              <w:t>自有、募 集</w:t>
            </w:r>
          </w:p>
        </w:tc>
      </w:tr>
      <w:tr>
        <w:trPr>
          <w:trHeight w:val="407" w:hRule="exact"/>
        </w:trPr>
        <w:tc>
          <w:tcPr>
            <w:tcW w:w="56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55,400,000.00</w:t>
            </w:r>
            <w:r>
              <w:rPr>
                <w:rFonts w:ascii="Arial"/>
                <w:sz w:val="18"/>
              </w:rPr>
            </w:r>
          </w:p>
        </w:tc>
        <w:tc>
          <w:tcPr>
            <w:tcW w:w="113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9,683,832.64</w:t>
            </w:r>
          </w:p>
        </w:tc>
        <w:tc>
          <w:tcPr>
            <w:tcW w:w="1277"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sz w:val="18"/>
              </w:rPr>
              <w:t>40,506,363.50</w:t>
            </w:r>
            <w:r>
              <w:rPr>
                <w:rFonts w:ascii="Arial"/>
                <w:sz w:val="18"/>
              </w:rPr>
            </w:r>
          </w:p>
        </w:tc>
        <w:tc>
          <w:tcPr>
            <w:tcW w:w="113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2"/>
              <w:ind w:left="49" w:right="0"/>
              <w:jc w:val="left"/>
              <w:rPr>
                <w:rFonts w:ascii="Arial" w:hAnsi="Arial" w:cs="Arial" w:eastAsia="Arial" w:hint="default"/>
                <w:sz w:val="18"/>
                <w:szCs w:val="18"/>
              </w:rPr>
            </w:pPr>
            <w:r>
              <w:rPr>
                <w:rFonts w:ascii="Arial"/>
                <w:sz w:val="18"/>
              </w:rPr>
              <w:t>7,500,000.00</w:t>
            </w:r>
          </w:p>
        </w:tc>
        <w:tc>
          <w:tcPr>
            <w:tcW w:w="850" w:type="dxa"/>
            <w:tcBorders>
              <w:top w:val="single" w:sz="8" w:space="0" w:color="000000"/>
              <w:left w:val="single" w:sz="4" w:space="0" w:color="000000"/>
              <w:bottom w:val="single" w:sz="4" w:space="0" w:color="000000"/>
              <w:right w:val="single" w:sz="4" w:space="0" w:color="000000"/>
            </w:tcBorders>
          </w:tcPr>
          <w:p>
            <w:pPr/>
          </w:p>
        </w:tc>
        <w:tc>
          <w:tcPr>
            <w:tcW w:w="1418"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8,409,659.09</w:t>
            </w:r>
          </w:p>
        </w:tc>
        <w:tc>
          <w:tcPr>
            <w:tcW w:w="1274"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92"/>
              <w:ind w:left="66" w:right="0"/>
              <w:jc w:val="center"/>
              <w:rPr>
                <w:rFonts w:ascii="Arial" w:hAnsi="Arial" w:cs="Arial" w:eastAsia="Arial" w:hint="default"/>
                <w:sz w:val="18"/>
                <w:szCs w:val="18"/>
              </w:rPr>
            </w:pPr>
            <w:r>
              <w:rPr>
                <w:rFonts w:ascii="Arial"/>
                <w:sz w:val="18"/>
              </w:rPr>
              <w:t>95,906,363.50</w:t>
            </w:r>
          </w:p>
        </w:tc>
        <w:tc>
          <w:tcPr>
            <w:tcW w:w="851"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自有</w:t>
            </w:r>
          </w:p>
        </w:tc>
      </w:tr>
      <w:tr>
        <w:trPr>
          <w:trHeight w:val="720" w:hRule="exact"/>
        </w:trPr>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7" w:type="dxa"/>
            <w:tcBorders>
              <w:top w:val="single" w:sz="4" w:space="0" w:color="000000"/>
              <w:left w:val="single" w:sz="4"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5"/>
              <w:jc w:val="right"/>
              <w:rPr>
                <w:rFonts w:ascii="Arial" w:hAnsi="Arial" w:cs="Arial" w:eastAsia="Arial" w:hint="default"/>
                <w:sz w:val="18"/>
                <w:szCs w:val="18"/>
              </w:rPr>
            </w:pPr>
            <w:r>
              <w:rPr>
                <w:rFonts w:ascii="Arial"/>
                <w:spacing w:val="-1"/>
                <w:sz w:val="18"/>
              </w:rPr>
              <w:t>463,740,000.00</w:t>
            </w:r>
          </w:p>
        </w:tc>
        <w:tc>
          <w:tcPr>
            <w:tcW w:w="1134"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6"/>
              <w:jc w:val="right"/>
              <w:rPr>
                <w:rFonts w:ascii="Arial" w:hAnsi="Arial" w:cs="Arial" w:eastAsia="Arial" w:hint="default"/>
                <w:sz w:val="18"/>
                <w:szCs w:val="18"/>
              </w:rPr>
            </w:pPr>
            <w:r>
              <w:rPr>
                <w:rFonts w:ascii="Arial"/>
                <w:spacing w:val="-1"/>
                <w:sz w:val="18"/>
              </w:rPr>
              <w:t>9,683,832.64</w:t>
            </w:r>
          </w:p>
        </w:tc>
        <w:tc>
          <w:tcPr>
            <w:tcW w:w="1277"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1"/>
                <w:sz w:val="18"/>
              </w:rPr>
              <w:t>40,506,363.50</w:t>
            </w:r>
            <w:r>
              <w:rPr>
                <w:rFonts w:ascii="Arial"/>
                <w:sz w:val="18"/>
              </w:rPr>
            </w:r>
          </w:p>
        </w:tc>
        <w:tc>
          <w:tcPr>
            <w:tcW w:w="1134"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2"/>
              <w:ind w:right="17"/>
              <w:jc w:val="right"/>
              <w:rPr>
                <w:rFonts w:ascii="Arial" w:hAnsi="Arial" w:cs="Arial" w:eastAsia="Arial" w:hint="default"/>
                <w:sz w:val="18"/>
                <w:szCs w:val="18"/>
              </w:rPr>
            </w:pPr>
            <w:r>
              <w:rPr>
                <w:rFonts w:ascii="Arial"/>
                <w:spacing w:val="-1"/>
                <w:sz w:val="18"/>
              </w:rPr>
              <w:t>1,540,000,00</w:t>
            </w:r>
          </w:p>
          <w:p>
            <w:pPr>
              <w:pStyle w:val="TableParagraph"/>
              <w:spacing w:line="240" w:lineRule="auto" w:before="105"/>
              <w:ind w:right="18"/>
              <w:jc w:val="right"/>
              <w:rPr>
                <w:rFonts w:ascii="Arial" w:hAnsi="Arial" w:cs="Arial" w:eastAsia="Arial" w:hint="default"/>
                <w:sz w:val="18"/>
                <w:szCs w:val="18"/>
              </w:rPr>
            </w:pPr>
            <w:r>
              <w:rPr>
                <w:rFonts w:ascii="Arial"/>
                <w:spacing w:val="-1"/>
                <w:w w:val="95"/>
                <w:sz w:val="18"/>
              </w:rPr>
              <w:t>0.00</w:t>
            </w:r>
            <w:r>
              <w:rPr>
                <w:rFonts w:ascii="Arial"/>
                <w:w w:val="95"/>
                <w:sz w:val="18"/>
              </w:rPr>
            </w:r>
          </w:p>
        </w:tc>
        <w:tc>
          <w:tcPr>
            <w:tcW w:w="850"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2"/>
              <w:ind w:left="111" w:right="0"/>
              <w:jc w:val="left"/>
              <w:rPr>
                <w:rFonts w:ascii="Arial" w:hAnsi="Arial" w:cs="Arial" w:eastAsia="Arial" w:hint="default"/>
                <w:sz w:val="18"/>
                <w:szCs w:val="18"/>
              </w:rPr>
            </w:pPr>
            <w:r>
              <w:rPr>
                <w:rFonts w:ascii="Arial"/>
                <w:sz w:val="18"/>
              </w:rPr>
              <w:t>1,620,02</w:t>
            </w:r>
          </w:p>
          <w:p>
            <w:pPr>
              <w:pStyle w:val="TableParagraph"/>
              <w:spacing w:line="240" w:lineRule="auto" w:before="105"/>
              <w:ind w:left="111" w:right="0"/>
              <w:jc w:val="left"/>
              <w:rPr>
                <w:rFonts w:ascii="Arial" w:hAnsi="Arial" w:cs="Arial" w:eastAsia="Arial" w:hint="default"/>
                <w:sz w:val="18"/>
                <w:szCs w:val="18"/>
              </w:rPr>
            </w:pPr>
            <w:r>
              <w:rPr>
                <w:rFonts w:ascii="Arial"/>
                <w:sz w:val="18"/>
              </w:rPr>
              <w:t>0,000.00</w:t>
            </w:r>
          </w:p>
        </w:tc>
        <w:tc>
          <w:tcPr>
            <w:tcW w:w="1418"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8"/>
              <w:jc w:val="right"/>
              <w:rPr>
                <w:rFonts w:ascii="Arial" w:hAnsi="Arial" w:cs="Arial" w:eastAsia="Arial" w:hint="default"/>
                <w:sz w:val="18"/>
                <w:szCs w:val="18"/>
              </w:rPr>
            </w:pPr>
            <w:r>
              <w:rPr>
                <w:rFonts w:ascii="Arial"/>
                <w:spacing w:val="-1"/>
                <w:sz w:val="18"/>
              </w:rPr>
              <w:t>27,842,792.22</w:t>
            </w:r>
            <w:r>
              <w:rPr>
                <w:rFonts w:ascii="Arial"/>
                <w:sz w:val="18"/>
              </w:rPr>
            </w:r>
          </w:p>
        </w:tc>
        <w:tc>
          <w:tcPr>
            <w:tcW w:w="1274" w:type="dxa"/>
            <w:tcBorders>
              <w:top w:val="single" w:sz="4" w:space="0" w:color="000000"/>
              <w:left w:val="single" w:sz="8" w:space="0" w:color="000000"/>
              <w:bottom w:val="single" w:sz="8" w:space="0" w:color="000000"/>
              <w:right w:val="single" w:sz="8" w:space="0" w:color="000000"/>
            </w:tcBorders>
          </w:tcPr>
          <w:p>
            <w:pPr>
              <w:pStyle w:val="TableParagraph"/>
              <w:spacing w:line="240" w:lineRule="auto" w:before="92"/>
              <w:ind w:right="17"/>
              <w:jc w:val="right"/>
              <w:rPr>
                <w:rFonts w:ascii="Arial" w:hAnsi="Arial" w:cs="Arial" w:eastAsia="Arial" w:hint="default"/>
                <w:sz w:val="18"/>
                <w:szCs w:val="18"/>
              </w:rPr>
            </w:pPr>
            <w:r>
              <w:rPr>
                <w:rFonts w:ascii="Arial"/>
                <w:spacing w:val="-1"/>
                <w:sz w:val="18"/>
              </w:rPr>
              <w:t>416,726,363.5</w:t>
            </w:r>
            <w:r>
              <w:rPr>
                <w:rFonts w:ascii="Arial"/>
                <w:sz w:val="18"/>
              </w:rPr>
            </w:r>
          </w:p>
          <w:p>
            <w:pPr>
              <w:pStyle w:val="TableParagraph"/>
              <w:spacing w:line="240" w:lineRule="auto" w:before="105"/>
              <w:ind w:right="15"/>
              <w:jc w:val="right"/>
              <w:rPr>
                <w:rFonts w:ascii="Arial" w:hAnsi="Arial" w:cs="Arial" w:eastAsia="Arial" w:hint="default"/>
                <w:sz w:val="18"/>
                <w:szCs w:val="18"/>
              </w:rPr>
            </w:pPr>
            <w:r>
              <w:rPr>
                <w:rFonts w:ascii="Arial"/>
                <w:sz w:val="18"/>
              </w:rPr>
              <w:t>0</w:t>
            </w:r>
          </w:p>
        </w:tc>
        <w:tc>
          <w:tcPr>
            <w:tcW w:w="851" w:type="dxa"/>
            <w:tcBorders>
              <w:top w:val="single" w:sz="4" w:space="0" w:color="000000"/>
              <w:left w:val="single" w:sz="8"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4"/>
              <w:jc w:val="center"/>
              <w:rPr>
                <w:rFonts w:ascii="Arial" w:hAnsi="Arial" w:cs="Arial" w:eastAsia="Arial" w:hint="default"/>
                <w:sz w:val="18"/>
                <w:szCs w:val="18"/>
              </w:rPr>
            </w:pPr>
            <w:r>
              <w:rPr>
                <w:rFonts w:ascii="Arial"/>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rFonts w:ascii="Arial" w:hAnsi="Arial" w:cs="Arial" w:eastAsia="Arial" w:hint="default"/>
        </w:rPr>
        <w:t>5</w:t>
      </w:r>
      <w:r>
        <w:rPr/>
        <w:t>、募集资金使用情况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after="0" w:line="240" w:lineRule="auto"/>
        <w:jc w:val="left"/>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2239"/>
        <w:jc w:val="left"/>
        <w:rPr>
          <w:b w:val="0"/>
          <w:bCs w:val="0"/>
        </w:rPr>
      </w:pPr>
      <w:r>
        <w:rPr/>
        <w:t>（</w:t>
      </w:r>
      <w:r>
        <w:rPr>
          <w:rFonts w:ascii="Arial" w:hAnsi="Arial" w:cs="Arial" w:eastAsia="Arial" w:hint="default"/>
        </w:rPr>
        <w:t>1</w:t>
      </w:r>
      <w:r>
        <w:rPr/>
        <w:t>）募集资金总体使用情况</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pStyle w:val="BodyText"/>
        <w:spacing w:line="240" w:lineRule="auto" w:before="103"/>
        <w:ind w:left="0" w:right="1131"/>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866"/>
        <w:gridCol w:w="863"/>
        <w:gridCol w:w="877"/>
        <w:gridCol w:w="870"/>
        <w:gridCol w:w="870"/>
        <w:gridCol w:w="869"/>
        <w:gridCol w:w="870"/>
        <w:gridCol w:w="870"/>
        <w:gridCol w:w="870"/>
        <w:gridCol w:w="870"/>
        <w:gridCol w:w="869"/>
      </w:tblGrid>
      <w:tr>
        <w:trPr>
          <w:trHeight w:val="1338" w:hRule="exact"/>
        </w:trPr>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募集年份</w:t>
            </w:r>
          </w:p>
        </w:tc>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募集方式</w:t>
            </w:r>
          </w:p>
        </w:tc>
        <w:tc>
          <w:tcPr>
            <w:tcW w:w="8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3" w:right="72" w:hanging="180"/>
              <w:jc w:val="left"/>
              <w:rPr>
                <w:rFonts w:ascii="宋体" w:hAnsi="宋体" w:cs="宋体" w:eastAsia="宋体" w:hint="default"/>
                <w:sz w:val="18"/>
                <w:szCs w:val="18"/>
              </w:rPr>
            </w:pPr>
            <w:r>
              <w:rPr>
                <w:rFonts w:ascii="宋体" w:hAnsi="宋体" w:cs="宋体" w:eastAsia="宋体" w:hint="default"/>
                <w:sz w:val="18"/>
                <w:szCs w:val="18"/>
              </w:rPr>
              <w:t>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本期已使 用募集资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both"/>
              <w:rPr>
                <w:rFonts w:ascii="宋体" w:hAnsi="宋体" w:cs="宋体" w:eastAsia="宋体" w:hint="default"/>
                <w:sz w:val="18"/>
                <w:szCs w:val="18"/>
              </w:rPr>
            </w:pPr>
            <w:r>
              <w:rPr>
                <w:rFonts w:ascii="宋体" w:hAnsi="宋体" w:cs="宋体" w:eastAsia="宋体" w:hint="default"/>
                <w:sz w:val="18"/>
                <w:szCs w:val="18"/>
              </w:rPr>
              <w:t>已累计使 用募集资 金总额</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8" w:right="68"/>
              <w:jc w:val="both"/>
              <w:rPr>
                <w:rFonts w:ascii="宋体" w:hAnsi="宋体" w:cs="宋体" w:eastAsia="宋体" w:hint="default"/>
                <w:sz w:val="18"/>
                <w:szCs w:val="18"/>
              </w:rPr>
            </w:pPr>
            <w:r>
              <w:rPr>
                <w:rFonts w:ascii="宋体" w:hAnsi="宋体" w:cs="宋体" w:eastAsia="宋体" w:hint="default"/>
                <w:sz w:val="18"/>
                <w:szCs w:val="18"/>
              </w:rPr>
              <w:t>报告期内 变更用途 的募集资 金总额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累计变更 用途的募 集资金总 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 w:right="68"/>
              <w:jc w:val="both"/>
              <w:rPr>
                <w:rFonts w:ascii="宋体" w:hAnsi="宋体" w:cs="宋体" w:eastAsia="宋体" w:hint="default"/>
                <w:sz w:val="18"/>
                <w:szCs w:val="18"/>
              </w:rPr>
            </w:pPr>
            <w:r>
              <w:rPr>
                <w:rFonts w:ascii="宋体" w:hAnsi="宋体" w:cs="宋体" w:eastAsia="宋体" w:hint="default"/>
                <w:sz w:val="18"/>
                <w:szCs w:val="18"/>
              </w:rPr>
              <w:t>累计变更 用途的募 集资金总 额比例</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总额</w:t>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9" w:right="68"/>
              <w:jc w:val="center"/>
              <w:rPr>
                <w:rFonts w:ascii="宋体" w:hAnsi="宋体" w:cs="宋体" w:eastAsia="宋体" w:hint="default"/>
                <w:sz w:val="18"/>
                <w:szCs w:val="18"/>
              </w:rPr>
            </w:pPr>
            <w:r>
              <w:rPr>
                <w:rFonts w:ascii="宋体" w:hAnsi="宋体" w:cs="宋体" w:eastAsia="宋体" w:hint="default"/>
                <w:sz w:val="18"/>
                <w:szCs w:val="18"/>
              </w:rPr>
              <w:t>尚未使用 募集资金 用途及去 向</w:t>
            </w:r>
          </w:p>
        </w:tc>
        <w:tc>
          <w:tcPr>
            <w:tcW w:w="8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68" w:right="68"/>
              <w:jc w:val="both"/>
              <w:rPr>
                <w:rFonts w:ascii="宋体" w:hAnsi="宋体" w:cs="宋体" w:eastAsia="宋体" w:hint="default"/>
                <w:sz w:val="18"/>
                <w:szCs w:val="18"/>
              </w:rPr>
            </w:pPr>
            <w:r>
              <w:rPr>
                <w:rFonts w:ascii="宋体" w:hAnsi="宋体" w:cs="宋体" w:eastAsia="宋体" w:hint="default"/>
                <w:sz w:val="18"/>
                <w:szCs w:val="18"/>
              </w:rPr>
              <w:t>闲置两年 以上募集 资金金额</w:t>
            </w:r>
          </w:p>
        </w:tc>
      </w:tr>
      <w:tr>
        <w:trPr>
          <w:trHeight w:val="1026" w:hRule="exact"/>
        </w:trPr>
        <w:tc>
          <w:tcPr>
            <w:tcW w:w="8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2" w:right="0"/>
              <w:jc w:val="left"/>
              <w:rPr>
                <w:rFonts w:ascii="Arial" w:hAnsi="Arial" w:cs="Arial" w:eastAsia="Arial" w:hint="default"/>
                <w:sz w:val="18"/>
                <w:szCs w:val="18"/>
              </w:rPr>
            </w:pPr>
            <w:r>
              <w:rPr>
                <w:rFonts w:ascii="Arial"/>
                <w:sz w:val="18"/>
              </w:rPr>
              <w:t>2010</w:t>
            </w:r>
          </w:p>
        </w:tc>
        <w:tc>
          <w:tcPr>
            <w:tcW w:w="8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08"/>
              <w:jc w:val="both"/>
              <w:rPr>
                <w:rFonts w:ascii="宋体" w:hAnsi="宋体" w:cs="宋体" w:eastAsia="宋体" w:hint="default"/>
                <w:sz w:val="18"/>
                <w:szCs w:val="18"/>
              </w:rPr>
            </w:pPr>
            <w:r>
              <w:rPr>
                <w:rFonts w:ascii="宋体" w:hAnsi="宋体" w:cs="宋体" w:eastAsia="宋体" w:hint="default"/>
                <w:sz w:val="18"/>
                <w:szCs w:val="18"/>
              </w:rPr>
              <w:t>向社会公 开发行股 份</w:t>
            </w:r>
          </w:p>
        </w:tc>
        <w:tc>
          <w:tcPr>
            <w:tcW w:w="8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43" w:right="0"/>
              <w:jc w:val="left"/>
              <w:rPr>
                <w:rFonts w:ascii="Arial" w:hAnsi="Arial" w:cs="Arial" w:eastAsia="Arial" w:hint="default"/>
                <w:sz w:val="18"/>
                <w:szCs w:val="18"/>
              </w:rPr>
            </w:pPr>
            <w:r>
              <w:rPr>
                <w:rFonts w:ascii="Arial"/>
                <w:sz w:val="18"/>
              </w:rPr>
              <w:t>90,566.32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sz w:val="18"/>
              </w:rPr>
              <w:t>9,710.07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6" w:right="0"/>
              <w:jc w:val="left"/>
              <w:rPr>
                <w:rFonts w:ascii="Arial" w:hAnsi="Arial" w:cs="Arial" w:eastAsia="Arial" w:hint="default"/>
                <w:sz w:val="18"/>
                <w:szCs w:val="18"/>
              </w:rPr>
            </w:pPr>
            <w:r>
              <w:rPr>
                <w:rFonts w:ascii="Arial"/>
                <w:sz w:val="18"/>
              </w:rPr>
              <w:t>84,591.04</w:t>
            </w:r>
          </w:p>
        </w:tc>
        <w:tc>
          <w:tcPr>
            <w:tcW w:w="869" w:type="dxa"/>
            <w:tcBorders>
              <w:top w:val="single" w:sz="4" w:space="0" w:color="000000"/>
              <w:left w:val="single" w:sz="4" w:space="0" w:color="000000"/>
              <w:bottom w:val="single" w:sz="4" w:space="0" w:color="000000"/>
              <w:right w:val="single" w:sz="4" w:space="0" w:color="000000"/>
            </w:tcBorders>
          </w:tcPr>
          <w:p>
            <w:pP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sz w:val="18"/>
              </w:rPr>
              <w:t>44,500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sz w:val="18"/>
              </w:rPr>
              <w:t>49.14%</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Arial" w:hAnsi="Arial" w:cs="Arial" w:eastAsia="Arial" w:hint="default"/>
                <w:sz w:val="18"/>
                <w:szCs w:val="18"/>
              </w:rPr>
            </w:pPr>
            <w:r>
              <w:rPr>
                <w:rFonts w:ascii="Arial"/>
                <w:spacing w:val="-3"/>
                <w:sz w:val="18"/>
              </w:rPr>
              <w:t>19,711.02</w:t>
            </w:r>
            <w:r>
              <w:rPr>
                <w:rFonts w:ascii="Arial"/>
                <w:sz w:val="18"/>
              </w:rPr>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2" w:right="115"/>
              <w:jc w:val="left"/>
              <w:rPr>
                <w:rFonts w:ascii="宋体" w:hAnsi="宋体" w:cs="宋体" w:eastAsia="宋体" w:hint="default"/>
                <w:sz w:val="18"/>
                <w:szCs w:val="18"/>
              </w:rPr>
            </w:pPr>
            <w:r>
              <w:rPr>
                <w:rFonts w:ascii="宋体" w:hAnsi="宋体" w:cs="宋体" w:eastAsia="宋体" w:hint="default"/>
                <w:sz w:val="18"/>
                <w:szCs w:val="18"/>
              </w:rPr>
              <w:t>购买银行 理财产品</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z w:val="18"/>
              </w:rPr>
              <w:t>0</w:t>
            </w:r>
          </w:p>
        </w:tc>
      </w:tr>
      <w:tr>
        <w:trPr>
          <w:trHeight w:val="402" w:hRule="exact"/>
        </w:trPr>
        <w:tc>
          <w:tcPr>
            <w:tcW w:w="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Arial" w:hAnsi="Arial" w:cs="Arial" w:eastAsia="Arial" w:hint="default"/>
                <w:sz w:val="18"/>
                <w:szCs w:val="18"/>
              </w:rPr>
            </w:pPr>
            <w:r>
              <w:rPr>
                <w:rFonts w:ascii="Arial"/>
                <w:sz w:val="18"/>
              </w:rPr>
              <w:t>--</w:t>
            </w:r>
          </w:p>
        </w:tc>
        <w:tc>
          <w:tcPr>
            <w:tcW w:w="87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left="36" w:right="0"/>
              <w:jc w:val="left"/>
              <w:rPr>
                <w:rFonts w:ascii="Arial" w:hAnsi="Arial" w:cs="Arial" w:eastAsia="Arial" w:hint="default"/>
                <w:sz w:val="18"/>
                <w:szCs w:val="18"/>
              </w:rPr>
            </w:pPr>
            <w:r>
              <w:rPr>
                <w:rFonts w:ascii="Arial"/>
                <w:sz w:val="18"/>
              </w:rPr>
              <w:t>90,566.32</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9,710.07</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Arial" w:hAnsi="Arial" w:cs="Arial" w:eastAsia="Arial" w:hint="default"/>
                <w:sz w:val="18"/>
                <w:szCs w:val="18"/>
              </w:rPr>
            </w:pPr>
            <w:r>
              <w:rPr>
                <w:rFonts w:ascii="Arial"/>
                <w:sz w:val="18"/>
              </w:rPr>
              <w:t>84,591.04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z w:val="18"/>
              </w:rPr>
              <w:t>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44,500</w:t>
            </w:r>
          </w:p>
        </w:tc>
        <w:tc>
          <w:tcPr>
            <w:tcW w:w="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49.14%</w:t>
            </w:r>
          </w:p>
        </w:tc>
        <w:tc>
          <w:tcPr>
            <w:tcW w:w="870" w:type="dxa"/>
            <w:tcBorders>
              <w:top w:val="single" w:sz="4" w:space="0" w:color="000000"/>
              <w:left w:val="single" w:sz="4" w:space="0" w:color="000000"/>
              <w:bottom w:val="single" w:sz="4" w:space="0" w:color="000000"/>
              <w:right w:val="single" w:sz="9" w:space="0" w:color="D3D3D3"/>
            </w:tcBorders>
          </w:tcPr>
          <w:p>
            <w:pPr>
              <w:pStyle w:val="TableParagraph"/>
              <w:spacing w:line="240" w:lineRule="auto" w:before="91"/>
              <w:ind w:right="17"/>
              <w:jc w:val="right"/>
              <w:rPr>
                <w:rFonts w:ascii="Arial" w:hAnsi="Arial" w:cs="Arial" w:eastAsia="Arial" w:hint="default"/>
                <w:sz w:val="18"/>
                <w:szCs w:val="18"/>
              </w:rPr>
            </w:pPr>
            <w:r>
              <w:rPr>
                <w:rFonts w:ascii="Arial"/>
                <w:spacing w:val="-3"/>
                <w:sz w:val="18"/>
              </w:rPr>
              <w:t>19,711.02</w:t>
            </w:r>
            <w:r>
              <w:rPr>
                <w:rFonts w:ascii="Arial"/>
                <w:sz w:val="18"/>
              </w:rPr>
            </w:r>
          </w:p>
        </w:tc>
        <w:tc>
          <w:tcPr>
            <w:tcW w:w="8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Arial" w:hAnsi="Arial" w:cs="Arial" w:eastAsia="Arial" w:hint="default"/>
                <w:sz w:val="18"/>
                <w:szCs w:val="18"/>
              </w:rPr>
            </w:pPr>
            <w:r>
              <w:rPr>
                <w:rFonts w:ascii="Arial"/>
                <w:sz w:val="18"/>
              </w:rPr>
              <w:t>--</w:t>
            </w:r>
          </w:p>
        </w:tc>
        <w:tc>
          <w:tcPr>
            <w:tcW w:w="86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z w:val="18"/>
              </w:rPr>
              <w:t>0</w:t>
            </w:r>
          </w:p>
        </w:tc>
      </w:tr>
      <w:tr>
        <w:trPr>
          <w:trHeight w:val="402" w:hRule="exact"/>
        </w:trPr>
        <w:tc>
          <w:tcPr>
            <w:tcW w:w="9564"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962" w:hRule="exact"/>
        </w:trPr>
        <w:tc>
          <w:tcPr>
            <w:tcW w:w="9564" w:type="dxa"/>
            <w:gridSpan w:val="11"/>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本公司实际募集资金净额</w:t>
            </w:r>
            <w:r>
              <w:rPr>
                <w:rFonts w:ascii="宋体" w:hAnsi="宋体" w:cs="宋体" w:eastAsia="宋体" w:hint="default"/>
                <w:spacing w:val="-46"/>
                <w:sz w:val="18"/>
                <w:szCs w:val="18"/>
              </w:rPr>
              <w:t> </w:t>
            </w:r>
            <w:r>
              <w:rPr>
                <w:rFonts w:ascii="Arial" w:hAnsi="Arial" w:cs="Arial" w:eastAsia="Arial" w:hint="default"/>
                <w:sz w:val="18"/>
                <w:szCs w:val="18"/>
              </w:rPr>
              <w:t>90,566.32</w:t>
            </w:r>
            <w:r>
              <w:rPr>
                <w:rFonts w:ascii="Arial" w:hAnsi="Arial" w:cs="Arial" w:eastAsia="Arial" w:hint="default"/>
                <w:spacing w:val="-6"/>
                <w:sz w:val="18"/>
                <w:szCs w:val="18"/>
              </w:rPr>
              <w:t> </w:t>
            </w:r>
            <w:r>
              <w:rPr>
                <w:rFonts w:ascii="宋体" w:hAnsi="宋体" w:cs="宋体" w:eastAsia="宋体" w:hint="default"/>
                <w:spacing w:val="-6"/>
                <w:sz w:val="18"/>
                <w:szCs w:val="18"/>
              </w:rPr>
              <w:t>万元，</w:t>
            </w:r>
            <w:r>
              <w:rPr>
                <w:rFonts w:ascii="Arial" w:hAnsi="Arial" w:cs="Arial" w:eastAsia="Arial" w:hint="default"/>
                <w:spacing w:val="-6"/>
                <w:sz w:val="18"/>
                <w:szCs w:val="18"/>
              </w:rPr>
              <w:t>2010</w:t>
            </w:r>
            <w:r>
              <w:rPr>
                <w:rFonts w:ascii="Arial" w:hAnsi="Arial" w:cs="Arial" w:eastAsia="Arial" w:hint="default"/>
                <w:spacing w:val="-7"/>
                <w:sz w:val="18"/>
                <w:szCs w:val="18"/>
              </w:rPr>
              <w:t> </w:t>
            </w:r>
            <w:r>
              <w:rPr>
                <w:rFonts w:ascii="宋体" w:hAnsi="宋体" w:cs="宋体" w:eastAsia="宋体" w:hint="default"/>
                <w:sz w:val="18"/>
                <w:szCs w:val="18"/>
              </w:rPr>
              <w:t>年度使用募集资金总额为</w:t>
            </w:r>
            <w:r>
              <w:rPr>
                <w:rFonts w:ascii="宋体" w:hAnsi="宋体" w:cs="宋体" w:eastAsia="宋体" w:hint="default"/>
                <w:spacing w:val="-46"/>
                <w:sz w:val="18"/>
                <w:szCs w:val="18"/>
              </w:rPr>
              <w:t> </w:t>
            </w:r>
            <w:r>
              <w:rPr>
                <w:rFonts w:ascii="Arial" w:hAnsi="Arial" w:cs="Arial" w:eastAsia="Arial" w:hint="default"/>
                <w:sz w:val="18"/>
                <w:szCs w:val="18"/>
              </w:rPr>
              <w:t>3,885.65</w:t>
            </w:r>
            <w:r>
              <w:rPr>
                <w:rFonts w:ascii="Arial" w:hAnsi="Arial" w:cs="Arial" w:eastAsia="Arial" w:hint="default"/>
                <w:spacing w:val="-6"/>
                <w:sz w:val="18"/>
                <w:szCs w:val="18"/>
              </w:rPr>
              <w:t> </w:t>
            </w:r>
            <w:r>
              <w:rPr>
                <w:rFonts w:ascii="宋体" w:hAnsi="宋体" w:cs="宋体" w:eastAsia="宋体" w:hint="default"/>
                <w:spacing w:val="-8"/>
                <w:sz w:val="18"/>
                <w:szCs w:val="18"/>
              </w:rPr>
              <w:t>万元，</w:t>
            </w:r>
            <w:r>
              <w:rPr>
                <w:rFonts w:ascii="Arial" w:hAnsi="Arial" w:cs="Arial" w:eastAsia="Arial" w:hint="default"/>
                <w:spacing w:val="-8"/>
                <w:sz w:val="18"/>
                <w:szCs w:val="18"/>
              </w:rPr>
              <w:t>2011</w:t>
            </w:r>
            <w:r>
              <w:rPr>
                <w:rFonts w:ascii="Arial" w:hAnsi="Arial" w:cs="Arial" w:eastAsia="Arial" w:hint="default"/>
                <w:spacing w:val="-7"/>
                <w:sz w:val="18"/>
                <w:szCs w:val="18"/>
              </w:rPr>
              <w:t> </w:t>
            </w:r>
            <w:r>
              <w:rPr>
                <w:rFonts w:ascii="宋体" w:hAnsi="宋体" w:cs="宋体" w:eastAsia="宋体" w:hint="default"/>
                <w:sz w:val="18"/>
                <w:szCs w:val="18"/>
              </w:rPr>
              <w:t>年度使用募集资金总额为</w:t>
            </w:r>
          </w:p>
          <w:p>
            <w:pPr>
              <w:pStyle w:val="TableParagraph"/>
              <w:spacing w:line="240" w:lineRule="auto" w:before="62"/>
              <w:ind w:left="22" w:right="0"/>
              <w:jc w:val="left"/>
              <w:rPr>
                <w:rFonts w:ascii="宋体" w:hAnsi="宋体" w:cs="宋体" w:eastAsia="宋体" w:hint="default"/>
                <w:sz w:val="18"/>
                <w:szCs w:val="18"/>
              </w:rPr>
            </w:pPr>
            <w:r>
              <w:rPr>
                <w:rFonts w:ascii="Arial" w:hAnsi="Arial" w:cs="Arial" w:eastAsia="Arial" w:hint="default"/>
                <w:sz w:val="18"/>
                <w:szCs w:val="18"/>
              </w:rPr>
              <w:t>9,734.67</w:t>
            </w:r>
            <w:r>
              <w:rPr>
                <w:rFonts w:ascii="Arial" w:hAnsi="Arial" w:cs="Arial" w:eastAsia="Arial" w:hint="default"/>
                <w:spacing w:val="-12"/>
                <w:sz w:val="18"/>
                <w:szCs w:val="18"/>
              </w:rPr>
              <w:t> </w:t>
            </w:r>
            <w:r>
              <w:rPr>
                <w:rFonts w:ascii="宋体" w:hAnsi="宋体" w:cs="宋体" w:eastAsia="宋体" w:hint="default"/>
                <w:sz w:val="18"/>
                <w:szCs w:val="18"/>
              </w:rPr>
              <w:t>万元，</w:t>
            </w:r>
            <w:r>
              <w:rPr>
                <w:rFonts w:ascii="Arial" w:hAnsi="Arial" w:cs="Arial" w:eastAsia="Arial" w:hint="default"/>
                <w:sz w:val="18"/>
                <w:szCs w:val="18"/>
              </w:rPr>
              <w:t>2012</w:t>
            </w:r>
            <w:r>
              <w:rPr>
                <w:rFonts w:ascii="Arial" w:hAnsi="Arial" w:cs="Arial" w:eastAsia="Arial" w:hint="default"/>
                <w:spacing w:val="-12"/>
                <w:sz w:val="18"/>
                <w:szCs w:val="18"/>
              </w:rPr>
              <w:t> </w:t>
            </w:r>
            <w:r>
              <w:rPr>
                <w:rFonts w:ascii="宋体" w:hAnsi="宋体" w:cs="宋体" w:eastAsia="宋体" w:hint="default"/>
                <w:sz w:val="18"/>
                <w:szCs w:val="18"/>
              </w:rPr>
              <w:t>年度使用募集资金总额为</w:t>
            </w:r>
            <w:r>
              <w:rPr>
                <w:rFonts w:ascii="宋体" w:hAnsi="宋体" w:cs="宋体" w:eastAsia="宋体" w:hint="default"/>
                <w:spacing w:val="-51"/>
                <w:sz w:val="18"/>
                <w:szCs w:val="18"/>
              </w:rPr>
              <w:t> </w:t>
            </w:r>
            <w:r>
              <w:rPr>
                <w:rFonts w:ascii="Arial" w:hAnsi="Arial" w:cs="Arial" w:eastAsia="Arial" w:hint="default"/>
                <w:sz w:val="18"/>
                <w:szCs w:val="18"/>
              </w:rPr>
              <w:t>15,939.63</w:t>
            </w:r>
            <w:r>
              <w:rPr>
                <w:rFonts w:ascii="Arial" w:hAnsi="Arial" w:cs="Arial" w:eastAsia="Arial" w:hint="default"/>
                <w:spacing w:val="-12"/>
                <w:sz w:val="18"/>
                <w:szCs w:val="18"/>
              </w:rPr>
              <w:t> </w:t>
            </w:r>
            <w:r>
              <w:rPr>
                <w:rFonts w:ascii="宋体" w:hAnsi="宋体" w:cs="宋体" w:eastAsia="宋体" w:hint="default"/>
                <w:sz w:val="18"/>
                <w:szCs w:val="18"/>
              </w:rPr>
              <w:t>万元，</w:t>
            </w:r>
            <w:r>
              <w:rPr>
                <w:rFonts w:ascii="Arial" w:hAnsi="Arial" w:cs="Arial" w:eastAsia="Arial" w:hint="default"/>
                <w:sz w:val="18"/>
                <w:szCs w:val="18"/>
              </w:rPr>
              <w:t>2013</w:t>
            </w:r>
            <w:r>
              <w:rPr>
                <w:rFonts w:ascii="Arial" w:hAnsi="Arial" w:cs="Arial" w:eastAsia="Arial" w:hint="default"/>
                <w:spacing w:val="-10"/>
                <w:sz w:val="18"/>
                <w:szCs w:val="18"/>
              </w:rPr>
              <w:t> </w:t>
            </w:r>
            <w:r>
              <w:rPr>
                <w:rFonts w:ascii="宋体" w:hAnsi="宋体" w:cs="宋体" w:eastAsia="宋体" w:hint="default"/>
                <w:sz w:val="18"/>
                <w:szCs w:val="18"/>
              </w:rPr>
              <w:t>年度使用募集资金总额为</w:t>
            </w:r>
            <w:r>
              <w:rPr>
                <w:rFonts w:ascii="宋体" w:hAnsi="宋体" w:cs="宋体" w:eastAsia="宋体" w:hint="default"/>
                <w:spacing w:val="-51"/>
                <w:sz w:val="18"/>
                <w:szCs w:val="18"/>
              </w:rPr>
              <w:t> </w:t>
            </w:r>
            <w:r>
              <w:rPr>
                <w:rFonts w:ascii="Arial" w:hAnsi="Arial" w:cs="Arial" w:eastAsia="Arial" w:hint="default"/>
                <w:sz w:val="18"/>
                <w:szCs w:val="18"/>
              </w:rPr>
              <w:t>7,976.94</w:t>
            </w:r>
            <w:r>
              <w:rPr>
                <w:rFonts w:ascii="Arial" w:hAnsi="Arial" w:cs="Arial" w:eastAsia="Arial" w:hint="default"/>
                <w:spacing w:val="-12"/>
                <w:sz w:val="18"/>
                <w:szCs w:val="18"/>
              </w:rPr>
              <w:t> </w:t>
            </w:r>
            <w:r>
              <w:rPr>
                <w:rFonts w:ascii="宋体" w:hAnsi="宋体" w:cs="宋体" w:eastAsia="宋体" w:hint="default"/>
                <w:sz w:val="18"/>
                <w:szCs w:val="18"/>
              </w:rPr>
              <w:t>万元，</w:t>
            </w:r>
            <w:r>
              <w:rPr>
                <w:rFonts w:ascii="Arial" w:hAnsi="Arial" w:cs="Arial" w:eastAsia="Arial" w:hint="default"/>
                <w:sz w:val="18"/>
                <w:szCs w:val="18"/>
              </w:rPr>
              <w:t>2014</w:t>
            </w:r>
            <w:r>
              <w:rPr>
                <w:rFonts w:ascii="Arial" w:hAnsi="Arial" w:cs="Arial" w:eastAsia="Arial" w:hint="default"/>
                <w:spacing w:val="-12"/>
                <w:sz w:val="18"/>
                <w:szCs w:val="18"/>
              </w:rPr>
              <w:t> </w:t>
            </w:r>
            <w:r>
              <w:rPr>
                <w:rFonts w:ascii="宋体" w:hAnsi="宋体" w:cs="宋体" w:eastAsia="宋体" w:hint="default"/>
                <w:sz w:val="18"/>
                <w:szCs w:val="18"/>
              </w:rPr>
              <w:t>年</w:t>
            </w:r>
          </w:p>
          <w:p>
            <w:pPr>
              <w:pStyle w:val="TableParagraph"/>
              <w:spacing w:line="240" w:lineRule="auto" w:before="63"/>
              <w:ind w:left="22" w:right="0"/>
              <w:jc w:val="left"/>
              <w:rPr>
                <w:rFonts w:ascii="Arial" w:hAnsi="Arial" w:cs="Arial" w:eastAsia="Arial" w:hint="default"/>
                <w:sz w:val="18"/>
                <w:szCs w:val="18"/>
              </w:rPr>
            </w:pPr>
            <w:r>
              <w:rPr>
                <w:rFonts w:ascii="宋体" w:hAnsi="宋体" w:cs="宋体" w:eastAsia="宋体" w:hint="default"/>
                <w:sz w:val="18"/>
                <w:szCs w:val="18"/>
              </w:rPr>
              <w:t>度使用募集资金总额为</w:t>
            </w:r>
            <w:r>
              <w:rPr>
                <w:rFonts w:ascii="宋体" w:hAnsi="宋体" w:cs="宋体" w:eastAsia="宋体" w:hint="default"/>
                <w:spacing w:val="-50"/>
                <w:sz w:val="18"/>
                <w:szCs w:val="18"/>
              </w:rPr>
              <w:t> </w:t>
            </w:r>
            <w:r>
              <w:rPr>
                <w:rFonts w:ascii="Arial" w:hAnsi="Arial" w:cs="Arial" w:eastAsia="Arial" w:hint="default"/>
                <w:sz w:val="18"/>
                <w:szCs w:val="18"/>
              </w:rPr>
              <w:t>9,698.53</w:t>
            </w:r>
            <w:r>
              <w:rPr>
                <w:rFonts w:ascii="Arial" w:hAnsi="Arial" w:cs="Arial" w:eastAsia="Arial" w:hint="default"/>
                <w:spacing w:val="-10"/>
                <w:sz w:val="18"/>
                <w:szCs w:val="18"/>
              </w:rPr>
              <w:t> </w:t>
            </w:r>
            <w:r>
              <w:rPr>
                <w:rFonts w:ascii="宋体" w:hAnsi="宋体" w:cs="宋体" w:eastAsia="宋体" w:hint="default"/>
                <w:sz w:val="18"/>
                <w:szCs w:val="18"/>
              </w:rPr>
              <w:t>万元，</w:t>
            </w:r>
            <w:r>
              <w:rPr>
                <w:rFonts w:ascii="Arial" w:hAnsi="Arial" w:cs="Arial" w:eastAsia="Arial" w:hint="default"/>
                <w:sz w:val="18"/>
                <w:szCs w:val="18"/>
              </w:rPr>
              <w:t>2015</w:t>
            </w:r>
            <w:r>
              <w:rPr>
                <w:rFonts w:ascii="Arial" w:hAnsi="Arial" w:cs="Arial" w:eastAsia="Arial" w:hint="default"/>
                <w:spacing w:val="-11"/>
                <w:sz w:val="18"/>
                <w:szCs w:val="18"/>
              </w:rPr>
              <w:t> </w:t>
            </w:r>
            <w:r>
              <w:rPr>
                <w:rFonts w:ascii="宋体" w:hAnsi="宋体" w:cs="宋体" w:eastAsia="宋体" w:hint="default"/>
                <w:sz w:val="18"/>
                <w:szCs w:val="18"/>
              </w:rPr>
              <w:t>年度使用募集资金总额为</w:t>
            </w:r>
            <w:r>
              <w:rPr>
                <w:rFonts w:ascii="宋体" w:hAnsi="宋体" w:cs="宋体" w:eastAsia="宋体" w:hint="default"/>
                <w:spacing w:val="-50"/>
                <w:sz w:val="18"/>
                <w:szCs w:val="18"/>
              </w:rPr>
              <w:t> </w:t>
            </w:r>
            <w:r>
              <w:rPr>
                <w:rFonts w:ascii="Arial" w:hAnsi="Arial" w:cs="Arial" w:eastAsia="Arial" w:hint="default"/>
                <w:sz w:val="18"/>
                <w:szCs w:val="18"/>
              </w:rPr>
              <w:t>6,958.79</w:t>
            </w:r>
            <w:r>
              <w:rPr>
                <w:rFonts w:ascii="Arial" w:hAnsi="Arial" w:cs="Arial" w:eastAsia="Arial" w:hint="default"/>
                <w:spacing w:val="-11"/>
                <w:sz w:val="18"/>
                <w:szCs w:val="18"/>
              </w:rPr>
              <w:t> </w:t>
            </w:r>
            <w:r>
              <w:rPr>
                <w:rFonts w:ascii="宋体" w:hAnsi="宋体" w:cs="宋体" w:eastAsia="宋体" w:hint="default"/>
                <w:sz w:val="18"/>
                <w:szCs w:val="18"/>
              </w:rPr>
              <w:t>万元，</w:t>
            </w:r>
            <w:r>
              <w:rPr>
                <w:rFonts w:ascii="Arial" w:hAnsi="Arial" w:cs="Arial" w:eastAsia="Arial" w:hint="default"/>
                <w:sz w:val="18"/>
                <w:szCs w:val="18"/>
              </w:rPr>
              <w:t>2016</w:t>
            </w:r>
            <w:r>
              <w:rPr>
                <w:rFonts w:ascii="Arial" w:hAnsi="Arial" w:cs="Arial" w:eastAsia="Arial" w:hint="default"/>
                <w:spacing w:val="-11"/>
                <w:sz w:val="18"/>
                <w:szCs w:val="18"/>
              </w:rPr>
              <w:t> </w:t>
            </w:r>
            <w:r>
              <w:rPr>
                <w:rFonts w:ascii="宋体" w:hAnsi="宋体" w:cs="宋体" w:eastAsia="宋体" w:hint="default"/>
                <w:sz w:val="18"/>
                <w:szCs w:val="18"/>
              </w:rPr>
              <w:t>年度募集资金投入</w:t>
            </w:r>
            <w:r>
              <w:rPr>
                <w:rFonts w:ascii="宋体" w:hAnsi="宋体" w:cs="宋体" w:eastAsia="宋体" w:hint="default"/>
                <w:spacing w:val="-50"/>
                <w:sz w:val="18"/>
                <w:szCs w:val="18"/>
              </w:rPr>
              <w:t> </w:t>
            </w:r>
            <w:r>
              <w:rPr>
                <w:rFonts w:ascii="Arial" w:hAnsi="Arial" w:cs="Arial" w:eastAsia="Arial" w:hint="default"/>
                <w:sz w:val="18"/>
                <w:szCs w:val="18"/>
              </w:rPr>
              <w:t>1,485.82</w:t>
            </w:r>
          </w:p>
          <w:p>
            <w:pPr>
              <w:pStyle w:val="TableParagraph"/>
              <w:spacing w:line="240" w:lineRule="auto" w:before="63"/>
              <w:ind w:left="22" w:right="0"/>
              <w:jc w:val="left"/>
              <w:rPr>
                <w:rFonts w:ascii="Arial" w:hAnsi="Arial" w:cs="Arial" w:eastAsia="Arial" w:hint="default"/>
                <w:sz w:val="18"/>
                <w:szCs w:val="18"/>
              </w:rPr>
            </w:pPr>
            <w:r>
              <w:rPr>
                <w:rFonts w:ascii="宋体" w:hAnsi="宋体" w:cs="宋体" w:eastAsia="宋体" w:hint="default"/>
                <w:spacing w:val="-10"/>
                <w:sz w:val="18"/>
                <w:szCs w:val="18"/>
              </w:rPr>
              <w:t>万元，</w:t>
            </w:r>
            <w:r>
              <w:rPr>
                <w:rFonts w:ascii="Arial" w:hAnsi="Arial" w:cs="Arial" w:eastAsia="Arial" w:hint="default"/>
                <w:spacing w:val="-10"/>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年度募集资金投入</w:t>
            </w:r>
            <w:r>
              <w:rPr>
                <w:rFonts w:ascii="宋体" w:hAnsi="宋体" w:cs="宋体" w:eastAsia="宋体" w:hint="default"/>
                <w:spacing w:val="-47"/>
                <w:sz w:val="18"/>
                <w:szCs w:val="18"/>
              </w:rPr>
              <w:t> </w:t>
            </w:r>
            <w:r>
              <w:rPr>
                <w:rFonts w:ascii="Arial" w:hAnsi="Arial" w:cs="Arial" w:eastAsia="Arial" w:hint="default"/>
                <w:sz w:val="18"/>
                <w:szCs w:val="18"/>
              </w:rPr>
              <w:t>16,309.17</w:t>
            </w:r>
            <w:r>
              <w:rPr>
                <w:rFonts w:ascii="Arial" w:hAnsi="Arial" w:cs="Arial" w:eastAsia="Arial" w:hint="default"/>
                <w:spacing w:val="-6"/>
                <w:sz w:val="18"/>
                <w:szCs w:val="18"/>
              </w:rPr>
              <w:t> </w:t>
            </w:r>
            <w:r>
              <w:rPr>
                <w:rFonts w:ascii="宋体" w:hAnsi="宋体" w:cs="宋体" w:eastAsia="宋体" w:hint="default"/>
                <w:spacing w:val="-10"/>
                <w:sz w:val="18"/>
                <w:szCs w:val="18"/>
              </w:rPr>
              <w:t>万元，</w:t>
            </w:r>
            <w:r>
              <w:rPr>
                <w:rFonts w:ascii="Arial" w:hAnsi="Arial" w:cs="Arial" w:eastAsia="Arial" w:hint="default"/>
                <w:spacing w:val="-10"/>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年度募集资金投入</w:t>
            </w:r>
            <w:r>
              <w:rPr>
                <w:rFonts w:ascii="宋体" w:hAnsi="宋体" w:cs="宋体" w:eastAsia="宋体" w:hint="default"/>
                <w:spacing w:val="-47"/>
                <w:sz w:val="18"/>
                <w:szCs w:val="18"/>
              </w:rPr>
              <w:t> </w:t>
            </w:r>
            <w:r>
              <w:rPr>
                <w:rFonts w:ascii="Arial" w:hAnsi="Arial" w:cs="Arial" w:eastAsia="Arial" w:hint="default"/>
                <w:sz w:val="18"/>
                <w:szCs w:val="18"/>
              </w:rPr>
              <w:t>2,891.77</w:t>
            </w:r>
            <w:r>
              <w:rPr>
                <w:rFonts w:ascii="Arial" w:hAnsi="Arial" w:cs="Arial" w:eastAsia="Arial" w:hint="default"/>
                <w:spacing w:val="-7"/>
                <w:sz w:val="18"/>
                <w:szCs w:val="18"/>
              </w:rPr>
              <w:t> </w:t>
            </w:r>
            <w:r>
              <w:rPr>
                <w:rFonts w:ascii="宋体" w:hAnsi="宋体" w:cs="宋体" w:eastAsia="宋体" w:hint="default"/>
                <w:spacing w:val="-10"/>
                <w:sz w:val="18"/>
                <w:szCs w:val="18"/>
              </w:rPr>
              <w:t>万元，</w:t>
            </w:r>
            <w:r>
              <w:rPr>
                <w:rFonts w:ascii="Arial" w:hAnsi="Arial" w:cs="Arial" w:eastAsia="Arial" w:hint="default"/>
                <w:spacing w:val="-10"/>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年度募集资金投入</w:t>
            </w:r>
            <w:r>
              <w:rPr>
                <w:rFonts w:ascii="宋体" w:hAnsi="宋体" w:cs="宋体" w:eastAsia="宋体" w:hint="default"/>
                <w:spacing w:val="-47"/>
                <w:sz w:val="18"/>
                <w:szCs w:val="18"/>
              </w:rPr>
              <w:t> </w:t>
            </w:r>
            <w:r>
              <w:rPr>
                <w:rFonts w:ascii="Arial" w:hAnsi="Arial" w:cs="Arial" w:eastAsia="Arial" w:hint="default"/>
                <w:sz w:val="18"/>
                <w:szCs w:val="18"/>
              </w:rPr>
              <w:t>9,710.07</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万元，截至</w:t>
            </w:r>
            <w:r>
              <w:rPr>
                <w:rFonts w:ascii="宋体" w:hAnsi="宋体" w:cs="宋体" w:eastAsia="宋体" w:hint="default"/>
                <w:spacing w:val="-48"/>
                <w:sz w:val="18"/>
                <w:szCs w:val="18"/>
              </w:rPr>
              <w:t> </w:t>
            </w: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日募集资金累计投入</w:t>
            </w:r>
            <w:r>
              <w:rPr>
                <w:rFonts w:ascii="宋体" w:hAnsi="宋体" w:cs="宋体" w:eastAsia="宋体" w:hint="default"/>
                <w:spacing w:val="-48"/>
                <w:sz w:val="18"/>
                <w:szCs w:val="18"/>
              </w:rPr>
              <w:t> </w:t>
            </w:r>
            <w:r>
              <w:rPr>
                <w:rFonts w:ascii="Arial" w:hAnsi="Arial" w:cs="Arial" w:eastAsia="Arial" w:hint="default"/>
                <w:sz w:val="18"/>
                <w:szCs w:val="18"/>
              </w:rPr>
              <w:t>84,591.04</w:t>
            </w:r>
            <w:r>
              <w:rPr>
                <w:rFonts w:ascii="Arial" w:hAnsi="Arial" w:cs="Arial" w:eastAsia="Arial" w:hint="default"/>
                <w:spacing w:val="-8"/>
                <w:sz w:val="18"/>
                <w:szCs w:val="18"/>
              </w:rPr>
              <w:t> </w:t>
            </w:r>
            <w:r>
              <w:rPr>
                <w:rFonts w:ascii="宋体" w:hAnsi="宋体" w:cs="宋体" w:eastAsia="宋体" w:hint="default"/>
                <w:sz w:val="18"/>
                <w:szCs w:val="18"/>
              </w:rPr>
              <w:t>万元，尚未使用的金额为</w:t>
            </w:r>
            <w:r>
              <w:rPr>
                <w:rFonts w:ascii="宋体" w:hAnsi="宋体" w:cs="宋体" w:eastAsia="宋体" w:hint="default"/>
                <w:spacing w:val="-48"/>
                <w:sz w:val="18"/>
                <w:szCs w:val="18"/>
              </w:rPr>
              <w:t> </w:t>
            </w:r>
            <w:r>
              <w:rPr>
                <w:rFonts w:ascii="Arial" w:hAnsi="Arial" w:cs="Arial" w:eastAsia="Arial" w:hint="default"/>
                <w:sz w:val="18"/>
                <w:szCs w:val="18"/>
              </w:rPr>
              <w:t>19,711.02</w:t>
            </w:r>
            <w:r>
              <w:rPr>
                <w:rFonts w:ascii="Arial" w:hAnsi="Arial" w:cs="Arial" w:eastAsia="Arial" w:hint="default"/>
                <w:spacing w:val="-9"/>
                <w:sz w:val="18"/>
                <w:szCs w:val="18"/>
              </w:rPr>
              <w:t> </w:t>
            </w:r>
            <w:r>
              <w:rPr>
                <w:rFonts w:ascii="宋体" w:hAnsi="宋体" w:cs="宋体" w:eastAsia="宋体" w:hint="default"/>
                <w:sz w:val="18"/>
                <w:szCs w:val="18"/>
              </w:rPr>
              <w:t>万元（其中包含利息及</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理财收益净收入</w:t>
            </w:r>
            <w:r>
              <w:rPr>
                <w:rFonts w:ascii="宋体" w:hAnsi="宋体" w:cs="宋体" w:eastAsia="宋体" w:hint="default"/>
                <w:spacing w:val="-46"/>
                <w:sz w:val="18"/>
                <w:szCs w:val="18"/>
              </w:rPr>
              <w:t> </w:t>
            </w:r>
            <w:r>
              <w:rPr>
                <w:rFonts w:ascii="Arial" w:hAnsi="Arial" w:cs="Arial" w:eastAsia="Arial" w:hint="default"/>
                <w:spacing w:val="-1"/>
                <w:sz w:val="18"/>
                <w:szCs w:val="18"/>
              </w:rPr>
              <w:t>13,</w:t>
            </w:r>
            <w:r>
              <w:rPr>
                <w:rFonts w:ascii="Arial" w:hAnsi="Arial" w:cs="Arial" w:eastAsia="Arial" w:hint="default"/>
                <w:sz w:val="18"/>
                <w:szCs w:val="18"/>
              </w:rPr>
              <w:t>7</w:t>
            </w:r>
            <w:r>
              <w:rPr>
                <w:rFonts w:ascii="Arial" w:hAnsi="Arial" w:cs="Arial" w:eastAsia="Arial" w:hint="default"/>
                <w:spacing w:val="-1"/>
                <w:sz w:val="18"/>
                <w:szCs w:val="18"/>
              </w:rPr>
              <w:t>35.</w:t>
            </w:r>
            <w:r>
              <w:rPr>
                <w:rFonts w:ascii="Arial" w:hAnsi="Arial" w:cs="Arial" w:eastAsia="Arial" w:hint="default"/>
                <w:sz w:val="18"/>
                <w:szCs w:val="18"/>
              </w:rPr>
              <w:t>75</w:t>
            </w:r>
            <w:r>
              <w:rPr>
                <w:rFonts w:ascii="Arial" w:hAnsi="Arial" w:cs="Arial" w:eastAsia="Arial" w:hint="default"/>
                <w:spacing w:val="-5"/>
                <w:sz w:val="18"/>
                <w:szCs w:val="18"/>
              </w:rPr>
              <w:t> </w:t>
            </w:r>
            <w:r>
              <w:rPr>
                <w:rFonts w:ascii="宋体" w:hAnsi="宋体" w:cs="宋体" w:eastAsia="宋体" w:hint="default"/>
                <w:sz w:val="18"/>
                <w:szCs w:val="18"/>
              </w:rPr>
              <w:t>万元</w:t>
            </w:r>
            <w:r>
              <w:rPr>
                <w:rFonts w:ascii="宋体" w:hAnsi="宋体" w:cs="宋体" w:eastAsia="宋体" w:hint="default"/>
                <w:spacing w:val="-90"/>
                <w:sz w:val="18"/>
                <w:szCs w:val="18"/>
              </w:rPr>
              <w:t>）</w:t>
            </w:r>
            <w:r>
              <w:rPr>
                <w:rFonts w:ascii="宋体" w:hAnsi="宋体" w:cs="宋体" w:eastAsia="宋体" w:hint="default"/>
                <w:sz w:val="18"/>
                <w:szCs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t>（</w:t>
      </w:r>
      <w:r>
        <w:rPr>
          <w:rFonts w:ascii="Arial" w:hAnsi="Arial" w:cs="Arial" w:eastAsia="Arial" w:hint="default"/>
        </w:rPr>
        <w:t>2</w:t>
      </w:r>
      <w:r>
        <w:rPr/>
        <w:t>）募集资金承诺项目情况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pStyle w:val="BodyText"/>
        <w:spacing w:line="240" w:lineRule="auto" w:before="103"/>
        <w:ind w:left="0" w:right="1131"/>
        <w:jc w:val="right"/>
      </w:pPr>
      <w:r>
        <w:rPr/>
        <w:t>单位：万元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60"/>
        <w:gridCol w:w="708"/>
        <w:gridCol w:w="994"/>
        <w:gridCol w:w="991"/>
        <w:gridCol w:w="635"/>
        <w:gridCol w:w="924"/>
        <w:gridCol w:w="852"/>
        <w:gridCol w:w="991"/>
        <w:gridCol w:w="851"/>
        <w:gridCol w:w="426"/>
        <w:gridCol w:w="636"/>
      </w:tblGrid>
      <w:tr>
        <w:trPr>
          <w:trHeight w:val="1650"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323" w:right="54" w:hanging="270"/>
              <w:jc w:val="left"/>
              <w:rPr>
                <w:rFonts w:ascii="宋体" w:hAnsi="宋体" w:cs="宋体" w:eastAsia="宋体" w:hint="default"/>
                <w:sz w:val="18"/>
                <w:szCs w:val="18"/>
              </w:rPr>
            </w:pPr>
            <w:r>
              <w:rPr>
                <w:rFonts w:ascii="宋体" w:hAnsi="宋体" w:cs="宋体" w:eastAsia="宋体" w:hint="default"/>
                <w:sz w:val="18"/>
                <w:szCs w:val="18"/>
              </w:rPr>
              <w:t>承诺投资项目和超 募资金投向</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2" w:lineRule="auto"/>
              <w:ind w:left="48" w:right="48" w:firstLine="30"/>
              <w:jc w:val="both"/>
              <w:rPr>
                <w:rFonts w:ascii="Arial" w:hAnsi="Arial" w:cs="Arial" w:eastAsia="Arial" w:hint="default"/>
                <w:sz w:val="18"/>
                <w:szCs w:val="18"/>
              </w:rPr>
            </w:pPr>
            <w:r>
              <w:rPr>
                <w:rFonts w:ascii="宋体" w:hAnsi="宋体" w:cs="宋体" w:eastAsia="宋体" w:hint="default"/>
                <w:sz w:val="18"/>
                <w:szCs w:val="18"/>
              </w:rPr>
              <w:t>是否已 变更项 目</w:t>
            </w:r>
            <w:r>
              <w:rPr>
                <w:rFonts w:ascii="Arial" w:hAnsi="Arial" w:cs="Arial" w:eastAsia="Arial" w:hint="default"/>
                <w:sz w:val="18"/>
                <w:szCs w:val="18"/>
              </w:rPr>
              <w:t>(</w:t>
            </w:r>
            <w:r>
              <w:rPr>
                <w:rFonts w:ascii="宋体" w:hAnsi="宋体" w:cs="宋体" w:eastAsia="宋体" w:hint="default"/>
                <w:sz w:val="18"/>
                <w:szCs w:val="18"/>
              </w:rPr>
              <w:t>含部 分变更</w:t>
            </w:r>
            <w:r>
              <w:rPr>
                <w:rFonts w:ascii="Arial" w:hAnsi="Arial" w:cs="Arial" w:eastAsia="Arial"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40" w:right="41"/>
              <w:jc w:val="left"/>
              <w:rPr>
                <w:rFonts w:ascii="宋体" w:hAnsi="宋体" w:cs="宋体" w:eastAsia="宋体" w:hint="default"/>
                <w:sz w:val="18"/>
                <w:szCs w:val="18"/>
              </w:rPr>
            </w:pPr>
            <w:r>
              <w:rPr>
                <w:rFonts w:ascii="宋体" w:hAnsi="宋体" w:cs="宋体" w:eastAsia="宋体" w:hint="default"/>
                <w:sz w:val="18"/>
                <w:szCs w:val="18"/>
              </w:rPr>
              <w:t>募集资金承 诺投资总额</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316" w:lineRule="auto"/>
              <w:ind w:left="200" w:right="38" w:hanging="160"/>
              <w:jc w:val="left"/>
              <w:rPr>
                <w:rFonts w:ascii="Arial" w:hAnsi="Arial" w:cs="Arial" w:eastAsia="Arial" w:hint="default"/>
                <w:sz w:val="18"/>
                <w:szCs w:val="18"/>
              </w:rPr>
            </w:pPr>
            <w:r>
              <w:rPr>
                <w:rFonts w:ascii="宋体" w:hAnsi="宋体" w:cs="宋体" w:eastAsia="宋体" w:hint="default"/>
                <w:sz w:val="18"/>
                <w:szCs w:val="18"/>
              </w:rPr>
              <w:t>调整后投资 总额</w:t>
            </w:r>
            <w:r>
              <w:rPr>
                <w:rFonts w:ascii="Arial" w:hAnsi="Arial" w:cs="Arial" w:eastAsia="Arial" w:hint="default"/>
                <w:sz w:val="18"/>
                <w:szCs w:val="18"/>
              </w:rPr>
              <w:t>(1)</w:t>
            </w:r>
          </w:p>
        </w:tc>
        <w:tc>
          <w:tcPr>
            <w:tcW w:w="6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1" w:right="41"/>
              <w:jc w:val="both"/>
              <w:rPr>
                <w:rFonts w:ascii="宋体" w:hAnsi="宋体" w:cs="宋体" w:eastAsia="宋体" w:hint="default"/>
                <w:sz w:val="18"/>
                <w:szCs w:val="18"/>
              </w:rPr>
            </w:pPr>
            <w:r>
              <w:rPr>
                <w:rFonts w:ascii="宋体" w:hAnsi="宋体" w:cs="宋体" w:eastAsia="宋体" w:hint="default"/>
                <w:sz w:val="18"/>
                <w:szCs w:val="18"/>
              </w:rPr>
              <w:t>本报告 期投入 金额</w:t>
            </w:r>
          </w:p>
        </w:tc>
        <w:tc>
          <w:tcPr>
            <w:tcW w:w="9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7" w:right="95"/>
              <w:jc w:val="both"/>
              <w:rPr>
                <w:rFonts w:ascii="Arial" w:hAnsi="Arial" w:cs="Arial" w:eastAsia="Arial" w:hint="default"/>
                <w:sz w:val="18"/>
                <w:szCs w:val="18"/>
              </w:rPr>
            </w:pPr>
            <w:r>
              <w:rPr>
                <w:rFonts w:ascii="宋体" w:hAnsi="宋体" w:cs="宋体" w:eastAsia="宋体" w:hint="default"/>
                <w:sz w:val="18"/>
                <w:szCs w:val="18"/>
              </w:rPr>
              <w:t>截至期末 累计投入 金额</w:t>
            </w:r>
            <w:r>
              <w:rPr>
                <w:rFonts w:ascii="Arial" w:hAnsi="Arial" w:cs="Arial" w:eastAsia="Arial" w:hint="default"/>
                <w:sz w:val="18"/>
                <w:szCs w:val="18"/>
              </w:rPr>
              <w:t>(2)</w:t>
            </w:r>
          </w:p>
        </w:tc>
        <w:tc>
          <w:tcPr>
            <w:tcW w:w="8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26" w:lineRule="auto"/>
              <w:ind w:left="61" w:right="59"/>
              <w:jc w:val="center"/>
              <w:rPr>
                <w:rFonts w:ascii="Arial" w:hAnsi="Arial" w:cs="Arial" w:eastAsia="Arial" w:hint="default"/>
                <w:sz w:val="18"/>
                <w:szCs w:val="18"/>
              </w:rPr>
            </w:pPr>
            <w:r>
              <w:rPr>
                <w:rFonts w:ascii="宋体" w:hAnsi="宋体" w:cs="宋体" w:eastAsia="宋体" w:hint="default"/>
                <w:sz w:val="18"/>
                <w:szCs w:val="18"/>
              </w:rPr>
              <w:t>截至期末 投资进度 </w:t>
            </w:r>
            <w:r>
              <w:rPr>
                <w:rFonts w:ascii="Arial" w:hAnsi="Arial" w:cs="Arial" w:eastAsia="Arial" w:hint="default"/>
                <w:sz w:val="18"/>
                <w:szCs w:val="18"/>
              </w:rPr>
              <w:t>(3)</w:t>
            </w:r>
            <w:r>
              <w:rPr>
                <w:rFonts w:ascii="宋体" w:hAnsi="宋体" w:cs="宋体" w:eastAsia="宋体" w:hint="default"/>
                <w:sz w:val="18"/>
                <w:szCs w:val="18"/>
              </w:rPr>
              <w:t>＝ </w:t>
            </w:r>
            <w:r>
              <w:rPr>
                <w:rFonts w:ascii="Arial" w:hAnsi="Arial" w:cs="Arial" w:eastAsia="Arial" w:hint="default"/>
                <w:sz w:val="18"/>
                <w:szCs w:val="18"/>
              </w:rPr>
              <w:t>(2)/(1)</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0" w:right="38"/>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59" w:right="59"/>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4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7" w:right="26"/>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6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43" w:right="41"/>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Arial" w:hAnsi="Arial" w:cs="Arial" w:eastAsia="Arial" w:hint="default"/>
                <w:spacing w:val="-5"/>
                <w:sz w:val="18"/>
                <w:szCs w:val="18"/>
              </w:rPr>
              <w:t>1</w:t>
            </w:r>
            <w:r>
              <w:rPr>
                <w:rFonts w:ascii="宋体" w:hAnsi="宋体" w:cs="宋体" w:eastAsia="宋体" w:hint="default"/>
                <w:spacing w:val="-5"/>
                <w:sz w:val="18"/>
                <w:szCs w:val="18"/>
              </w:rPr>
              <w:t>、新一代电子政务</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应用平台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8,224.43</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8,224.43</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w w:val="95"/>
                <w:sz w:val="18"/>
              </w:rPr>
              <w:t>1,100</w:t>
            </w:r>
            <w:r>
              <w:rPr>
                <w:rFonts w:ascii="Arial"/>
                <w:w w:val="95"/>
                <w:sz w:val="18"/>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8,135.61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98.92%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Arial" w:hAnsi="Arial" w:cs="Arial" w:eastAsia="Arial" w:hint="default"/>
                <w:sz w:val="18"/>
                <w:szCs w:val="18"/>
              </w:rPr>
            </w:pPr>
            <w:r>
              <w:rPr>
                <w:rFonts w:ascii="Arial" w:hAnsi="Arial" w:cs="Arial" w:eastAsia="Arial" w:hint="default"/>
                <w:sz w:val="18"/>
                <w:szCs w:val="18"/>
              </w:rPr>
              <w:t>2012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01</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1,681.86</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Arial" w:hAnsi="Arial" w:cs="Arial" w:eastAsia="Arial" w:hint="default"/>
                <w:spacing w:val="-5"/>
                <w:sz w:val="18"/>
                <w:szCs w:val="18"/>
              </w:rPr>
              <w:t>2</w:t>
            </w:r>
            <w:r>
              <w:rPr>
                <w:rFonts w:ascii="宋体" w:hAnsi="宋体" w:cs="宋体" w:eastAsia="宋体" w:hint="default"/>
                <w:spacing w:val="-5"/>
                <w:sz w:val="18"/>
                <w:szCs w:val="18"/>
              </w:rPr>
              <w:t>、信息安全风险综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合管理系统</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7,799.08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7,799.08</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w w:val="95"/>
                <w:sz w:val="18"/>
              </w:rPr>
              <w:t>500</w:t>
            </w:r>
            <w:r>
              <w:rPr>
                <w:rFonts w:ascii="Arial"/>
                <w:w w:val="95"/>
                <w:sz w:val="18"/>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7,780.17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99.76%</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Arial" w:hAnsi="Arial" w:cs="Arial" w:eastAsia="Arial" w:hint="default"/>
                <w:sz w:val="18"/>
                <w:szCs w:val="18"/>
              </w:rPr>
            </w:pPr>
            <w:r>
              <w:rPr>
                <w:rFonts w:ascii="Arial" w:hAnsi="Arial" w:cs="Arial" w:eastAsia="Arial" w:hint="default"/>
                <w:sz w:val="18"/>
                <w:szCs w:val="18"/>
              </w:rPr>
              <w:t>2012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01</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w w:val="95"/>
                <w:sz w:val="18"/>
              </w:rPr>
              <w:t>38.64</w:t>
            </w:r>
            <w:r>
              <w:rPr>
                <w:rFonts w:ascii="Arial"/>
                <w:w w:val="95"/>
                <w:sz w:val="18"/>
              </w:rPr>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2" w:right="22"/>
              <w:jc w:val="left"/>
              <w:rPr>
                <w:rFonts w:ascii="宋体" w:hAnsi="宋体" w:cs="宋体" w:eastAsia="宋体" w:hint="default"/>
                <w:sz w:val="18"/>
                <w:szCs w:val="18"/>
              </w:rPr>
            </w:pPr>
            <w:r>
              <w:rPr>
                <w:rFonts w:ascii="Arial" w:hAnsi="Arial" w:cs="Arial" w:eastAsia="Arial" w:hint="default"/>
                <w:spacing w:val="-5"/>
                <w:sz w:val="18"/>
                <w:szCs w:val="18"/>
              </w:rPr>
              <w:t>3</w:t>
            </w:r>
            <w:r>
              <w:rPr>
                <w:rFonts w:ascii="宋体" w:hAnsi="宋体" w:cs="宋体" w:eastAsia="宋体" w:hint="default"/>
                <w:spacing w:val="-5"/>
                <w:sz w:val="18"/>
                <w:szCs w:val="18"/>
              </w:rPr>
              <w:t>、质检三电工程企</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业端软件运维服务 平台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Arial" w:hAnsi="Arial" w:cs="Arial" w:eastAsia="Arial" w:hint="default"/>
                <w:sz w:val="18"/>
                <w:szCs w:val="18"/>
              </w:rPr>
            </w:pPr>
            <w:r>
              <w:rPr>
                <w:rFonts w:ascii="Arial"/>
                <w:spacing w:val="-1"/>
                <w:sz w:val="18"/>
              </w:rPr>
              <w:t>10,903.06</w:t>
            </w:r>
            <w:r>
              <w:rPr>
                <w:rFonts w:ascii="Arial"/>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sz w:val="18"/>
              </w:rPr>
              <w:t>10,903.06</w:t>
            </w:r>
            <w:r>
              <w:rPr>
                <w:rFonts w:ascii="Arial"/>
                <w:sz w:val="18"/>
              </w:rPr>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Arial" w:hAnsi="Arial" w:cs="Arial" w:eastAsia="Arial" w:hint="default"/>
                <w:sz w:val="18"/>
                <w:szCs w:val="18"/>
              </w:rPr>
            </w:pPr>
            <w:r>
              <w:rPr>
                <w:rFonts w:ascii="Arial"/>
                <w:spacing w:val="-1"/>
                <w:w w:val="95"/>
                <w:sz w:val="18"/>
              </w:rPr>
              <w:t>1,000</w:t>
            </w:r>
            <w:r>
              <w:rPr>
                <w:rFonts w:ascii="Arial"/>
                <w:w w:val="95"/>
                <w:sz w:val="18"/>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sz w:val="18"/>
              </w:rPr>
              <w:t>10,857.53</w:t>
            </w:r>
            <w:r>
              <w:rPr>
                <w:rFonts w:ascii="Arial"/>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99.58%</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Arial" w:hAnsi="Arial" w:cs="Arial" w:eastAsia="Arial" w:hint="default"/>
                <w:sz w:val="18"/>
                <w:szCs w:val="18"/>
              </w:rPr>
            </w:pPr>
            <w:r>
              <w:rPr>
                <w:rFonts w:ascii="Arial" w:hAnsi="Arial" w:cs="Arial" w:eastAsia="Arial" w:hint="default"/>
                <w:sz w:val="18"/>
                <w:szCs w:val="18"/>
              </w:rPr>
              <w:t>2012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01</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sz w:val="18"/>
              </w:rPr>
              <w:t>2,168.72</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2"/>
              <w:jc w:val="left"/>
              <w:rPr>
                <w:rFonts w:ascii="宋体" w:hAnsi="宋体" w:cs="宋体" w:eastAsia="宋体" w:hint="default"/>
                <w:sz w:val="18"/>
                <w:szCs w:val="18"/>
              </w:rPr>
            </w:pPr>
            <w:r>
              <w:rPr>
                <w:rFonts w:ascii="Arial" w:hAnsi="Arial" w:cs="Arial" w:eastAsia="Arial" w:hint="default"/>
                <w:spacing w:val="-5"/>
                <w:sz w:val="18"/>
                <w:szCs w:val="18"/>
              </w:rPr>
              <w:t>4</w:t>
            </w:r>
            <w:r>
              <w:rPr>
                <w:rFonts w:ascii="宋体" w:hAnsi="宋体" w:cs="宋体" w:eastAsia="宋体" w:hint="default"/>
                <w:spacing w:val="-5"/>
                <w:sz w:val="18"/>
                <w:szCs w:val="18"/>
              </w:rPr>
              <w:t>、协同管理软件平</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8,938.89</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8,938.89</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w w:val="95"/>
                <w:sz w:val="18"/>
              </w:rPr>
              <w:t>2,200</w:t>
            </w:r>
            <w:r>
              <w:rPr>
                <w:rFonts w:ascii="Arial"/>
                <w:w w:val="95"/>
                <w:sz w:val="18"/>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8,236.28</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92.14%</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Arial" w:hAnsi="Arial" w:cs="Arial" w:eastAsia="Arial" w:hint="default"/>
                <w:sz w:val="18"/>
                <w:szCs w:val="18"/>
              </w:rPr>
            </w:pPr>
            <w:r>
              <w:rPr>
                <w:rFonts w:ascii="Arial" w:hAnsi="Arial" w:cs="Arial" w:eastAsia="Arial" w:hint="default"/>
                <w:sz w:val="18"/>
                <w:szCs w:val="18"/>
              </w:rPr>
              <w:t>2012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01</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854.74</w:t>
            </w: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Arial" w:hAnsi="Arial" w:cs="Arial" w:eastAsia="Arial" w:hint="default"/>
                <w:spacing w:val="-5"/>
                <w:sz w:val="18"/>
                <w:szCs w:val="18"/>
              </w:rPr>
              <w:t>5</w:t>
            </w:r>
            <w:r>
              <w:rPr>
                <w:rFonts w:ascii="宋体" w:hAnsi="宋体" w:cs="宋体" w:eastAsia="宋体" w:hint="default"/>
                <w:spacing w:val="-5"/>
                <w:sz w:val="18"/>
                <w:szCs w:val="18"/>
              </w:rPr>
              <w:t>、技术研发与创新</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4,288.62</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4,288.62</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95"/>
                <w:sz w:val="18"/>
              </w:rPr>
              <w:t>2,200</w:t>
            </w:r>
            <w:r>
              <w:rPr>
                <w:rFonts w:ascii="Arial"/>
                <w:w w:val="95"/>
                <w:sz w:val="18"/>
              </w:rPr>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4,257.22</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99.27%</w:t>
            </w:r>
          </w:p>
        </w:tc>
        <w:tc>
          <w:tcPr>
            <w:tcW w:w="991"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
        </w:tc>
        <w:tc>
          <w:tcPr>
            <w:tcW w:w="4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不适</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136.080002pt;margin-top:346.980011pt;width:397.65pt;height:33.25pt;mso-position-horizontal-relative:page;mso-position-vertical-relative:page;z-index:-1406368" coordorigin="2722,6940" coordsize="7953,665">
            <v:group style="position:absolute;left:2722;top:6940;width:7953;height:312" coordorigin="2722,6940" coordsize="7953,312">
              <v:shape style="position:absolute;left:2722;top:6940;width:7953;height:312" coordorigin="2722,6940" coordsize="7953,312" path="m2722,7252l10674,7252,10674,6940,2722,6940,2722,7252xe" filled="true" fillcolor="#ffffff" stroked="false">
                <v:path arrowok="t"/>
                <v:fill type="solid"/>
              </v:shape>
            </v:group>
            <v:group style="position:absolute;left:2722;top:7252;width:7953;height:353" coordorigin="2722,7252" coordsize="7953,353">
              <v:shape style="position:absolute;left:2722;top:7252;width:7953;height:353" coordorigin="2722,7252" coordsize="7953,353" path="m2722,7604l10674,7604,10674,7252,2722,7252,2722,7604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54"/>
        <w:gridCol w:w="708"/>
        <w:gridCol w:w="999"/>
        <w:gridCol w:w="991"/>
        <w:gridCol w:w="635"/>
        <w:gridCol w:w="930"/>
        <w:gridCol w:w="840"/>
        <w:gridCol w:w="991"/>
        <w:gridCol w:w="862"/>
        <w:gridCol w:w="414"/>
        <w:gridCol w:w="642"/>
      </w:tblGrid>
      <w:tr>
        <w:trPr>
          <w:trHeight w:val="362"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中心</w:t>
            </w:r>
          </w:p>
        </w:tc>
        <w:tc>
          <w:tcPr>
            <w:tcW w:w="70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635"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205"/>
              <w:jc w:val="right"/>
              <w:rPr>
                <w:rFonts w:ascii="宋体" w:hAnsi="宋体" w:cs="宋体" w:eastAsia="宋体" w:hint="default"/>
                <w:sz w:val="18"/>
                <w:szCs w:val="18"/>
              </w:rPr>
            </w:pPr>
            <w:r>
              <w:rPr>
                <w:rFonts w:ascii="宋体" w:hAnsi="宋体" w:cs="宋体" w:eastAsia="宋体" w:hint="default"/>
                <w:sz w:val="18"/>
                <w:szCs w:val="18"/>
              </w:rPr>
              <w:t>用</w:t>
            </w: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282"/>
              <w:jc w:val="right"/>
              <w:rPr>
                <w:rFonts w:ascii="Arial" w:hAnsi="Arial" w:cs="Arial" w:eastAsia="Arial" w:hint="default"/>
                <w:sz w:val="18"/>
                <w:szCs w:val="18"/>
              </w:rPr>
            </w:pPr>
            <w:r>
              <w:rPr>
                <w:rFonts w:ascii="Arial"/>
                <w:sz w:val="18"/>
              </w:rPr>
              <w:t>--</w:t>
            </w:r>
          </w:p>
        </w:tc>
        <w:tc>
          <w:tcPr>
            <w:tcW w:w="99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40,154.08</w:t>
            </w:r>
            <w:r>
              <w:rPr>
                <w:rFonts w:ascii="Arial"/>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40,154.08</w:t>
            </w:r>
            <w:r>
              <w:rPr>
                <w:rFonts w:ascii="Arial"/>
                <w:sz w:val="18"/>
              </w:rPr>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95"/>
                <w:sz w:val="18"/>
              </w:rPr>
              <w:t>7,000</w:t>
            </w:r>
            <w:r>
              <w:rPr>
                <w:rFonts w:ascii="Arial"/>
                <w:w w:val="95"/>
                <w:sz w:val="18"/>
              </w:rPr>
            </w:r>
          </w:p>
        </w:tc>
        <w:tc>
          <w:tcPr>
            <w:tcW w:w="930"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1"/>
              <w:ind w:right="16"/>
              <w:jc w:val="right"/>
              <w:rPr>
                <w:rFonts w:ascii="Arial" w:hAnsi="Arial" w:cs="Arial" w:eastAsia="Arial" w:hint="default"/>
                <w:sz w:val="18"/>
                <w:szCs w:val="18"/>
              </w:rPr>
            </w:pPr>
            <w:r>
              <w:rPr>
                <w:rFonts w:ascii="Arial"/>
                <w:spacing w:val="-1"/>
                <w:sz w:val="18"/>
              </w:rPr>
              <w:t>39,266.81</w:t>
            </w:r>
            <w:r>
              <w:rPr>
                <w:rFonts w:ascii="Arial"/>
                <w:sz w:val="18"/>
              </w:rPr>
            </w:r>
          </w:p>
        </w:tc>
        <w:tc>
          <w:tcPr>
            <w:tcW w:w="8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Arial" w:hAnsi="Arial" w:cs="Arial" w:eastAsia="Arial" w:hint="default"/>
                <w:sz w:val="18"/>
                <w:szCs w:val="18"/>
              </w:rPr>
            </w:pPr>
            <w:r>
              <w:rPr>
                <w:rFonts w:ascii="Arial"/>
                <w:sz w:val="18"/>
              </w:rPr>
              <w:t>--</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Arial" w:hAnsi="Arial" w:cs="Arial" w:eastAsia="Arial" w:hint="default"/>
                <w:sz w:val="18"/>
                <w:szCs w:val="18"/>
              </w:rPr>
            </w:pPr>
            <w:r>
              <w:rPr>
                <w:rFonts w:ascii="Arial"/>
                <w:sz w:val="18"/>
              </w:rPr>
              <w:t>--</w:t>
            </w:r>
          </w:p>
        </w:tc>
        <w:tc>
          <w:tcPr>
            <w:tcW w:w="862" w:type="dxa"/>
            <w:tcBorders>
              <w:top w:val="single" w:sz="4" w:space="0" w:color="000000"/>
              <w:left w:val="single" w:sz="13" w:space="0" w:color="D3D3D3"/>
              <w:bottom w:val="single" w:sz="4" w:space="0" w:color="000000"/>
              <w:right w:val="single" w:sz="13" w:space="0" w:color="D3D3D3"/>
            </w:tcBorders>
          </w:tcPr>
          <w:p>
            <w:pPr>
              <w:pStyle w:val="TableParagraph"/>
              <w:spacing w:line="240" w:lineRule="auto" w:before="91"/>
              <w:ind w:left="91" w:right="0"/>
              <w:jc w:val="center"/>
              <w:rPr>
                <w:rFonts w:ascii="Arial" w:hAnsi="Arial" w:cs="Arial" w:eastAsia="Arial" w:hint="default"/>
                <w:sz w:val="18"/>
                <w:szCs w:val="18"/>
              </w:rPr>
            </w:pPr>
            <w:r>
              <w:rPr>
                <w:rFonts w:ascii="Arial"/>
                <w:sz w:val="18"/>
              </w:rPr>
              <w:t>4,743.96</w:t>
            </w:r>
          </w:p>
        </w:tc>
        <w:tc>
          <w:tcPr>
            <w:tcW w:w="4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40"/>
              <w:jc w:val="right"/>
              <w:rPr>
                <w:rFonts w:ascii="Arial" w:hAnsi="Arial" w:cs="Arial" w:eastAsia="Arial" w:hint="default"/>
                <w:sz w:val="18"/>
                <w:szCs w:val="18"/>
              </w:rPr>
            </w:pPr>
            <w:r>
              <w:rPr>
                <w:rFonts w:ascii="Arial"/>
                <w:sz w:val="18"/>
              </w:rPr>
              <w:t>--</w:t>
            </w:r>
          </w:p>
        </w:tc>
        <w:tc>
          <w:tcPr>
            <w:tcW w:w="6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5" w:right="0"/>
              <w:jc w:val="center"/>
              <w:rPr>
                <w:rFonts w:ascii="Arial" w:hAnsi="Arial" w:cs="Arial" w:eastAsia="Arial" w:hint="default"/>
                <w:sz w:val="18"/>
                <w:szCs w:val="18"/>
              </w:rPr>
            </w:pPr>
            <w:r>
              <w:rPr>
                <w:rFonts w:ascii="Arial"/>
                <w:sz w:val="18"/>
              </w:rPr>
              <w:t>--</w:t>
            </w:r>
          </w:p>
        </w:tc>
      </w:tr>
      <w:tr>
        <w:trPr>
          <w:trHeight w:val="402" w:hRule="exact"/>
        </w:trPr>
        <w:tc>
          <w:tcPr>
            <w:tcW w:w="9568" w:type="dxa"/>
            <w:gridSpan w:val="11"/>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402"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投资设立子公司</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是</w:t>
            </w: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18,500</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18,500</w:t>
            </w:r>
          </w:p>
        </w:tc>
        <w:tc>
          <w:tcPr>
            <w:tcW w:w="635"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Arial" w:hAnsi="Arial" w:cs="Arial" w:eastAsia="Arial" w:hint="default"/>
                <w:sz w:val="18"/>
                <w:szCs w:val="18"/>
              </w:rPr>
            </w:pPr>
            <w:r>
              <w:rPr>
                <w:rFonts w:ascii="Arial"/>
                <w:spacing w:val="-1"/>
                <w:sz w:val="18"/>
              </w:rPr>
              <w:t>12,647.97</w:t>
            </w:r>
            <w:r>
              <w:rPr>
                <w:rFonts w:ascii="Arial"/>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Arial" w:hAnsi="Arial" w:cs="Arial" w:eastAsia="Arial" w:hint="default"/>
                <w:sz w:val="18"/>
                <w:szCs w:val="18"/>
              </w:rPr>
            </w:pPr>
            <w:r>
              <w:rPr>
                <w:rFonts w:ascii="Arial"/>
                <w:spacing w:val="-1"/>
                <w:sz w:val="18"/>
              </w:rPr>
              <w:t>68.37%</w:t>
            </w:r>
          </w:p>
        </w:tc>
        <w:tc>
          <w:tcPr>
            <w:tcW w:w="99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414"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39"/>
              <w:jc w:val="left"/>
              <w:rPr>
                <w:rFonts w:ascii="宋体" w:hAnsi="宋体" w:cs="宋体" w:eastAsia="宋体" w:hint="default"/>
                <w:sz w:val="18"/>
                <w:szCs w:val="18"/>
              </w:rPr>
            </w:pPr>
            <w:r>
              <w:rPr>
                <w:rFonts w:ascii="宋体" w:hAnsi="宋体" w:cs="宋体" w:eastAsia="宋体" w:hint="default"/>
                <w:sz w:val="18"/>
                <w:szCs w:val="18"/>
              </w:rPr>
              <w:t>榕基</w:t>
            </w:r>
            <w:r>
              <w:rPr>
                <w:rFonts w:ascii="Arial" w:hAnsi="Arial" w:cs="Arial" w:eastAsia="Arial" w:hint="default"/>
                <w:sz w:val="18"/>
                <w:szCs w:val="18"/>
              </w:rPr>
              <w:t>“</w:t>
            </w:r>
            <w:r>
              <w:rPr>
                <w:rFonts w:ascii="宋体" w:hAnsi="宋体" w:cs="宋体" w:eastAsia="宋体" w:hint="default"/>
                <w:sz w:val="18"/>
                <w:szCs w:val="18"/>
              </w:rPr>
              <w:t>易贸</w:t>
            </w:r>
            <w:r>
              <w:rPr>
                <w:rFonts w:ascii="Arial" w:hAnsi="Arial" w:cs="Arial" w:eastAsia="Arial" w:hint="default"/>
                <w:sz w:val="18"/>
                <w:szCs w:val="18"/>
              </w:rPr>
              <w:t>”</w:t>
            </w:r>
            <w:r>
              <w:rPr>
                <w:rFonts w:ascii="宋体" w:hAnsi="宋体" w:cs="宋体" w:eastAsia="宋体" w:hint="default"/>
                <w:sz w:val="18"/>
                <w:szCs w:val="18"/>
              </w:rPr>
              <w:t>商务平 台</w:t>
            </w:r>
          </w:p>
        </w:tc>
        <w:tc>
          <w:tcPr>
            <w:tcW w:w="70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Arial" w:hAnsi="Arial" w:cs="Arial" w:eastAsia="Arial" w:hint="default"/>
                <w:sz w:val="18"/>
                <w:szCs w:val="18"/>
              </w:rPr>
            </w:pPr>
            <w:r>
              <w:rPr>
                <w:rFonts w:ascii="Arial"/>
                <w:spacing w:val="-1"/>
                <w:w w:val="95"/>
                <w:sz w:val="18"/>
              </w:rPr>
              <w:t>3,500</w:t>
            </w:r>
            <w:r>
              <w:rPr>
                <w:rFonts w:ascii="Arial"/>
                <w:w w:val="95"/>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Arial" w:hAnsi="Arial" w:cs="Arial" w:eastAsia="Arial" w:hint="default"/>
                <w:sz w:val="18"/>
                <w:szCs w:val="18"/>
              </w:rPr>
            </w:pPr>
            <w:r>
              <w:rPr>
                <w:rFonts w:ascii="Arial"/>
                <w:spacing w:val="-1"/>
                <w:w w:val="95"/>
                <w:sz w:val="18"/>
              </w:rPr>
              <w:t>3,500</w:t>
            </w:r>
            <w:r>
              <w:rPr>
                <w:rFonts w:ascii="Arial"/>
                <w:w w:val="95"/>
                <w:sz w:val="18"/>
              </w:rPr>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Arial" w:hAnsi="Arial" w:cs="Arial" w:eastAsia="Arial" w:hint="default"/>
                <w:sz w:val="18"/>
                <w:szCs w:val="18"/>
              </w:rPr>
            </w:pPr>
            <w:r>
              <w:rPr>
                <w:rFonts w:ascii="Arial"/>
                <w:sz w:val="18"/>
              </w:rPr>
              <w:t>1,801.</w:t>
            </w:r>
          </w:p>
          <w:p>
            <w:pPr>
              <w:pStyle w:val="TableParagraph"/>
              <w:spacing w:line="240" w:lineRule="auto" w:before="105"/>
              <w:ind w:left="400" w:right="0"/>
              <w:jc w:val="left"/>
              <w:rPr>
                <w:rFonts w:ascii="Arial" w:hAnsi="Arial" w:cs="Arial" w:eastAsia="Arial" w:hint="default"/>
                <w:sz w:val="18"/>
                <w:szCs w:val="18"/>
              </w:rPr>
            </w:pPr>
            <w:r>
              <w:rPr>
                <w:rFonts w:ascii="Arial"/>
                <w:sz w:val="18"/>
              </w:rPr>
              <w:t>45</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7"/>
              <w:jc w:val="right"/>
              <w:rPr>
                <w:rFonts w:ascii="Arial" w:hAnsi="Arial" w:cs="Arial" w:eastAsia="Arial" w:hint="default"/>
                <w:sz w:val="18"/>
                <w:szCs w:val="18"/>
              </w:rPr>
            </w:pPr>
            <w:r>
              <w:rPr>
                <w:rFonts w:ascii="Arial"/>
                <w:spacing w:val="-1"/>
                <w:sz w:val="18"/>
              </w:rPr>
              <w:t>2,987.03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5"/>
              <w:jc w:val="right"/>
              <w:rPr>
                <w:rFonts w:ascii="Arial" w:hAnsi="Arial" w:cs="Arial" w:eastAsia="Arial" w:hint="default"/>
                <w:sz w:val="18"/>
                <w:szCs w:val="18"/>
              </w:rPr>
            </w:pPr>
            <w:r>
              <w:rPr>
                <w:rFonts w:ascii="Arial"/>
                <w:spacing w:val="-1"/>
                <w:sz w:val="18"/>
              </w:rPr>
              <w:t>85.34%</w:t>
            </w:r>
          </w:p>
        </w:tc>
        <w:tc>
          <w:tcPr>
            <w:tcW w:w="99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414"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VR</w:t>
            </w:r>
            <w:r>
              <w:rPr>
                <w:rFonts w:ascii="Arial" w:hAnsi="Arial" w:cs="Arial" w:eastAsia="Arial" w:hint="default"/>
                <w:spacing w:val="-7"/>
                <w:sz w:val="18"/>
                <w:szCs w:val="18"/>
              </w:rPr>
              <w:t> </w:t>
            </w:r>
            <w:r>
              <w:rPr>
                <w:rFonts w:ascii="宋体" w:hAnsi="宋体" w:cs="宋体" w:eastAsia="宋体" w:hint="default"/>
                <w:sz w:val="18"/>
                <w:szCs w:val="18"/>
              </w:rPr>
              <w:t>体验馆项目</w:t>
            </w:r>
          </w:p>
        </w:tc>
        <w:tc>
          <w:tcPr>
            <w:tcW w:w="708" w:type="dxa"/>
            <w:tcBorders>
              <w:top w:val="single" w:sz="4" w:space="0" w:color="000000"/>
              <w:left w:val="single" w:sz="4" w:space="0" w:color="000000"/>
              <w:bottom w:val="single" w:sz="4" w:space="0" w:color="000000"/>
              <w:right w:val="single" w:sz="4" w:space="0" w:color="000000"/>
            </w:tcBorders>
          </w:tcPr>
          <w:p>
            <w:pPr/>
          </w:p>
        </w:tc>
        <w:tc>
          <w:tcPr>
            <w:tcW w:w="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95"/>
                <w:sz w:val="18"/>
              </w:rPr>
              <w:t>1,500</w:t>
            </w:r>
            <w:r>
              <w:rPr>
                <w:rFonts w:ascii="Arial"/>
                <w:w w:val="95"/>
                <w:sz w:val="18"/>
              </w:rPr>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1,689.23</w:t>
            </w:r>
          </w:p>
        </w:tc>
        <w:tc>
          <w:tcPr>
            <w:tcW w:w="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908.62</w:t>
            </w: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Arial" w:hAnsi="Arial" w:cs="Arial" w:eastAsia="Arial" w:hint="default"/>
                <w:sz w:val="18"/>
                <w:szCs w:val="18"/>
              </w:rPr>
            </w:pPr>
            <w:r>
              <w:rPr>
                <w:rFonts w:ascii="Arial"/>
                <w:spacing w:val="-1"/>
                <w:sz w:val="18"/>
              </w:rPr>
              <w:t>1,689.23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Arial" w:hAnsi="Arial" w:cs="Arial" w:eastAsia="Arial" w:hint="default"/>
                <w:sz w:val="18"/>
                <w:szCs w:val="18"/>
              </w:rPr>
            </w:pPr>
            <w:r>
              <w:rPr>
                <w:rFonts w:ascii="Arial"/>
                <w:spacing w:val="-1"/>
                <w:sz w:val="18"/>
              </w:rPr>
              <w:t>100.00%</w:t>
            </w:r>
          </w:p>
        </w:tc>
        <w:tc>
          <w:tcPr>
            <w:tcW w:w="991" w:type="dxa"/>
            <w:tcBorders>
              <w:top w:val="single" w:sz="4" w:space="0" w:color="000000"/>
              <w:left w:val="single" w:sz="4" w:space="0" w:color="000000"/>
              <w:bottom w:val="single" w:sz="4" w:space="0" w:color="000000"/>
              <w:right w:val="single" w:sz="4" w:space="0" w:color="000000"/>
            </w:tcBorders>
          </w:tcPr>
          <w:p>
            <w:pPr/>
          </w:p>
        </w:tc>
        <w:tc>
          <w:tcPr>
            <w:tcW w:w="862" w:type="dxa"/>
            <w:tcBorders>
              <w:top w:val="single" w:sz="4" w:space="0" w:color="000000"/>
              <w:left w:val="single" w:sz="4" w:space="0" w:color="000000"/>
              <w:bottom w:val="single" w:sz="4" w:space="0" w:color="000000"/>
              <w:right w:val="single" w:sz="4" w:space="0" w:color="000000"/>
            </w:tcBorders>
          </w:tcPr>
          <w:p>
            <w:pPr/>
          </w:p>
        </w:tc>
        <w:tc>
          <w:tcPr>
            <w:tcW w:w="414" w:type="dxa"/>
            <w:tcBorders>
              <w:top w:val="single" w:sz="4" w:space="0" w:color="000000"/>
              <w:left w:val="single" w:sz="4" w:space="0" w:color="000000"/>
              <w:bottom w:val="single" w:sz="4" w:space="0" w:color="000000"/>
              <w:right w:val="single" w:sz="4" w:space="0" w:color="000000"/>
            </w:tcBorders>
          </w:tcPr>
          <w:p>
            <w:pPr/>
          </w:p>
        </w:tc>
        <w:tc>
          <w:tcPr>
            <w:tcW w:w="642"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55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补充流动资金（如 有）</w:t>
            </w:r>
          </w:p>
        </w:tc>
        <w:tc>
          <w:tcPr>
            <w:tcW w:w="708" w:type="dxa"/>
            <w:tcBorders>
              <w:top w:val="single" w:sz="4" w:space="0" w:color="000000"/>
              <w:left w:val="single" w:sz="4" w:space="0" w:color="000000"/>
              <w:bottom w:val="nil" w:sz="6" w:space="0" w:color="auto"/>
              <w:right w:val="single" w:sz="4" w:space="0" w:color="000000"/>
            </w:tcBorders>
            <w:shd w:val="clear" w:color="auto" w:fill="D3D3D3"/>
          </w:tcPr>
          <w:p>
            <w:pPr/>
          </w:p>
        </w:tc>
        <w:tc>
          <w:tcPr>
            <w:tcW w:w="999" w:type="dxa"/>
            <w:vMerge w:val="restart"/>
            <w:tcBorders>
              <w:top w:val="single" w:sz="4" w:space="0" w:color="000000"/>
              <w:left w:val="single" w:sz="9" w:space="0" w:color="D3D3D3"/>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8" w:right="0"/>
              <w:jc w:val="left"/>
              <w:rPr>
                <w:rFonts w:ascii="Arial" w:hAnsi="Arial" w:cs="Arial" w:eastAsia="Arial" w:hint="default"/>
                <w:sz w:val="18"/>
                <w:szCs w:val="18"/>
              </w:rPr>
            </w:pPr>
            <w:r>
              <w:rPr>
                <w:rFonts w:ascii="Arial"/>
                <w:sz w:val="18"/>
              </w:rPr>
              <w:t>28,000</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7" w:right="0"/>
              <w:jc w:val="left"/>
              <w:rPr>
                <w:rFonts w:ascii="Arial" w:hAnsi="Arial" w:cs="Arial" w:eastAsia="Arial" w:hint="default"/>
                <w:sz w:val="18"/>
                <w:szCs w:val="18"/>
              </w:rPr>
            </w:pPr>
            <w:r>
              <w:rPr>
                <w:rFonts w:ascii="Arial"/>
                <w:sz w:val="18"/>
              </w:rPr>
              <w:t>28,000</w:t>
            </w:r>
          </w:p>
        </w:tc>
        <w:tc>
          <w:tcPr>
            <w:tcW w:w="635" w:type="dxa"/>
            <w:vMerge w:val="restart"/>
            <w:tcBorders>
              <w:top w:val="single" w:sz="4" w:space="0" w:color="000000"/>
              <w:left w:val="single" w:sz="4" w:space="0" w:color="000000"/>
              <w:right w:val="single" w:sz="4" w:space="0" w:color="000000"/>
            </w:tcBorders>
          </w:tcPr>
          <w:p>
            <w:pP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40" w:right="0"/>
              <w:jc w:val="left"/>
              <w:rPr>
                <w:rFonts w:ascii="Arial" w:hAnsi="Arial" w:cs="Arial" w:eastAsia="Arial" w:hint="default"/>
                <w:sz w:val="18"/>
                <w:szCs w:val="18"/>
              </w:rPr>
            </w:pPr>
            <w:r>
              <w:rPr>
                <w:rFonts w:ascii="Arial"/>
                <w:sz w:val="18"/>
              </w:rPr>
              <w:t>28,000</w:t>
            </w:r>
          </w:p>
        </w:tc>
        <w:tc>
          <w:tcPr>
            <w:tcW w:w="840" w:type="dxa"/>
            <w:vMerge w:val="restart"/>
            <w:tcBorders>
              <w:top w:val="single" w:sz="4" w:space="0" w:color="000000"/>
              <w:left w:val="single" w:sz="4" w:space="0" w:color="000000"/>
              <w:right w:val="single" w:sz="9" w:space="0" w:color="D3D3D3"/>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3" w:right="0"/>
              <w:jc w:val="left"/>
              <w:rPr>
                <w:rFonts w:ascii="Arial" w:hAnsi="Arial" w:cs="Arial" w:eastAsia="Arial" w:hint="default"/>
                <w:sz w:val="18"/>
                <w:szCs w:val="18"/>
              </w:rPr>
            </w:pPr>
            <w:r>
              <w:rPr>
                <w:rFonts w:ascii="Arial"/>
                <w:sz w:val="18"/>
              </w:rPr>
              <w:t>100.00%</w:t>
            </w:r>
          </w:p>
        </w:tc>
        <w:tc>
          <w:tcPr>
            <w:tcW w:w="991" w:type="dxa"/>
            <w:tcBorders>
              <w:top w:val="single" w:sz="4" w:space="0" w:color="000000"/>
              <w:left w:val="single" w:sz="4" w:space="0" w:color="000000"/>
              <w:bottom w:val="nil" w:sz="6" w:space="0" w:color="auto"/>
              <w:right w:val="single" w:sz="4" w:space="0" w:color="000000"/>
            </w:tcBorders>
            <w:shd w:val="clear" w:color="auto" w:fill="D3D3D3"/>
          </w:tcPr>
          <w:p>
            <w:pPr/>
          </w:p>
        </w:tc>
        <w:tc>
          <w:tcPr>
            <w:tcW w:w="862" w:type="dxa"/>
            <w:tcBorders>
              <w:top w:val="single" w:sz="4" w:space="0" w:color="000000"/>
              <w:left w:val="single" w:sz="4" w:space="0" w:color="000000"/>
              <w:bottom w:val="nil" w:sz="6" w:space="0" w:color="auto"/>
              <w:right w:val="single" w:sz="4" w:space="0" w:color="000000"/>
            </w:tcBorders>
            <w:shd w:val="clear" w:color="auto" w:fill="D3D3D3"/>
          </w:tcPr>
          <w:p>
            <w:pPr/>
          </w:p>
        </w:tc>
        <w:tc>
          <w:tcPr>
            <w:tcW w:w="414" w:type="dxa"/>
            <w:tcBorders>
              <w:top w:val="single" w:sz="4" w:space="0" w:color="000000"/>
              <w:left w:val="single" w:sz="4" w:space="0" w:color="000000"/>
              <w:bottom w:val="nil" w:sz="6" w:space="0" w:color="auto"/>
              <w:right w:val="single" w:sz="4" w:space="0" w:color="000000"/>
            </w:tcBorders>
            <w:shd w:val="clear" w:color="auto" w:fill="D3D3D3"/>
          </w:tcPr>
          <w:p>
            <w:pPr/>
          </w:p>
        </w:tc>
        <w:tc>
          <w:tcPr>
            <w:tcW w:w="64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554" w:type="dxa"/>
            <w:vMerge/>
            <w:tcBorders>
              <w:left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282"/>
              <w:jc w:val="right"/>
              <w:rPr>
                <w:rFonts w:ascii="Arial" w:hAnsi="Arial" w:cs="Arial" w:eastAsia="Arial" w:hint="default"/>
                <w:sz w:val="18"/>
                <w:szCs w:val="18"/>
              </w:rPr>
            </w:pPr>
            <w:r>
              <w:rPr>
                <w:rFonts w:ascii="Arial"/>
                <w:sz w:val="18"/>
              </w:rPr>
              <w:t>--</w:t>
            </w:r>
          </w:p>
        </w:tc>
        <w:tc>
          <w:tcPr>
            <w:tcW w:w="999" w:type="dxa"/>
            <w:vMerge/>
            <w:tcBorders>
              <w:left w:val="single" w:sz="9" w:space="0" w:color="D3D3D3"/>
              <w:right w:val="single" w:sz="4" w:space="0" w:color="000000"/>
            </w:tcBorders>
          </w:tcPr>
          <w:p>
            <w:pPr/>
          </w:p>
        </w:tc>
        <w:tc>
          <w:tcPr>
            <w:tcW w:w="991" w:type="dxa"/>
            <w:vMerge/>
            <w:tcBorders>
              <w:left w:val="single" w:sz="4" w:space="0" w:color="000000"/>
              <w:right w:val="single" w:sz="4" w:space="0" w:color="000000"/>
            </w:tcBorders>
          </w:tcPr>
          <w:p>
            <w:pPr/>
          </w:p>
        </w:tc>
        <w:tc>
          <w:tcPr>
            <w:tcW w:w="635"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c>
          <w:tcPr>
            <w:tcW w:w="840" w:type="dxa"/>
            <w:vMerge/>
            <w:tcBorders>
              <w:left w:val="single" w:sz="4" w:space="0" w:color="000000"/>
              <w:right w:val="single" w:sz="9" w:space="0" w:color="D3D3D3"/>
            </w:tcBorders>
          </w:tcPr>
          <w:p>
            <w:pPr/>
          </w:p>
        </w:tc>
        <w:tc>
          <w:tcPr>
            <w:tcW w:w="99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11" w:right="0"/>
              <w:jc w:val="center"/>
              <w:rPr>
                <w:rFonts w:ascii="Arial" w:hAnsi="Arial" w:cs="Arial" w:eastAsia="Arial" w:hint="default"/>
                <w:sz w:val="18"/>
                <w:szCs w:val="18"/>
              </w:rPr>
            </w:pPr>
            <w:r>
              <w:rPr>
                <w:rFonts w:ascii="Arial"/>
                <w:sz w:val="18"/>
              </w:rPr>
              <w:t>--</w:t>
            </w:r>
          </w:p>
        </w:tc>
        <w:tc>
          <w:tcPr>
            <w:tcW w:w="8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1"/>
              <w:jc w:val="center"/>
              <w:rPr>
                <w:rFonts w:ascii="Arial" w:hAnsi="Arial" w:cs="Arial" w:eastAsia="Arial" w:hint="default"/>
                <w:sz w:val="18"/>
                <w:szCs w:val="18"/>
              </w:rPr>
            </w:pPr>
            <w:r>
              <w:rPr>
                <w:rFonts w:ascii="Arial"/>
                <w:sz w:val="18"/>
              </w:rPr>
              <w:t>--</w:t>
            </w:r>
          </w:p>
        </w:tc>
        <w:tc>
          <w:tcPr>
            <w:tcW w:w="41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140"/>
              <w:jc w:val="right"/>
              <w:rPr>
                <w:rFonts w:ascii="Arial" w:hAnsi="Arial" w:cs="Arial" w:eastAsia="Arial" w:hint="default"/>
                <w:sz w:val="18"/>
                <w:szCs w:val="18"/>
              </w:rPr>
            </w:pPr>
            <w:r>
              <w:rPr>
                <w:rFonts w:ascii="Arial"/>
                <w:sz w:val="18"/>
              </w:rPr>
              <w:t>--</w:t>
            </w:r>
          </w:p>
        </w:tc>
        <w:tc>
          <w:tcPr>
            <w:tcW w:w="64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5" w:right="0"/>
              <w:jc w:val="center"/>
              <w:rPr>
                <w:rFonts w:ascii="Arial" w:hAnsi="Arial" w:cs="Arial" w:eastAsia="Arial" w:hint="default"/>
                <w:sz w:val="18"/>
                <w:szCs w:val="18"/>
              </w:rPr>
            </w:pPr>
            <w:r>
              <w:rPr>
                <w:rFonts w:ascii="Arial"/>
                <w:sz w:val="18"/>
              </w:rPr>
              <w:t>--</w:t>
            </w:r>
          </w:p>
        </w:tc>
      </w:tr>
      <w:tr>
        <w:trPr>
          <w:trHeight w:val="161" w:hRule="exact"/>
        </w:trPr>
        <w:tc>
          <w:tcPr>
            <w:tcW w:w="1554" w:type="dxa"/>
            <w:vMerge/>
            <w:tcBorders>
              <w:left w:val="single" w:sz="4" w:space="0" w:color="000000"/>
              <w:bottom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single" w:sz="4" w:space="0" w:color="000000"/>
              <w:right w:val="single" w:sz="4" w:space="0" w:color="000000"/>
            </w:tcBorders>
            <w:shd w:val="clear" w:color="auto" w:fill="D3D3D3"/>
          </w:tcPr>
          <w:p>
            <w:pPr/>
          </w:p>
        </w:tc>
        <w:tc>
          <w:tcPr>
            <w:tcW w:w="999" w:type="dxa"/>
            <w:vMerge/>
            <w:tcBorders>
              <w:left w:val="single" w:sz="9" w:space="0" w:color="D3D3D3"/>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635"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c>
          <w:tcPr>
            <w:tcW w:w="840" w:type="dxa"/>
            <w:vMerge/>
            <w:tcBorders>
              <w:left w:val="single" w:sz="4" w:space="0" w:color="000000"/>
              <w:bottom w:val="single" w:sz="4" w:space="0" w:color="000000"/>
              <w:right w:val="single" w:sz="9" w:space="0" w:color="D3D3D3"/>
            </w:tcBorders>
          </w:tcPr>
          <w:p>
            <w:pPr/>
          </w:p>
        </w:tc>
        <w:tc>
          <w:tcPr>
            <w:tcW w:w="991" w:type="dxa"/>
            <w:tcBorders>
              <w:top w:val="nil" w:sz="6" w:space="0" w:color="auto"/>
              <w:left w:val="single" w:sz="4" w:space="0" w:color="000000"/>
              <w:bottom w:val="single" w:sz="4" w:space="0" w:color="000000"/>
              <w:right w:val="single" w:sz="4" w:space="0" w:color="000000"/>
            </w:tcBorders>
            <w:shd w:val="clear" w:color="auto" w:fill="D3D3D3"/>
          </w:tcPr>
          <w:p>
            <w:pPr/>
          </w:p>
        </w:tc>
        <w:tc>
          <w:tcPr>
            <w:tcW w:w="862" w:type="dxa"/>
            <w:tcBorders>
              <w:top w:val="nil" w:sz="6" w:space="0" w:color="auto"/>
              <w:left w:val="single" w:sz="4" w:space="0" w:color="000000"/>
              <w:bottom w:val="single" w:sz="4" w:space="0" w:color="000000"/>
              <w:right w:val="single" w:sz="4" w:space="0" w:color="000000"/>
            </w:tcBorders>
            <w:shd w:val="clear" w:color="auto" w:fill="D3D3D3"/>
          </w:tcPr>
          <w:p>
            <w:pPr/>
          </w:p>
        </w:tc>
        <w:tc>
          <w:tcPr>
            <w:tcW w:w="414" w:type="dxa"/>
            <w:tcBorders>
              <w:top w:val="nil" w:sz="6" w:space="0" w:color="auto"/>
              <w:left w:val="single" w:sz="4" w:space="0" w:color="000000"/>
              <w:bottom w:val="single" w:sz="4" w:space="0" w:color="000000"/>
              <w:right w:val="single" w:sz="4" w:space="0" w:color="000000"/>
            </w:tcBorders>
            <w:shd w:val="clear" w:color="auto" w:fill="D3D3D3"/>
          </w:tcPr>
          <w:p>
            <w:pPr/>
          </w:p>
        </w:tc>
        <w:tc>
          <w:tcPr>
            <w:tcW w:w="64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1" w:hRule="exact"/>
        </w:trPr>
        <w:tc>
          <w:tcPr>
            <w:tcW w:w="1554" w:type="dxa"/>
            <w:tcBorders>
              <w:top w:val="single" w:sz="4" w:space="0" w:color="000000"/>
              <w:left w:val="single" w:sz="4" w:space="0" w:color="000000"/>
              <w:bottom w:val="nil" w:sz="6" w:space="0" w:color="auto"/>
              <w:right w:val="single" w:sz="4" w:space="0" w:color="000000"/>
            </w:tcBorders>
            <w:shd w:val="clear" w:color="auto" w:fill="D3D3D3"/>
          </w:tcPr>
          <w:p>
            <w:pPr/>
          </w:p>
        </w:tc>
        <w:tc>
          <w:tcPr>
            <w:tcW w:w="708" w:type="dxa"/>
            <w:tcBorders>
              <w:top w:val="single" w:sz="4" w:space="0" w:color="000000"/>
              <w:left w:val="single" w:sz="4" w:space="0" w:color="000000"/>
              <w:bottom w:val="nil" w:sz="6" w:space="0" w:color="auto"/>
              <w:right w:val="single" w:sz="4" w:space="0" w:color="000000"/>
            </w:tcBorders>
            <w:shd w:val="clear" w:color="auto" w:fill="D3D3D3"/>
          </w:tcPr>
          <w:p>
            <w:pPr/>
          </w:p>
        </w:tc>
        <w:tc>
          <w:tcPr>
            <w:tcW w:w="999" w:type="dxa"/>
            <w:vMerge w:val="restart"/>
            <w:tcBorders>
              <w:top w:val="single" w:sz="4" w:space="0" w:color="000000"/>
              <w:left w:val="single" w:sz="9" w:space="0" w:color="D3D3D3"/>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8" w:right="0"/>
              <w:jc w:val="left"/>
              <w:rPr>
                <w:rFonts w:ascii="Arial" w:hAnsi="Arial" w:cs="Arial" w:eastAsia="Arial" w:hint="default"/>
                <w:sz w:val="18"/>
                <w:szCs w:val="18"/>
              </w:rPr>
            </w:pPr>
            <w:r>
              <w:rPr>
                <w:rFonts w:ascii="Arial"/>
                <w:sz w:val="18"/>
              </w:rPr>
              <w:t>51,500</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Arial" w:hAnsi="Arial" w:cs="Arial" w:eastAsia="Arial" w:hint="default"/>
                <w:sz w:val="18"/>
                <w:szCs w:val="18"/>
              </w:rPr>
            </w:pPr>
            <w:r>
              <w:rPr>
                <w:rFonts w:ascii="Arial"/>
                <w:sz w:val="18"/>
              </w:rPr>
              <w:t>51,689.23</w:t>
            </w:r>
          </w:p>
        </w:tc>
        <w:tc>
          <w:tcPr>
            <w:tcW w:w="635"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Arial" w:hAnsi="Arial" w:cs="Arial" w:eastAsia="Arial" w:hint="default"/>
                <w:sz w:val="18"/>
                <w:szCs w:val="18"/>
              </w:rPr>
            </w:pPr>
            <w:r>
              <w:rPr>
                <w:rFonts w:ascii="Arial"/>
                <w:sz w:val="18"/>
              </w:rPr>
              <w:t>2,710.</w:t>
            </w:r>
          </w:p>
          <w:p>
            <w:pPr>
              <w:pStyle w:val="TableParagraph"/>
              <w:spacing w:line="240" w:lineRule="auto" w:before="105"/>
              <w:ind w:left="400" w:right="0"/>
              <w:jc w:val="left"/>
              <w:rPr>
                <w:rFonts w:ascii="Arial" w:hAnsi="Arial" w:cs="Arial" w:eastAsia="Arial" w:hint="default"/>
                <w:sz w:val="18"/>
                <w:szCs w:val="18"/>
              </w:rPr>
            </w:pPr>
            <w:r>
              <w:rPr>
                <w:rFonts w:ascii="Arial"/>
                <w:sz w:val="18"/>
              </w:rPr>
              <w:t>07</w:t>
            </w:r>
          </w:p>
        </w:tc>
        <w:tc>
          <w:tcPr>
            <w:tcW w:w="930" w:type="dxa"/>
            <w:vMerge w:val="restart"/>
            <w:tcBorders>
              <w:top w:val="single" w:sz="4" w:space="0" w:color="000000"/>
              <w:left w:val="single" w:sz="4" w:space="0" w:color="000000"/>
              <w:right w:val="single" w:sz="9" w:space="0" w:color="D3D3D3"/>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Arial" w:hAnsi="Arial" w:cs="Arial" w:eastAsia="Arial" w:hint="default"/>
                <w:sz w:val="18"/>
                <w:szCs w:val="18"/>
              </w:rPr>
            </w:pPr>
            <w:r>
              <w:rPr>
                <w:rFonts w:ascii="Arial"/>
                <w:sz w:val="18"/>
              </w:rPr>
              <w:t>45,324.23</w:t>
            </w:r>
          </w:p>
        </w:tc>
        <w:tc>
          <w:tcPr>
            <w:tcW w:w="840" w:type="dxa"/>
            <w:tcBorders>
              <w:top w:val="single" w:sz="4" w:space="0" w:color="000000"/>
              <w:left w:val="single" w:sz="4" w:space="0" w:color="000000"/>
              <w:bottom w:val="nil" w:sz="6" w:space="0" w:color="auto"/>
              <w:right w:val="single" w:sz="4" w:space="0" w:color="000000"/>
            </w:tcBorders>
            <w:shd w:val="clear" w:color="auto" w:fill="D3D3D3"/>
          </w:tcPr>
          <w:p>
            <w:pPr/>
          </w:p>
        </w:tc>
        <w:tc>
          <w:tcPr>
            <w:tcW w:w="991" w:type="dxa"/>
            <w:tcBorders>
              <w:top w:val="single" w:sz="4" w:space="0" w:color="000000"/>
              <w:left w:val="single" w:sz="4" w:space="0" w:color="000000"/>
              <w:bottom w:val="nil" w:sz="6" w:space="0" w:color="auto"/>
              <w:right w:val="single" w:sz="4" w:space="0" w:color="000000"/>
            </w:tcBorders>
            <w:shd w:val="clear" w:color="auto" w:fill="D3D3D3"/>
          </w:tcPr>
          <w:p>
            <w:pPr/>
          </w:p>
        </w:tc>
        <w:tc>
          <w:tcPr>
            <w:tcW w:w="862" w:type="dxa"/>
            <w:vMerge w:val="restart"/>
            <w:tcBorders>
              <w:top w:val="single" w:sz="4" w:space="0" w:color="000000"/>
              <w:left w:val="single" w:sz="9" w:space="0" w:color="D3D3D3"/>
              <w:right w:val="single" w:sz="9" w:space="0" w:color="D3D3D3"/>
            </w:tcBorders>
          </w:tcPr>
          <w:p>
            <w:pPr/>
          </w:p>
        </w:tc>
        <w:tc>
          <w:tcPr>
            <w:tcW w:w="414" w:type="dxa"/>
            <w:tcBorders>
              <w:top w:val="single" w:sz="4" w:space="0" w:color="000000"/>
              <w:left w:val="single" w:sz="4" w:space="0" w:color="000000"/>
              <w:bottom w:val="nil" w:sz="6" w:space="0" w:color="auto"/>
              <w:right w:val="single" w:sz="4" w:space="0" w:color="000000"/>
            </w:tcBorders>
            <w:shd w:val="clear" w:color="auto" w:fill="D3D3D3"/>
          </w:tcPr>
          <w:p>
            <w:pPr/>
          </w:p>
        </w:tc>
        <w:tc>
          <w:tcPr>
            <w:tcW w:w="64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5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0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282"/>
              <w:jc w:val="right"/>
              <w:rPr>
                <w:rFonts w:ascii="Arial" w:hAnsi="Arial" w:cs="Arial" w:eastAsia="Arial" w:hint="default"/>
                <w:sz w:val="18"/>
                <w:szCs w:val="18"/>
              </w:rPr>
            </w:pPr>
            <w:r>
              <w:rPr>
                <w:rFonts w:ascii="Arial"/>
                <w:sz w:val="18"/>
              </w:rPr>
              <w:t>--</w:t>
            </w:r>
          </w:p>
        </w:tc>
        <w:tc>
          <w:tcPr>
            <w:tcW w:w="999" w:type="dxa"/>
            <w:vMerge/>
            <w:tcBorders>
              <w:left w:val="single" w:sz="9" w:space="0" w:color="D3D3D3"/>
              <w:right w:val="single" w:sz="4" w:space="0" w:color="000000"/>
            </w:tcBorders>
          </w:tcPr>
          <w:p>
            <w:pPr/>
          </w:p>
        </w:tc>
        <w:tc>
          <w:tcPr>
            <w:tcW w:w="991" w:type="dxa"/>
            <w:vMerge/>
            <w:tcBorders>
              <w:left w:val="single" w:sz="4" w:space="0" w:color="000000"/>
              <w:right w:val="single" w:sz="4" w:space="0" w:color="000000"/>
            </w:tcBorders>
          </w:tcPr>
          <w:p>
            <w:pPr/>
          </w:p>
        </w:tc>
        <w:tc>
          <w:tcPr>
            <w:tcW w:w="635" w:type="dxa"/>
            <w:vMerge/>
            <w:tcBorders>
              <w:left w:val="single" w:sz="4" w:space="0" w:color="000000"/>
              <w:right w:val="single" w:sz="4" w:space="0" w:color="000000"/>
            </w:tcBorders>
          </w:tcPr>
          <w:p>
            <w:pPr/>
          </w:p>
        </w:tc>
        <w:tc>
          <w:tcPr>
            <w:tcW w:w="930" w:type="dxa"/>
            <w:vMerge/>
            <w:tcBorders>
              <w:left w:val="single" w:sz="4" w:space="0" w:color="000000"/>
              <w:right w:val="single" w:sz="9" w:space="0" w:color="D3D3D3"/>
            </w:tcBorders>
          </w:tcPr>
          <w:p>
            <w:pPr/>
          </w:p>
        </w:tc>
        <w:tc>
          <w:tcPr>
            <w:tcW w:w="8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0"/>
              <w:jc w:val="center"/>
              <w:rPr>
                <w:rFonts w:ascii="Arial" w:hAnsi="Arial" w:cs="Arial" w:eastAsia="Arial" w:hint="default"/>
                <w:sz w:val="18"/>
                <w:szCs w:val="18"/>
              </w:rPr>
            </w:pPr>
            <w:r>
              <w:rPr>
                <w:rFonts w:ascii="Arial"/>
                <w:sz w:val="18"/>
              </w:rPr>
              <w:t>--</w:t>
            </w:r>
          </w:p>
        </w:tc>
        <w:tc>
          <w:tcPr>
            <w:tcW w:w="99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11" w:right="0"/>
              <w:jc w:val="center"/>
              <w:rPr>
                <w:rFonts w:ascii="Arial" w:hAnsi="Arial" w:cs="Arial" w:eastAsia="Arial" w:hint="default"/>
                <w:sz w:val="18"/>
                <w:szCs w:val="18"/>
              </w:rPr>
            </w:pPr>
            <w:r>
              <w:rPr>
                <w:rFonts w:ascii="Arial"/>
                <w:sz w:val="18"/>
              </w:rPr>
              <w:t>--</w:t>
            </w:r>
          </w:p>
        </w:tc>
        <w:tc>
          <w:tcPr>
            <w:tcW w:w="862" w:type="dxa"/>
            <w:vMerge/>
            <w:tcBorders>
              <w:left w:val="single" w:sz="9" w:space="0" w:color="D3D3D3"/>
              <w:right w:val="single" w:sz="9" w:space="0" w:color="D3D3D3"/>
            </w:tcBorders>
          </w:tcPr>
          <w:p>
            <w:pPr/>
          </w:p>
        </w:tc>
        <w:tc>
          <w:tcPr>
            <w:tcW w:w="41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140"/>
              <w:jc w:val="right"/>
              <w:rPr>
                <w:rFonts w:ascii="Arial" w:hAnsi="Arial" w:cs="Arial" w:eastAsia="Arial" w:hint="default"/>
                <w:sz w:val="18"/>
                <w:szCs w:val="18"/>
              </w:rPr>
            </w:pPr>
            <w:r>
              <w:rPr>
                <w:rFonts w:ascii="Arial"/>
                <w:sz w:val="18"/>
              </w:rPr>
              <w:t>--</w:t>
            </w:r>
          </w:p>
        </w:tc>
        <w:tc>
          <w:tcPr>
            <w:tcW w:w="64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5" w:right="0"/>
              <w:jc w:val="center"/>
              <w:rPr>
                <w:rFonts w:ascii="Arial" w:hAnsi="Arial" w:cs="Arial" w:eastAsia="Arial" w:hint="default"/>
                <w:sz w:val="18"/>
                <w:szCs w:val="18"/>
              </w:rPr>
            </w:pPr>
            <w:r>
              <w:rPr>
                <w:rFonts w:ascii="Arial"/>
                <w:sz w:val="18"/>
              </w:rPr>
              <w:t>--</w:t>
            </w:r>
          </w:p>
        </w:tc>
      </w:tr>
      <w:tr>
        <w:trPr>
          <w:trHeight w:val="161" w:hRule="exact"/>
        </w:trPr>
        <w:tc>
          <w:tcPr>
            <w:tcW w:w="1554" w:type="dxa"/>
            <w:tcBorders>
              <w:top w:val="nil" w:sz="6" w:space="0" w:color="auto"/>
              <w:left w:val="single" w:sz="4" w:space="0" w:color="000000"/>
              <w:bottom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single" w:sz="4" w:space="0" w:color="000000"/>
              <w:right w:val="single" w:sz="4" w:space="0" w:color="000000"/>
            </w:tcBorders>
            <w:shd w:val="clear" w:color="auto" w:fill="D3D3D3"/>
          </w:tcPr>
          <w:p>
            <w:pPr/>
          </w:p>
        </w:tc>
        <w:tc>
          <w:tcPr>
            <w:tcW w:w="999" w:type="dxa"/>
            <w:vMerge/>
            <w:tcBorders>
              <w:left w:val="single" w:sz="9" w:space="0" w:color="D3D3D3"/>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635"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9" w:space="0" w:color="D3D3D3"/>
            </w:tcBorders>
          </w:tcPr>
          <w:p>
            <w:pPr/>
          </w:p>
        </w:tc>
        <w:tc>
          <w:tcPr>
            <w:tcW w:w="840" w:type="dxa"/>
            <w:tcBorders>
              <w:top w:val="nil" w:sz="6" w:space="0" w:color="auto"/>
              <w:left w:val="single" w:sz="4" w:space="0" w:color="000000"/>
              <w:bottom w:val="single" w:sz="4" w:space="0" w:color="000000"/>
              <w:right w:val="single" w:sz="4" w:space="0" w:color="000000"/>
            </w:tcBorders>
            <w:shd w:val="clear" w:color="auto" w:fill="D3D3D3"/>
          </w:tcPr>
          <w:p>
            <w:pPr/>
          </w:p>
        </w:tc>
        <w:tc>
          <w:tcPr>
            <w:tcW w:w="991" w:type="dxa"/>
            <w:tcBorders>
              <w:top w:val="nil" w:sz="6" w:space="0" w:color="auto"/>
              <w:left w:val="single" w:sz="4" w:space="0" w:color="000000"/>
              <w:bottom w:val="single" w:sz="4" w:space="0" w:color="000000"/>
              <w:right w:val="single" w:sz="4" w:space="0" w:color="000000"/>
            </w:tcBorders>
            <w:shd w:val="clear" w:color="auto" w:fill="D3D3D3"/>
          </w:tcPr>
          <w:p>
            <w:pPr/>
          </w:p>
        </w:tc>
        <w:tc>
          <w:tcPr>
            <w:tcW w:w="862" w:type="dxa"/>
            <w:vMerge/>
            <w:tcBorders>
              <w:left w:val="single" w:sz="9" w:space="0" w:color="D3D3D3"/>
              <w:bottom w:val="single" w:sz="4" w:space="0" w:color="000000"/>
              <w:right w:val="single" w:sz="9" w:space="0" w:color="D3D3D3"/>
            </w:tcBorders>
          </w:tcPr>
          <w:p>
            <w:pPr/>
          </w:p>
        </w:tc>
        <w:tc>
          <w:tcPr>
            <w:tcW w:w="414" w:type="dxa"/>
            <w:tcBorders>
              <w:top w:val="nil" w:sz="6" w:space="0" w:color="auto"/>
              <w:left w:val="single" w:sz="4" w:space="0" w:color="000000"/>
              <w:bottom w:val="single" w:sz="4" w:space="0" w:color="000000"/>
              <w:right w:val="single" w:sz="4" w:space="0" w:color="000000"/>
            </w:tcBorders>
            <w:shd w:val="clear" w:color="auto" w:fill="D3D3D3"/>
          </w:tcPr>
          <w:p>
            <w:pPr/>
          </w:p>
        </w:tc>
        <w:tc>
          <w:tcPr>
            <w:tcW w:w="64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1" w:hRule="exact"/>
        </w:trPr>
        <w:tc>
          <w:tcPr>
            <w:tcW w:w="1554" w:type="dxa"/>
            <w:tcBorders>
              <w:top w:val="single" w:sz="4" w:space="0" w:color="000000"/>
              <w:left w:val="single" w:sz="4" w:space="0" w:color="000000"/>
              <w:bottom w:val="nil" w:sz="6" w:space="0" w:color="auto"/>
              <w:right w:val="single" w:sz="4" w:space="0" w:color="000000"/>
            </w:tcBorders>
            <w:shd w:val="clear" w:color="auto" w:fill="D3D3D3"/>
          </w:tcPr>
          <w:p>
            <w:pPr/>
          </w:p>
        </w:tc>
        <w:tc>
          <w:tcPr>
            <w:tcW w:w="708" w:type="dxa"/>
            <w:tcBorders>
              <w:top w:val="single" w:sz="4" w:space="0" w:color="000000"/>
              <w:left w:val="single" w:sz="4" w:space="0" w:color="000000"/>
              <w:bottom w:val="nil" w:sz="6" w:space="0" w:color="auto"/>
              <w:right w:val="single" w:sz="4" w:space="0" w:color="000000"/>
            </w:tcBorders>
            <w:shd w:val="clear" w:color="auto" w:fill="D3D3D3"/>
          </w:tcPr>
          <w:p>
            <w:pPr/>
          </w:p>
        </w:tc>
        <w:tc>
          <w:tcPr>
            <w:tcW w:w="999" w:type="dxa"/>
            <w:vMerge w:val="restart"/>
            <w:tcBorders>
              <w:top w:val="single" w:sz="4" w:space="0" w:color="000000"/>
              <w:left w:val="single" w:sz="9" w:space="0" w:color="D3D3D3"/>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Arial" w:hAnsi="Arial" w:cs="Arial" w:eastAsia="Arial" w:hint="default"/>
                <w:sz w:val="18"/>
                <w:szCs w:val="18"/>
              </w:rPr>
            </w:pPr>
            <w:r>
              <w:rPr>
                <w:rFonts w:ascii="Arial"/>
                <w:sz w:val="18"/>
              </w:rPr>
              <w:t>91,654.08</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58" w:right="0"/>
              <w:jc w:val="left"/>
              <w:rPr>
                <w:rFonts w:ascii="Arial" w:hAnsi="Arial" w:cs="Arial" w:eastAsia="Arial" w:hint="default"/>
                <w:sz w:val="18"/>
                <w:szCs w:val="18"/>
              </w:rPr>
            </w:pPr>
            <w:r>
              <w:rPr>
                <w:rFonts w:ascii="Arial"/>
                <w:sz w:val="18"/>
              </w:rPr>
              <w:t>91,843.31</w:t>
            </w:r>
          </w:p>
        </w:tc>
        <w:tc>
          <w:tcPr>
            <w:tcW w:w="635"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Arial" w:hAnsi="Arial" w:cs="Arial" w:eastAsia="Arial" w:hint="default"/>
                <w:sz w:val="18"/>
                <w:szCs w:val="18"/>
              </w:rPr>
            </w:pPr>
            <w:r>
              <w:rPr>
                <w:rFonts w:ascii="Arial"/>
                <w:sz w:val="18"/>
              </w:rPr>
              <w:t>9,710.</w:t>
            </w:r>
          </w:p>
          <w:p>
            <w:pPr>
              <w:pStyle w:val="TableParagraph"/>
              <w:spacing w:line="240" w:lineRule="auto" w:before="105"/>
              <w:ind w:left="400" w:right="0"/>
              <w:jc w:val="left"/>
              <w:rPr>
                <w:rFonts w:ascii="Arial" w:hAnsi="Arial" w:cs="Arial" w:eastAsia="Arial" w:hint="default"/>
                <w:sz w:val="18"/>
                <w:szCs w:val="18"/>
              </w:rPr>
            </w:pPr>
            <w:r>
              <w:rPr>
                <w:rFonts w:ascii="Arial"/>
                <w:sz w:val="18"/>
              </w:rPr>
              <w:t>07</w:t>
            </w:r>
          </w:p>
        </w:tc>
        <w:tc>
          <w:tcPr>
            <w:tcW w:w="930" w:type="dxa"/>
            <w:vMerge w:val="restart"/>
            <w:tcBorders>
              <w:top w:val="single" w:sz="4" w:space="0" w:color="000000"/>
              <w:left w:val="single" w:sz="4" w:space="0" w:color="000000"/>
              <w:right w:val="single" w:sz="9" w:space="0" w:color="D3D3D3"/>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1" w:right="0"/>
              <w:jc w:val="left"/>
              <w:rPr>
                <w:rFonts w:ascii="Arial" w:hAnsi="Arial" w:cs="Arial" w:eastAsia="Arial" w:hint="default"/>
                <w:sz w:val="18"/>
                <w:szCs w:val="18"/>
              </w:rPr>
            </w:pPr>
            <w:r>
              <w:rPr>
                <w:rFonts w:ascii="Arial"/>
                <w:sz w:val="18"/>
              </w:rPr>
              <w:t>84,591.04</w:t>
            </w:r>
          </w:p>
        </w:tc>
        <w:tc>
          <w:tcPr>
            <w:tcW w:w="840" w:type="dxa"/>
            <w:tcBorders>
              <w:top w:val="single" w:sz="4" w:space="0" w:color="000000"/>
              <w:left w:val="single" w:sz="4" w:space="0" w:color="000000"/>
              <w:bottom w:val="nil" w:sz="6" w:space="0" w:color="auto"/>
              <w:right w:val="single" w:sz="4" w:space="0" w:color="000000"/>
            </w:tcBorders>
            <w:shd w:val="clear" w:color="auto" w:fill="D3D3D3"/>
          </w:tcPr>
          <w:p>
            <w:pPr/>
          </w:p>
        </w:tc>
        <w:tc>
          <w:tcPr>
            <w:tcW w:w="991" w:type="dxa"/>
            <w:tcBorders>
              <w:top w:val="single" w:sz="4" w:space="0" w:color="000000"/>
              <w:left w:val="single" w:sz="4" w:space="0" w:color="000000"/>
              <w:bottom w:val="nil" w:sz="6" w:space="0" w:color="auto"/>
              <w:right w:val="single" w:sz="4" w:space="0" w:color="000000"/>
            </w:tcBorders>
            <w:shd w:val="clear" w:color="auto" w:fill="D3D3D3"/>
          </w:tcPr>
          <w:p>
            <w:pPr/>
          </w:p>
        </w:tc>
        <w:tc>
          <w:tcPr>
            <w:tcW w:w="862" w:type="dxa"/>
            <w:vMerge w:val="restart"/>
            <w:tcBorders>
              <w:top w:val="single" w:sz="4" w:space="0" w:color="000000"/>
              <w:left w:val="single" w:sz="9" w:space="0" w:color="D3D3D3"/>
              <w:right w:val="single" w:sz="9" w:space="0" w:color="D3D3D3"/>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15" w:right="0"/>
              <w:jc w:val="left"/>
              <w:rPr>
                <w:rFonts w:ascii="Arial" w:hAnsi="Arial" w:cs="Arial" w:eastAsia="Arial" w:hint="default"/>
                <w:sz w:val="18"/>
                <w:szCs w:val="18"/>
              </w:rPr>
            </w:pPr>
            <w:r>
              <w:rPr>
                <w:rFonts w:ascii="Arial"/>
                <w:sz w:val="18"/>
              </w:rPr>
              <w:t>4,743.96</w:t>
            </w:r>
          </w:p>
        </w:tc>
        <w:tc>
          <w:tcPr>
            <w:tcW w:w="414" w:type="dxa"/>
            <w:tcBorders>
              <w:top w:val="single" w:sz="4" w:space="0" w:color="000000"/>
              <w:left w:val="single" w:sz="4" w:space="0" w:color="000000"/>
              <w:bottom w:val="nil" w:sz="6" w:space="0" w:color="auto"/>
              <w:right w:val="single" w:sz="4" w:space="0" w:color="000000"/>
            </w:tcBorders>
            <w:shd w:val="clear" w:color="auto" w:fill="D3D3D3"/>
          </w:tcPr>
          <w:p>
            <w:pPr/>
          </w:p>
        </w:tc>
        <w:tc>
          <w:tcPr>
            <w:tcW w:w="642"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155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0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282"/>
              <w:jc w:val="right"/>
              <w:rPr>
                <w:rFonts w:ascii="Arial" w:hAnsi="Arial" w:cs="Arial" w:eastAsia="Arial" w:hint="default"/>
                <w:sz w:val="18"/>
                <w:szCs w:val="18"/>
              </w:rPr>
            </w:pPr>
            <w:r>
              <w:rPr>
                <w:rFonts w:ascii="Arial"/>
                <w:sz w:val="18"/>
              </w:rPr>
              <w:t>--</w:t>
            </w:r>
          </w:p>
        </w:tc>
        <w:tc>
          <w:tcPr>
            <w:tcW w:w="999" w:type="dxa"/>
            <w:vMerge/>
            <w:tcBorders>
              <w:left w:val="single" w:sz="9" w:space="0" w:color="D3D3D3"/>
              <w:right w:val="single" w:sz="4" w:space="0" w:color="000000"/>
            </w:tcBorders>
          </w:tcPr>
          <w:p>
            <w:pPr/>
          </w:p>
        </w:tc>
        <w:tc>
          <w:tcPr>
            <w:tcW w:w="991" w:type="dxa"/>
            <w:vMerge/>
            <w:tcBorders>
              <w:left w:val="single" w:sz="4" w:space="0" w:color="000000"/>
              <w:right w:val="single" w:sz="4" w:space="0" w:color="000000"/>
            </w:tcBorders>
          </w:tcPr>
          <w:p>
            <w:pPr/>
          </w:p>
        </w:tc>
        <w:tc>
          <w:tcPr>
            <w:tcW w:w="635" w:type="dxa"/>
            <w:vMerge/>
            <w:tcBorders>
              <w:left w:val="single" w:sz="4" w:space="0" w:color="000000"/>
              <w:right w:val="single" w:sz="4" w:space="0" w:color="000000"/>
            </w:tcBorders>
          </w:tcPr>
          <w:p>
            <w:pPr/>
          </w:p>
        </w:tc>
        <w:tc>
          <w:tcPr>
            <w:tcW w:w="930" w:type="dxa"/>
            <w:vMerge/>
            <w:tcBorders>
              <w:left w:val="single" w:sz="4" w:space="0" w:color="000000"/>
              <w:right w:val="single" w:sz="9" w:space="0" w:color="D3D3D3"/>
            </w:tcBorders>
          </w:tcPr>
          <w:p>
            <w:pPr/>
          </w:p>
        </w:tc>
        <w:tc>
          <w:tcPr>
            <w:tcW w:w="84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0"/>
              <w:jc w:val="center"/>
              <w:rPr>
                <w:rFonts w:ascii="Arial" w:hAnsi="Arial" w:cs="Arial" w:eastAsia="Arial" w:hint="default"/>
                <w:sz w:val="18"/>
                <w:szCs w:val="18"/>
              </w:rPr>
            </w:pPr>
            <w:r>
              <w:rPr>
                <w:rFonts w:ascii="Arial"/>
                <w:sz w:val="18"/>
              </w:rPr>
              <w:t>--</w:t>
            </w:r>
          </w:p>
        </w:tc>
        <w:tc>
          <w:tcPr>
            <w:tcW w:w="99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11" w:right="0"/>
              <w:jc w:val="center"/>
              <w:rPr>
                <w:rFonts w:ascii="Arial" w:hAnsi="Arial" w:cs="Arial" w:eastAsia="Arial" w:hint="default"/>
                <w:sz w:val="18"/>
                <w:szCs w:val="18"/>
              </w:rPr>
            </w:pPr>
            <w:r>
              <w:rPr>
                <w:rFonts w:ascii="Arial"/>
                <w:sz w:val="18"/>
              </w:rPr>
              <w:t>--</w:t>
            </w:r>
          </w:p>
        </w:tc>
        <w:tc>
          <w:tcPr>
            <w:tcW w:w="862" w:type="dxa"/>
            <w:vMerge/>
            <w:tcBorders>
              <w:left w:val="single" w:sz="9" w:space="0" w:color="D3D3D3"/>
              <w:right w:val="single" w:sz="9" w:space="0" w:color="D3D3D3"/>
            </w:tcBorders>
          </w:tcPr>
          <w:p>
            <w:pPr/>
          </w:p>
        </w:tc>
        <w:tc>
          <w:tcPr>
            <w:tcW w:w="41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140"/>
              <w:jc w:val="right"/>
              <w:rPr>
                <w:rFonts w:ascii="Arial" w:hAnsi="Arial" w:cs="Arial" w:eastAsia="Arial" w:hint="default"/>
                <w:sz w:val="18"/>
                <w:szCs w:val="18"/>
              </w:rPr>
            </w:pPr>
            <w:r>
              <w:rPr>
                <w:rFonts w:ascii="Arial"/>
                <w:sz w:val="18"/>
              </w:rPr>
              <w:t>--</w:t>
            </w:r>
          </w:p>
        </w:tc>
        <w:tc>
          <w:tcPr>
            <w:tcW w:w="64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5" w:right="0"/>
              <w:jc w:val="center"/>
              <w:rPr>
                <w:rFonts w:ascii="Arial" w:hAnsi="Arial" w:cs="Arial" w:eastAsia="Arial" w:hint="default"/>
                <w:sz w:val="18"/>
                <w:szCs w:val="18"/>
              </w:rPr>
            </w:pPr>
            <w:r>
              <w:rPr>
                <w:rFonts w:ascii="Arial"/>
                <w:sz w:val="18"/>
              </w:rPr>
              <w:t>--</w:t>
            </w:r>
          </w:p>
        </w:tc>
      </w:tr>
      <w:tr>
        <w:trPr>
          <w:trHeight w:val="161" w:hRule="exact"/>
        </w:trPr>
        <w:tc>
          <w:tcPr>
            <w:tcW w:w="1554" w:type="dxa"/>
            <w:tcBorders>
              <w:top w:val="nil" w:sz="6" w:space="0" w:color="auto"/>
              <w:left w:val="single" w:sz="4" w:space="0" w:color="000000"/>
              <w:bottom w:val="single" w:sz="4" w:space="0" w:color="000000"/>
              <w:right w:val="single" w:sz="4" w:space="0" w:color="000000"/>
            </w:tcBorders>
            <w:shd w:val="clear" w:color="auto" w:fill="D3D3D3"/>
          </w:tcPr>
          <w:p>
            <w:pPr/>
          </w:p>
        </w:tc>
        <w:tc>
          <w:tcPr>
            <w:tcW w:w="708" w:type="dxa"/>
            <w:tcBorders>
              <w:top w:val="nil" w:sz="6" w:space="0" w:color="auto"/>
              <w:left w:val="single" w:sz="4" w:space="0" w:color="000000"/>
              <w:bottom w:val="single" w:sz="4" w:space="0" w:color="000000"/>
              <w:right w:val="single" w:sz="4" w:space="0" w:color="000000"/>
            </w:tcBorders>
            <w:shd w:val="clear" w:color="auto" w:fill="D3D3D3"/>
          </w:tcPr>
          <w:p>
            <w:pPr/>
          </w:p>
        </w:tc>
        <w:tc>
          <w:tcPr>
            <w:tcW w:w="999" w:type="dxa"/>
            <w:vMerge/>
            <w:tcBorders>
              <w:left w:val="single" w:sz="9" w:space="0" w:color="D3D3D3"/>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635"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9" w:space="0" w:color="D3D3D3"/>
            </w:tcBorders>
          </w:tcPr>
          <w:p>
            <w:pPr/>
          </w:p>
        </w:tc>
        <w:tc>
          <w:tcPr>
            <w:tcW w:w="840" w:type="dxa"/>
            <w:tcBorders>
              <w:top w:val="nil" w:sz="6" w:space="0" w:color="auto"/>
              <w:left w:val="single" w:sz="4" w:space="0" w:color="000000"/>
              <w:bottom w:val="single" w:sz="4" w:space="0" w:color="000000"/>
              <w:right w:val="single" w:sz="4" w:space="0" w:color="000000"/>
            </w:tcBorders>
            <w:shd w:val="clear" w:color="auto" w:fill="D3D3D3"/>
          </w:tcPr>
          <w:p>
            <w:pPr/>
          </w:p>
        </w:tc>
        <w:tc>
          <w:tcPr>
            <w:tcW w:w="991" w:type="dxa"/>
            <w:tcBorders>
              <w:top w:val="nil" w:sz="6" w:space="0" w:color="auto"/>
              <w:left w:val="single" w:sz="4" w:space="0" w:color="000000"/>
              <w:bottom w:val="single" w:sz="4" w:space="0" w:color="000000"/>
              <w:right w:val="single" w:sz="4" w:space="0" w:color="000000"/>
            </w:tcBorders>
            <w:shd w:val="clear" w:color="auto" w:fill="D3D3D3"/>
          </w:tcPr>
          <w:p>
            <w:pPr/>
          </w:p>
        </w:tc>
        <w:tc>
          <w:tcPr>
            <w:tcW w:w="862" w:type="dxa"/>
            <w:vMerge/>
            <w:tcBorders>
              <w:left w:val="single" w:sz="9" w:space="0" w:color="D3D3D3"/>
              <w:bottom w:val="single" w:sz="4" w:space="0" w:color="000000"/>
              <w:right w:val="single" w:sz="9" w:space="0" w:color="D3D3D3"/>
            </w:tcBorders>
          </w:tcPr>
          <w:p>
            <w:pPr/>
          </w:p>
        </w:tc>
        <w:tc>
          <w:tcPr>
            <w:tcW w:w="414" w:type="dxa"/>
            <w:tcBorders>
              <w:top w:val="nil" w:sz="6" w:space="0" w:color="auto"/>
              <w:left w:val="single" w:sz="4" w:space="0" w:color="000000"/>
              <w:bottom w:val="single" w:sz="4" w:space="0" w:color="000000"/>
              <w:right w:val="single" w:sz="4" w:space="0" w:color="000000"/>
            </w:tcBorders>
            <w:shd w:val="clear" w:color="auto" w:fill="D3D3D3"/>
          </w:tcPr>
          <w:p>
            <w:pPr/>
          </w:p>
        </w:tc>
        <w:tc>
          <w:tcPr>
            <w:tcW w:w="642"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1" w:hRule="exact"/>
        </w:trPr>
        <w:tc>
          <w:tcPr>
            <w:tcW w:w="1554" w:type="dxa"/>
            <w:tcBorders>
              <w:top w:val="single" w:sz="4" w:space="0" w:color="000000"/>
              <w:left w:val="single" w:sz="4" w:space="0" w:color="000000"/>
              <w:bottom w:val="nil" w:sz="6" w:space="0" w:color="auto"/>
              <w:right w:val="single" w:sz="13" w:space="0" w:color="FFFFFF"/>
            </w:tcBorders>
            <w:shd w:val="clear" w:color="auto" w:fill="D3D3D3"/>
          </w:tcPr>
          <w:p>
            <w:pPr/>
          </w:p>
        </w:tc>
        <w:tc>
          <w:tcPr>
            <w:tcW w:w="8013" w:type="dxa"/>
            <w:gridSpan w:val="10"/>
            <w:vMerge w:val="restart"/>
            <w:tcBorders>
              <w:top w:val="single" w:sz="4" w:space="0" w:color="000000"/>
              <w:left w:val="single" w:sz="13" w:space="0" w:color="FFFFFF"/>
              <w:right w:val="single" w:sz="4" w:space="0" w:color="000000"/>
            </w:tcBorders>
          </w:tcPr>
          <w:p>
            <w:pPr>
              <w:pStyle w:val="TableParagraph"/>
              <w:spacing w:line="316" w:lineRule="auto" w:before="51"/>
              <w:ind w:left="17" w:right="22"/>
              <w:jc w:val="left"/>
              <w:rPr>
                <w:rFonts w:ascii="宋体" w:hAnsi="宋体" w:cs="宋体" w:eastAsia="宋体" w:hint="default"/>
                <w:sz w:val="18"/>
                <w:szCs w:val="18"/>
              </w:rPr>
            </w:pPr>
            <w:r>
              <w:rPr>
                <w:rFonts w:ascii="宋体" w:hAnsi="宋体" w:cs="宋体" w:eastAsia="宋体" w:hint="default"/>
                <w:sz w:val="18"/>
                <w:szCs w:val="18"/>
              </w:rPr>
              <w:t>为了应对市场需求发生变化和技术发展需要，为了满足客户需求，公司继续加大研发投入促进产品升 级换代，适当延长研发期间；同时募集资金投资项目尚未整体达产，其规模效应还未充分发挥，虽然</w:t>
            </w:r>
          </w:p>
          <w:p>
            <w:pPr>
              <w:pStyle w:val="TableParagraph"/>
              <w:spacing w:line="196" w:lineRule="exact" w:before="19"/>
              <w:ind w:left="17" w:right="0"/>
              <w:jc w:val="left"/>
              <w:rPr>
                <w:rFonts w:ascii="宋体" w:hAnsi="宋体" w:cs="宋体" w:eastAsia="宋体" w:hint="default"/>
                <w:sz w:val="18"/>
                <w:szCs w:val="18"/>
              </w:rPr>
            </w:pPr>
            <w:r>
              <w:rPr>
                <w:rFonts w:ascii="宋体" w:hAnsi="宋体" w:cs="宋体" w:eastAsia="宋体" w:hint="default"/>
                <w:sz w:val="18"/>
                <w:szCs w:val="18"/>
              </w:rPr>
              <w:t>销售出现了一定程度增长，却未完全达到预期。基于上述原因，2019</w:t>
            </w:r>
            <w:r>
              <w:rPr>
                <w:rFonts w:ascii="宋体" w:hAnsi="宋体" w:cs="宋体" w:eastAsia="宋体" w:hint="default"/>
                <w:spacing w:val="-60"/>
                <w:sz w:val="18"/>
                <w:szCs w:val="18"/>
              </w:rPr>
              <w:t> </w:t>
            </w:r>
            <w:r>
              <w:rPr>
                <w:rFonts w:ascii="宋体" w:hAnsi="宋体" w:cs="宋体" w:eastAsia="宋体" w:hint="default"/>
                <w:sz w:val="18"/>
                <w:szCs w:val="18"/>
              </w:rPr>
              <w:t>年度募集资金投资项目形成的现</w:t>
            </w:r>
          </w:p>
          <w:p>
            <w:pPr>
              <w:pStyle w:val="TableParagraph"/>
              <w:spacing w:line="157" w:lineRule="exact"/>
              <w:ind w:left="-130"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7" w:right="0"/>
              <w:jc w:val="left"/>
              <w:rPr>
                <w:rFonts w:ascii="宋体" w:hAnsi="宋体" w:cs="宋体" w:eastAsia="宋体" w:hint="default"/>
                <w:sz w:val="18"/>
                <w:szCs w:val="18"/>
              </w:rPr>
            </w:pPr>
            <w:r>
              <w:rPr>
                <w:rFonts w:ascii="宋体" w:hAnsi="宋体" w:cs="宋体" w:eastAsia="宋体" w:hint="default"/>
                <w:sz w:val="18"/>
                <w:szCs w:val="18"/>
              </w:rPr>
              <w:t>有效益未能完全达到招股说明书承诺的项目整体完成后的预期收益。</w:t>
            </w:r>
          </w:p>
        </w:tc>
      </w:tr>
      <w:tr>
        <w:trPr>
          <w:trHeight w:val="1016" w:hRule="exact"/>
        </w:trPr>
        <w:tc>
          <w:tcPr>
            <w:tcW w:w="1554" w:type="dxa"/>
            <w:tcBorders>
              <w:top w:val="nil" w:sz="6" w:space="0" w:color="auto"/>
              <w:left w:val="single" w:sz="4" w:space="0" w:color="000000"/>
              <w:bottom w:val="nil" w:sz="6" w:space="0" w:color="auto"/>
              <w:right w:val="single" w:sz="13" w:space="0" w:color="FFFFFF"/>
            </w:tcBorders>
            <w:shd w:val="clear" w:color="auto" w:fill="D3D3D3"/>
          </w:tcPr>
          <w:p>
            <w:pPr>
              <w:pStyle w:val="TableParagraph"/>
              <w:spacing w:line="316" w:lineRule="auto" w:before="51"/>
              <w:ind w:left="22" w:right="68"/>
              <w:jc w:val="both"/>
              <w:rPr>
                <w:rFonts w:ascii="宋体" w:hAnsi="宋体" w:cs="宋体" w:eastAsia="宋体" w:hint="default"/>
                <w:sz w:val="18"/>
                <w:szCs w:val="18"/>
              </w:rPr>
            </w:pPr>
            <w:r>
              <w:rPr>
                <w:rFonts w:ascii="宋体" w:hAnsi="宋体" w:cs="宋体" w:eastAsia="宋体" w:hint="default"/>
                <w:sz w:val="18"/>
                <w:szCs w:val="18"/>
              </w:rPr>
              <w:t>未达到计划进度或 预计收益的情况和 </w:t>
            </w:r>
            <w:r>
              <w:rPr>
                <w:rFonts w:ascii="宋体" w:hAnsi="宋体" w:cs="宋体" w:eastAsia="宋体" w:hint="default"/>
                <w:spacing w:val="-4"/>
                <w:sz w:val="18"/>
                <w:szCs w:val="18"/>
              </w:rPr>
              <w:t>原因（分具体项目</w:t>
            </w:r>
          </w:p>
        </w:tc>
        <w:tc>
          <w:tcPr>
            <w:tcW w:w="8013" w:type="dxa"/>
            <w:gridSpan w:val="10"/>
            <w:vMerge/>
            <w:tcBorders>
              <w:left w:val="single" w:sz="13" w:space="0" w:color="FFFFFF"/>
              <w:right w:val="single" w:sz="4" w:space="0" w:color="000000"/>
            </w:tcBorders>
          </w:tcPr>
          <w:p>
            <w:pPr/>
          </w:p>
        </w:tc>
      </w:tr>
      <w:tr>
        <w:trPr>
          <w:trHeight w:val="161" w:hRule="exact"/>
        </w:trPr>
        <w:tc>
          <w:tcPr>
            <w:tcW w:w="1554" w:type="dxa"/>
            <w:tcBorders>
              <w:top w:val="nil" w:sz="6" w:space="0" w:color="auto"/>
              <w:left w:val="single" w:sz="4" w:space="0" w:color="000000"/>
              <w:bottom w:val="single" w:sz="4" w:space="0" w:color="000000"/>
              <w:right w:val="single" w:sz="13" w:space="0" w:color="FFFFFF"/>
            </w:tcBorders>
            <w:shd w:val="clear" w:color="auto" w:fill="D3D3D3"/>
          </w:tcPr>
          <w:p>
            <w:pPr/>
          </w:p>
        </w:tc>
        <w:tc>
          <w:tcPr>
            <w:tcW w:w="8013" w:type="dxa"/>
            <w:gridSpan w:val="10"/>
            <w:vMerge/>
            <w:tcBorders>
              <w:left w:val="single" w:sz="13" w:space="0" w:color="FFFFFF"/>
              <w:bottom w:val="single" w:sz="4" w:space="0" w:color="000000"/>
              <w:right w:val="single" w:sz="4" w:space="0" w:color="000000"/>
            </w:tcBorders>
          </w:tcPr>
          <w:p>
            <w:pPr/>
          </w:p>
        </w:tc>
      </w:tr>
      <w:tr>
        <w:trPr>
          <w:trHeight w:val="714" w:hRule="exact"/>
        </w:trPr>
        <w:tc>
          <w:tcPr>
            <w:tcW w:w="1554" w:type="dxa"/>
            <w:tcBorders>
              <w:top w:val="single" w:sz="4" w:space="0" w:color="000000"/>
              <w:left w:val="single" w:sz="4" w:space="0" w:color="000000"/>
              <w:bottom w:val="single" w:sz="4" w:space="0" w:color="FFFFFF"/>
              <w:right w:val="single" w:sz="4" w:space="0" w:color="000000"/>
            </w:tcBorders>
            <w:shd w:val="clear" w:color="auto" w:fill="D3D3D3"/>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项目可行性发生重 大变化的情况说明</w:t>
            </w:r>
          </w:p>
        </w:tc>
        <w:tc>
          <w:tcPr>
            <w:tcW w:w="8013" w:type="dxa"/>
            <w:gridSpan w:val="10"/>
            <w:tcBorders>
              <w:top w:val="single" w:sz="4" w:space="0" w:color="000000"/>
              <w:left w:val="single" w:sz="9" w:space="0" w:color="D3D3D3"/>
              <w:bottom w:val="single" w:sz="4" w:space="0" w:color="FFFFFF"/>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1"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2" w:hRule="exact"/>
        </w:trPr>
        <w:tc>
          <w:tcPr>
            <w:tcW w:w="1554" w:type="dxa"/>
            <w:vMerge w:val="restart"/>
            <w:tcBorders>
              <w:top w:val="single" w:sz="4" w:space="0" w:color="FFFFFF"/>
              <w:left w:val="single" w:sz="4" w:space="0" w:color="000000"/>
              <w:right w:val="single" w:sz="4" w:space="0" w:color="000000"/>
            </w:tcBorders>
            <w:shd w:val="clear" w:color="auto" w:fill="D3D3D3"/>
          </w:tcPr>
          <w:p>
            <w:pPr>
              <w:pStyle w:val="TableParagraph"/>
              <w:spacing w:line="319" w:lineRule="auto" w:before="95"/>
              <w:ind w:left="22" w:right="79"/>
              <w:jc w:val="both"/>
              <w:rPr>
                <w:rFonts w:ascii="宋体" w:hAnsi="宋体" w:cs="宋体" w:eastAsia="宋体" w:hint="default"/>
                <w:sz w:val="18"/>
                <w:szCs w:val="18"/>
              </w:rPr>
            </w:pPr>
            <w:r>
              <w:rPr>
                <w:rFonts w:ascii="宋体" w:hAnsi="宋体" w:cs="宋体" w:eastAsia="宋体" w:hint="default"/>
                <w:sz w:val="18"/>
                <w:szCs w:val="18"/>
              </w:rPr>
              <w:t>超募资金的金额、 用途及使用进展情 况</w:t>
            </w:r>
          </w:p>
        </w:tc>
        <w:tc>
          <w:tcPr>
            <w:tcW w:w="8013" w:type="dxa"/>
            <w:gridSpan w:val="10"/>
            <w:tcBorders>
              <w:top w:val="single" w:sz="4" w:space="0" w:color="FFFFFF"/>
              <w:left w:val="single" w:sz="13" w:space="0" w:color="D3D3D3"/>
              <w:bottom w:val="single" w:sz="4" w:space="0" w:color="000000"/>
              <w:right w:val="single" w:sz="4" w:space="0" w:color="000000"/>
            </w:tcBorders>
          </w:tcPr>
          <w:p>
            <w:pPr>
              <w:pStyle w:val="TableParagraph"/>
              <w:spacing w:line="240" w:lineRule="auto" w:before="51"/>
              <w:ind w:left="17"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14" w:hRule="exact"/>
        </w:trPr>
        <w:tc>
          <w:tcPr>
            <w:tcW w:w="1554" w:type="dxa"/>
            <w:vMerge/>
            <w:tcBorders>
              <w:left w:val="single" w:sz="4" w:space="0" w:color="000000"/>
              <w:bottom w:val="single" w:sz="4" w:space="0" w:color="000000"/>
              <w:right w:val="single" w:sz="4" w:space="0" w:color="000000"/>
            </w:tcBorders>
            <w:shd w:val="clear" w:color="auto" w:fill="D3D3D3"/>
          </w:tcPr>
          <w:p>
            <w:pPr/>
          </w:p>
        </w:tc>
        <w:tc>
          <w:tcPr>
            <w:tcW w:w="8013" w:type="dxa"/>
            <w:gridSpan w:val="10"/>
            <w:tcBorders>
              <w:top w:val="single" w:sz="4" w:space="0" w:color="000000"/>
              <w:left w:val="single" w:sz="13" w:space="0" w:color="D3D3D3"/>
              <w:bottom w:val="single" w:sz="4" w:space="0" w:color="000000"/>
              <w:right w:val="single" w:sz="4" w:space="0" w:color="000000"/>
            </w:tcBorders>
          </w:tcPr>
          <w:p>
            <w:pPr>
              <w:pStyle w:val="TableParagraph"/>
              <w:spacing w:line="316" w:lineRule="auto" w:before="51"/>
              <w:ind w:left="17" w:right="144"/>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46"/>
                <w:sz w:val="18"/>
                <w:szCs w:val="18"/>
              </w:rPr>
              <w:t> </w:t>
            </w:r>
            <w:r>
              <w:rPr>
                <w:rFonts w:ascii="宋体" w:hAnsi="宋体" w:cs="宋体" w:eastAsia="宋体" w:hint="default"/>
                <w:sz w:val="18"/>
                <w:szCs w:val="18"/>
              </w:rPr>
              <w:t>年，北京中榕基信息技术有限公司使用超募资金支付榕基“易贸”商务平台项目支出</w:t>
            </w:r>
            <w:r>
              <w:rPr>
                <w:rFonts w:ascii="宋体" w:hAnsi="宋体" w:cs="宋体" w:eastAsia="宋体" w:hint="default"/>
                <w:spacing w:val="-46"/>
                <w:sz w:val="18"/>
                <w:szCs w:val="18"/>
              </w:rPr>
              <w:t> </w:t>
            </w:r>
            <w:r>
              <w:rPr>
                <w:rFonts w:ascii="宋体" w:hAnsi="宋体" w:cs="宋体" w:eastAsia="宋体" w:hint="default"/>
                <w:sz w:val="18"/>
                <w:szCs w:val="18"/>
              </w:rPr>
              <w:t>1,801.45</w:t>
            </w:r>
            <w:r>
              <w:rPr>
                <w:rFonts w:ascii="宋体" w:hAnsi="宋体" w:cs="宋体" w:eastAsia="宋体" w:hint="default"/>
                <w:sz w:val="18"/>
                <w:szCs w:val="18"/>
              </w:rPr>
              <w:t> 万元；榕基五一（北京）信息技术有限公司使用超募资金支付</w:t>
            </w:r>
            <w:r>
              <w:rPr>
                <w:rFonts w:ascii="宋体" w:hAnsi="宋体" w:cs="宋体" w:eastAsia="宋体" w:hint="default"/>
                <w:spacing w:val="-46"/>
                <w:sz w:val="18"/>
                <w:szCs w:val="18"/>
              </w:rPr>
              <w:t> </w:t>
            </w:r>
            <w:r>
              <w:rPr>
                <w:rFonts w:ascii="宋体" w:hAnsi="宋体" w:cs="宋体" w:eastAsia="宋体" w:hint="default"/>
                <w:sz w:val="18"/>
                <w:szCs w:val="18"/>
              </w:rPr>
              <w:t>VR</w:t>
            </w:r>
            <w:r>
              <w:rPr>
                <w:rFonts w:ascii="宋体" w:hAnsi="宋体" w:cs="宋体" w:eastAsia="宋体" w:hint="default"/>
                <w:spacing w:val="-46"/>
                <w:sz w:val="18"/>
                <w:szCs w:val="18"/>
              </w:rPr>
              <w:t> </w:t>
            </w:r>
            <w:r>
              <w:rPr>
                <w:rFonts w:ascii="宋体" w:hAnsi="宋体" w:cs="宋体" w:eastAsia="宋体" w:hint="default"/>
                <w:sz w:val="18"/>
                <w:szCs w:val="18"/>
              </w:rPr>
              <w:t>体验馆项目支出</w:t>
            </w:r>
            <w:r>
              <w:rPr>
                <w:rFonts w:ascii="宋体" w:hAnsi="宋体" w:cs="宋体" w:eastAsia="宋体" w:hint="default"/>
                <w:spacing w:val="-46"/>
                <w:sz w:val="18"/>
                <w:szCs w:val="18"/>
              </w:rPr>
              <w:t> </w:t>
            </w:r>
            <w:r>
              <w:rPr>
                <w:rFonts w:ascii="宋体" w:hAnsi="宋体" w:cs="宋体" w:eastAsia="宋体" w:hint="default"/>
                <w:sz w:val="18"/>
                <w:szCs w:val="18"/>
              </w:rPr>
              <w:t>908.62</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251" w:hRule="exact"/>
        </w:trPr>
        <w:tc>
          <w:tcPr>
            <w:tcW w:w="1554" w:type="dxa"/>
            <w:tcBorders>
              <w:top w:val="single" w:sz="4" w:space="0" w:color="000000"/>
              <w:left w:val="single" w:sz="4" w:space="0" w:color="000000"/>
              <w:bottom w:val="nil" w:sz="6" w:space="0" w:color="auto"/>
              <w:right w:val="single" w:sz="4" w:space="0" w:color="000000"/>
            </w:tcBorders>
            <w:shd w:val="clear" w:color="auto" w:fill="D3D3D3"/>
          </w:tcPr>
          <w:p>
            <w:pPr/>
          </w:p>
        </w:tc>
        <w:tc>
          <w:tcPr>
            <w:tcW w:w="8013" w:type="dxa"/>
            <w:gridSpan w:val="10"/>
            <w:vMerge w:val="restart"/>
            <w:tcBorders>
              <w:top w:val="single" w:sz="4" w:space="0" w:color="000000"/>
              <w:left w:val="single" w:sz="9" w:space="0" w:color="D3D3D3"/>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55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募集资金投资项目 实施地点变更情况</w:t>
            </w:r>
          </w:p>
        </w:tc>
        <w:tc>
          <w:tcPr>
            <w:tcW w:w="8013" w:type="dxa"/>
            <w:gridSpan w:val="10"/>
            <w:vMerge/>
            <w:tcBorders>
              <w:left w:val="single" w:sz="9" w:space="0" w:color="D3D3D3"/>
              <w:bottom w:val="single" w:sz="4" w:space="0" w:color="000000"/>
              <w:right w:val="single" w:sz="4" w:space="0" w:color="000000"/>
            </w:tcBorders>
          </w:tcPr>
          <w:p>
            <w:pPr/>
          </w:p>
        </w:tc>
      </w:tr>
      <w:tr>
        <w:trPr>
          <w:trHeight w:val="402" w:hRule="exact"/>
        </w:trPr>
        <w:tc>
          <w:tcPr>
            <w:tcW w:w="1554" w:type="dxa"/>
            <w:vMerge/>
            <w:tcBorders>
              <w:left w:val="single" w:sz="4" w:space="0" w:color="000000"/>
              <w:right w:val="single" w:sz="4" w:space="0" w:color="000000"/>
            </w:tcBorders>
            <w:shd w:val="clear" w:color="auto" w:fill="D3D3D3"/>
          </w:tcPr>
          <w:p>
            <w:pPr/>
          </w:p>
        </w:tc>
        <w:tc>
          <w:tcPr>
            <w:tcW w:w="8013" w:type="dxa"/>
            <w:gridSpan w:val="10"/>
            <w:tcBorders>
              <w:top w:val="single" w:sz="4" w:space="0" w:color="000000"/>
              <w:left w:val="single" w:sz="13" w:space="0" w:color="D3D3D3"/>
              <w:bottom w:val="single" w:sz="4" w:space="0" w:color="000000"/>
              <w:right w:val="single" w:sz="4" w:space="0" w:color="000000"/>
            </w:tcBorders>
          </w:tcPr>
          <w:p>
            <w:pPr/>
          </w:p>
        </w:tc>
      </w:tr>
      <w:tr>
        <w:trPr>
          <w:trHeight w:val="151" w:hRule="exact"/>
        </w:trPr>
        <w:tc>
          <w:tcPr>
            <w:tcW w:w="1554" w:type="dxa"/>
            <w:vMerge/>
            <w:tcBorders>
              <w:left w:val="single" w:sz="4" w:space="0" w:color="000000"/>
              <w:bottom w:val="nil" w:sz="6" w:space="0" w:color="auto"/>
              <w:right w:val="single" w:sz="4" w:space="0" w:color="000000"/>
            </w:tcBorders>
            <w:shd w:val="clear" w:color="auto" w:fill="D3D3D3"/>
          </w:tcPr>
          <w:p>
            <w:pPr/>
          </w:p>
        </w:tc>
        <w:tc>
          <w:tcPr>
            <w:tcW w:w="8013" w:type="dxa"/>
            <w:gridSpan w:val="10"/>
            <w:vMerge w:val="restart"/>
            <w:tcBorders>
              <w:top w:val="single" w:sz="4" w:space="0" w:color="000000"/>
              <w:left w:val="single" w:sz="9" w:space="0" w:color="D3D3D3"/>
              <w:right w:val="single" w:sz="4" w:space="0" w:color="000000"/>
            </w:tcBorders>
          </w:tcPr>
          <w:p>
            <w:pPr/>
          </w:p>
        </w:tc>
      </w:tr>
      <w:tr>
        <w:trPr>
          <w:trHeight w:val="251" w:hRule="exact"/>
        </w:trPr>
        <w:tc>
          <w:tcPr>
            <w:tcW w:w="1554" w:type="dxa"/>
            <w:tcBorders>
              <w:top w:val="nil" w:sz="6" w:space="0" w:color="auto"/>
              <w:left w:val="single" w:sz="4" w:space="0" w:color="000000"/>
              <w:bottom w:val="single" w:sz="4" w:space="0" w:color="000000"/>
              <w:right w:val="single" w:sz="4" w:space="0" w:color="000000"/>
            </w:tcBorders>
            <w:shd w:val="clear" w:color="auto" w:fill="D3D3D3"/>
          </w:tcPr>
          <w:p>
            <w:pPr/>
          </w:p>
        </w:tc>
        <w:tc>
          <w:tcPr>
            <w:tcW w:w="8013" w:type="dxa"/>
            <w:gridSpan w:val="10"/>
            <w:vMerge/>
            <w:tcBorders>
              <w:left w:val="single" w:sz="9" w:space="0" w:color="D3D3D3"/>
              <w:bottom w:val="single" w:sz="4" w:space="0" w:color="000000"/>
              <w:right w:val="single" w:sz="4" w:space="0" w:color="000000"/>
            </w:tcBorders>
          </w:tcPr>
          <w:p>
            <w:pPr/>
          </w:p>
        </w:tc>
      </w:tr>
      <w:tr>
        <w:trPr>
          <w:trHeight w:val="251" w:hRule="exact"/>
        </w:trPr>
        <w:tc>
          <w:tcPr>
            <w:tcW w:w="1554" w:type="dxa"/>
            <w:tcBorders>
              <w:top w:val="single" w:sz="4" w:space="0" w:color="000000"/>
              <w:left w:val="single" w:sz="4" w:space="0" w:color="000000"/>
              <w:bottom w:val="nil" w:sz="6" w:space="0" w:color="auto"/>
              <w:right w:val="single" w:sz="4" w:space="0" w:color="000000"/>
            </w:tcBorders>
            <w:shd w:val="clear" w:color="auto" w:fill="D3D3D3"/>
          </w:tcPr>
          <w:p>
            <w:pPr/>
          </w:p>
        </w:tc>
        <w:tc>
          <w:tcPr>
            <w:tcW w:w="8013" w:type="dxa"/>
            <w:gridSpan w:val="10"/>
            <w:vMerge w:val="restart"/>
            <w:tcBorders>
              <w:top w:val="single" w:sz="4" w:space="0" w:color="000000"/>
              <w:left w:val="single" w:sz="9" w:space="0" w:color="D3D3D3"/>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151" w:hRule="exact"/>
        </w:trPr>
        <w:tc>
          <w:tcPr>
            <w:tcW w:w="155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募集资金投资项目 实施方式调整情况</w:t>
            </w:r>
          </w:p>
        </w:tc>
        <w:tc>
          <w:tcPr>
            <w:tcW w:w="8013" w:type="dxa"/>
            <w:gridSpan w:val="10"/>
            <w:vMerge/>
            <w:tcBorders>
              <w:left w:val="single" w:sz="9" w:space="0" w:color="D3D3D3"/>
              <w:bottom w:val="single" w:sz="4" w:space="0" w:color="000000"/>
              <w:right w:val="single" w:sz="4" w:space="0" w:color="000000"/>
            </w:tcBorders>
          </w:tcPr>
          <w:p>
            <w:pPr/>
          </w:p>
        </w:tc>
      </w:tr>
      <w:tr>
        <w:trPr>
          <w:trHeight w:val="402" w:hRule="exact"/>
        </w:trPr>
        <w:tc>
          <w:tcPr>
            <w:tcW w:w="1554" w:type="dxa"/>
            <w:vMerge/>
            <w:tcBorders>
              <w:left w:val="single" w:sz="4" w:space="0" w:color="000000"/>
              <w:right w:val="single" w:sz="4" w:space="0" w:color="000000"/>
            </w:tcBorders>
            <w:shd w:val="clear" w:color="auto" w:fill="D3D3D3"/>
          </w:tcPr>
          <w:p>
            <w:pPr/>
          </w:p>
        </w:tc>
        <w:tc>
          <w:tcPr>
            <w:tcW w:w="8013" w:type="dxa"/>
            <w:gridSpan w:val="10"/>
            <w:tcBorders>
              <w:top w:val="single" w:sz="4" w:space="0" w:color="000000"/>
              <w:left w:val="single" w:sz="13" w:space="0" w:color="D3D3D3"/>
              <w:bottom w:val="single" w:sz="4" w:space="0" w:color="000000"/>
              <w:right w:val="single" w:sz="4" w:space="0" w:color="000000"/>
            </w:tcBorders>
          </w:tcPr>
          <w:p>
            <w:pPr/>
          </w:p>
        </w:tc>
      </w:tr>
      <w:tr>
        <w:trPr>
          <w:trHeight w:val="151" w:hRule="exact"/>
        </w:trPr>
        <w:tc>
          <w:tcPr>
            <w:tcW w:w="1554" w:type="dxa"/>
            <w:vMerge/>
            <w:tcBorders>
              <w:left w:val="single" w:sz="4" w:space="0" w:color="000000"/>
              <w:bottom w:val="nil" w:sz="6" w:space="0" w:color="auto"/>
              <w:right w:val="single" w:sz="4" w:space="0" w:color="000000"/>
            </w:tcBorders>
            <w:shd w:val="clear" w:color="auto" w:fill="D3D3D3"/>
          </w:tcPr>
          <w:p>
            <w:pPr/>
          </w:p>
        </w:tc>
        <w:tc>
          <w:tcPr>
            <w:tcW w:w="8013" w:type="dxa"/>
            <w:gridSpan w:val="10"/>
            <w:vMerge w:val="restart"/>
            <w:tcBorders>
              <w:top w:val="single" w:sz="4" w:space="0" w:color="000000"/>
              <w:left w:val="single" w:sz="9" w:space="0" w:color="D3D3D3"/>
              <w:right w:val="single" w:sz="4" w:space="0" w:color="000000"/>
            </w:tcBorders>
          </w:tcPr>
          <w:p>
            <w:pPr/>
          </w:p>
        </w:tc>
      </w:tr>
      <w:tr>
        <w:trPr>
          <w:trHeight w:val="251" w:hRule="exact"/>
        </w:trPr>
        <w:tc>
          <w:tcPr>
            <w:tcW w:w="1554" w:type="dxa"/>
            <w:tcBorders>
              <w:top w:val="nil" w:sz="6" w:space="0" w:color="auto"/>
              <w:left w:val="single" w:sz="4" w:space="0" w:color="000000"/>
              <w:bottom w:val="single" w:sz="4" w:space="0" w:color="000000"/>
              <w:right w:val="single" w:sz="4" w:space="0" w:color="000000"/>
            </w:tcBorders>
            <w:shd w:val="clear" w:color="auto" w:fill="D3D3D3"/>
          </w:tcPr>
          <w:p>
            <w:pPr/>
          </w:p>
        </w:tc>
        <w:tc>
          <w:tcPr>
            <w:tcW w:w="8013" w:type="dxa"/>
            <w:gridSpan w:val="10"/>
            <w:vMerge/>
            <w:tcBorders>
              <w:left w:val="single" w:sz="9" w:space="0" w:color="D3D3D3"/>
              <w:bottom w:val="single" w:sz="4" w:space="0" w:color="000000"/>
              <w:right w:val="single" w:sz="4" w:space="0" w:color="000000"/>
            </w:tcBorders>
          </w:tcPr>
          <w:p>
            <w:pPr/>
          </w:p>
        </w:tc>
      </w:tr>
      <w:tr>
        <w:trPr>
          <w:trHeight w:val="402" w:hRule="exact"/>
        </w:trPr>
        <w:tc>
          <w:tcPr>
            <w:tcW w:w="155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募集资金投资项目 先期投入及置换情 况</w:t>
            </w:r>
          </w:p>
        </w:tc>
        <w:tc>
          <w:tcPr>
            <w:tcW w:w="8013" w:type="dxa"/>
            <w:gridSpan w:val="10"/>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554" w:type="dxa"/>
            <w:vMerge/>
            <w:tcBorders>
              <w:left w:val="single" w:sz="4" w:space="0" w:color="000000"/>
              <w:bottom w:val="single" w:sz="4" w:space="0" w:color="000000"/>
              <w:right w:val="single" w:sz="4" w:space="0" w:color="000000"/>
            </w:tcBorders>
            <w:shd w:val="clear" w:color="auto" w:fill="D3D3D3"/>
          </w:tcPr>
          <w:p>
            <w:pPr/>
          </w:p>
        </w:tc>
        <w:tc>
          <w:tcPr>
            <w:tcW w:w="8013" w:type="dxa"/>
            <w:gridSpan w:val="10"/>
            <w:tcBorders>
              <w:top w:val="single" w:sz="4" w:space="0" w:color="000000"/>
              <w:left w:val="single" w:sz="9" w:space="0" w:color="D3D3D3"/>
              <w:bottom w:val="single" w:sz="4" w:space="0" w:color="000000"/>
              <w:right w:val="single" w:sz="4" w:space="0" w:color="000000"/>
            </w:tcBorders>
          </w:tcPr>
          <w:p>
            <w:pPr/>
          </w:p>
        </w:tc>
      </w:tr>
      <w:tr>
        <w:trPr>
          <w:trHeight w:val="402" w:hRule="exact"/>
        </w:trPr>
        <w:tc>
          <w:tcPr>
            <w:tcW w:w="155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用闲置募集资金暂 时补充流动资金情 况</w:t>
            </w:r>
          </w:p>
        </w:tc>
        <w:tc>
          <w:tcPr>
            <w:tcW w:w="8013" w:type="dxa"/>
            <w:gridSpan w:val="10"/>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554" w:type="dxa"/>
            <w:vMerge/>
            <w:tcBorders>
              <w:left w:val="single" w:sz="4" w:space="0" w:color="000000"/>
              <w:bottom w:val="single" w:sz="4" w:space="0" w:color="000000"/>
              <w:right w:val="single" w:sz="4" w:space="0" w:color="000000"/>
            </w:tcBorders>
            <w:shd w:val="clear" w:color="auto" w:fill="D3D3D3"/>
          </w:tcPr>
          <w:p>
            <w:pPr/>
          </w:p>
        </w:tc>
        <w:tc>
          <w:tcPr>
            <w:tcW w:w="8013" w:type="dxa"/>
            <w:gridSpan w:val="10"/>
            <w:tcBorders>
              <w:top w:val="single" w:sz="4" w:space="0" w:color="000000"/>
              <w:left w:val="single" w:sz="9" w:space="0" w:color="D3D3D3"/>
              <w:bottom w:val="single" w:sz="4" w:space="0" w:color="000000"/>
              <w:right w:val="single" w:sz="4" w:space="0" w:color="000000"/>
            </w:tcBorders>
          </w:tcPr>
          <w:p>
            <w:pPr/>
          </w:p>
        </w:tc>
      </w:tr>
      <w:tr>
        <w:trPr>
          <w:trHeight w:val="402" w:hRule="exact"/>
        </w:trPr>
        <w:tc>
          <w:tcPr>
            <w:tcW w:w="155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2" w:right="79"/>
              <w:jc w:val="both"/>
              <w:rPr>
                <w:rFonts w:ascii="宋体" w:hAnsi="宋体" w:cs="宋体" w:eastAsia="宋体" w:hint="default"/>
                <w:sz w:val="18"/>
                <w:szCs w:val="18"/>
              </w:rPr>
            </w:pPr>
            <w:r>
              <w:rPr>
                <w:rFonts w:ascii="宋体" w:hAnsi="宋体" w:cs="宋体" w:eastAsia="宋体" w:hint="default"/>
                <w:sz w:val="18"/>
                <w:szCs w:val="18"/>
              </w:rPr>
              <w:t>项目实施出现募集 资金结余的金额及 原因</w:t>
            </w:r>
          </w:p>
        </w:tc>
        <w:tc>
          <w:tcPr>
            <w:tcW w:w="8013" w:type="dxa"/>
            <w:gridSpan w:val="10"/>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624" w:hRule="exact"/>
        </w:trPr>
        <w:tc>
          <w:tcPr>
            <w:tcW w:w="1554" w:type="dxa"/>
            <w:vMerge/>
            <w:tcBorders>
              <w:left w:val="single" w:sz="4" w:space="0" w:color="000000"/>
              <w:bottom w:val="single" w:sz="4" w:space="0" w:color="000000"/>
              <w:right w:val="single" w:sz="4" w:space="0" w:color="000000"/>
            </w:tcBorders>
            <w:shd w:val="clear" w:color="auto" w:fill="D3D3D3"/>
          </w:tcPr>
          <w:p>
            <w:pPr/>
          </w:p>
        </w:tc>
        <w:tc>
          <w:tcPr>
            <w:tcW w:w="8013" w:type="dxa"/>
            <w:gridSpan w:val="10"/>
            <w:tcBorders>
              <w:top w:val="single" w:sz="4" w:space="0" w:color="000000"/>
              <w:left w:val="single" w:sz="9" w:space="0" w:color="D3D3D3"/>
              <w:bottom w:val="single" w:sz="4" w:space="0" w:color="000000"/>
              <w:right w:val="single" w:sz="4" w:space="0" w:color="000000"/>
            </w:tcBorders>
          </w:tcPr>
          <w:p>
            <w:pPr/>
          </w:p>
        </w:tc>
      </w:tr>
      <w:tr>
        <w:trPr>
          <w:trHeight w:val="362" w:hRule="exact"/>
        </w:trPr>
        <w:tc>
          <w:tcPr>
            <w:tcW w:w="15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尚未使用的募集资</w:t>
            </w:r>
          </w:p>
        </w:tc>
        <w:tc>
          <w:tcPr>
            <w:tcW w:w="8013" w:type="dxa"/>
            <w:gridSpan w:val="10"/>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1"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0"/>
                <w:sz w:val="18"/>
                <w:szCs w:val="18"/>
              </w:rPr>
              <w:t> </w:t>
            </w:r>
            <w:r>
              <w:rPr>
                <w:rFonts w:ascii="宋体" w:hAnsi="宋体" w:cs="宋体" w:eastAsia="宋体" w:hint="default"/>
                <w:sz w:val="18"/>
                <w:szCs w:val="18"/>
              </w:rPr>
              <w:t>年，福建榕基软件股份有限公司累计使用闲置募集资金购买银行理财产品</w:t>
            </w:r>
            <w:r>
              <w:rPr>
                <w:rFonts w:ascii="宋体" w:hAnsi="宋体" w:cs="宋体" w:eastAsia="宋体" w:hint="default"/>
                <w:spacing w:val="-50"/>
                <w:sz w:val="18"/>
                <w:szCs w:val="18"/>
              </w:rPr>
              <w:t> </w:t>
            </w:r>
            <w:r>
              <w:rPr>
                <w:rFonts w:ascii="宋体" w:hAnsi="宋体" w:cs="宋体" w:eastAsia="宋体" w:hint="default"/>
                <w:sz w:val="18"/>
                <w:szCs w:val="18"/>
              </w:rPr>
              <w:t>71,000.00</w:t>
            </w:r>
            <w:r>
              <w:rPr>
                <w:rFonts w:ascii="宋体" w:hAnsi="宋体" w:cs="宋体" w:eastAsia="宋体" w:hint="default"/>
                <w:spacing w:val="-50"/>
                <w:sz w:val="18"/>
                <w:szCs w:val="18"/>
              </w:rPr>
              <w:t> </w:t>
            </w:r>
            <w:r>
              <w:rPr>
                <w:rFonts w:ascii="宋体" w:hAnsi="宋体" w:cs="宋体" w:eastAsia="宋体" w:hint="default"/>
                <w:sz w:val="18"/>
                <w:szCs w:val="18"/>
              </w:rPr>
              <w:t>万元，北京</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560"/>
        <w:gridCol w:w="8008"/>
      </w:tblGrid>
      <w:tr>
        <w:trPr>
          <w:trHeight w:val="986" w:hRule="exact"/>
        </w:trPr>
        <w:tc>
          <w:tcPr>
            <w:tcW w:w="1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金用途及去向</w:t>
            </w:r>
          </w:p>
        </w:tc>
        <w:tc>
          <w:tcPr>
            <w:tcW w:w="80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中榕基信息技术有限公司累计使用闲置募集资金购买银行理财产品</w:t>
            </w:r>
            <w:r>
              <w:rPr>
                <w:rFonts w:ascii="宋体" w:hAnsi="宋体" w:cs="宋体" w:eastAsia="宋体" w:hint="default"/>
                <w:spacing w:val="-46"/>
                <w:sz w:val="18"/>
                <w:szCs w:val="18"/>
              </w:rPr>
              <w:t> </w:t>
            </w:r>
            <w:r>
              <w:rPr>
                <w:rFonts w:ascii="宋体" w:hAnsi="宋体" w:cs="宋体" w:eastAsia="宋体" w:hint="default"/>
                <w:sz w:val="18"/>
                <w:szCs w:val="18"/>
              </w:rPr>
              <w:t>22,400.00</w:t>
            </w:r>
            <w:r>
              <w:rPr>
                <w:rFonts w:ascii="宋体" w:hAnsi="宋体" w:cs="宋体" w:eastAsia="宋体" w:hint="default"/>
                <w:spacing w:val="-46"/>
                <w:sz w:val="18"/>
                <w:szCs w:val="18"/>
              </w:rPr>
              <w:t> </w:t>
            </w:r>
            <w:r>
              <w:rPr>
                <w:rFonts w:ascii="宋体" w:hAnsi="宋体" w:cs="宋体" w:eastAsia="宋体" w:hint="default"/>
                <w:sz w:val="18"/>
                <w:szCs w:val="18"/>
              </w:rPr>
              <w:t>万元，河南榕基信息技</w:t>
            </w:r>
          </w:p>
          <w:p>
            <w:pPr>
              <w:pStyle w:val="TableParagraph"/>
              <w:spacing w:line="240" w:lineRule="auto" w:before="76"/>
              <w:ind w:left="22" w:right="0"/>
              <w:jc w:val="left"/>
              <w:rPr>
                <w:rFonts w:ascii="宋体" w:hAnsi="宋体" w:cs="宋体" w:eastAsia="宋体" w:hint="default"/>
                <w:sz w:val="18"/>
                <w:szCs w:val="18"/>
              </w:rPr>
            </w:pPr>
            <w:r>
              <w:rPr>
                <w:rFonts w:ascii="宋体" w:hAnsi="宋体" w:cs="宋体" w:eastAsia="宋体" w:hint="default"/>
                <w:sz w:val="18"/>
                <w:szCs w:val="18"/>
              </w:rPr>
              <w:t>术有限公司累计使用闲置募集资金购买银行理财产品</w:t>
            </w:r>
            <w:r>
              <w:rPr>
                <w:rFonts w:ascii="宋体" w:hAnsi="宋体" w:cs="宋体" w:eastAsia="宋体" w:hint="default"/>
                <w:spacing w:val="-41"/>
                <w:sz w:val="18"/>
                <w:szCs w:val="18"/>
              </w:rPr>
              <w:t> </w:t>
            </w:r>
            <w:r>
              <w:rPr>
                <w:rFonts w:ascii="宋体" w:hAnsi="宋体" w:cs="宋体" w:eastAsia="宋体" w:hint="default"/>
                <w:sz w:val="18"/>
                <w:szCs w:val="18"/>
              </w:rPr>
              <w:t>5,420.00</w:t>
            </w:r>
            <w:r>
              <w:rPr>
                <w:rFonts w:ascii="宋体" w:hAnsi="宋体" w:cs="宋体" w:eastAsia="宋体" w:hint="default"/>
                <w:spacing w:val="-41"/>
                <w:sz w:val="18"/>
                <w:szCs w:val="18"/>
              </w:rPr>
              <w:t> </w:t>
            </w:r>
            <w:r>
              <w:rPr>
                <w:rFonts w:ascii="宋体" w:hAnsi="宋体" w:cs="宋体" w:eastAsia="宋体" w:hint="default"/>
                <w:spacing w:val="-4"/>
                <w:sz w:val="18"/>
                <w:szCs w:val="18"/>
              </w:rPr>
              <w:t>万元，福州榕易付网络科技有限公司累</w:t>
            </w:r>
          </w:p>
          <w:p>
            <w:pPr>
              <w:pStyle w:val="TableParagraph"/>
              <w:spacing w:line="240" w:lineRule="auto" w:before="77"/>
              <w:ind w:left="22" w:right="0"/>
              <w:jc w:val="left"/>
              <w:rPr>
                <w:rFonts w:ascii="宋体" w:hAnsi="宋体" w:cs="宋体" w:eastAsia="宋体" w:hint="default"/>
                <w:sz w:val="18"/>
                <w:szCs w:val="18"/>
              </w:rPr>
            </w:pPr>
            <w:r>
              <w:rPr>
                <w:rFonts w:ascii="宋体" w:hAnsi="宋体" w:cs="宋体" w:eastAsia="宋体" w:hint="default"/>
                <w:sz w:val="18"/>
                <w:szCs w:val="18"/>
              </w:rPr>
              <w:t>计使用闲置募集资金购买银行理财产品</w:t>
            </w:r>
            <w:r>
              <w:rPr>
                <w:rFonts w:ascii="宋体" w:hAnsi="宋体" w:cs="宋体" w:eastAsia="宋体" w:hint="default"/>
                <w:spacing w:val="-46"/>
                <w:sz w:val="18"/>
                <w:szCs w:val="18"/>
              </w:rPr>
              <w:t> </w:t>
            </w:r>
            <w:r>
              <w:rPr>
                <w:rFonts w:ascii="宋体" w:hAnsi="宋体" w:cs="宋体" w:eastAsia="宋体" w:hint="default"/>
                <w:sz w:val="18"/>
                <w:szCs w:val="18"/>
              </w:rPr>
              <w:t>4,000.00</w:t>
            </w:r>
            <w:r>
              <w:rPr>
                <w:rFonts w:ascii="宋体" w:hAnsi="宋体" w:cs="宋体" w:eastAsia="宋体" w:hint="default"/>
                <w:spacing w:val="-46"/>
                <w:sz w:val="18"/>
                <w:szCs w:val="18"/>
              </w:rPr>
              <w:t> </w:t>
            </w:r>
            <w:r>
              <w:rPr>
                <w:rFonts w:ascii="宋体" w:hAnsi="宋体" w:cs="宋体" w:eastAsia="宋体" w:hint="default"/>
                <w:sz w:val="18"/>
                <w:szCs w:val="18"/>
              </w:rPr>
              <w:t>万元。</w:t>
            </w:r>
          </w:p>
        </w:tc>
      </w:tr>
      <w:tr>
        <w:trPr>
          <w:trHeight w:val="357" w:hRule="exact"/>
        </w:trPr>
        <w:tc>
          <w:tcPr>
            <w:tcW w:w="1560" w:type="dxa"/>
            <w:tcBorders>
              <w:top w:val="single" w:sz="4" w:space="0" w:color="000000"/>
              <w:left w:val="single" w:sz="4" w:space="0" w:color="000000"/>
              <w:bottom w:val="nil" w:sz="6" w:space="0" w:color="auto"/>
              <w:right w:val="single" w:sz="4" w:space="0" w:color="000000"/>
            </w:tcBorders>
            <w:shd w:val="clear" w:color="auto" w:fill="D3D3D3"/>
          </w:tcPr>
          <w:p>
            <w:pPr/>
          </w:p>
        </w:tc>
        <w:tc>
          <w:tcPr>
            <w:tcW w:w="800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2019</w:t>
            </w:r>
            <w:r>
              <w:rPr>
                <w:rFonts w:ascii="宋体" w:hAnsi="宋体" w:cs="宋体" w:eastAsia="宋体" w:hint="default"/>
                <w:spacing w:val="-58"/>
                <w:sz w:val="18"/>
                <w:szCs w:val="18"/>
              </w:rPr>
              <w:t> </w:t>
            </w:r>
            <w:r>
              <w:rPr>
                <w:rFonts w:ascii="宋体" w:hAnsi="宋体" w:cs="宋体" w:eastAsia="宋体" w:hint="default"/>
                <w:sz w:val="18"/>
                <w:szCs w:val="18"/>
              </w:rPr>
              <w:t>年，福建榕基软件股份有限公司与全资子公司福建榕基软件工程有限公司合作建房。福建榕基软</w:t>
            </w:r>
          </w:p>
        </w:tc>
      </w:tr>
      <w:tr>
        <w:trPr>
          <w:trHeight w:val="311" w:hRule="exact"/>
        </w:trPr>
        <w:tc>
          <w:tcPr>
            <w:tcW w:w="1560" w:type="dxa"/>
            <w:tcBorders>
              <w:top w:val="nil" w:sz="6" w:space="0" w:color="auto"/>
              <w:left w:val="single" w:sz="4" w:space="0" w:color="000000"/>
              <w:bottom w:val="nil" w:sz="6" w:space="0" w:color="auto"/>
              <w:right w:val="single" w:sz="4" w:space="0" w:color="000000"/>
            </w:tcBorders>
            <w:shd w:val="clear" w:color="auto" w:fill="D3D3D3"/>
          </w:tcPr>
          <w:p>
            <w:pPr/>
          </w:p>
        </w:tc>
        <w:tc>
          <w:tcPr>
            <w:tcW w:w="80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件股份有限公司根据募集资金专户结存情况，统一调配，从三个募集资金账户动用</w:t>
            </w:r>
            <w:r>
              <w:rPr>
                <w:rFonts w:ascii="宋体" w:hAnsi="宋体" w:cs="宋体" w:eastAsia="宋体" w:hint="default"/>
                <w:spacing w:val="-66"/>
                <w:sz w:val="18"/>
                <w:szCs w:val="18"/>
              </w:rPr>
              <w:t> </w:t>
            </w:r>
            <w:r>
              <w:rPr>
                <w:rFonts w:ascii="宋体" w:hAnsi="宋体" w:cs="宋体" w:eastAsia="宋体" w:hint="default"/>
                <w:sz w:val="18"/>
                <w:szCs w:val="18"/>
              </w:rPr>
              <w:t>7,000.00</w:t>
            </w:r>
            <w:r>
              <w:rPr>
                <w:rFonts w:ascii="宋体" w:hAnsi="宋体" w:cs="宋体" w:eastAsia="宋体" w:hint="default"/>
                <w:spacing w:val="-66"/>
                <w:sz w:val="18"/>
                <w:szCs w:val="18"/>
              </w:rPr>
              <w:t> </w:t>
            </w:r>
            <w:r>
              <w:rPr>
                <w:rFonts w:ascii="宋体" w:hAnsi="宋体" w:cs="宋体" w:eastAsia="宋体" w:hint="default"/>
                <w:spacing w:val="-5"/>
                <w:sz w:val="18"/>
                <w:szCs w:val="18"/>
              </w:rPr>
              <w:t>万元，分</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shd w:val="clear" w:color="auto" w:fill="D3D3D3"/>
          </w:tcPr>
          <w:p>
            <w:pPr/>
          </w:p>
        </w:tc>
        <w:tc>
          <w:tcPr>
            <w:tcW w:w="80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别投入</w:t>
            </w:r>
            <w:r>
              <w:rPr>
                <w:rFonts w:ascii="宋体" w:hAnsi="宋体" w:cs="宋体" w:eastAsia="宋体" w:hint="default"/>
                <w:spacing w:val="-46"/>
                <w:sz w:val="18"/>
                <w:szCs w:val="18"/>
              </w:rPr>
              <w:t> </w:t>
            </w:r>
            <w:r>
              <w:rPr>
                <w:rFonts w:ascii="宋体" w:hAnsi="宋体" w:cs="宋体" w:eastAsia="宋体" w:hint="default"/>
                <w:sz w:val="18"/>
                <w:szCs w:val="18"/>
              </w:rPr>
              <w:t>5</w:t>
            </w:r>
            <w:r>
              <w:rPr>
                <w:rFonts w:ascii="宋体" w:hAnsi="宋体" w:cs="宋体" w:eastAsia="宋体" w:hint="default"/>
                <w:spacing w:val="-46"/>
                <w:sz w:val="18"/>
                <w:szCs w:val="18"/>
              </w:rPr>
              <w:t> </w:t>
            </w:r>
            <w:r>
              <w:rPr>
                <w:rFonts w:ascii="宋体" w:hAnsi="宋体" w:cs="宋体" w:eastAsia="宋体" w:hint="default"/>
                <w:sz w:val="18"/>
                <w:szCs w:val="18"/>
              </w:rPr>
              <w:t>个</w:t>
            </w:r>
            <w:r>
              <w:rPr>
                <w:rFonts w:ascii="宋体" w:hAnsi="宋体" w:cs="宋体" w:eastAsia="宋体" w:hint="default"/>
                <w:spacing w:val="1"/>
                <w:sz w:val="18"/>
                <w:szCs w:val="18"/>
              </w:rPr>
              <w:t>募</w:t>
            </w:r>
            <w:r>
              <w:rPr>
                <w:rFonts w:ascii="宋体" w:hAnsi="宋体" w:cs="宋体" w:eastAsia="宋体" w:hint="default"/>
                <w:sz w:val="18"/>
                <w:szCs w:val="18"/>
              </w:rPr>
              <w:t>集资金投资项目中</w:t>
            </w:r>
            <w:r>
              <w:rPr>
                <w:rFonts w:ascii="宋体" w:hAnsi="宋体" w:cs="宋体" w:eastAsia="宋体" w:hint="default"/>
                <w:spacing w:val="-15"/>
                <w:sz w:val="18"/>
                <w:szCs w:val="18"/>
              </w:rPr>
              <w:t>，</w:t>
            </w:r>
            <w:r>
              <w:rPr>
                <w:rFonts w:ascii="宋体" w:hAnsi="宋体" w:cs="宋体" w:eastAsia="宋体" w:hint="default"/>
                <w:sz w:val="18"/>
                <w:szCs w:val="18"/>
              </w:rPr>
              <w:t>具体如下</w:t>
            </w:r>
            <w:r>
              <w:rPr>
                <w:rFonts w:ascii="宋体" w:hAnsi="宋体" w:cs="宋体" w:eastAsia="宋体" w:hint="default"/>
                <w:spacing w:val="-105"/>
                <w:sz w:val="18"/>
                <w:szCs w:val="18"/>
              </w:rPr>
              <w:t>：</w:t>
            </w:r>
            <w:r>
              <w:rPr>
                <w:rFonts w:ascii="宋体" w:hAnsi="宋体" w:cs="宋体" w:eastAsia="宋体" w:hint="default"/>
                <w:sz w:val="18"/>
                <w:szCs w:val="18"/>
              </w:rPr>
              <w:t>（1</w:t>
            </w:r>
            <w:r>
              <w:rPr>
                <w:rFonts w:ascii="宋体" w:hAnsi="宋体" w:cs="宋体" w:eastAsia="宋体" w:hint="default"/>
                <w:spacing w:val="-15"/>
                <w:sz w:val="18"/>
                <w:szCs w:val="18"/>
              </w:rPr>
              <w:t>）</w:t>
            </w:r>
            <w:r>
              <w:rPr>
                <w:rFonts w:ascii="宋体" w:hAnsi="宋体" w:cs="宋体" w:eastAsia="宋体" w:hint="default"/>
                <w:sz w:val="18"/>
                <w:szCs w:val="18"/>
              </w:rPr>
              <w:t>交通银行福州市三山支行动用</w:t>
            </w:r>
            <w:r>
              <w:rPr>
                <w:rFonts w:ascii="宋体" w:hAnsi="宋体" w:cs="宋体" w:eastAsia="宋体" w:hint="default"/>
                <w:spacing w:val="-46"/>
                <w:sz w:val="18"/>
                <w:szCs w:val="18"/>
              </w:rPr>
              <w:t> </w:t>
            </w:r>
            <w:r>
              <w:rPr>
                <w:rFonts w:ascii="宋体" w:hAnsi="宋体" w:cs="宋体" w:eastAsia="宋体" w:hint="default"/>
                <w:sz w:val="18"/>
                <w:szCs w:val="18"/>
              </w:rPr>
              <w:t>3,000.00</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pacing w:val="-15"/>
                <w:sz w:val="18"/>
                <w:szCs w:val="18"/>
              </w:rPr>
              <w:t>，</w:t>
            </w:r>
            <w:r>
              <w:rPr>
                <w:rFonts w:ascii="宋体" w:hAnsi="宋体" w:cs="宋体" w:eastAsia="宋体" w:hint="default"/>
                <w:sz w:val="18"/>
                <w:szCs w:val="18"/>
              </w:rPr>
              <w:t>其中</w:t>
            </w:r>
          </w:p>
        </w:tc>
      </w:tr>
      <w:tr>
        <w:trPr>
          <w:trHeight w:val="312" w:hRule="exact"/>
        </w:trPr>
        <w:tc>
          <w:tcPr>
            <w:tcW w:w="1560" w:type="dxa"/>
            <w:tcBorders>
              <w:top w:val="nil" w:sz="6" w:space="0" w:color="auto"/>
              <w:left w:val="single" w:sz="4" w:space="0" w:color="000000"/>
              <w:bottom w:val="nil" w:sz="6" w:space="0" w:color="auto"/>
              <w:right w:val="single" w:sz="4" w:space="0" w:color="000000"/>
            </w:tcBorders>
            <w:shd w:val="clear" w:color="auto" w:fill="D3D3D3"/>
          </w:tcPr>
          <w:p>
            <w:pPr/>
          </w:p>
        </w:tc>
        <w:tc>
          <w:tcPr>
            <w:tcW w:w="80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2,200.00</w:t>
            </w:r>
            <w:r>
              <w:rPr>
                <w:rFonts w:ascii="宋体" w:hAnsi="宋体" w:cs="宋体" w:eastAsia="宋体" w:hint="default"/>
                <w:spacing w:val="-46"/>
                <w:sz w:val="18"/>
                <w:szCs w:val="18"/>
              </w:rPr>
              <w:t> </w:t>
            </w:r>
            <w:r>
              <w:rPr>
                <w:rFonts w:ascii="宋体" w:hAnsi="宋体" w:cs="宋体" w:eastAsia="宋体" w:hint="default"/>
                <w:sz w:val="18"/>
                <w:szCs w:val="18"/>
              </w:rPr>
              <w:t>万元投入技术研发与创新中心</w:t>
            </w:r>
            <w:r>
              <w:rPr>
                <w:rFonts w:ascii="宋体" w:hAnsi="宋体" w:cs="宋体" w:eastAsia="宋体" w:hint="default"/>
                <w:spacing w:val="-20"/>
                <w:sz w:val="18"/>
                <w:szCs w:val="18"/>
              </w:rPr>
              <w:t>，</w:t>
            </w:r>
            <w:r>
              <w:rPr>
                <w:rFonts w:ascii="宋体" w:hAnsi="宋体" w:cs="宋体" w:eastAsia="宋体" w:hint="default"/>
                <w:sz w:val="18"/>
                <w:szCs w:val="18"/>
              </w:rPr>
              <w:t>800.00</w:t>
            </w:r>
            <w:r>
              <w:rPr>
                <w:rFonts w:ascii="宋体" w:hAnsi="宋体" w:cs="宋体" w:eastAsia="宋体" w:hint="default"/>
                <w:spacing w:val="-46"/>
                <w:sz w:val="18"/>
                <w:szCs w:val="18"/>
              </w:rPr>
              <w:t> </w:t>
            </w:r>
            <w:r>
              <w:rPr>
                <w:rFonts w:ascii="宋体" w:hAnsi="宋体" w:cs="宋体" w:eastAsia="宋体" w:hint="default"/>
                <w:sz w:val="18"/>
                <w:szCs w:val="18"/>
              </w:rPr>
              <w:t>万元投入新一代电子政务应用平台</w:t>
            </w:r>
            <w:r>
              <w:rPr>
                <w:rFonts w:ascii="宋体" w:hAnsi="宋体" w:cs="宋体" w:eastAsia="宋体" w:hint="default"/>
                <w:spacing w:val="-110"/>
                <w:sz w:val="18"/>
                <w:szCs w:val="18"/>
              </w:rPr>
              <w:t>；</w:t>
            </w:r>
            <w:r>
              <w:rPr>
                <w:rFonts w:ascii="宋体" w:hAnsi="宋体" w:cs="宋体" w:eastAsia="宋体" w:hint="default"/>
                <w:sz w:val="18"/>
                <w:szCs w:val="18"/>
              </w:rPr>
              <w:t>（2</w:t>
            </w:r>
            <w:r>
              <w:rPr>
                <w:rFonts w:ascii="宋体" w:hAnsi="宋体" w:cs="宋体" w:eastAsia="宋体" w:hint="default"/>
                <w:spacing w:val="-20"/>
                <w:sz w:val="18"/>
                <w:szCs w:val="18"/>
              </w:rPr>
              <w:t>）</w:t>
            </w:r>
            <w:r>
              <w:rPr>
                <w:rFonts w:ascii="宋体" w:hAnsi="宋体" w:cs="宋体" w:eastAsia="宋体" w:hint="default"/>
                <w:sz w:val="18"/>
                <w:szCs w:val="18"/>
              </w:rPr>
              <w:t>招商银行福</w:t>
            </w:r>
          </w:p>
        </w:tc>
      </w:tr>
      <w:tr>
        <w:trPr>
          <w:trHeight w:val="323" w:hRule="exact"/>
        </w:trPr>
        <w:tc>
          <w:tcPr>
            <w:tcW w:w="15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32"/>
              <w:ind w:left="22" w:right="0"/>
              <w:jc w:val="left"/>
              <w:rPr>
                <w:rFonts w:ascii="宋体" w:hAnsi="宋体" w:cs="宋体" w:eastAsia="宋体" w:hint="default"/>
                <w:sz w:val="18"/>
                <w:szCs w:val="18"/>
              </w:rPr>
            </w:pPr>
            <w:r>
              <w:rPr>
                <w:rFonts w:ascii="宋体" w:hAnsi="宋体" w:cs="宋体" w:eastAsia="宋体" w:hint="default"/>
                <w:sz w:val="18"/>
                <w:szCs w:val="18"/>
              </w:rPr>
              <w:t>募集资金使用及披</w:t>
            </w:r>
          </w:p>
        </w:tc>
        <w:tc>
          <w:tcPr>
            <w:tcW w:w="80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州分行屏山支行动用</w:t>
            </w:r>
            <w:r>
              <w:rPr>
                <w:rFonts w:ascii="宋体" w:hAnsi="宋体" w:cs="宋体" w:eastAsia="宋体" w:hint="default"/>
                <w:spacing w:val="-46"/>
                <w:sz w:val="18"/>
                <w:szCs w:val="18"/>
              </w:rPr>
              <w:t> </w:t>
            </w:r>
            <w:r>
              <w:rPr>
                <w:rFonts w:ascii="宋体" w:hAnsi="宋体" w:cs="宋体" w:eastAsia="宋体" w:hint="default"/>
                <w:sz w:val="18"/>
                <w:szCs w:val="18"/>
              </w:rPr>
              <w:t>2,000.00</w:t>
            </w:r>
            <w:r>
              <w:rPr>
                <w:rFonts w:ascii="宋体" w:hAnsi="宋体" w:cs="宋体" w:eastAsia="宋体" w:hint="default"/>
                <w:spacing w:val="-46"/>
                <w:sz w:val="18"/>
                <w:szCs w:val="18"/>
              </w:rPr>
              <w:t> </w:t>
            </w:r>
            <w:r>
              <w:rPr>
                <w:rFonts w:ascii="宋体" w:hAnsi="宋体" w:cs="宋体" w:eastAsia="宋体" w:hint="default"/>
                <w:sz w:val="18"/>
                <w:szCs w:val="18"/>
              </w:rPr>
              <w:t>万元</w:t>
            </w:r>
            <w:r>
              <w:rPr>
                <w:rFonts w:ascii="宋体" w:hAnsi="宋体" w:cs="宋体" w:eastAsia="宋体" w:hint="default"/>
                <w:spacing w:val="-20"/>
                <w:sz w:val="18"/>
                <w:szCs w:val="18"/>
              </w:rPr>
              <w:t>，</w:t>
            </w:r>
            <w:r>
              <w:rPr>
                <w:rFonts w:ascii="宋体" w:hAnsi="宋体" w:cs="宋体" w:eastAsia="宋体" w:hint="default"/>
                <w:sz w:val="18"/>
                <w:szCs w:val="18"/>
              </w:rPr>
              <w:t>全部投入协同管理软件平台</w:t>
            </w:r>
            <w:r>
              <w:rPr>
                <w:rFonts w:ascii="宋体" w:hAnsi="宋体" w:cs="宋体" w:eastAsia="宋体" w:hint="default"/>
                <w:spacing w:val="-110"/>
                <w:sz w:val="18"/>
                <w:szCs w:val="18"/>
              </w:rPr>
              <w:t>；</w:t>
            </w:r>
            <w:r>
              <w:rPr>
                <w:rFonts w:ascii="宋体" w:hAnsi="宋体" w:cs="宋体" w:eastAsia="宋体" w:hint="default"/>
                <w:sz w:val="18"/>
                <w:szCs w:val="18"/>
              </w:rPr>
              <w:t>（3</w:t>
            </w:r>
            <w:r>
              <w:rPr>
                <w:rFonts w:ascii="宋体" w:hAnsi="宋体" w:cs="宋体" w:eastAsia="宋体" w:hint="default"/>
                <w:spacing w:val="-20"/>
                <w:sz w:val="18"/>
                <w:szCs w:val="18"/>
              </w:rPr>
              <w:t>）</w:t>
            </w:r>
            <w:r>
              <w:rPr>
                <w:rFonts w:ascii="宋体" w:hAnsi="宋体" w:cs="宋体" w:eastAsia="宋体" w:hint="default"/>
                <w:sz w:val="18"/>
                <w:szCs w:val="18"/>
              </w:rPr>
              <w:t>厦门国际银行福州鼓楼支行动</w:t>
            </w:r>
          </w:p>
        </w:tc>
      </w:tr>
      <w:tr>
        <w:trPr>
          <w:trHeight w:val="311" w:hRule="exact"/>
        </w:trPr>
        <w:tc>
          <w:tcPr>
            <w:tcW w:w="15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0"/>
              <w:ind w:left="22" w:right="0"/>
              <w:jc w:val="left"/>
              <w:rPr>
                <w:rFonts w:ascii="宋体" w:hAnsi="宋体" w:cs="宋体" w:eastAsia="宋体" w:hint="default"/>
                <w:sz w:val="18"/>
                <w:szCs w:val="18"/>
              </w:rPr>
            </w:pPr>
            <w:r>
              <w:rPr>
                <w:rFonts w:ascii="宋体" w:hAnsi="宋体" w:cs="宋体" w:eastAsia="宋体" w:hint="default"/>
                <w:sz w:val="18"/>
                <w:szCs w:val="18"/>
              </w:rPr>
              <w:t>露中存在的问题或</w:t>
            </w:r>
          </w:p>
        </w:tc>
        <w:tc>
          <w:tcPr>
            <w:tcW w:w="8008" w:type="dxa"/>
            <w:tcBorders>
              <w:top w:val="nil" w:sz="6" w:space="0" w:color="auto"/>
              <w:left w:val="single" w:sz="4" w:space="0" w:color="000000"/>
              <w:bottom w:val="nil" w:sz="6" w:space="0" w:color="auto"/>
              <w:right w:val="single" w:sz="4" w:space="0" w:color="000000"/>
            </w:tcBorders>
          </w:tcPr>
          <w:p>
            <w:pPr>
              <w:pStyle w:val="TableParagraph"/>
              <w:spacing w:line="235" w:lineRule="exact"/>
              <w:ind w:left="22" w:right="0"/>
              <w:jc w:val="left"/>
              <w:rPr>
                <w:rFonts w:ascii="宋体" w:hAnsi="宋体" w:cs="宋体" w:eastAsia="宋体" w:hint="default"/>
                <w:sz w:val="18"/>
                <w:szCs w:val="18"/>
              </w:rPr>
            </w:pPr>
            <w:r>
              <w:rPr>
                <w:rFonts w:ascii="宋体" w:hAnsi="宋体" w:cs="宋体" w:eastAsia="宋体" w:hint="default"/>
                <w:sz w:val="18"/>
                <w:szCs w:val="18"/>
              </w:rPr>
              <w:t>用</w:t>
            </w:r>
            <w:r>
              <w:rPr>
                <w:rFonts w:ascii="宋体" w:hAnsi="宋体" w:cs="宋体" w:eastAsia="宋体" w:hint="default"/>
                <w:spacing w:val="-49"/>
                <w:sz w:val="18"/>
                <w:szCs w:val="18"/>
              </w:rPr>
              <w:t> </w:t>
            </w:r>
            <w:r>
              <w:rPr>
                <w:rFonts w:ascii="宋体" w:hAnsi="宋体" w:cs="宋体" w:eastAsia="宋体" w:hint="default"/>
                <w:sz w:val="18"/>
                <w:szCs w:val="18"/>
              </w:rPr>
              <w:t>2,000.00</w:t>
            </w:r>
            <w:r>
              <w:rPr>
                <w:rFonts w:ascii="宋体" w:hAnsi="宋体" w:cs="宋体" w:eastAsia="宋体" w:hint="default"/>
                <w:spacing w:val="-49"/>
                <w:sz w:val="18"/>
                <w:szCs w:val="18"/>
              </w:rPr>
              <w:t> </w:t>
            </w:r>
            <w:r>
              <w:rPr>
                <w:rFonts w:ascii="宋体" w:hAnsi="宋体" w:cs="宋体" w:eastAsia="宋体" w:hint="default"/>
                <w:sz w:val="18"/>
                <w:szCs w:val="18"/>
              </w:rPr>
              <w:t>万元，其中</w:t>
            </w:r>
            <w:r>
              <w:rPr>
                <w:rFonts w:ascii="宋体" w:hAnsi="宋体" w:cs="宋体" w:eastAsia="宋体" w:hint="default"/>
                <w:spacing w:val="-49"/>
                <w:sz w:val="18"/>
                <w:szCs w:val="18"/>
              </w:rPr>
              <w:t> </w:t>
            </w:r>
            <w:r>
              <w:rPr>
                <w:rFonts w:ascii="宋体" w:hAnsi="宋体" w:cs="宋体" w:eastAsia="宋体" w:hint="default"/>
                <w:sz w:val="18"/>
                <w:szCs w:val="18"/>
              </w:rPr>
              <w:t>300.00</w:t>
            </w:r>
            <w:r>
              <w:rPr>
                <w:rFonts w:ascii="宋体" w:hAnsi="宋体" w:cs="宋体" w:eastAsia="宋体" w:hint="default"/>
                <w:spacing w:val="-49"/>
                <w:sz w:val="18"/>
                <w:szCs w:val="18"/>
              </w:rPr>
              <w:t> </w:t>
            </w:r>
            <w:r>
              <w:rPr>
                <w:rFonts w:ascii="宋体" w:hAnsi="宋体" w:cs="宋体" w:eastAsia="宋体" w:hint="default"/>
                <w:sz w:val="18"/>
                <w:szCs w:val="18"/>
              </w:rPr>
              <w:t>万元投入新一代电子政务应用平台，1,000.00</w:t>
            </w:r>
            <w:r>
              <w:rPr>
                <w:rFonts w:ascii="宋体" w:hAnsi="宋体" w:cs="宋体" w:eastAsia="宋体" w:hint="default"/>
                <w:spacing w:val="-49"/>
                <w:sz w:val="18"/>
                <w:szCs w:val="18"/>
              </w:rPr>
              <w:t> </w:t>
            </w:r>
            <w:r>
              <w:rPr>
                <w:rFonts w:ascii="宋体" w:hAnsi="宋体" w:cs="宋体" w:eastAsia="宋体" w:hint="default"/>
                <w:sz w:val="18"/>
                <w:szCs w:val="18"/>
              </w:rPr>
              <w:t>万元投入质检三电工程</w:t>
            </w:r>
          </w:p>
        </w:tc>
      </w:tr>
      <w:tr>
        <w:trPr>
          <w:trHeight w:val="313" w:hRule="exact"/>
        </w:trPr>
        <w:tc>
          <w:tcPr>
            <w:tcW w:w="156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2"/>
              <w:ind w:left="22" w:right="0"/>
              <w:jc w:val="left"/>
              <w:rPr>
                <w:rFonts w:ascii="宋体" w:hAnsi="宋体" w:cs="宋体" w:eastAsia="宋体" w:hint="default"/>
                <w:sz w:val="18"/>
                <w:szCs w:val="18"/>
              </w:rPr>
            </w:pPr>
            <w:r>
              <w:rPr>
                <w:rFonts w:ascii="宋体" w:hAnsi="宋体" w:cs="宋体" w:eastAsia="宋体" w:hint="default"/>
                <w:sz w:val="18"/>
                <w:szCs w:val="18"/>
              </w:rPr>
              <w:t>其他情况</w:t>
            </w:r>
          </w:p>
        </w:tc>
        <w:tc>
          <w:tcPr>
            <w:tcW w:w="8008"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企业端软件运维服务平台，500.00</w:t>
            </w:r>
            <w:r>
              <w:rPr>
                <w:rFonts w:ascii="宋体" w:hAnsi="宋体" w:cs="宋体" w:eastAsia="宋体" w:hint="default"/>
                <w:spacing w:val="-75"/>
                <w:sz w:val="18"/>
                <w:szCs w:val="18"/>
              </w:rPr>
              <w:t> </w:t>
            </w:r>
            <w:r>
              <w:rPr>
                <w:rFonts w:ascii="宋体" w:hAnsi="宋体" w:cs="宋体" w:eastAsia="宋体" w:hint="default"/>
                <w:sz w:val="18"/>
                <w:szCs w:val="18"/>
              </w:rPr>
              <w:t>万元投入信息安全风险综合管理系统，200.00</w:t>
            </w:r>
            <w:r>
              <w:rPr>
                <w:rFonts w:ascii="宋体" w:hAnsi="宋体" w:cs="宋体" w:eastAsia="宋体" w:hint="default"/>
                <w:spacing w:val="-75"/>
                <w:sz w:val="18"/>
                <w:szCs w:val="18"/>
              </w:rPr>
              <w:t> </w:t>
            </w:r>
            <w:r>
              <w:rPr>
                <w:rFonts w:ascii="宋体" w:hAnsi="宋体" w:cs="宋体" w:eastAsia="宋体" w:hint="default"/>
                <w:sz w:val="18"/>
                <w:szCs w:val="18"/>
              </w:rPr>
              <w:t>万元投入协同管理软</w:t>
            </w:r>
          </w:p>
        </w:tc>
      </w:tr>
      <w:tr>
        <w:trPr>
          <w:trHeight w:val="322" w:hRule="exact"/>
        </w:trPr>
        <w:tc>
          <w:tcPr>
            <w:tcW w:w="1560" w:type="dxa"/>
            <w:tcBorders>
              <w:top w:val="nil" w:sz="6" w:space="0" w:color="auto"/>
              <w:left w:val="single" w:sz="4" w:space="0" w:color="000000"/>
              <w:bottom w:val="nil" w:sz="6" w:space="0" w:color="auto"/>
              <w:right w:val="single" w:sz="4" w:space="0" w:color="000000"/>
            </w:tcBorders>
            <w:shd w:val="clear" w:color="auto" w:fill="D3D3D3"/>
          </w:tcPr>
          <w:p>
            <w:pPr/>
          </w:p>
        </w:tc>
        <w:tc>
          <w:tcPr>
            <w:tcW w:w="8008" w:type="dxa"/>
            <w:tcBorders>
              <w:top w:val="nil" w:sz="6" w:space="0" w:color="auto"/>
              <w:left w:val="single" w:sz="4" w:space="0" w:color="000000"/>
              <w:bottom w:val="nil" w:sz="6" w:space="0" w:color="auto"/>
              <w:right w:val="single" w:sz="4" w:space="0" w:color="000000"/>
            </w:tcBorders>
          </w:tcPr>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件平台。</w:t>
            </w:r>
          </w:p>
        </w:tc>
      </w:tr>
      <w:tr>
        <w:trPr>
          <w:trHeight w:val="332" w:hRule="exact"/>
        </w:trPr>
        <w:tc>
          <w:tcPr>
            <w:tcW w:w="1560" w:type="dxa"/>
            <w:tcBorders>
              <w:top w:val="nil" w:sz="6" w:space="0" w:color="auto"/>
              <w:left w:val="single" w:sz="4" w:space="0" w:color="000000"/>
              <w:bottom w:val="nil" w:sz="6" w:space="0" w:color="auto"/>
              <w:right w:val="single" w:sz="4" w:space="0" w:color="000000"/>
            </w:tcBorders>
            <w:shd w:val="clear" w:color="auto" w:fill="D3D3D3"/>
          </w:tcPr>
          <w:p>
            <w:pPr/>
          </w:p>
        </w:tc>
        <w:tc>
          <w:tcPr>
            <w:tcW w:w="8008" w:type="dxa"/>
            <w:tcBorders>
              <w:top w:val="nil" w:sz="6" w:space="0" w:color="auto"/>
              <w:left w:val="single" w:sz="4" w:space="0" w:color="000000"/>
              <w:bottom w:val="nil" w:sz="6" w:space="0" w:color="auto"/>
              <w:right w:val="single" w:sz="4" w:space="0" w:color="000000"/>
            </w:tcBorders>
          </w:tcPr>
          <w:p>
            <w:pPr>
              <w:pStyle w:val="TableParagraph"/>
              <w:spacing w:line="240" w:lineRule="auto" w:before="30"/>
              <w:ind w:left="22" w:right="0"/>
              <w:jc w:val="left"/>
              <w:rPr>
                <w:rFonts w:ascii="宋体" w:hAnsi="宋体" w:cs="宋体" w:eastAsia="宋体" w:hint="default"/>
                <w:sz w:val="18"/>
                <w:szCs w:val="18"/>
              </w:rPr>
            </w:pPr>
            <w:r>
              <w:rPr>
                <w:rFonts w:ascii="宋体" w:hAnsi="宋体" w:cs="宋体" w:eastAsia="宋体" w:hint="default"/>
                <w:spacing w:val="-3"/>
                <w:sz w:val="18"/>
                <w:szCs w:val="18"/>
              </w:rPr>
              <w:t>由于市场变化，设备购置开支增加，导致项目总投入增加。经</w:t>
            </w:r>
            <w:r>
              <w:rPr>
                <w:rFonts w:ascii="宋体" w:hAnsi="宋体" w:cs="宋体" w:eastAsia="宋体" w:hint="default"/>
                <w:spacing w:val="-44"/>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宋体" w:hAnsi="宋体" w:cs="宋体" w:eastAsia="宋体" w:hint="default"/>
                <w:sz w:val="18"/>
                <w:szCs w:val="18"/>
              </w:rPr>
              <w:t>9</w:t>
            </w:r>
            <w:r>
              <w:rPr>
                <w:rFonts w:ascii="宋体" w:hAnsi="宋体" w:cs="宋体" w:eastAsia="宋体"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宋体" w:hAnsi="宋体" w:cs="宋体" w:eastAsia="宋体" w:hint="default"/>
                <w:sz w:val="18"/>
                <w:szCs w:val="18"/>
              </w:rPr>
              <w:t>13</w:t>
            </w:r>
            <w:r>
              <w:rPr>
                <w:rFonts w:ascii="宋体" w:hAnsi="宋体" w:cs="宋体" w:eastAsia="宋体" w:hint="default"/>
                <w:spacing w:val="-44"/>
                <w:sz w:val="18"/>
                <w:szCs w:val="18"/>
              </w:rPr>
              <w:t> </w:t>
            </w:r>
            <w:r>
              <w:rPr>
                <w:rFonts w:ascii="宋体" w:hAnsi="宋体" w:cs="宋体" w:eastAsia="宋体" w:hint="default"/>
                <w:sz w:val="18"/>
                <w:szCs w:val="18"/>
              </w:rPr>
              <w:t>日公司</w:t>
            </w:r>
            <w:r>
              <w:rPr>
                <w:rFonts w:ascii="宋体" w:hAnsi="宋体" w:cs="宋体" w:eastAsia="宋体" w:hint="default"/>
                <w:spacing w:val="-43"/>
                <w:sz w:val="18"/>
                <w:szCs w:val="18"/>
              </w:rPr>
              <w:t> </w:t>
            </w:r>
            <w:r>
              <w:rPr>
                <w:rFonts w:ascii="宋体" w:hAnsi="宋体" w:cs="宋体" w:eastAsia="宋体" w:hint="default"/>
                <w:sz w:val="18"/>
                <w:szCs w:val="18"/>
              </w:rPr>
              <w:t>2019</w:t>
            </w:r>
            <w:r>
              <w:rPr>
                <w:rFonts w:ascii="宋体" w:hAnsi="宋体" w:cs="宋体" w:eastAsia="宋体" w:hint="default"/>
                <w:spacing w:val="-44"/>
                <w:sz w:val="18"/>
                <w:szCs w:val="18"/>
              </w:rPr>
              <w:t> </w:t>
            </w:r>
            <w:r>
              <w:rPr>
                <w:rFonts w:ascii="宋体" w:hAnsi="宋体" w:cs="宋体" w:eastAsia="宋体" w:hint="default"/>
                <w:sz w:val="18"/>
                <w:szCs w:val="18"/>
              </w:rPr>
              <w:t>年总裁办公</w:t>
            </w:r>
          </w:p>
        </w:tc>
      </w:tr>
      <w:tr>
        <w:trPr>
          <w:trHeight w:val="313" w:hRule="exact"/>
        </w:trPr>
        <w:tc>
          <w:tcPr>
            <w:tcW w:w="1560" w:type="dxa"/>
            <w:tcBorders>
              <w:top w:val="nil" w:sz="6" w:space="0" w:color="auto"/>
              <w:left w:val="single" w:sz="4" w:space="0" w:color="000000"/>
              <w:bottom w:val="nil" w:sz="6" w:space="0" w:color="auto"/>
              <w:right w:val="single" w:sz="4" w:space="0" w:color="000000"/>
            </w:tcBorders>
            <w:shd w:val="clear" w:color="auto" w:fill="D3D3D3"/>
          </w:tcPr>
          <w:p>
            <w:pPr/>
          </w:p>
        </w:tc>
        <w:tc>
          <w:tcPr>
            <w:tcW w:w="800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会议第三次会议决议，同意变更</w:t>
            </w:r>
            <w:r>
              <w:rPr>
                <w:rFonts w:ascii="宋体" w:hAnsi="宋体" w:cs="宋体" w:eastAsia="宋体" w:hint="default"/>
                <w:spacing w:val="-46"/>
                <w:sz w:val="18"/>
                <w:szCs w:val="18"/>
              </w:rPr>
              <w:t> </w:t>
            </w:r>
            <w:r>
              <w:rPr>
                <w:rFonts w:ascii="宋体" w:hAnsi="宋体" w:cs="宋体" w:eastAsia="宋体" w:hint="default"/>
                <w:sz w:val="18"/>
                <w:szCs w:val="18"/>
              </w:rPr>
              <w:t>VR</w:t>
            </w:r>
            <w:r>
              <w:rPr>
                <w:rFonts w:ascii="宋体" w:hAnsi="宋体" w:cs="宋体" w:eastAsia="宋体" w:hint="default"/>
                <w:spacing w:val="-46"/>
                <w:sz w:val="18"/>
                <w:szCs w:val="18"/>
              </w:rPr>
              <w:t> </w:t>
            </w:r>
            <w:r>
              <w:rPr>
                <w:rFonts w:ascii="宋体" w:hAnsi="宋体" w:cs="宋体" w:eastAsia="宋体" w:hint="default"/>
                <w:sz w:val="18"/>
                <w:szCs w:val="18"/>
              </w:rPr>
              <w:t>体验馆项目超募资金投资项目投资额，追加投资</w:t>
            </w:r>
            <w:r>
              <w:rPr>
                <w:rFonts w:ascii="宋体" w:hAnsi="宋体" w:cs="宋体" w:eastAsia="宋体" w:hint="default"/>
                <w:spacing w:val="-46"/>
                <w:sz w:val="18"/>
                <w:szCs w:val="18"/>
              </w:rPr>
              <w:t> </w:t>
            </w:r>
            <w:r>
              <w:rPr>
                <w:rFonts w:ascii="宋体" w:hAnsi="宋体" w:cs="宋体" w:eastAsia="宋体" w:hint="default"/>
                <w:sz w:val="18"/>
                <w:szCs w:val="18"/>
              </w:rPr>
              <w:t>189.23</w:t>
            </w:r>
            <w:r>
              <w:rPr>
                <w:rFonts w:ascii="宋体" w:hAnsi="宋体" w:cs="宋体" w:eastAsia="宋体" w:hint="default"/>
                <w:spacing w:val="-46"/>
                <w:sz w:val="18"/>
                <w:szCs w:val="18"/>
              </w:rPr>
              <w:t> </w:t>
            </w:r>
            <w:r>
              <w:rPr>
                <w:rFonts w:ascii="宋体" w:hAnsi="宋体" w:cs="宋体" w:eastAsia="宋体" w:hint="default"/>
                <w:sz w:val="18"/>
                <w:szCs w:val="18"/>
              </w:rPr>
              <w:t>万元，资</w:t>
            </w:r>
          </w:p>
        </w:tc>
      </w:tr>
      <w:tr>
        <w:trPr>
          <w:trHeight w:val="356" w:hRule="exact"/>
        </w:trPr>
        <w:tc>
          <w:tcPr>
            <w:tcW w:w="1560" w:type="dxa"/>
            <w:tcBorders>
              <w:top w:val="nil" w:sz="6" w:space="0" w:color="auto"/>
              <w:left w:val="single" w:sz="4" w:space="0" w:color="000000"/>
              <w:bottom w:val="single" w:sz="4" w:space="0" w:color="000000"/>
              <w:right w:val="single" w:sz="4" w:space="0" w:color="000000"/>
            </w:tcBorders>
            <w:shd w:val="clear" w:color="auto" w:fill="D3D3D3"/>
          </w:tcPr>
          <w:p>
            <w:pPr/>
          </w:p>
        </w:tc>
        <w:tc>
          <w:tcPr>
            <w:tcW w:w="800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金来源为超募资金的资金来源为超募资金的利息收入。</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2239"/>
        <w:jc w:val="left"/>
        <w:rPr>
          <w:b w:val="0"/>
          <w:bCs w:val="0"/>
        </w:rPr>
      </w:pPr>
      <w:r>
        <w:rPr/>
        <w:t>（</w:t>
      </w:r>
      <w:r>
        <w:rPr>
          <w:rFonts w:ascii="Arial" w:hAnsi="Arial" w:cs="Arial" w:eastAsia="Arial" w:hint="default"/>
        </w:rPr>
        <w:t>3</w:t>
      </w:r>
      <w:r>
        <w:rPr/>
        <w:t>）募集资金变更项目情况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33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公司报告期不存在募集资金变更项目情况。</w:t>
      </w:r>
    </w:p>
    <w:p>
      <w:pPr>
        <w:spacing w:line="240" w:lineRule="auto" w:before="3"/>
        <w:rPr>
          <w:rFonts w:ascii="宋体" w:hAnsi="宋体" w:cs="宋体" w:eastAsia="宋体" w:hint="default"/>
          <w:sz w:val="19"/>
          <w:szCs w:val="19"/>
        </w:rPr>
      </w:pPr>
    </w:p>
    <w:p>
      <w:pPr>
        <w:pStyle w:val="Heading2"/>
        <w:spacing w:line="240" w:lineRule="auto"/>
        <w:ind w:right="2239"/>
        <w:jc w:val="left"/>
        <w:rPr>
          <w:b w:val="0"/>
          <w:bCs w:val="0"/>
        </w:rPr>
      </w:pPr>
      <w:r>
        <w:rPr/>
        <w:t>六、重大资产和股权出售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1</w:t>
      </w:r>
      <w:r>
        <w:rPr/>
        <w:t>、出售重大资产情况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841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公司报告期未出售重大资产。</w:t>
      </w:r>
    </w:p>
    <w:p>
      <w:pPr>
        <w:spacing w:line="240" w:lineRule="auto" w:before="1"/>
        <w:rPr>
          <w:rFonts w:ascii="宋体" w:hAnsi="宋体" w:cs="宋体" w:eastAsia="宋体" w:hint="default"/>
          <w:sz w:val="21"/>
          <w:szCs w:val="21"/>
        </w:rPr>
      </w:pPr>
    </w:p>
    <w:p>
      <w:pPr>
        <w:pStyle w:val="Heading4"/>
        <w:spacing w:line="240" w:lineRule="auto"/>
        <w:ind w:right="2239"/>
        <w:jc w:val="left"/>
        <w:rPr>
          <w:b w:val="0"/>
          <w:bCs w:val="0"/>
        </w:rPr>
      </w:pPr>
      <w:r>
        <w:rPr>
          <w:rFonts w:ascii="Arial" w:hAnsi="Arial" w:cs="Arial" w:eastAsia="Arial" w:hint="default"/>
        </w:rPr>
        <w:t>2</w:t>
      </w:r>
      <w:r>
        <w:rPr/>
        <w:t>、出售重大股权情况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1"/>
        <w:rPr>
          <w:rFonts w:ascii="宋体" w:hAnsi="宋体" w:cs="宋体" w:eastAsia="宋体" w:hint="default"/>
          <w:sz w:val="24"/>
          <w:szCs w:val="24"/>
        </w:rPr>
      </w:pPr>
    </w:p>
    <w:p>
      <w:pPr>
        <w:pStyle w:val="Heading2"/>
        <w:spacing w:line="240" w:lineRule="auto"/>
        <w:ind w:right="2239"/>
        <w:jc w:val="left"/>
        <w:rPr>
          <w:b w:val="0"/>
          <w:bCs w:val="0"/>
        </w:rPr>
      </w:pPr>
      <w:r>
        <w:rPr/>
        <w:t>七、主要控股参股公司分析</w:t>
      </w:r>
      <w:r>
        <w:rPr>
          <w:b w:val="0"/>
          <w:bCs w:val="0"/>
        </w:rPr>
      </w:r>
    </w:p>
    <w:p>
      <w:pPr>
        <w:spacing w:line="240" w:lineRule="auto" w:before="2"/>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0"/>
        </w:sectPr>
      </w:pPr>
    </w:p>
    <w:p>
      <w:pPr>
        <w:pStyle w:val="BodyText"/>
        <w:spacing w:line="240" w:lineRule="auto" w:before="44"/>
        <w:ind w:right="-18"/>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pStyle w:val="BodyText"/>
        <w:spacing w:line="240" w:lineRule="auto" w:before="104"/>
        <w:ind w:right="-18"/>
        <w:jc w:val="left"/>
      </w:pPr>
      <w:r>
        <w:rPr/>
        <w:t>主要子公司及对公司净利润影响达</w:t>
      </w:r>
      <w:r>
        <w:rPr>
          <w:spacing w:val="-47"/>
        </w:rPr>
        <w:t> </w:t>
      </w:r>
      <w:r>
        <w:rPr>
          <w:rFonts w:ascii="Arial" w:hAnsi="Arial" w:cs="Arial" w:eastAsia="Arial" w:hint="default"/>
        </w:rPr>
        <w:t>10%</w:t>
      </w:r>
      <w:r>
        <w:rPr/>
        <w:t>以上的参股公司情况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0"/>
          <w:cols w:num="2" w:equalWidth="0">
            <w:col w:w="4880" w:space="4038"/>
            <w:col w:w="2012"/>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5"/>
        <w:gridCol w:w="1045"/>
        <w:gridCol w:w="1045"/>
        <w:gridCol w:w="1045"/>
        <w:gridCol w:w="1045"/>
        <w:gridCol w:w="1046"/>
      </w:tblGrid>
      <w:tr>
        <w:trPr>
          <w:trHeight w:val="401" w:hRule="exact"/>
        </w:trPr>
        <w:tc>
          <w:tcPr>
            <w:tcW w:w="10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1"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33" w:right="0"/>
              <w:jc w:val="left"/>
              <w:rPr>
                <w:rFonts w:ascii="宋体" w:hAnsi="宋体" w:cs="宋体" w:eastAsia="宋体" w:hint="default"/>
                <w:sz w:val="18"/>
                <w:szCs w:val="18"/>
              </w:rPr>
            </w:pPr>
            <w:r>
              <w:rPr>
                <w:rFonts w:ascii="宋体" w:hAnsi="宋体" w:cs="宋体" w:eastAsia="宋体" w:hint="default"/>
                <w:sz w:val="18"/>
                <w:szCs w:val="18"/>
              </w:rPr>
              <w:t>公司类型</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56"/>
              <w:jc w:val="right"/>
              <w:rPr>
                <w:rFonts w:ascii="宋体" w:hAnsi="宋体" w:cs="宋体" w:eastAsia="宋体" w:hint="default"/>
                <w:sz w:val="18"/>
                <w:szCs w:val="18"/>
              </w:rPr>
            </w:pPr>
            <w:r>
              <w:rPr>
                <w:rFonts w:ascii="宋体" w:hAnsi="宋体" w:cs="宋体" w:eastAsia="宋体" w:hint="default"/>
                <w:sz w:val="18"/>
                <w:szCs w:val="18"/>
              </w:rPr>
              <w:t>主要业务</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总资产</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8"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57"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0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47" w:right="0"/>
              <w:jc w:val="left"/>
              <w:rPr>
                <w:rFonts w:ascii="宋体" w:hAnsi="宋体" w:cs="宋体" w:eastAsia="宋体" w:hint="default"/>
                <w:sz w:val="18"/>
                <w:szCs w:val="18"/>
              </w:rPr>
            </w:pPr>
            <w:r>
              <w:rPr>
                <w:rFonts w:ascii="宋体" w:hAnsi="宋体" w:cs="宋体" w:eastAsia="宋体" w:hint="default"/>
                <w:sz w:val="18"/>
                <w:szCs w:val="18"/>
              </w:rPr>
              <w:t>净利润</w:t>
            </w:r>
          </w:p>
        </w:tc>
      </w:tr>
      <w:tr>
        <w:trPr>
          <w:trHeight w:val="358"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right="110"/>
              <w:jc w:val="right"/>
              <w:rPr>
                <w:rFonts w:ascii="宋体" w:hAnsi="宋体" w:cs="宋体" w:eastAsia="宋体" w:hint="default"/>
                <w:sz w:val="18"/>
                <w:szCs w:val="18"/>
              </w:rPr>
            </w:pPr>
            <w:r>
              <w:rPr>
                <w:rFonts w:ascii="宋体" w:hAnsi="宋体" w:cs="宋体" w:eastAsia="宋体" w:hint="default"/>
                <w:sz w:val="18"/>
                <w:szCs w:val="18"/>
              </w:rPr>
              <w:t>电子计算机</w:t>
            </w: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1247"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46"/>
              <w:ind w:left="22" w:right="119"/>
              <w:jc w:val="both"/>
              <w:rPr>
                <w:rFonts w:ascii="宋体" w:hAnsi="宋体" w:cs="宋体" w:eastAsia="宋体" w:hint="default"/>
                <w:sz w:val="18"/>
                <w:szCs w:val="18"/>
              </w:rPr>
            </w:pPr>
            <w:r>
              <w:rPr>
                <w:rFonts w:ascii="宋体" w:hAnsi="宋体" w:cs="宋体" w:eastAsia="宋体" w:hint="default"/>
                <w:sz w:val="18"/>
                <w:szCs w:val="18"/>
              </w:rPr>
              <w:t>上海榕基软 件开发有限 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软硬件领域 内的技术开 发，技术转 让，技术咨</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22" w:right="0"/>
              <w:jc w:val="left"/>
              <w:rPr>
                <w:rFonts w:ascii="Arial" w:hAnsi="Arial" w:cs="Arial" w:eastAsia="Arial" w:hint="default"/>
                <w:sz w:val="18"/>
                <w:szCs w:val="18"/>
              </w:rPr>
            </w:pPr>
            <w:r>
              <w:rPr>
                <w:rFonts w:ascii="Arial"/>
                <w:sz w:val="18"/>
              </w:rPr>
              <w:t>100,000,00</w:t>
            </w:r>
          </w:p>
          <w:p>
            <w:pPr>
              <w:pStyle w:val="TableParagraph"/>
              <w:spacing w:line="240" w:lineRule="auto" w:before="105"/>
              <w:ind w:left="22" w:right="0"/>
              <w:jc w:val="left"/>
              <w:rPr>
                <w:rFonts w:ascii="Arial" w:hAnsi="Arial" w:cs="Arial" w:eastAsia="Arial" w:hint="default"/>
                <w:sz w:val="18"/>
                <w:szCs w:val="18"/>
              </w:rPr>
            </w:pPr>
            <w:r>
              <w:rPr>
                <w:rFonts w:ascii="Arial"/>
                <w:sz w:val="18"/>
              </w:rPr>
              <w:t>0.00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left="111" w:right="0"/>
              <w:jc w:val="left"/>
              <w:rPr>
                <w:rFonts w:ascii="Arial" w:hAnsi="Arial" w:cs="Arial" w:eastAsia="Arial" w:hint="default"/>
                <w:sz w:val="18"/>
                <w:szCs w:val="18"/>
              </w:rPr>
            </w:pPr>
            <w:r>
              <w:rPr>
                <w:rFonts w:ascii="Arial"/>
                <w:sz w:val="18"/>
              </w:rPr>
              <w:t>576,148,82</w:t>
            </w:r>
          </w:p>
          <w:p>
            <w:pPr>
              <w:pStyle w:val="TableParagraph"/>
              <w:spacing w:line="240" w:lineRule="auto" w:before="105"/>
              <w:ind w:left="662" w:right="0"/>
              <w:jc w:val="left"/>
              <w:rPr>
                <w:rFonts w:ascii="Arial" w:hAnsi="Arial" w:cs="Arial" w:eastAsia="Arial" w:hint="default"/>
                <w:sz w:val="18"/>
                <w:szCs w:val="18"/>
              </w:rPr>
            </w:pPr>
            <w:r>
              <w:rPr>
                <w:rFonts w:ascii="Arial"/>
                <w:sz w:val="18"/>
              </w:rPr>
              <w:t>5.35</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22"/>
              <w:jc w:val="right"/>
              <w:rPr>
                <w:rFonts w:ascii="Arial" w:hAnsi="Arial" w:cs="Arial" w:eastAsia="Arial" w:hint="default"/>
                <w:sz w:val="18"/>
                <w:szCs w:val="18"/>
              </w:rPr>
            </w:pPr>
            <w:r>
              <w:rPr>
                <w:rFonts w:ascii="Arial"/>
                <w:spacing w:val="-1"/>
                <w:sz w:val="18"/>
              </w:rPr>
              <w:t>77,478,547.</w:t>
            </w:r>
            <w:r>
              <w:rPr>
                <w:rFonts w:ascii="Arial"/>
                <w:sz w:val="18"/>
              </w:rPr>
            </w:r>
          </w:p>
          <w:p>
            <w:pPr>
              <w:pStyle w:val="TableParagraph"/>
              <w:spacing w:line="240" w:lineRule="auto" w:before="105"/>
              <w:ind w:right="22"/>
              <w:jc w:val="right"/>
              <w:rPr>
                <w:rFonts w:ascii="Arial" w:hAnsi="Arial" w:cs="Arial" w:eastAsia="Arial" w:hint="default"/>
                <w:sz w:val="18"/>
                <w:szCs w:val="18"/>
              </w:rPr>
            </w:pPr>
            <w:r>
              <w:rPr>
                <w:rFonts w:ascii="Arial"/>
                <w:spacing w:val="-1"/>
                <w:w w:val="95"/>
                <w:sz w:val="18"/>
              </w:rPr>
              <w:t>57</w:t>
            </w:r>
            <w:r>
              <w:rPr>
                <w:rFonts w:ascii="Arial"/>
                <w:w w:val="95"/>
                <w:sz w:val="18"/>
              </w:rPr>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23"/>
              <w:jc w:val="right"/>
              <w:rPr>
                <w:rFonts w:ascii="Arial" w:hAnsi="Arial" w:cs="Arial" w:eastAsia="Arial" w:hint="default"/>
                <w:sz w:val="18"/>
                <w:szCs w:val="18"/>
              </w:rPr>
            </w:pPr>
            <w:r>
              <w:rPr>
                <w:rFonts w:ascii="Arial"/>
                <w:spacing w:val="-1"/>
                <w:sz w:val="18"/>
              </w:rPr>
              <w:t>53,591,202.</w:t>
            </w:r>
            <w:r>
              <w:rPr>
                <w:rFonts w:ascii="Arial"/>
                <w:sz w:val="18"/>
              </w:rPr>
            </w:r>
          </w:p>
          <w:p>
            <w:pPr>
              <w:pStyle w:val="TableParagraph"/>
              <w:spacing w:line="240" w:lineRule="auto" w:before="105"/>
              <w:ind w:right="23"/>
              <w:jc w:val="right"/>
              <w:rPr>
                <w:rFonts w:ascii="Arial" w:hAnsi="Arial" w:cs="Arial" w:eastAsia="Arial" w:hint="default"/>
                <w:sz w:val="18"/>
                <w:szCs w:val="18"/>
              </w:rPr>
            </w:pPr>
            <w:r>
              <w:rPr>
                <w:rFonts w:ascii="Arial"/>
                <w:spacing w:val="-1"/>
                <w:w w:val="95"/>
                <w:sz w:val="18"/>
              </w:rPr>
              <w:t>06</w:t>
            </w:r>
            <w:r>
              <w:rPr>
                <w:rFonts w:ascii="Arial"/>
                <w:w w:val="95"/>
                <w:sz w:val="18"/>
              </w:rPr>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24"/>
              <w:jc w:val="right"/>
              <w:rPr>
                <w:rFonts w:ascii="Arial" w:hAnsi="Arial" w:cs="Arial" w:eastAsia="Arial" w:hint="default"/>
                <w:sz w:val="18"/>
                <w:szCs w:val="18"/>
              </w:rPr>
            </w:pPr>
            <w:r>
              <w:rPr>
                <w:rFonts w:ascii="Arial"/>
                <w:spacing w:val="-1"/>
                <w:sz w:val="18"/>
              </w:rPr>
              <w:t>-9,723,575.</w:t>
            </w:r>
            <w:r>
              <w:rPr>
                <w:rFonts w:ascii="Arial"/>
                <w:sz w:val="18"/>
              </w:rPr>
            </w:r>
          </w:p>
          <w:p>
            <w:pPr>
              <w:pStyle w:val="TableParagraph"/>
              <w:spacing w:line="240" w:lineRule="auto" w:before="105"/>
              <w:ind w:right="23"/>
              <w:jc w:val="right"/>
              <w:rPr>
                <w:rFonts w:ascii="Arial" w:hAnsi="Arial" w:cs="Arial" w:eastAsia="Arial" w:hint="default"/>
                <w:sz w:val="18"/>
                <w:szCs w:val="18"/>
              </w:rPr>
            </w:pPr>
            <w:r>
              <w:rPr>
                <w:rFonts w:ascii="Arial"/>
                <w:spacing w:val="-1"/>
                <w:w w:val="95"/>
                <w:sz w:val="18"/>
              </w:rPr>
              <w:t>96</w:t>
            </w:r>
            <w:r>
              <w:rPr>
                <w:rFonts w:ascii="Arial"/>
                <w:w w:val="95"/>
                <w:sz w:val="18"/>
              </w:rPr>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3"/>
              <w:ind w:right="0"/>
              <w:jc w:val="left"/>
              <w:rPr>
                <w:rFonts w:ascii="宋体" w:hAnsi="宋体" w:cs="宋体" w:eastAsia="宋体" w:hint="default"/>
                <w:sz w:val="26"/>
                <w:szCs w:val="26"/>
              </w:rPr>
            </w:pPr>
          </w:p>
          <w:p>
            <w:pPr>
              <w:pStyle w:val="TableParagraph"/>
              <w:spacing w:line="240" w:lineRule="auto"/>
              <w:ind w:right="24"/>
              <w:jc w:val="right"/>
              <w:rPr>
                <w:rFonts w:ascii="Arial" w:hAnsi="Arial" w:cs="Arial" w:eastAsia="Arial" w:hint="default"/>
                <w:sz w:val="18"/>
                <w:szCs w:val="18"/>
              </w:rPr>
            </w:pPr>
            <w:r>
              <w:rPr>
                <w:rFonts w:ascii="Arial"/>
                <w:spacing w:val="-1"/>
                <w:sz w:val="18"/>
              </w:rPr>
              <w:t>-8,922,391.</w:t>
            </w:r>
            <w:r>
              <w:rPr>
                <w:rFonts w:ascii="Arial"/>
                <w:sz w:val="18"/>
              </w:rPr>
            </w:r>
          </w:p>
          <w:p>
            <w:pPr>
              <w:pStyle w:val="TableParagraph"/>
              <w:spacing w:line="240" w:lineRule="auto" w:before="105"/>
              <w:ind w:right="23"/>
              <w:jc w:val="right"/>
              <w:rPr>
                <w:rFonts w:ascii="Arial" w:hAnsi="Arial" w:cs="Arial" w:eastAsia="Arial" w:hint="default"/>
                <w:sz w:val="18"/>
                <w:szCs w:val="18"/>
              </w:rPr>
            </w:pPr>
            <w:r>
              <w:rPr>
                <w:rFonts w:ascii="Arial"/>
                <w:spacing w:val="-1"/>
                <w:w w:val="95"/>
                <w:sz w:val="18"/>
              </w:rPr>
              <w:t>70</w:t>
            </w:r>
            <w:r>
              <w:rPr>
                <w:rFonts w:ascii="Arial"/>
                <w:w w:val="95"/>
                <w:sz w:val="18"/>
              </w:rPr>
            </w:r>
          </w:p>
        </w:tc>
      </w:tr>
      <w:tr>
        <w:trPr>
          <w:trHeight w:val="31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10"/>
              <w:jc w:val="right"/>
              <w:rPr>
                <w:rFonts w:ascii="宋体" w:hAnsi="宋体" w:cs="宋体" w:eastAsia="宋体" w:hint="default"/>
                <w:sz w:val="18"/>
                <w:szCs w:val="18"/>
              </w:rPr>
            </w:pPr>
            <w:r>
              <w:rPr>
                <w:rFonts w:ascii="宋体" w:hAnsi="宋体" w:cs="宋体" w:eastAsia="宋体" w:hint="default"/>
                <w:sz w:val="18"/>
                <w:szCs w:val="18"/>
              </w:rPr>
              <w:t>询，技术服</w:t>
            </w: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5"/>
        <w:gridCol w:w="1045"/>
        <w:gridCol w:w="1045"/>
        <w:gridCol w:w="1045"/>
        <w:gridCol w:w="1045"/>
        <w:gridCol w:w="1046"/>
      </w:tblGrid>
      <w:tr>
        <w:trPr>
          <w:trHeight w:val="362" w:hRule="exact"/>
        </w:trPr>
        <w:tc>
          <w:tcPr>
            <w:tcW w:w="1054"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5" w:type="dxa"/>
            <w:tcBorders>
              <w:top w:val="single" w:sz="4" w:space="0" w:color="000000"/>
              <w:left w:val="single" w:sz="4" w:space="0" w:color="000000"/>
              <w:bottom w:val="single" w:sz="4" w:space="0" w:color="000000"/>
              <w:right w:val="single" w:sz="4" w:space="0" w:color="000000"/>
            </w:tcBorders>
          </w:tcPr>
          <w:p>
            <w:pPr/>
          </w:p>
        </w:tc>
        <w:tc>
          <w:tcPr>
            <w:tcW w:w="1046"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信息技术服</w:t>
            </w: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务，软件开</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发、销售及</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平面设计，</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系统集成，</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19"/>
              <w:jc w:val="both"/>
              <w:rPr>
                <w:rFonts w:ascii="宋体" w:hAnsi="宋体" w:cs="宋体" w:eastAsia="宋体" w:hint="default"/>
                <w:sz w:val="18"/>
                <w:szCs w:val="18"/>
              </w:rPr>
            </w:pPr>
            <w:r>
              <w:rPr>
                <w:rFonts w:ascii="宋体" w:hAnsi="宋体" w:cs="宋体" w:eastAsia="宋体" w:hint="default"/>
                <w:sz w:val="18"/>
                <w:szCs w:val="18"/>
              </w:rPr>
              <w:t>河南榕基信 息技术有限 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硬件及耗 材、办公设 备租赁、销</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Arial" w:hAnsi="Arial" w:cs="Arial" w:eastAsia="Arial" w:hint="default"/>
                <w:sz w:val="18"/>
                <w:szCs w:val="18"/>
              </w:rPr>
            </w:pPr>
            <w:r>
              <w:rPr>
                <w:rFonts w:ascii="Arial"/>
                <w:sz w:val="18"/>
              </w:rPr>
              <w:t>100,000,00</w:t>
            </w:r>
          </w:p>
          <w:p>
            <w:pPr>
              <w:pStyle w:val="TableParagraph"/>
              <w:spacing w:line="240" w:lineRule="auto" w:before="105"/>
              <w:ind w:left="22" w:right="0"/>
              <w:jc w:val="left"/>
              <w:rPr>
                <w:rFonts w:ascii="Arial" w:hAnsi="Arial" w:cs="Arial" w:eastAsia="Arial" w:hint="default"/>
                <w:sz w:val="18"/>
                <w:szCs w:val="18"/>
              </w:rPr>
            </w:pPr>
            <w:r>
              <w:rPr>
                <w:rFonts w:ascii="Arial"/>
                <w:sz w:val="18"/>
              </w:rPr>
              <w:t>0.00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11" w:right="0"/>
              <w:jc w:val="left"/>
              <w:rPr>
                <w:rFonts w:ascii="Arial" w:hAnsi="Arial" w:cs="Arial" w:eastAsia="Arial" w:hint="default"/>
                <w:sz w:val="18"/>
                <w:szCs w:val="18"/>
              </w:rPr>
            </w:pPr>
            <w:r>
              <w:rPr>
                <w:rFonts w:ascii="Arial"/>
                <w:sz w:val="18"/>
              </w:rPr>
              <w:t>252,692,69</w:t>
            </w:r>
          </w:p>
          <w:p>
            <w:pPr>
              <w:pStyle w:val="TableParagraph"/>
              <w:spacing w:line="240" w:lineRule="auto" w:before="105"/>
              <w:ind w:left="662" w:right="0"/>
              <w:jc w:val="left"/>
              <w:rPr>
                <w:rFonts w:ascii="Arial" w:hAnsi="Arial" w:cs="Arial" w:eastAsia="Arial" w:hint="default"/>
                <w:sz w:val="18"/>
                <w:szCs w:val="18"/>
              </w:rPr>
            </w:pPr>
            <w:r>
              <w:rPr>
                <w:rFonts w:ascii="Arial"/>
                <w:sz w:val="18"/>
              </w:rPr>
              <w:t>5.54</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64,387,373.</w:t>
            </w:r>
            <w:r>
              <w:rPr>
                <w:rFonts w:ascii="Arial"/>
                <w:sz w:val="18"/>
              </w:rPr>
            </w:r>
          </w:p>
          <w:p>
            <w:pPr>
              <w:pStyle w:val="TableParagraph"/>
              <w:spacing w:line="240" w:lineRule="auto" w:before="105"/>
              <w:ind w:right="22"/>
              <w:jc w:val="right"/>
              <w:rPr>
                <w:rFonts w:ascii="Arial" w:hAnsi="Arial" w:cs="Arial" w:eastAsia="Arial" w:hint="default"/>
                <w:sz w:val="18"/>
                <w:szCs w:val="18"/>
              </w:rPr>
            </w:pPr>
            <w:r>
              <w:rPr>
                <w:rFonts w:ascii="Arial"/>
                <w:spacing w:val="-1"/>
                <w:w w:val="95"/>
                <w:sz w:val="18"/>
              </w:rPr>
              <w:t>46</w:t>
            </w:r>
            <w:r>
              <w:rPr>
                <w:rFonts w:ascii="Arial"/>
                <w:w w:val="95"/>
                <w:sz w:val="18"/>
              </w:rPr>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sz w:val="18"/>
              </w:rPr>
              <w:t>22,026,289.</w:t>
            </w:r>
            <w:r>
              <w:rPr>
                <w:rFonts w:ascii="Arial"/>
                <w:sz w:val="18"/>
              </w:rPr>
            </w:r>
          </w:p>
          <w:p>
            <w:pPr>
              <w:pStyle w:val="TableParagraph"/>
              <w:spacing w:line="240" w:lineRule="auto" w:before="105"/>
              <w:ind w:right="23"/>
              <w:jc w:val="right"/>
              <w:rPr>
                <w:rFonts w:ascii="Arial" w:hAnsi="Arial" w:cs="Arial" w:eastAsia="Arial" w:hint="default"/>
                <w:sz w:val="18"/>
                <w:szCs w:val="18"/>
              </w:rPr>
            </w:pPr>
            <w:r>
              <w:rPr>
                <w:rFonts w:ascii="Arial"/>
                <w:spacing w:val="-1"/>
                <w:w w:val="95"/>
                <w:sz w:val="18"/>
              </w:rPr>
              <w:t>95</w:t>
            </w:r>
            <w:r>
              <w:rPr>
                <w:rFonts w:ascii="Arial"/>
                <w:w w:val="95"/>
                <w:sz w:val="18"/>
              </w:rPr>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3"/>
                <w:sz w:val="18"/>
              </w:rPr>
              <w:t>4,911,480.8</w:t>
            </w:r>
            <w:r>
              <w:rPr>
                <w:rFonts w:ascii="Arial"/>
                <w:sz w:val="18"/>
              </w:rPr>
            </w:r>
          </w:p>
          <w:p>
            <w:pPr>
              <w:pStyle w:val="TableParagraph"/>
              <w:spacing w:line="240" w:lineRule="auto" w:before="105"/>
              <w:ind w:right="21"/>
              <w:jc w:val="right"/>
              <w:rPr>
                <w:rFonts w:ascii="Arial" w:hAnsi="Arial" w:cs="Arial" w:eastAsia="Arial" w:hint="default"/>
                <w:sz w:val="18"/>
                <w:szCs w:val="18"/>
              </w:rPr>
            </w:pPr>
            <w:r>
              <w:rPr>
                <w:rFonts w:ascii="Arial"/>
                <w:sz w:val="18"/>
              </w:rPr>
              <w:t>6</w:t>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4"/>
              <w:jc w:val="right"/>
              <w:rPr>
                <w:rFonts w:ascii="Arial" w:hAnsi="Arial" w:cs="Arial" w:eastAsia="Arial" w:hint="default"/>
                <w:sz w:val="18"/>
                <w:szCs w:val="18"/>
              </w:rPr>
            </w:pPr>
            <w:r>
              <w:rPr>
                <w:rFonts w:ascii="Arial"/>
                <w:spacing w:val="-1"/>
                <w:sz w:val="18"/>
              </w:rPr>
              <w:t>6,621,418.8</w:t>
            </w:r>
            <w:r>
              <w:rPr>
                <w:rFonts w:ascii="Arial"/>
                <w:sz w:val="18"/>
              </w:rPr>
            </w:r>
          </w:p>
          <w:p>
            <w:pPr>
              <w:pStyle w:val="TableParagraph"/>
              <w:spacing w:line="240" w:lineRule="auto" w:before="105"/>
              <w:ind w:right="21"/>
              <w:jc w:val="right"/>
              <w:rPr>
                <w:rFonts w:ascii="Arial" w:hAnsi="Arial" w:cs="Arial" w:eastAsia="Arial" w:hint="default"/>
                <w:sz w:val="18"/>
                <w:szCs w:val="18"/>
              </w:rPr>
            </w:pPr>
            <w:r>
              <w:rPr>
                <w:rFonts w:ascii="Arial"/>
                <w:sz w:val="18"/>
              </w:rPr>
              <w:t>7</w:t>
            </w: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售，网络技</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术咨询服</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务，办公自</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动化产品销</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售及服务</w:t>
            </w: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技术推广，</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计算机维</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修，计算机</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1248"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19"/>
              <w:jc w:val="both"/>
              <w:rPr>
                <w:rFonts w:ascii="宋体" w:hAnsi="宋体" w:cs="宋体" w:eastAsia="宋体" w:hint="default"/>
                <w:sz w:val="18"/>
                <w:szCs w:val="18"/>
              </w:rPr>
            </w:pPr>
            <w:r>
              <w:rPr>
                <w:rFonts w:ascii="宋体" w:hAnsi="宋体" w:cs="宋体" w:eastAsia="宋体" w:hint="default"/>
                <w:sz w:val="18"/>
                <w:szCs w:val="18"/>
              </w:rPr>
              <w:t>北京中榕基 信息技术有 限公司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left"/>
              <w:rPr>
                <w:rFonts w:ascii="宋体" w:hAnsi="宋体" w:cs="宋体" w:eastAsia="宋体" w:hint="default"/>
                <w:sz w:val="18"/>
                <w:szCs w:val="18"/>
              </w:rPr>
            </w:pPr>
            <w:r>
              <w:rPr>
                <w:rFonts w:ascii="宋体" w:hAnsi="宋体" w:cs="宋体" w:eastAsia="宋体" w:hint="default"/>
                <w:sz w:val="18"/>
                <w:szCs w:val="18"/>
              </w:rPr>
              <w:t>系统服务， 销售计算 机、软件及 辅助设备、</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2" w:right="0"/>
              <w:jc w:val="left"/>
              <w:rPr>
                <w:rFonts w:ascii="Arial" w:hAnsi="Arial" w:cs="Arial" w:eastAsia="Arial" w:hint="default"/>
                <w:sz w:val="18"/>
                <w:szCs w:val="18"/>
              </w:rPr>
            </w:pPr>
            <w:r>
              <w:rPr>
                <w:rFonts w:ascii="Arial"/>
                <w:sz w:val="18"/>
              </w:rPr>
              <w:t>50,000,000.</w:t>
            </w:r>
          </w:p>
          <w:p>
            <w:pPr>
              <w:pStyle w:val="TableParagraph"/>
              <w:spacing w:line="240" w:lineRule="auto" w:before="105"/>
              <w:ind w:left="22" w:right="0"/>
              <w:jc w:val="left"/>
              <w:rPr>
                <w:rFonts w:ascii="Arial" w:hAnsi="Arial" w:cs="Arial" w:eastAsia="Arial" w:hint="default"/>
                <w:sz w:val="18"/>
                <w:szCs w:val="18"/>
              </w:rPr>
            </w:pPr>
            <w:r>
              <w:rPr>
                <w:rFonts w:ascii="Arial"/>
                <w:sz w:val="18"/>
              </w:rPr>
              <w:t>00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11" w:right="0"/>
              <w:jc w:val="left"/>
              <w:rPr>
                <w:rFonts w:ascii="Arial" w:hAnsi="Arial" w:cs="Arial" w:eastAsia="Arial" w:hint="default"/>
                <w:sz w:val="18"/>
                <w:szCs w:val="18"/>
              </w:rPr>
            </w:pPr>
            <w:r>
              <w:rPr>
                <w:rFonts w:ascii="Arial"/>
                <w:sz w:val="18"/>
              </w:rPr>
              <w:t>122,005,58</w:t>
            </w:r>
          </w:p>
          <w:p>
            <w:pPr>
              <w:pStyle w:val="TableParagraph"/>
              <w:spacing w:line="240" w:lineRule="auto" w:before="105"/>
              <w:ind w:left="662" w:right="0"/>
              <w:jc w:val="left"/>
              <w:rPr>
                <w:rFonts w:ascii="Arial" w:hAnsi="Arial" w:cs="Arial" w:eastAsia="Arial" w:hint="default"/>
                <w:sz w:val="18"/>
                <w:szCs w:val="18"/>
              </w:rPr>
            </w:pPr>
            <w:r>
              <w:rPr>
                <w:rFonts w:ascii="Arial"/>
                <w:sz w:val="18"/>
              </w:rPr>
              <w:t>0.19</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2"/>
              <w:jc w:val="right"/>
              <w:rPr>
                <w:rFonts w:ascii="Arial" w:hAnsi="Arial" w:cs="Arial" w:eastAsia="Arial" w:hint="default"/>
                <w:sz w:val="18"/>
                <w:szCs w:val="18"/>
              </w:rPr>
            </w:pPr>
            <w:r>
              <w:rPr>
                <w:rFonts w:ascii="Arial"/>
                <w:spacing w:val="-1"/>
                <w:sz w:val="18"/>
              </w:rPr>
              <w:t>20,130,579.</w:t>
            </w:r>
            <w:r>
              <w:rPr>
                <w:rFonts w:ascii="Arial"/>
                <w:sz w:val="18"/>
              </w:rPr>
            </w:r>
          </w:p>
          <w:p>
            <w:pPr>
              <w:pStyle w:val="TableParagraph"/>
              <w:spacing w:line="240" w:lineRule="auto" w:before="105"/>
              <w:ind w:right="22"/>
              <w:jc w:val="right"/>
              <w:rPr>
                <w:rFonts w:ascii="Arial" w:hAnsi="Arial" w:cs="Arial" w:eastAsia="Arial" w:hint="default"/>
                <w:sz w:val="18"/>
                <w:szCs w:val="18"/>
              </w:rPr>
            </w:pPr>
            <w:r>
              <w:rPr>
                <w:rFonts w:ascii="Arial"/>
                <w:spacing w:val="-1"/>
                <w:w w:val="95"/>
                <w:sz w:val="18"/>
              </w:rPr>
              <w:t>28</w:t>
            </w:r>
            <w:r>
              <w:rPr>
                <w:rFonts w:ascii="Arial"/>
                <w:w w:val="95"/>
                <w:sz w:val="18"/>
              </w:rPr>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4"/>
              <w:jc w:val="right"/>
              <w:rPr>
                <w:rFonts w:ascii="Arial" w:hAnsi="Arial" w:cs="Arial" w:eastAsia="Arial" w:hint="default"/>
                <w:sz w:val="18"/>
                <w:szCs w:val="18"/>
              </w:rPr>
            </w:pPr>
            <w:r>
              <w:rPr>
                <w:rFonts w:ascii="Arial"/>
                <w:spacing w:val="-1"/>
                <w:sz w:val="18"/>
              </w:rPr>
              <w:t>8,084,905.6</w:t>
            </w:r>
            <w:r>
              <w:rPr>
                <w:rFonts w:ascii="Arial"/>
                <w:sz w:val="18"/>
              </w:rPr>
            </w:r>
          </w:p>
          <w:p>
            <w:pPr>
              <w:pStyle w:val="TableParagraph"/>
              <w:spacing w:line="240" w:lineRule="auto" w:before="105"/>
              <w:ind w:right="21"/>
              <w:jc w:val="right"/>
              <w:rPr>
                <w:rFonts w:ascii="Arial" w:hAnsi="Arial" w:cs="Arial" w:eastAsia="Arial" w:hint="default"/>
                <w:sz w:val="18"/>
                <w:szCs w:val="18"/>
              </w:rPr>
            </w:pPr>
            <w:r>
              <w:rPr>
                <w:rFonts w:ascii="Arial"/>
                <w:sz w:val="18"/>
              </w:rPr>
              <w:t>6</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4"/>
              <w:jc w:val="right"/>
              <w:rPr>
                <w:rFonts w:ascii="Arial" w:hAnsi="Arial" w:cs="Arial" w:eastAsia="Arial" w:hint="default"/>
                <w:sz w:val="18"/>
                <w:szCs w:val="18"/>
              </w:rPr>
            </w:pPr>
            <w:r>
              <w:rPr>
                <w:rFonts w:ascii="Arial"/>
                <w:spacing w:val="-1"/>
                <w:sz w:val="18"/>
              </w:rPr>
              <w:t>-7,030,344.</w:t>
            </w:r>
            <w:r>
              <w:rPr>
                <w:rFonts w:ascii="Arial"/>
                <w:sz w:val="18"/>
              </w:rPr>
            </w:r>
          </w:p>
          <w:p>
            <w:pPr>
              <w:pStyle w:val="TableParagraph"/>
              <w:spacing w:line="240" w:lineRule="auto" w:before="105"/>
              <w:ind w:right="23"/>
              <w:jc w:val="right"/>
              <w:rPr>
                <w:rFonts w:ascii="Arial" w:hAnsi="Arial" w:cs="Arial" w:eastAsia="Arial" w:hint="default"/>
                <w:sz w:val="18"/>
                <w:szCs w:val="18"/>
              </w:rPr>
            </w:pPr>
            <w:r>
              <w:rPr>
                <w:rFonts w:ascii="Arial"/>
                <w:spacing w:val="-1"/>
                <w:w w:val="95"/>
                <w:sz w:val="18"/>
              </w:rPr>
              <w:t>83</w:t>
            </w:r>
            <w:r>
              <w:rPr>
                <w:rFonts w:ascii="Arial"/>
                <w:w w:val="95"/>
                <w:sz w:val="18"/>
              </w:rPr>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right="24"/>
              <w:jc w:val="right"/>
              <w:rPr>
                <w:rFonts w:ascii="Arial" w:hAnsi="Arial" w:cs="Arial" w:eastAsia="Arial" w:hint="default"/>
                <w:sz w:val="18"/>
                <w:szCs w:val="18"/>
              </w:rPr>
            </w:pPr>
            <w:r>
              <w:rPr>
                <w:rFonts w:ascii="Arial"/>
                <w:spacing w:val="-1"/>
                <w:sz w:val="18"/>
              </w:rPr>
              <w:t>-7,817,956.</w:t>
            </w:r>
            <w:r>
              <w:rPr>
                <w:rFonts w:ascii="Arial"/>
                <w:sz w:val="18"/>
              </w:rPr>
            </w:r>
          </w:p>
          <w:p>
            <w:pPr>
              <w:pStyle w:val="TableParagraph"/>
              <w:spacing w:line="240" w:lineRule="auto" w:before="105"/>
              <w:ind w:right="23"/>
              <w:jc w:val="right"/>
              <w:rPr>
                <w:rFonts w:ascii="Arial" w:hAnsi="Arial" w:cs="Arial" w:eastAsia="Arial" w:hint="default"/>
                <w:sz w:val="18"/>
                <w:szCs w:val="18"/>
              </w:rPr>
            </w:pPr>
            <w:r>
              <w:rPr>
                <w:rFonts w:ascii="Arial"/>
                <w:spacing w:val="-1"/>
                <w:w w:val="95"/>
                <w:sz w:val="18"/>
              </w:rPr>
              <w:t>81</w:t>
            </w:r>
            <w:r>
              <w:rPr>
                <w:rFonts w:ascii="Arial"/>
                <w:w w:val="95"/>
                <w:sz w:val="18"/>
              </w:rPr>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机械设备，</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技术进出</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口、货物进</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出口、代理</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进出口</w:t>
            </w: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计算机网络</w:t>
            </w: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软件研发与</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设计服务，</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计算机硬件</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技术服务，</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0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信息系统集</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946"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9" w:lineRule="auto" w:before="1"/>
              <w:ind w:left="22" w:right="119"/>
              <w:jc w:val="both"/>
              <w:rPr>
                <w:rFonts w:ascii="宋体" w:hAnsi="宋体" w:cs="宋体" w:eastAsia="宋体" w:hint="default"/>
                <w:sz w:val="18"/>
                <w:szCs w:val="18"/>
              </w:rPr>
            </w:pPr>
            <w:r>
              <w:rPr>
                <w:rFonts w:ascii="宋体" w:hAnsi="宋体" w:cs="宋体" w:eastAsia="宋体" w:hint="default"/>
                <w:sz w:val="18"/>
                <w:szCs w:val="18"/>
              </w:rPr>
              <w:t>福建榕基软 件工程有限 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110"/>
              <w:jc w:val="both"/>
              <w:rPr>
                <w:rFonts w:ascii="宋体" w:hAnsi="宋体" w:cs="宋体" w:eastAsia="宋体" w:hint="default"/>
                <w:sz w:val="18"/>
                <w:szCs w:val="18"/>
              </w:rPr>
            </w:pPr>
            <w:r>
              <w:rPr>
                <w:rFonts w:ascii="宋体" w:hAnsi="宋体" w:cs="宋体" w:eastAsia="宋体" w:hint="default"/>
                <w:sz w:val="18"/>
                <w:szCs w:val="18"/>
              </w:rPr>
              <w:t>成服务，电 子计算机及 配件的批发</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Arial" w:hAnsi="Arial" w:cs="Arial" w:eastAsia="Arial" w:hint="default"/>
                <w:sz w:val="18"/>
                <w:szCs w:val="18"/>
              </w:rPr>
            </w:pPr>
            <w:r>
              <w:rPr>
                <w:rFonts w:ascii="Arial"/>
                <w:sz w:val="18"/>
              </w:rPr>
              <w:t>105,000,00</w:t>
            </w:r>
          </w:p>
          <w:p>
            <w:pPr>
              <w:pStyle w:val="TableParagraph"/>
              <w:spacing w:line="240" w:lineRule="auto" w:before="106"/>
              <w:ind w:left="22" w:right="0"/>
              <w:jc w:val="left"/>
              <w:rPr>
                <w:rFonts w:ascii="Arial" w:hAnsi="Arial" w:cs="Arial" w:eastAsia="Arial" w:hint="default"/>
                <w:sz w:val="18"/>
                <w:szCs w:val="18"/>
              </w:rPr>
            </w:pPr>
            <w:r>
              <w:rPr>
                <w:rFonts w:ascii="Arial"/>
                <w:sz w:val="18"/>
              </w:rPr>
              <w:t>0.00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11" w:right="0"/>
              <w:jc w:val="left"/>
              <w:rPr>
                <w:rFonts w:ascii="Arial" w:hAnsi="Arial" w:cs="Arial" w:eastAsia="Arial" w:hint="default"/>
                <w:sz w:val="18"/>
                <w:szCs w:val="18"/>
              </w:rPr>
            </w:pPr>
            <w:r>
              <w:rPr>
                <w:rFonts w:ascii="Arial"/>
                <w:sz w:val="18"/>
              </w:rPr>
              <w:t>365,627,43</w:t>
            </w:r>
          </w:p>
          <w:p>
            <w:pPr>
              <w:pStyle w:val="TableParagraph"/>
              <w:spacing w:line="240" w:lineRule="auto" w:before="106"/>
              <w:ind w:left="662" w:right="0"/>
              <w:jc w:val="left"/>
              <w:rPr>
                <w:rFonts w:ascii="Arial" w:hAnsi="Arial" w:cs="Arial" w:eastAsia="Arial" w:hint="default"/>
                <w:sz w:val="18"/>
                <w:szCs w:val="18"/>
              </w:rPr>
            </w:pPr>
            <w:r>
              <w:rPr>
                <w:rFonts w:ascii="Arial"/>
                <w:sz w:val="18"/>
              </w:rPr>
              <w:t>6.91</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pacing w:val="-4"/>
                <w:sz w:val="18"/>
              </w:rPr>
              <w:t>211,338,119</w:t>
            </w:r>
          </w:p>
          <w:p>
            <w:pPr>
              <w:pStyle w:val="TableParagraph"/>
              <w:spacing w:line="240" w:lineRule="auto" w:before="106"/>
              <w:ind w:right="21"/>
              <w:jc w:val="right"/>
              <w:rPr>
                <w:rFonts w:ascii="Arial" w:hAnsi="Arial" w:cs="Arial" w:eastAsia="Arial" w:hint="default"/>
                <w:sz w:val="18"/>
                <w:szCs w:val="18"/>
              </w:rPr>
            </w:pPr>
            <w:r>
              <w:rPr>
                <w:rFonts w:ascii="Arial"/>
                <w:spacing w:val="-1"/>
                <w:w w:val="95"/>
                <w:sz w:val="18"/>
              </w:rPr>
              <w:t>.66</w:t>
            </w:r>
            <w:r>
              <w:rPr>
                <w:rFonts w:ascii="Arial"/>
                <w:w w:val="95"/>
                <w:sz w:val="18"/>
              </w:rPr>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left="110" w:right="0"/>
              <w:jc w:val="left"/>
              <w:rPr>
                <w:rFonts w:ascii="Arial" w:hAnsi="Arial" w:cs="Arial" w:eastAsia="Arial" w:hint="default"/>
                <w:sz w:val="18"/>
                <w:szCs w:val="18"/>
              </w:rPr>
            </w:pPr>
            <w:r>
              <w:rPr>
                <w:rFonts w:ascii="Arial"/>
                <w:sz w:val="18"/>
              </w:rPr>
              <w:t>197,837,59</w:t>
            </w:r>
          </w:p>
          <w:p>
            <w:pPr>
              <w:pStyle w:val="TableParagraph"/>
              <w:spacing w:line="240" w:lineRule="auto" w:before="106"/>
              <w:ind w:left="661" w:right="0"/>
              <w:jc w:val="left"/>
              <w:rPr>
                <w:rFonts w:ascii="Arial" w:hAnsi="Arial" w:cs="Arial" w:eastAsia="Arial" w:hint="default"/>
                <w:sz w:val="18"/>
                <w:szCs w:val="18"/>
              </w:rPr>
            </w:pPr>
            <w:r>
              <w:rPr>
                <w:rFonts w:ascii="Arial"/>
                <w:sz w:val="18"/>
              </w:rPr>
              <w:t>5.16</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Arial" w:hAnsi="Arial" w:cs="Arial" w:eastAsia="Arial" w:hint="default"/>
                <w:sz w:val="18"/>
                <w:szCs w:val="18"/>
              </w:rPr>
            </w:pPr>
            <w:r>
              <w:rPr>
                <w:rFonts w:ascii="Arial"/>
                <w:spacing w:val="-1"/>
                <w:sz w:val="18"/>
              </w:rPr>
              <w:t>22,139,876.</w:t>
            </w:r>
            <w:r>
              <w:rPr>
                <w:rFonts w:ascii="Arial"/>
                <w:sz w:val="18"/>
              </w:rPr>
            </w:r>
          </w:p>
          <w:p>
            <w:pPr>
              <w:pStyle w:val="TableParagraph"/>
              <w:spacing w:line="240" w:lineRule="auto" w:before="106"/>
              <w:ind w:right="23"/>
              <w:jc w:val="right"/>
              <w:rPr>
                <w:rFonts w:ascii="Arial" w:hAnsi="Arial" w:cs="Arial" w:eastAsia="Arial" w:hint="default"/>
                <w:sz w:val="18"/>
                <w:szCs w:val="18"/>
              </w:rPr>
            </w:pPr>
            <w:r>
              <w:rPr>
                <w:rFonts w:ascii="Arial"/>
                <w:spacing w:val="-1"/>
                <w:w w:val="95"/>
                <w:sz w:val="18"/>
              </w:rPr>
              <w:t>46</w:t>
            </w:r>
            <w:r>
              <w:rPr>
                <w:rFonts w:ascii="Arial"/>
                <w:w w:val="95"/>
                <w:sz w:val="18"/>
              </w:rPr>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Arial" w:hAnsi="Arial" w:cs="Arial" w:eastAsia="Arial" w:hint="default"/>
                <w:sz w:val="18"/>
                <w:szCs w:val="18"/>
              </w:rPr>
            </w:pPr>
            <w:r>
              <w:rPr>
                <w:rFonts w:ascii="Arial"/>
                <w:spacing w:val="-1"/>
                <w:sz w:val="18"/>
              </w:rPr>
              <w:t>21,214,042.</w:t>
            </w:r>
            <w:r>
              <w:rPr>
                <w:rFonts w:ascii="Arial"/>
                <w:sz w:val="18"/>
              </w:rPr>
            </w:r>
          </w:p>
          <w:p>
            <w:pPr>
              <w:pStyle w:val="TableParagraph"/>
              <w:spacing w:line="240" w:lineRule="auto" w:before="106"/>
              <w:ind w:right="23"/>
              <w:jc w:val="right"/>
              <w:rPr>
                <w:rFonts w:ascii="Arial" w:hAnsi="Arial" w:cs="Arial" w:eastAsia="Arial" w:hint="default"/>
                <w:sz w:val="18"/>
                <w:szCs w:val="18"/>
              </w:rPr>
            </w:pPr>
            <w:r>
              <w:rPr>
                <w:rFonts w:ascii="Arial"/>
                <w:spacing w:val="-1"/>
                <w:w w:val="95"/>
                <w:sz w:val="18"/>
              </w:rPr>
              <w:t>50</w:t>
            </w:r>
            <w:r>
              <w:rPr>
                <w:rFonts w:ascii="Arial"/>
                <w:w w:val="95"/>
                <w:sz w:val="18"/>
              </w:rPr>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零售，建筑</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智能化的设</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计与施工服</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务，安防工</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程的设计与</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施工服务，</w:t>
            </w: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054"/>
        <w:gridCol w:w="1196"/>
        <w:gridCol w:w="1045"/>
        <w:gridCol w:w="1045"/>
        <w:gridCol w:w="1045"/>
        <w:gridCol w:w="1045"/>
        <w:gridCol w:w="1045"/>
        <w:gridCol w:w="1045"/>
        <w:gridCol w:w="1046"/>
      </w:tblGrid>
      <w:tr>
        <w:trPr>
          <w:trHeight w:val="317" w:hRule="exact"/>
        </w:trPr>
        <w:tc>
          <w:tcPr>
            <w:tcW w:w="1054" w:type="dxa"/>
            <w:vMerge w:val="restart"/>
            <w:tcBorders>
              <w:top w:val="single" w:sz="4" w:space="0" w:color="000000"/>
              <w:left w:val="single" w:sz="4" w:space="0" w:color="000000"/>
              <w:right w:val="single" w:sz="4" w:space="0" w:color="000000"/>
            </w:tcBorders>
          </w:tcPr>
          <w:p>
            <w:pPr/>
          </w:p>
        </w:tc>
        <w:tc>
          <w:tcPr>
            <w:tcW w:w="1196" w:type="dxa"/>
            <w:vMerge w:val="restart"/>
            <w:tcBorders>
              <w:top w:val="single" w:sz="4" w:space="0" w:color="000000"/>
              <w:left w:val="single" w:sz="4" w:space="0" w:color="000000"/>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自营和代理</w:t>
            </w:r>
          </w:p>
        </w:tc>
        <w:tc>
          <w:tcPr>
            <w:tcW w:w="104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5" w:type="dxa"/>
            <w:vMerge w:val="restart"/>
            <w:tcBorders>
              <w:top w:val="single" w:sz="4" w:space="0" w:color="000000"/>
              <w:left w:val="single" w:sz="4" w:space="0" w:color="000000"/>
              <w:right w:val="single" w:sz="4" w:space="0" w:color="000000"/>
            </w:tcBorders>
          </w:tcPr>
          <w:p>
            <w:pPr/>
          </w:p>
        </w:tc>
        <w:tc>
          <w:tcPr>
            <w:tcW w:w="1046" w:type="dxa"/>
            <w:vMerge w:val="restart"/>
            <w:tcBorders>
              <w:top w:val="single" w:sz="4" w:space="0" w:color="000000"/>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各类商品和</w:t>
            </w: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技术的进出</w:t>
            </w: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口，国家限</w:t>
            </w: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定公司经营</w:t>
            </w: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2"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或禁止进出</w:t>
            </w: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13" w:hRule="exact"/>
        </w:trPr>
        <w:tc>
          <w:tcPr>
            <w:tcW w:w="1054" w:type="dxa"/>
            <w:vMerge/>
            <w:tcBorders>
              <w:left w:val="single" w:sz="4" w:space="0" w:color="000000"/>
              <w:right w:val="single" w:sz="4" w:space="0" w:color="000000"/>
            </w:tcBorders>
          </w:tcPr>
          <w:p>
            <w:pPr/>
          </w:p>
        </w:tc>
        <w:tc>
          <w:tcPr>
            <w:tcW w:w="1196"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口的商品和</w:t>
            </w: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5" w:type="dxa"/>
            <w:vMerge/>
            <w:tcBorders>
              <w:left w:val="single" w:sz="4" w:space="0" w:color="000000"/>
              <w:right w:val="single" w:sz="4" w:space="0" w:color="000000"/>
            </w:tcBorders>
          </w:tcPr>
          <w:p>
            <w:pPr/>
          </w:p>
        </w:tc>
        <w:tc>
          <w:tcPr>
            <w:tcW w:w="1046" w:type="dxa"/>
            <w:vMerge/>
            <w:tcBorders>
              <w:left w:val="single" w:sz="4" w:space="0" w:color="000000"/>
              <w:right w:val="single" w:sz="4" w:space="0" w:color="000000"/>
            </w:tcBorders>
          </w:tcPr>
          <w:p>
            <w:pPr/>
          </w:p>
        </w:tc>
      </w:tr>
      <w:tr>
        <w:trPr>
          <w:trHeight w:val="357" w:hRule="exact"/>
        </w:trPr>
        <w:tc>
          <w:tcPr>
            <w:tcW w:w="1054" w:type="dxa"/>
            <w:vMerge/>
            <w:tcBorders>
              <w:left w:val="single" w:sz="4" w:space="0" w:color="000000"/>
              <w:bottom w:val="single" w:sz="4" w:space="0" w:color="000000"/>
              <w:right w:val="single" w:sz="4" w:space="0" w:color="000000"/>
            </w:tcBorders>
          </w:tcPr>
          <w:p>
            <w:pPr/>
          </w:p>
        </w:tc>
        <w:tc>
          <w:tcPr>
            <w:tcW w:w="1196" w:type="dxa"/>
            <w:vMerge/>
            <w:tcBorders>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技术除外</w:t>
            </w: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5" w:type="dxa"/>
            <w:vMerge/>
            <w:tcBorders>
              <w:left w:val="single" w:sz="4" w:space="0" w:color="000000"/>
              <w:bottom w:val="single" w:sz="4" w:space="0" w:color="000000"/>
              <w:right w:val="single" w:sz="4" w:space="0" w:color="000000"/>
            </w:tcBorders>
          </w:tcPr>
          <w:p>
            <w:pPr/>
          </w:p>
        </w:tc>
        <w:tc>
          <w:tcPr>
            <w:tcW w:w="1046" w:type="dxa"/>
            <w:vMerge/>
            <w:tcBorders>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开发、计算</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19"/>
              <w:jc w:val="both"/>
              <w:rPr>
                <w:rFonts w:ascii="宋体" w:hAnsi="宋体" w:cs="宋体" w:eastAsia="宋体" w:hint="default"/>
                <w:sz w:val="18"/>
                <w:szCs w:val="18"/>
              </w:rPr>
            </w:pPr>
            <w:r>
              <w:rPr>
                <w:rFonts w:ascii="宋体" w:hAnsi="宋体" w:cs="宋体" w:eastAsia="宋体" w:hint="default"/>
                <w:sz w:val="18"/>
                <w:szCs w:val="18"/>
              </w:rPr>
              <w:t>信阳榕基信 息技术有限 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机硬件技术 服务、产品 销售、技术</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Arial" w:hAnsi="Arial" w:cs="Arial" w:eastAsia="Arial" w:hint="default"/>
                <w:sz w:val="18"/>
                <w:szCs w:val="18"/>
              </w:rPr>
            </w:pPr>
            <w:r>
              <w:rPr>
                <w:rFonts w:ascii="Arial"/>
                <w:sz w:val="18"/>
              </w:rPr>
              <w:t>21,000,000.</w:t>
            </w:r>
          </w:p>
          <w:p>
            <w:pPr>
              <w:pStyle w:val="TableParagraph"/>
              <w:spacing w:line="240" w:lineRule="auto" w:before="105"/>
              <w:ind w:left="22" w:right="0"/>
              <w:jc w:val="left"/>
              <w:rPr>
                <w:rFonts w:ascii="Arial" w:hAnsi="Arial" w:cs="Arial" w:eastAsia="Arial" w:hint="default"/>
                <w:sz w:val="18"/>
                <w:szCs w:val="18"/>
              </w:rPr>
            </w:pPr>
            <w:r>
              <w:rPr>
                <w:rFonts w:ascii="Arial"/>
                <w:sz w:val="18"/>
              </w:rPr>
              <w:t>00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111" w:right="0"/>
              <w:jc w:val="left"/>
              <w:rPr>
                <w:rFonts w:ascii="Arial" w:hAnsi="Arial" w:cs="Arial" w:eastAsia="Arial" w:hint="default"/>
                <w:sz w:val="18"/>
                <w:szCs w:val="18"/>
              </w:rPr>
            </w:pPr>
            <w:r>
              <w:rPr>
                <w:rFonts w:ascii="Arial"/>
                <w:sz w:val="18"/>
              </w:rPr>
              <w:t>523,171,44</w:t>
            </w:r>
          </w:p>
          <w:p>
            <w:pPr>
              <w:pStyle w:val="TableParagraph"/>
              <w:spacing w:line="240" w:lineRule="auto" w:before="105"/>
              <w:ind w:left="662" w:right="0"/>
              <w:jc w:val="left"/>
              <w:rPr>
                <w:rFonts w:ascii="Arial" w:hAnsi="Arial" w:cs="Arial" w:eastAsia="Arial" w:hint="default"/>
                <w:sz w:val="18"/>
                <w:szCs w:val="18"/>
              </w:rPr>
            </w:pPr>
            <w:r>
              <w:rPr>
                <w:rFonts w:ascii="Arial"/>
                <w:sz w:val="18"/>
              </w:rPr>
              <w:t>3.10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-15,032,489</w:t>
            </w:r>
          </w:p>
          <w:p>
            <w:pPr>
              <w:pStyle w:val="TableParagraph"/>
              <w:spacing w:line="240" w:lineRule="auto" w:before="105"/>
              <w:ind w:right="21"/>
              <w:jc w:val="right"/>
              <w:rPr>
                <w:rFonts w:ascii="Arial" w:hAnsi="Arial" w:cs="Arial" w:eastAsia="Arial" w:hint="default"/>
                <w:sz w:val="18"/>
                <w:szCs w:val="18"/>
              </w:rPr>
            </w:pPr>
            <w:r>
              <w:rPr>
                <w:rFonts w:ascii="Arial"/>
                <w:spacing w:val="-1"/>
                <w:w w:val="95"/>
                <w:sz w:val="18"/>
              </w:rPr>
              <w:t>.41</w:t>
            </w:r>
            <w:r>
              <w:rPr>
                <w:rFonts w:ascii="Arial"/>
                <w:w w:val="95"/>
                <w:sz w:val="18"/>
              </w:rPr>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4"/>
              <w:jc w:val="right"/>
              <w:rPr>
                <w:rFonts w:ascii="Arial" w:hAnsi="Arial" w:cs="Arial" w:eastAsia="Arial" w:hint="default"/>
                <w:sz w:val="18"/>
                <w:szCs w:val="18"/>
              </w:rPr>
            </w:pPr>
            <w:r>
              <w:rPr>
                <w:rFonts w:ascii="Arial"/>
                <w:spacing w:val="-1"/>
                <w:sz w:val="18"/>
              </w:rPr>
              <w:t>4,869,865.8</w:t>
            </w:r>
            <w:r>
              <w:rPr>
                <w:rFonts w:ascii="Arial"/>
                <w:sz w:val="18"/>
              </w:rPr>
            </w:r>
          </w:p>
          <w:p>
            <w:pPr>
              <w:pStyle w:val="TableParagraph"/>
              <w:spacing w:line="240" w:lineRule="auto" w:before="105"/>
              <w:ind w:right="21"/>
              <w:jc w:val="right"/>
              <w:rPr>
                <w:rFonts w:ascii="Arial" w:hAnsi="Arial" w:cs="Arial" w:eastAsia="Arial" w:hint="default"/>
                <w:sz w:val="18"/>
                <w:szCs w:val="18"/>
              </w:rPr>
            </w:pPr>
            <w:r>
              <w:rPr>
                <w:rFonts w:ascii="Arial"/>
                <w:sz w:val="18"/>
              </w:rPr>
              <w:t>0</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4"/>
              <w:jc w:val="right"/>
              <w:rPr>
                <w:rFonts w:ascii="Arial" w:hAnsi="Arial" w:cs="Arial" w:eastAsia="Arial" w:hint="default"/>
                <w:sz w:val="18"/>
                <w:szCs w:val="18"/>
              </w:rPr>
            </w:pPr>
            <w:r>
              <w:rPr>
                <w:rFonts w:ascii="Arial"/>
                <w:spacing w:val="-1"/>
                <w:sz w:val="18"/>
              </w:rPr>
              <w:t>-7,199,269.</w:t>
            </w:r>
            <w:r>
              <w:rPr>
                <w:rFonts w:ascii="Arial"/>
                <w:sz w:val="18"/>
              </w:rPr>
            </w:r>
          </w:p>
          <w:p>
            <w:pPr>
              <w:pStyle w:val="TableParagraph"/>
              <w:spacing w:line="240" w:lineRule="auto" w:before="105"/>
              <w:ind w:right="23"/>
              <w:jc w:val="right"/>
              <w:rPr>
                <w:rFonts w:ascii="Arial" w:hAnsi="Arial" w:cs="Arial" w:eastAsia="Arial" w:hint="default"/>
                <w:sz w:val="18"/>
                <w:szCs w:val="18"/>
              </w:rPr>
            </w:pPr>
            <w:r>
              <w:rPr>
                <w:rFonts w:ascii="Arial"/>
                <w:spacing w:val="-1"/>
                <w:w w:val="95"/>
                <w:sz w:val="18"/>
              </w:rPr>
              <w:t>57</w:t>
            </w:r>
            <w:r>
              <w:rPr>
                <w:rFonts w:ascii="Arial"/>
                <w:w w:val="95"/>
                <w:sz w:val="18"/>
              </w:rPr>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4"/>
              <w:jc w:val="right"/>
              <w:rPr>
                <w:rFonts w:ascii="Arial" w:hAnsi="Arial" w:cs="Arial" w:eastAsia="Arial" w:hint="default"/>
                <w:sz w:val="18"/>
                <w:szCs w:val="18"/>
              </w:rPr>
            </w:pPr>
            <w:r>
              <w:rPr>
                <w:rFonts w:ascii="Arial"/>
                <w:spacing w:val="-1"/>
                <w:sz w:val="18"/>
              </w:rPr>
              <w:t>-7,859,293.</w:t>
            </w:r>
            <w:r>
              <w:rPr>
                <w:rFonts w:ascii="Arial"/>
                <w:sz w:val="18"/>
              </w:rPr>
            </w:r>
          </w:p>
          <w:p>
            <w:pPr>
              <w:pStyle w:val="TableParagraph"/>
              <w:spacing w:line="240" w:lineRule="auto" w:before="105"/>
              <w:ind w:right="23"/>
              <w:jc w:val="right"/>
              <w:rPr>
                <w:rFonts w:ascii="Arial" w:hAnsi="Arial" w:cs="Arial" w:eastAsia="Arial" w:hint="default"/>
                <w:sz w:val="18"/>
                <w:szCs w:val="18"/>
              </w:rPr>
            </w:pPr>
            <w:r>
              <w:rPr>
                <w:rFonts w:ascii="Arial"/>
                <w:spacing w:val="-1"/>
                <w:w w:val="95"/>
                <w:sz w:val="18"/>
              </w:rPr>
              <w:t>61</w:t>
            </w:r>
            <w:r>
              <w:rPr>
                <w:rFonts w:ascii="Arial"/>
                <w:w w:val="95"/>
                <w:sz w:val="18"/>
              </w:rPr>
            </w: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服务、系统</w:t>
            </w: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集成</w:t>
            </w: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054" w:type="dxa"/>
            <w:tcBorders>
              <w:top w:val="single" w:sz="4" w:space="0" w:color="000000"/>
              <w:left w:val="single" w:sz="4" w:space="0" w:color="000000"/>
              <w:bottom w:val="nil" w:sz="6" w:space="0" w:color="auto"/>
              <w:right w:val="single" w:sz="4" w:space="0" w:color="000000"/>
            </w:tcBorders>
          </w:tcPr>
          <w:p>
            <w:pPr/>
          </w:p>
        </w:tc>
        <w:tc>
          <w:tcPr>
            <w:tcW w:w="1196"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电子产品的</w:t>
            </w:r>
          </w:p>
        </w:tc>
        <w:tc>
          <w:tcPr>
            <w:tcW w:w="104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4"/>
                <w:szCs w:val="24"/>
              </w:rPr>
            </w:pPr>
          </w:p>
          <w:p>
            <w:pPr>
              <w:pStyle w:val="TableParagraph"/>
              <w:spacing w:line="161" w:lineRule="exact"/>
              <w:ind w:left="22" w:right="0"/>
              <w:jc w:val="left"/>
              <w:rPr>
                <w:rFonts w:ascii="Arial" w:hAnsi="Arial" w:cs="Arial" w:eastAsia="Arial" w:hint="default"/>
                <w:sz w:val="18"/>
                <w:szCs w:val="18"/>
              </w:rPr>
            </w:pPr>
            <w:r>
              <w:rPr>
                <w:rFonts w:ascii="Arial"/>
                <w:sz w:val="18"/>
              </w:rPr>
              <w:t>50,000,000.</w:t>
            </w:r>
          </w:p>
          <w:p>
            <w:pPr>
              <w:pStyle w:val="TableParagraph"/>
              <w:spacing w:line="170" w:lineRule="exact"/>
              <w:ind w:left="-124"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88" w:lineRule="exact"/>
              <w:ind w:left="22" w:right="0"/>
              <w:jc w:val="left"/>
              <w:rPr>
                <w:rFonts w:ascii="Arial" w:hAnsi="Arial" w:cs="Arial" w:eastAsia="Arial" w:hint="default"/>
                <w:sz w:val="18"/>
                <w:szCs w:val="18"/>
              </w:rPr>
            </w:pPr>
            <w:r>
              <w:rPr>
                <w:rFonts w:ascii="Arial"/>
                <w:sz w:val="18"/>
              </w:rPr>
              <w:t>00</w:t>
            </w: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5" w:type="dxa"/>
            <w:tcBorders>
              <w:top w:val="single" w:sz="4" w:space="0" w:color="000000"/>
              <w:left w:val="single" w:sz="4" w:space="0" w:color="000000"/>
              <w:bottom w:val="nil" w:sz="6" w:space="0" w:color="auto"/>
              <w:right w:val="single" w:sz="4" w:space="0" w:color="000000"/>
            </w:tcBorders>
          </w:tcPr>
          <w:p>
            <w:pPr/>
          </w:p>
        </w:tc>
        <w:tc>
          <w:tcPr>
            <w:tcW w:w="1046"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研发、制造</w:t>
            </w:r>
          </w:p>
        </w:tc>
        <w:tc>
          <w:tcPr>
            <w:tcW w:w="1045"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销售；计算</w:t>
            </w:r>
          </w:p>
        </w:tc>
        <w:tc>
          <w:tcPr>
            <w:tcW w:w="1045"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机、软件及</w:t>
            </w:r>
          </w:p>
        </w:tc>
        <w:tc>
          <w:tcPr>
            <w:tcW w:w="1045"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937" w:hRule="exact"/>
        </w:trPr>
        <w:tc>
          <w:tcPr>
            <w:tcW w:w="1054"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19"/>
              <w:jc w:val="both"/>
              <w:rPr>
                <w:rFonts w:ascii="宋体" w:hAnsi="宋体" w:cs="宋体" w:eastAsia="宋体" w:hint="default"/>
                <w:sz w:val="18"/>
                <w:szCs w:val="18"/>
              </w:rPr>
            </w:pPr>
            <w:r>
              <w:rPr>
                <w:rFonts w:ascii="宋体" w:hAnsi="宋体" w:cs="宋体" w:eastAsia="宋体" w:hint="default"/>
                <w:sz w:val="18"/>
                <w:szCs w:val="18"/>
              </w:rPr>
              <w:t>福建星榕基 信息科技有 限责任公司</w:t>
            </w:r>
          </w:p>
        </w:tc>
        <w:tc>
          <w:tcPr>
            <w:tcW w:w="119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6"/>
              <w:ind w:left="2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10"/>
              <w:jc w:val="both"/>
              <w:rPr>
                <w:rFonts w:ascii="宋体" w:hAnsi="宋体" w:cs="宋体" w:eastAsia="宋体" w:hint="default"/>
                <w:sz w:val="18"/>
                <w:szCs w:val="18"/>
              </w:rPr>
            </w:pPr>
            <w:r>
              <w:rPr>
                <w:rFonts w:ascii="宋体" w:hAnsi="宋体" w:cs="宋体" w:eastAsia="宋体" w:hint="default"/>
                <w:sz w:val="18"/>
                <w:szCs w:val="18"/>
              </w:rPr>
              <w:t>辅助设备的 批发、零售 国内贸易代</w:t>
            </w:r>
          </w:p>
        </w:tc>
        <w:tc>
          <w:tcPr>
            <w:tcW w:w="1045"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46,906,873.</w:t>
            </w:r>
            <w:r>
              <w:rPr>
                <w:rFonts w:ascii="Arial"/>
                <w:sz w:val="18"/>
              </w:rPr>
            </w:r>
          </w:p>
          <w:p>
            <w:pPr>
              <w:pStyle w:val="TableParagraph"/>
              <w:spacing w:line="240" w:lineRule="auto" w:before="105"/>
              <w:ind w:right="22"/>
              <w:jc w:val="right"/>
              <w:rPr>
                <w:rFonts w:ascii="Arial" w:hAnsi="Arial" w:cs="Arial" w:eastAsia="Arial" w:hint="default"/>
                <w:sz w:val="18"/>
                <w:szCs w:val="18"/>
              </w:rPr>
            </w:pPr>
            <w:r>
              <w:rPr>
                <w:rFonts w:ascii="Arial"/>
                <w:spacing w:val="-1"/>
                <w:w w:val="95"/>
                <w:sz w:val="18"/>
              </w:rPr>
              <w:t>94</w:t>
            </w:r>
            <w:r>
              <w:rPr>
                <w:rFonts w:ascii="Arial"/>
                <w:w w:val="95"/>
                <w:sz w:val="18"/>
              </w:rPr>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40,671,495.</w:t>
            </w:r>
            <w:r>
              <w:rPr>
                <w:rFonts w:ascii="Arial"/>
                <w:sz w:val="18"/>
              </w:rPr>
            </w:r>
          </w:p>
          <w:p>
            <w:pPr>
              <w:pStyle w:val="TableParagraph"/>
              <w:spacing w:line="240" w:lineRule="auto" w:before="105"/>
              <w:ind w:right="22"/>
              <w:jc w:val="right"/>
              <w:rPr>
                <w:rFonts w:ascii="Arial" w:hAnsi="Arial" w:cs="Arial" w:eastAsia="Arial" w:hint="default"/>
                <w:sz w:val="18"/>
                <w:szCs w:val="18"/>
              </w:rPr>
            </w:pPr>
            <w:r>
              <w:rPr>
                <w:rFonts w:ascii="Arial"/>
                <w:spacing w:val="-1"/>
                <w:w w:val="95"/>
                <w:sz w:val="18"/>
              </w:rPr>
              <w:t>67</w:t>
            </w:r>
            <w:r>
              <w:rPr>
                <w:rFonts w:ascii="Arial"/>
                <w:w w:val="95"/>
                <w:sz w:val="18"/>
              </w:rPr>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4"/>
              <w:jc w:val="right"/>
              <w:rPr>
                <w:rFonts w:ascii="Arial" w:hAnsi="Arial" w:cs="Arial" w:eastAsia="Arial" w:hint="default"/>
                <w:sz w:val="18"/>
                <w:szCs w:val="18"/>
              </w:rPr>
            </w:pPr>
            <w:r>
              <w:rPr>
                <w:rFonts w:ascii="Arial"/>
                <w:spacing w:val="-1"/>
                <w:sz w:val="18"/>
              </w:rPr>
              <w:t>1,313,869.2</w:t>
            </w:r>
            <w:r>
              <w:rPr>
                <w:rFonts w:ascii="Arial"/>
                <w:sz w:val="18"/>
              </w:rPr>
            </w:r>
          </w:p>
          <w:p>
            <w:pPr>
              <w:pStyle w:val="TableParagraph"/>
              <w:spacing w:line="240" w:lineRule="auto" w:before="105"/>
              <w:ind w:right="21"/>
              <w:jc w:val="right"/>
              <w:rPr>
                <w:rFonts w:ascii="Arial" w:hAnsi="Arial" w:cs="Arial" w:eastAsia="Arial" w:hint="default"/>
                <w:sz w:val="18"/>
                <w:szCs w:val="18"/>
              </w:rPr>
            </w:pPr>
            <w:r>
              <w:rPr>
                <w:rFonts w:ascii="Arial"/>
                <w:sz w:val="18"/>
              </w:rPr>
              <w:t>6</w:t>
            </w: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3"/>
                <w:sz w:val="18"/>
              </w:rPr>
              <w:t>-8,112,759.</w:t>
            </w:r>
            <w:r>
              <w:rPr>
                <w:rFonts w:ascii="Arial"/>
                <w:sz w:val="18"/>
              </w:rPr>
            </w:r>
          </w:p>
          <w:p>
            <w:pPr>
              <w:pStyle w:val="TableParagraph"/>
              <w:spacing w:line="240" w:lineRule="auto" w:before="105"/>
              <w:ind w:right="23"/>
              <w:jc w:val="right"/>
              <w:rPr>
                <w:rFonts w:ascii="Arial" w:hAnsi="Arial" w:cs="Arial" w:eastAsia="Arial" w:hint="default"/>
                <w:sz w:val="18"/>
                <w:szCs w:val="18"/>
              </w:rPr>
            </w:pPr>
            <w:r>
              <w:rPr>
                <w:rFonts w:ascii="Arial"/>
                <w:spacing w:val="-1"/>
                <w:w w:val="95"/>
                <w:sz w:val="18"/>
              </w:rPr>
              <w:t>90</w:t>
            </w:r>
            <w:r>
              <w:rPr>
                <w:rFonts w:ascii="Arial"/>
                <w:w w:val="95"/>
                <w:sz w:val="18"/>
              </w:rPr>
            </w:r>
          </w:p>
        </w:tc>
        <w:tc>
          <w:tcPr>
            <w:tcW w:w="1046"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3"/>
                <w:sz w:val="18"/>
              </w:rPr>
              <w:t>-8,112,759.</w:t>
            </w:r>
            <w:r>
              <w:rPr>
                <w:rFonts w:ascii="Arial"/>
                <w:sz w:val="18"/>
              </w:rPr>
            </w:r>
          </w:p>
          <w:p>
            <w:pPr>
              <w:pStyle w:val="TableParagraph"/>
              <w:spacing w:line="240" w:lineRule="auto" w:before="105"/>
              <w:ind w:right="23"/>
              <w:jc w:val="right"/>
              <w:rPr>
                <w:rFonts w:ascii="Arial" w:hAnsi="Arial" w:cs="Arial" w:eastAsia="Arial" w:hint="default"/>
                <w:sz w:val="18"/>
                <w:szCs w:val="18"/>
              </w:rPr>
            </w:pPr>
            <w:r>
              <w:rPr>
                <w:rFonts w:ascii="Arial"/>
                <w:spacing w:val="-1"/>
                <w:w w:val="95"/>
                <w:sz w:val="18"/>
              </w:rPr>
              <w:t>45</w:t>
            </w:r>
            <w:r>
              <w:rPr>
                <w:rFonts w:ascii="Arial"/>
                <w:w w:val="95"/>
                <w:sz w:val="18"/>
              </w:rPr>
            </w:r>
          </w:p>
        </w:tc>
      </w:tr>
      <w:tr>
        <w:trPr>
          <w:trHeight w:val="311"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理；信息技</w:t>
            </w:r>
          </w:p>
        </w:tc>
        <w:tc>
          <w:tcPr>
            <w:tcW w:w="1045"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术咨询服</w:t>
            </w:r>
          </w:p>
        </w:tc>
        <w:tc>
          <w:tcPr>
            <w:tcW w:w="1045"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054" w:type="dxa"/>
            <w:tcBorders>
              <w:top w:val="nil" w:sz="6" w:space="0" w:color="auto"/>
              <w:left w:val="single" w:sz="4" w:space="0" w:color="000000"/>
              <w:bottom w:val="nil" w:sz="6" w:space="0" w:color="auto"/>
              <w:right w:val="single" w:sz="4" w:space="0" w:color="000000"/>
            </w:tcBorders>
          </w:tcPr>
          <w:p>
            <w:pPr/>
          </w:p>
        </w:tc>
        <w:tc>
          <w:tcPr>
            <w:tcW w:w="1196"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务；对外贸</w:t>
            </w:r>
          </w:p>
        </w:tc>
        <w:tc>
          <w:tcPr>
            <w:tcW w:w="1045" w:type="dxa"/>
            <w:vMerge/>
            <w:tcBorders>
              <w:left w:val="single" w:sz="4" w:space="0" w:color="000000"/>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5" w:type="dxa"/>
            <w:tcBorders>
              <w:top w:val="nil" w:sz="6" w:space="0" w:color="auto"/>
              <w:left w:val="single" w:sz="4" w:space="0" w:color="000000"/>
              <w:bottom w:val="nil" w:sz="6" w:space="0" w:color="auto"/>
              <w:right w:val="single" w:sz="4" w:space="0" w:color="000000"/>
            </w:tcBorders>
          </w:tcPr>
          <w:p>
            <w:pPr/>
          </w:p>
        </w:tc>
        <w:tc>
          <w:tcPr>
            <w:tcW w:w="1046"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1054" w:type="dxa"/>
            <w:tcBorders>
              <w:top w:val="nil" w:sz="6" w:space="0" w:color="auto"/>
              <w:left w:val="single" w:sz="4" w:space="0" w:color="000000"/>
              <w:bottom w:val="single" w:sz="4" w:space="0" w:color="000000"/>
              <w:right w:val="single" w:sz="4" w:space="0" w:color="000000"/>
            </w:tcBorders>
          </w:tcPr>
          <w:p>
            <w:pPr/>
          </w:p>
        </w:tc>
        <w:tc>
          <w:tcPr>
            <w:tcW w:w="1196"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易</w:t>
            </w:r>
          </w:p>
        </w:tc>
        <w:tc>
          <w:tcPr>
            <w:tcW w:w="1045" w:type="dxa"/>
            <w:vMerge/>
            <w:tcBorders>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5" w:type="dxa"/>
            <w:tcBorders>
              <w:top w:val="nil" w:sz="6" w:space="0" w:color="auto"/>
              <w:left w:val="single" w:sz="4" w:space="0" w:color="000000"/>
              <w:bottom w:val="single" w:sz="4" w:space="0" w:color="000000"/>
              <w:right w:val="single" w:sz="4" w:space="0" w:color="000000"/>
            </w:tcBorders>
          </w:tcPr>
          <w:p>
            <w:pPr/>
          </w:p>
        </w:tc>
        <w:tc>
          <w:tcPr>
            <w:tcW w:w="1046" w:type="dxa"/>
            <w:tcBorders>
              <w:top w:val="nil" w:sz="6" w:space="0" w:color="auto"/>
              <w:left w:val="single" w:sz="4" w:space="0" w:color="000000"/>
              <w:bottom w:val="single" w:sz="4" w:space="0" w:color="000000"/>
              <w:right w:val="single" w:sz="4" w:space="0" w:color="000000"/>
            </w:tcBorders>
          </w:tcPr>
          <w:p>
            <w:pPr/>
          </w:p>
        </w:tc>
      </w:tr>
    </w:tbl>
    <w:p>
      <w:pPr>
        <w:pStyle w:val="BodyText"/>
        <w:spacing w:line="240" w:lineRule="auto" w:before="51"/>
        <w:ind w:right="2239"/>
        <w:jc w:val="left"/>
      </w:pPr>
      <w:r>
        <w:rPr/>
        <w:pict>
          <v:group style="position:absolute;margin-left:221.699997pt;margin-top:-176.117966pt;width:51.75pt;height:106pt;mso-position-horizontal-relative:page;mso-position-vertical-relative:paragraph;z-index:-1406344" coordorigin="4434,-3522" coordsize="1035,2120">
            <v:group style="position:absolute;left:4445;top:-2118;width:2;height:704" coordorigin="4445,-2118" coordsize="2,704">
              <v:shape style="position:absolute;left:4445;top:-2118;width:2;height:704" coordorigin="4445,-2118" coordsize="0,704" path="m4445,-2118l4445,-1414e" filled="false" stroked="true" strokeweight="1.140pt" strokecolor="#ffffff">
                <v:path arrowok="t"/>
              </v:shape>
            </v:group>
            <v:group style="position:absolute;left:4434;top:-3522;width:1035;height:1404" coordorigin="4434,-3522" coordsize="1035,1404">
              <v:shape style="position:absolute;left:4434;top:-3522;width:1035;height:1404" coordorigin="4434,-3522" coordsize="1035,1404" path="m4434,-2118l5468,-2118,5468,-3522,4434,-3522,4434,-2118xe" filled="true" fillcolor="#ffffff" stroked="false">
                <v:path arrowok="t"/>
                <v:fill type="solid"/>
              </v:shape>
            </v:group>
            <v:group style="position:absolute;left:4457;top:-2118;width:989;height:352" coordorigin="4457,-2118" coordsize="989,352">
              <v:shape style="position:absolute;left:4457;top:-2118;width:989;height:352" coordorigin="4457,-2118" coordsize="989,352" path="m4457,-1767l5446,-1767,5446,-2118,4457,-2118,4457,-1767xe" filled="true" fillcolor="#ffffff" stroked="false">
                <v:path arrowok="t"/>
                <v:fill type="solid"/>
              </v:shape>
            </v:group>
            <v:group style="position:absolute;left:4457;top:-1767;width:989;height:353" coordorigin="4457,-1767" coordsize="989,353">
              <v:shape style="position:absolute;left:4457;top:-1767;width:989;height:353" coordorigin="4457,-1767" coordsize="989,353" path="m4457,-1414l5446,-1414,5446,-1767,4457,-1767,4457,-1414xe" filled="true" fillcolor="#ffffff" stroked="false">
                <v:path arrowok="t"/>
                <v:fill type="solid"/>
              </v:shape>
            </v:group>
            <w10:wrap type="none"/>
          </v:group>
        </w:pict>
      </w:r>
      <w:r>
        <w:rPr/>
        <w:t>报告期内取得和处置子公司的情况</w:t>
      </w:r>
    </w:p>
    <w:p>
      <w:pPr>
        <w:pStyle w:val="BodyText"/>
        <w:spacing w:line="240" w:lineRule="auto" w:before="117"/>
        <w:ind w:left="153"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0" w:right="0"/>
              <w:jc w:val="left"/>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20" w:right="0"/>
              <w:jc w:val="left"/>
              <w:rPr>
                <w:rFonts w:ascii="宋体" w:hAnsi="宋体" w:cs="宋体" w:eastAsia="宋体" w:hint="default"/>
                <w:sz w:val="18"/>
                <w:szCs w:val="18"/>
              </w:rPr>
            </w:pPr>
            <w:r>
              <w:rPr>
                <w:rFonts w:ascii="宋体" w:hAnsi="宋体" w:cs="宋体" w:eastAsia="宋体" w:hint="default"/>
                <w:sz w:val="18"/>
                <w:szCs w:val="18"/>
              </w:rPr>
              <w:t>对整体生产经营和业绩的影响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浙江检榕网络科技有限公司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榕基国计（北京）信息技术有限公司</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注销</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无重大影响</w:t>
            </w:r>
          </w:p>
        </w:tc>
      </w:tr>
    </w:tbl>
    <w:p>
      <w:pPr>
        <w:pStyle w:val="BodyText"/>
        <w:spacing w:line="240" w:lineRule="auto" w:before="51"/>
        <w:ind w:right="2239"/>
        <w:jc w:val="left"/>
      </w:pPr>
      <w:r>
        <w:rPr/>
        <w:t>主要控股参股公司情况说明</w:t>
      </w:r>
    </w:p>
    <w:p>
      <w:pPr>
        <w:spacing w:line="240" w:lineRule="auto" w:before="1"/>
        <w:rPr>
          <w:rFonts w:ascii="宋体" w:hAnsi="宋体" w:cs="宋体" w:eastAsia="宋体" w:hint="default"/>
          <w:sz w:val="25"/>
          <w:szCs w:val="25"/>
        </w:rPr>
      </w:pPr>
    </w:p>
    <w:p>
      <w:pPr>
        <w:pStyle w:val="Heading2"/>
        <w:spacing w:line="240" w:lineRule="auto"/>
        <w:ind w:right="2239"/>
        <w:jc w:val="left"/>
        <w:rPr>
          <w:b w:val="0"/>
          <w:bCs w:val="0"/>
        </w:rPr>
      </w:pPr>
      <w:r>
        <w:rPr/>
        <w:t>八、公司控制的结构化主体情况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2239"/>
        <w:jc w:val="left"/>
        <w:rPr>
          <w:b w:val="0"/>
          <w:bCs w:val="0"/>
        </w:rPr>
      </w:pPr>
      <w:r>
        <w:rPr/>
        <w:t>九、公司未来发展的展望</w:t>
      </w:r>
      <w:r>
        <w:rPr>
          <w:b w:val="0"/>
          <w:bCs w:val="0"/>
        </w:rPr>
      </w:r>
    </w:p>
    <w:p>
      <w:pPr>
        <w:spacing w:line="240" w:lineRule="auto" w:before="7"/>
        <w:rPr>
          <w:rFonts w:ascii="宋体" w:hAnsi="宋体" w:cs="宋体" w:eastAsia="宋体" w:hint="default"/>
          <w:b/>
          <w:bCs/>
          <w:sz w:val="26"/>
          <w:szCs w:val="26"/>
        </w:rPr>
      </w:pPr>
    </w:p>
    <w:p>
      <w:pPr>
        <w:pStyle w:val="BodyText"/>
        <w:spacing w:line="348" w:lineRule="auto"/>
        <w:ind w:left="513" w:right="6071"/>
        <w:jc w:val="left"/>
      </w:pPr>
      <w:r>
        <w:rPr>
          <w:rFonts w:ascii="Arial" w:hAnsi="Arial" w:cs="Arial" w:eastAsia="Arial" w:hint="default"/>
        </w:rPr>
        <w:t>1</w:t>
      </w:r>
      <w:r>
        <w:rPr/>
        <w:t>、行业竞争格局和发展趋势 公司所属行业为信息产业中的软件和信息技术服务业。</w:t>
      </w:r>
    </w:p>
    <w:p>
      <w:pPr>
        <w:pStyle w:val="BodyText"/>
        <w:spacing w:line="240" w:lineRule="auto" w:before="43"/>
        <w:ind w:left="513" w:right="0"/>
        <w:jc w:val="left"/>
      </w:pPr>
      <w:r>
        <w:rPr/>
        <w:t>国内软件和信息技术服务业作为</w:t>
      </w:r>
      <w:r>
        <w:rPr>
          <w:rFonts w:ascii="Arial" w:hAnsi="Arial" w:cs="Arial" w:eastAsia="Arial" w:hint="default"/>
        </w:rPr>
        <w:t>“</w:t>
      </w:r>
      <w:r>
        <w:rPr/>
        <w:t>战略性新兴产业</w:t>
      </w:r>
      <w:r>
        <w:rPr>
          <w:rFonts w:ascii="Arial" w:hAnsi="Arial" w:cs="Arial" w:eastAsia="Arial" w:hint="default"/>
        </w:rPr>
        <w:t>”</w:t>
      </w:r>
      <w:r>
        <w:rPr/>
        <w:t>，受益于国家对新一代信息技术产业持续的政策和资金扶持，市场规</w:t>
      </w:r>
    </w:p>
    <w:p>
      <w:pPr>
        <w:spacing w:after="0" w:line="240"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3" w:right="1131"/>
        <w:jc w:val="both"/>
      </w:pPr>
      <w:r>
        <w:rPr>
          <w:spacing w:val="-2"/>
        </w:rPr>
        <w:t>模持续扩大。同时，国民经济的发展和社会信息化的建设，引导社会各方面力量向软件产业领域持续投入，也将为软件产业</w:t>
      </w:r>
      <w:r>
        <w:rPr>
          <w:spacing w:val="-66"/>
        </w:rPr>
        <w:t> </w:t>
      </w:r>
      <w:r>
        <w:rPr>
          <w:spacing w:val="-66"/>
        </w:rPr>
      </w:r>
      <w:r>
        <w:rPr>
          <w:spacing w:val="-2"/>
        </w:rPr>
        <w:t>的发展提供巨大的需求。未来，国家将继续加大对信息技术应用创新的支持力度，汇聚产业资源，促进技术创新，推动信息</w:t>
      </w:r>
      <w:r>
        <w:rPr>
          <w:spacing w:val="-66"/>
        </w:rPr>
        <w:t> </w:t>
      </w:r>
      <w:r>
        <w:rPr>
          <w:spacing w:val="-66"/>
        </w:rPr>
      </w:r>
      <w:r>
        <w:rPr>
          <w:spacing w:val="-2"/>
        </w:rPr>
        <w:t>技术新产品和技术在更多领域应用推广，信息领域新产品、新服务、新业态将大量涌现，在云计算、大数据、物联网、移动</w:t>
      </w:r>
      <w:r>
        <w:rPr>
          <w:spacing w:val="-65"/>
        </w:rPr>
        <w:t> </w:t>
      </w:r>
      <w:r>
        <w:rPr>
          <w:spacing w:val="-65"/>
        </w:rPr>
      </w:r>
      <w:r>
        <w:rPr>
          <w:spacing w:val="-2"/>
        </w:rPr>
        <w:t>互联网等新一代信息技术驱动下，将进一步加快软件业向服务化转型的步伐，使社会各领域信息化水平持续提升。围绕着智</w:t>
      </w:r>
      <w:r>
        <w:rPr>
          <w:spacing w:val="-66"/>
        </w:rPr>
        <w:t> </w:t>
      </w:r>
      <w:r>
        <w:rPr>
          <w:spacing w:val="-66"/>
        </w:rPr>
      </w:r>
      <w:r>
        <w:rPr>
          <w:spacing w:val="-2"/>
        </w:rPr>
        <w:t>慧城市建设、信息惠民工程建设，民生服务应用、政府信息化、信息基础设施建设等新的市场需求将不断被激发，为中国软</w:t>
      </w:r>
      <w:r>
        <w:rPr>
          <w:spacing w:val="-66"/>
        </w:rPr>
        <w:t> </w:t>
      </w:r>
      <w:r>
        <w:rPr>
          <w:spacing w:val="-66"/>
        </w:rPr>
      </w:r>
      <w:r>
        <w:rPr/>
        <w:t>件企业带来新的市场机遇和发展活力。</w:t>
      </w:r>
    </w:p>
    <w:p>
      <w:pPr>
        <w:pStyle w:val="BodyText"/>
        <w:spacing w:line="348" w:lineRule="auto" w:before="67"/>
        <w:ind w:left="513" w:right="0"/>
        <w:jc w:val="left"/>
      </w:pPr>
      <w:r>
        <w:rPr>
          <w:rFonts w:ascii="Arial" w:hAnsi="Arial" w:cs="Arial" w:eastAsia="Arial" w:hint="default"/>
        </w:rPr>
        <w:t>2</w:t>
      </w:r>
      <w:r>
        <w:rPr/>
        <w:t>、公司发展战略 </w:t>
      </w:r>
      <w:r>
        <w:rPr>
          <w:spacing w:val="-2"/>
        </w:rPr>
        <w:t>公司将紧抓软件服务行业云计算、物联网、移动互联网、大数据、智慧城市等新一代信息技术对传统行业信息化的升级</w:t>
      </w:r>
    </w:p>
    <w:p>
      <w:pPr>
        <w:pStyle w:val="BodyText"/>
        <w:spacing w:line="302" w:lineRule="auto"/>
        <w:ind w:left="153" w:right="1131"/>
        <w:jc w:val="both"/>
      </w:pPr>
      <w:r>
        <w:rPr>
          <w:spacing w:val="-1"/>
        </w:rPr>
        <w:t>改造和迁移的发展趋势，继续推动</w:t>
      </w:r>
      <w:r>
        <w:rPr>
          <w:rFonts w:ascii="Arial" w:hAnsi="Arial" w:cs="Arial" w:eastAsia="Arial" w:hint="default"/>
          <w:spacing w:val="-1"/>
        </w:rPr>
        <w:t>“</w:t>
      </w:r>
      <w:r>
        <w:rPr>
          <w:spacing w:val="-1"/>
        </w:rPr>
        <w:t>行业化、产品化、服务化</w:t>
      </w:r>
      <w:r>
        <w:rPr>
          <w:rFonts w:ascii="Arial" w:hAnsi="Arial" w:cs="Arial" w:eastAsia="Arial" w:hint="default"/>
          <w:spacing w:val="-1"/>
        </w:rPr>
        <w:t>”</w:t>
      </w:r>
      <w:r>
        <w:rPr>
          <w:spacing w:val="-1"/>
        </w:rPr>
        <w:t>发展战略，坚持技术创新，带动软件平台化和服务化商业模式</w:t>
      </w:r>
      <w:r>
        <w:rPr>
          <w:spacing w:val="-59"/>
        </w:rPr>
        <w:t> </w:t>
      </w:r>
      <w:r>
        <w:rPr>
          <w:spacing w:val="-59"/>
        </w:rPr>
      </w:r>
      <w:r>
        <w:rPr/>
        <w:t>创新，培育新的利润增长点，推动公司持续成长，实现规模化、跨越式发展。</w:t>
      </w:r>
    </w:p>
    <w:p>
      <w:pPr>
        <w:pStyle w:val="BodyText"/>
        <w:spacing w:line="240" w:lineRule="auto" w:before="77"/>
        <w:ind w:left="513" w:right="2239"/>
        <w:jc w:val="left"/>
      </w:pPr>
      <w:r>
        <w:rPr>
          <w:rFonts w:ascii="Arial" w:hAnsi="Arial" w:cs="Arial" w:eastAsia="Arial" w:hint="default"/>
        </w:rPr>
        <w:t>3</w:t>
      </w:r>
      <w:r>
        <w:rPr/>
        <w:t>、</w:t>
      </w:r>
      <w:r>
        <w:rPr>
          <w:rFonts w:ascii="Arial" w:hAnsi="Arial" w:cs="Arial" w:eastAsia="Arial" w:hint="default"/>
        </w:rPr>
        <w:t>2020</w:t>
      </w:r>
      <w:r>
        <w:rPr/>
        <w:t>年经营计划</w:t>
      </w:r>
    </w:p>
    <w:p>
      <w:pPr>
        <w:pStyle w:val="BodyText"/>
        <w:spacing w:line="302" w:lineRule="auto" w:before="111"/>
        <w:ind w:left="153" w:right="1130" w:firstLine="360"/>
        <w:jc w:val="both"/>
      </w:pPr>
      <w:r>
        <w:rPr>
          <w:rFonts w:ascii="Arial" w:hAnsi="Arial" w:cs="Arial" w:eastAsia="Arial" w:hint="default"/>
        </w:rPr>
        <w:t>2020</w:t>
      </w:r>
      <w:r>
        <w:rPr>
          <w:rFonts w:ascii="Arial" w:hAnsi="Arial" w:cs="Arial" w:eastAsia="Arial" w:hint="default"/>
          <w:spacing w:val="6"/>
        </w:rPr>
        <w:t> </w:t>
      </w:r>
      <w:r>
        <w:rPr/>
        <w:t>年，公司将努力扩大收入规模，提升细分业务领域的盈利水平。同时公司选择和公司当前业务、技术背景较为接 近且市场潜力较大的信创工程、互联网</w:t>
      </w:r>
      <w:r>
        <w:rPr>
          <w:rFonts w:ascii="Arial" w:hAnsi="Arial" w:cs="Arial" w:eastAsia="Arial" w:hint="default"/>
        </w:rPr>
        <w:t>+</w:t>
      </w:r>
      <w:r>
        <w:rPr/>
        <w:t>政务、金关工程、互联网</w:t>
      </w:r>
      <w:r>
        <w:rPr>
          <w:rFonts w:ascii="Arial" w:hAnsi="Arial" w:cs="Arial" w:eastAsia="Arial" w:hint="default"/>
        </w:rPr>
        <w:t>+</w:t>
      </w:r>
      <w:r>
        <w:rPr/>
        <w:t>党建、物联网平台、中小企业服务平台等作为新的突破</w:t>
      </w:r>
      <w:r>
        <w:rPr>
          <w:spacing w:val="-36"/>
        </w:rPr>
        <w:t> </w:t>
      </w:r>
      <w:r>
        <w:rPr>
          <w:spacing w:val="-36"/>
        </w:rPr>
      </w:r>
      <w:r>
        <w:rPr/>
        <w:t>方向，优化产业链布局，保持对关键业务和技术的投入力度，为未来发展奠定坚实基础。</w:t>
      </w:r>
    </w:p>
    <w:p>
      <w:pPr>
        <w:pStyle w:val="BodyText"/>
        <w:spacing w:line="302" w:lineRule="auto" w:before="76"/>
        <w:ind w:left="153" w:right="1128" w:firstLine="360"/>
        <w:jc w:val="both"/>
      </w:pPr>
      <w:r>
        <w:rPr/>
        <w:t>（</w:t>
      </w:r>
      <w:r>
        <w:rPr>
          <w:rFonts w:ascii="Arial" w:hAnsi="Arial" w:cs="Arial" w:eastAsia="Arial" w:hint="default"/>
        </w:rPr>
        <w:t>1</w:t>
      </w:r>
      <w:r>
        <w:rPr/>
        <w:t>）继续在重点发展行业巩固现有优势，加强顶层设计，以产品化和行业化思路强化行业布局；在持续跟进行业，以 持续创新的思路规划解决方案、产品和服务，逐步扩大核心业务比例。</w:t>
      </w:r>
    </w:p>
    <w:p>
      <w:pPr>
        <w:pStyle w:val="BodyText"/>
        <w:spacing w:line="309" w:lineRule="auto" w:before="77"/>
        <w:ind w:left="153" w:right="1127" w:firstLine="360"/>
        <w:jc w:val="both"/>
      </w:pPr>
      <w:r>
        <w:rPr/>
        <w:t>（</w:t>
      </w:r>
      <w:r>
        <w:rPr>
          <w:rFonts w:ascii="Arial" w:hAnsi="Arial" w:cs="Arial" w:eastAsia="Arial" w:hint="default"/>
        </w:rPr>
        <w:t>2</w:t>
      </w:r>
      <w:r>
        <w:rPr/>
        <w:t>）公司将进一步贯彻</w:t>
      </w:r>
      <w:r>
        <w:rPr>
          <w:rFonts w:ascii="Arial" w:hAnsi="Arial" w:cs="Arial" w:eastAsia="Arial" w:hint="default"/>
        </w:rPr>
        <w:t>“</w:t>
      </w:r>
      <w:r>
        <w:rPr/>
        <w:t>行业化、产品化、服务化</w:t>
      </w:r>
      <w:r>
        <w:rPr>
          <w:rFonts w:ascii="Arial" w:hAnsi="Arial" w:cs="Arial" w:eastAsia="Arial" w:hint="default"/>
        </w:rPr>
        <w:t>”</w:t>
      </w:r>
      <w:r>
        <w:rPr/>
        <w:t>的经营战略创新，继续坚持以市场为导向、以企业技术中心为核心</w:t>
      </w:r>
      <w:r>
        <w:rPr>
          <w:spacing w:val="1"/>
        </w:rPr>
        <w:t> </w:t>
      </w:r>
      <w:r>
        <w:rPr>
          <w:spacing w:val="-2"/>
        </w:rPr>
        <w:t>的自主创新体系，健全创新机制，加强人才队伍培养和引进，提升优势领域软件产品的研发和产业化速度，推动商业模式创</w:t>
      </w:r>
      <w:r>
        <w:rPr>
          <w:spacing w:val="-66"/>
        </w:rPr>
        <w:t> </w:t>
      </w:r>
      <w:r>
        <w:rPr>
          <w:spacing w:val="-66"/>
        </w:rPr>
      </w:r>
      <w:r>
        <w:rPr/>
        <w:t>新，推动逐步发展新的利润增长点。</w:t>
      </w:r>
    </w:p>
    <w:p>
      <w:pPr>
        <w:pStyle w:val="BodyText"/>
        <w:spacing w:line="302" w:lineRule="auto" w:before="72"/>
        <w:ind w:left="153" w:right="1038" w:firstLine="360"/>
        <w:jc w:val="both"/>
      </w:pPr>
      <w:r>
        <w:rPr>
          <w:spacing w:val="-1"/>
        </w:rPr>
        <w:t>（</w:t>
      </w:r>
      <w:r>
        <w:rPr>
          <w:rFonts w:ascii="Arial" w:hAnsi="Arial" w:cs="Arial" w:eastAsia="Arial" w:hint="default"/>
          <w:spacing w:val="-1"/>
        </w:rPr>
        <w:t>3</w:t>
      </w:r>
      <w:r>
        <w:rPr>
          <w:spacing w:val="-1"/>
        </w:rPr>
        <w:t>）公司坚持</w:t>
      </w:r>
      <w:r>
        <w:rPr>
          <w:rFonts w:ascii="Arial" w:hAnsi="Arial" w:cs="Arial" w:eastAsia="Arial" w:hint="default"/>
          <w:spacing w:val="-1"/>
        </w:rPr>
        <w:t>“</w:t>
      </w:r>
      <w:r>
        <w:rPr>
          <w:spacing w:val="-1"/>
        </w:rPr>
        <w:t>以人为本</w:t>
      </w:r>
      <w:r>
        <w:rPr>
          <w:rFonts w:ascii="Arial" w:hAnsi="Arial" w:cs="Arial" w:eastAsia="Arial" w:hint="default"/>
          <w:spacing w:val="-1"/>
        </w:rPr>
        <w:t>”</w:t>
      </w:r>
      <w:r>
        <w:rPr>
          <w:spacing w:val="-1"/>
        </w:rPr>
        <w:t>的基本管理思想，建立科学、快速的利益响应机制，稳定公司核心骨干，引进中高层次人才，</w:t>
      </w:r>
      <w:r>
        <w:rPr/>
        <w:t> 优化人才结构，建立适合公司的激励机制。</w:t>
      </w:r>
    </w:p>
    <w:p>
      <w:pPr>
        <w:pStyle w:val="BodyText"/>
        <w:spacing w:line="302" w:lineRule="auto" w:before="77"/>
        <w:ind w:left="153" w:right="1128" w:firstLine="360"/>
        <w:jc w:val="both"/>
      </w:pPr>
      <w:r>
        <w:rPr/>
        <w:t>（</w:t>
      </w:r>
      <w:r>
        <w:rPr>
          <w:rFonts w:ascii="Arial" w:hAnsi="Arial" w:cs="Arial" w:eastAsia="Arial" w:hint="default"/>
        </w:rPr>
        <w:t>4</w:t>
      </w:r>
      <w:r>
        <w:rPr/>
        <w:t>）在技术创新方面，公司将加大在所处领域的核心产品和技术研发及产业化投入，不断增强技术实力，保持行业技 术领先水平，增强企业的核心竞争能力，为公司的成长提供产品和技术优势。</w:t>
      </w:r>
    </w:p>
    <w:p>
      <w:pPr>
        <w:pStyle w:val="BodyText"/>
        <w:spacing w:line="309" w:lineRule="auto" w:before="77"/>
        <w:ind w:left="153" w:right="1128" w:firstLine="360"/>
        <w:jc w:val="both"/>
      </w:pPr>
      <w:r>
        <w:rPr/>
        <w:t>（</w:t>
      </w:r>
      <w:r>
        <w:rPr>
          <w:rFonts w:ascii="Arial" w:hAnsi="Arial" w:cs="Arial" w:eastAsia="Arial" w:hint="default"/>
        </w:rPr>
        <w:t>5</w:t>
      </w:r>
      <w:r>
        <w:rPr/>
        <w:t>）在市场营销与服务体系建设方面，公司已初步建立以北京为指挥中心、遍布全国的营销和服务网络体系，公司将 </w:t>
      </w:r>
      <w:r>
        <w:rPr>
          <w:spacing w:val="-2"/>
        </w:rPr>
        <w:t>继续完善北京、上海、河南、浙江等区域中心体系建设，增强运维服务网点营销服务能力，继续完善产品代理体系，加大品</w:t>
      </w:r>
      <w:r>
        <w:rPr>
          <w:spacing w:val="-67"/>
        </w:rPr>
        <w:t> </w:t>
      </w:r>
      <w:r>
        <w:rPr>
          <w:spacing w:val="-67"/>
        </w:rPr>
      </w:r>
      <w:r>
        <w:rPr/>
        <w:t>牌宣传力度，促进公司规模化发展。</w:t>
      </w:r>
    </w:p>
    <w:p>
      <w:pPr>
        <w:pStyle w:val="BodyText"/>
        <w:spacing w:line="240" w:lineRule="auto" w:before="71"/>
        <w:ind w:left="513" w:right="2239"/>
        <w:jc w:val="left"/>
      </w:pPr>
      <w:r>
        <w:rPr>
          <w:rFonts w:ascii="Arial" w:hAnsi="Arial" w:cs="Arial" w:eastAsia="Arial" w:hint="default"/>
        </w:rPr>
        <w:t>4</w:t>
      </w:r>
      <w:r>
        <w:rPr/>
        <w:t>、未来面对的风险及应对措施</w:t>
      </w:r>
    </w:p>
    <w:p>
      <w:pPr>
        <w:pStyle w:val="BodyText"/>
        <w:spacing w:line="348" w:lineRule="auto" w:before="111"/>
        <w:ind w:left="513" w:right="0"/>
        <w:jc w:val="left"/>
      </w:pPr>
      <w:r>
        <w:rPr/>
        <w:t>（</w:t>
      </w:r>
      <w:r>
        <w:rPr>
          <w:rFonts w:ascii="Arial" w:hAnsi="Arial" w:cs="Arial" w:eastAsia="Arial" w:hint="default"/>
        </w:rPr>
        <w:t>1</w:t>
      </w:r>
      <w:r>
        <w:rPr/>
        <w:t>）宏观经济波动的风险 </w:t>
      </w:r>
      <w:r>
        <w:rPr>
          <w:spacing w:val="-2"/>
        </w:rPr>
        <w:t>新型冠状病毒肺炎疫情引起的宏观经济的波动对公司经营带来一定的风险。公司坚持致力于成为中国民族软件产业的旗</w:t>
      </w:r>
    </w:p>
    <w:p>
      <w:pPr>
        <w:pStyle w:val="BodyText"/>
        <w:spacing w:line="316" w:lineRule="auto"/>
        <w:ind w:left="153" w:right="1131"/>
        <w:jc w:val="both"/>
      </w:pPr>
      <w:r>
        <w:rPr>
          <w:spacing w:val="-2"/>
        </w:rPr>
        <w:t>帜性企业之一，实现持续经营的理念，加快研发和应用技术创新，持续巩固电子政务、协同管理等领域的综合竞争优势，不</w:t>
      </w:r>
      <w:r>
        <w:rPr>
          <w:spacing w:val="-66"/>
        </w:rPr>
        <w:t> </w:t>
      </w:r>
      <w:r>
        <w:rPr>
          <w:spacing w:val="-66"/>
        </w:rPr>
      </w:r>
      <w:r>
        <w:rPr>
          <w:spacing w:val="-2"/>
        </w:rPr>
        <w:t>断在信创工程、大数据、物联网技术为基础的新业务上打造出有竞争力的综合解决方案，通过增强内生创新能力与更广泛的</w:t>
      </w:r>
      <w:r>
        <w:rPr>
          <w:spacing w:val="-66"/>
        </w:rPr>
        <w:t> </w:t>
      </w:r>
      <w:r>
        <w:rPr>
          <w:spacing w:val="-66"/>
        </w:rPr>
      </w:r>
      <w:r>
        <w:rPr/>
        <w:t>市场拓展，增强企业抵御外部风险的能力。</w:t>
      </w:r>
    </w:p>
    <w:p>
      <w:pPr>
        <w:pStyle w:val="BodyText"/>
        <w:spacing w:line="348" w:lineRule="auto" w:before="67"/>
        <w:ind w:left="513" w:right="0"/>
        <w:jc w:val="left"/>
      </w:pPr>
      <w:r>
        <w:rPr/>
        <w:t>（</w:t>
      </w:r>
      <w:r>
        <w:rPr>
          <w:rFonts w:ascii="Arial" w:hAnsi="Arial" w:cs="Arial" w:eastAsia="Arial" w:hint="default"/>
        </w:rPr>
        <w:t>2</w:t>
      </w:r>
      <w:r>
        <w:rPr/>
        <w:t>）行业技术风险 </w:t>
      </w:r>
      <w:r>
        <w:rPr>
          <w:spacing w:val="-2"/>
        </w:rPr>
        <w:t>伴随云计算、大数据、人工智能、物联网、区块链等各种创新技术的发展融合，客户对产品融合性要求趋于专业化和个</w:t>
      </w:r>
    </w:p>
    <w:p>
      <w:pPr>
        <w:pStyle w:val="BodyText"/>
        <w:spacing w:line="316" w:lineRule="auto"/>
        <w:ind w:left="153" w:right="1131"/>
        <w:jc w:val="both"/>
      </w:pPr>
      <w:r>
        <w:rPr>
          <w:spacing w:val="-2"/>
        </w:rPr>
        <w:t>性化以及公司规模化扩张对公司保持持续的技术领先提出了更高的要求。公司将继续跟踪、学习和应用新的技术，准确把握</w:t>
      </w:r>
      <w:r>
        <w:rPr>
          <w:spacing w:val="-66"/>
        </w:rPr>
        <w:t> </w:t>
      </w:r>
      <w:r>
        <w:rPr>
          <w:spacing w:val="-66"/>
        </w:rPr>
      </w:r>
      <w:r>
        <w:rPr>
          <w:spacing w:val="-2"/>
        </w:rPr>
        <w:t>国际信息技术发展趋势，继续积极开发具有自有知识产权的新产品，开发出功能和性能更加完善的新产品，以满足客户更加</w:t>
      </w:r>
      <w:r>
        <w:rPr>
          <w:spacing w:val="-66"/>
        </w:rPr>
        <w:t> </w:t>
      </w:r>
      <w:r>
        <w:rPr>
          <w:spacing w:val="-66"/>
        </w:rPr>
      </w:r>
      <w:r>
        <w:rPr/>
        <w:t>多样化、个性化的需求。</w:t>
      </w:r>
    </w:p>
    <w:p>
      <w:pPr>
        <w:pStyle w:val="BodyText"/>
        <w:spacing w:line="348" w:lineRule="auto" w:before="67"/>
        <w:ind w:left="513" w:right="0"/>
        <w:jc w:val="left"/>
      </w:pPr>
      <w:r>
        <w:rPr/>
        <w:t>（</w:t>
      </w:r>
      <w:r>
        <w:rPr>
          <w:rFonts w:ascii="Arial" w:hAnsi="Arial" w:cs="Arial" w:eastAsia="Arial" w:hint="default"/>
        </w:rPr>
        <w:t>3</w:t>
      </w:r>
      <w:r>
        <w:rPr/>
        <w:t>）公司管理能力风险 </w:t>
      </w:r>
      <w:r>
        <w:rPr>
          <w:spacing w:val="-2"/>
        </w:rPr>
        <w:t>随着公司业务规模的扩大，人员的增长，对运营管控能力提出更高的要求。如果公司管理能力不能跟上规模和人员发展</w:t>
      </w:r>
    </w:p>
    <w:p>
      <w:pPr>
        <w:pStyle w:val="BodyText"/>
        <w:spacing w:line="367" w:lineRule="auto"/>
        <w:ind w:left="513" w:right="0" w:hanging="360"/>
        <w:jc w:val="left"/>
      </w:pPr>
      <w:r>
        <w:rPr/>
        <w:t>的要求，将会对公司业绩产生影响。 </w:t>
      </w:r>
      <w:r>
        <w:rPr>
          <w:spacing w:val="-2"/>
        </w:rPr>
        <w:t>公司将通过进一步完善法人治理结构，建立健全的内部组织结构，细化内控的具体执行办法，完成对相关人员的业务和</w:t>
      </w:r>
    </w:p>
    <w:p>
      <w:pPr>
        <w:pStyle w:val="BodyText"/>
        <w:spacing w:line="217" w:lineRule="exact"/>
        <w:ind w:left="153" w:right="0"/>
        <w:jc w:val="both"/>
      </w:pPr>
      <w:r>
        <w:rPr/>
        <w:t>风险防范培训、考核、监督与评价工作等方式从而避免在公司管理能力出现的风险，积极应对公司规模扩张带来的挑战。</w:t>
      </w:r>
    </w:p>
    <w:p>
      <w:pPr>
        <w:spacing w:after="0" w:line="217" w:lineRule="exact"/>
        <w:jc w:val="both"/>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48" w:lineRule="auto" w:before="44"/>
        <w:ind w:left="513" w:right="0"/>
        <w:jc w:val="left"/>
      </w:pPr>
      <w:r>
        <w:rPr/>
        <w:t>（</w:t>
      </w:r>
      <w:r>
        <w:rPr>
          <w:rFonts w:ascii="Arial" w:hAnsi="Arial" w:cs="Arial" w:eastAsia="Arial" w:hint="default"/>
        </w:rPr>
        <w:t>4</w:t>
      </w:r>
      <w:r>
        <w:rPr/>
        <w:t>）新业务投入风险 </w:t>
      </w:r>
      <w:r>
        <w:rPr>
          <w:spacing w:val="-1"/>
        </w:rPr>
        <w:t>公司依照发展战略及面临的市场形势，</w:t>
      </w:r>
      <w:r>
        <w:rPr>
          <w:rFonts w:ascii="Arial" w:hAnsi="Arial" w:cs="Arial" w:eastAsia="Arial" w:hint="default"/>
          <w:spacing w:val="-1"/>
        </w:rPr>
        <w:t>2020</w:t>
      </w:r>
      <w:r>
        <w:rPr>
          <w:spacing w:val="-1"/>
        </w:rPr>
        <w:t>年将继续保持新业务的投入力度。新业务的投入会相应增加公司经营成本，</w:t>
      </w:r>
    </w:p>
    <w:p>
      <w:pPr>
        <w:pStyle w:val="BodyText"/>
        <w:spacing w:line="209" w:lineRule="exact"/>
        <w:ind w:right="2239"/>
        <w:jc w:val="left"/>
      </w:pPr>
      <w:r>
        <w:rPr/>
        <w:t>如遭遇重大市场环境变化，有可能达不到预期的投资目标。</w:t>
      </w:r>
    </w:p>
    <w:p>
      <w:pPr>
        <w:pStyle w:val="BodyText"/>
        <w:spacing w:line="319" w:lineRule="auto" w:before="124"/>
        <w:ind w:right="1041" w:firstLine="360"/>
        <w:jc w:val="both"/>
      </w:pPr>
      <w:r>
        <w:rPr>
          <w:spacing w:val="-4"/>
        </w:rPr>
        <w:t>公司将通过跟踪新业务市场发展趋势，定期进行新业务研讨、严格审核大额新业务投入等措施提高新业务开展的预见性，</w:t>
      </w:r>
      <w:r>
        <w:rPr/>
        <w:t> 降低由此带来的经营风险。</w:t>
      </w:r>
    </w:p>
    <w:p>
      <w:pPr>
        <w:pStyle w:val="BodyText"/>
        <w:spacing w:line="348" w:lineRule="auto" w:before="64"/>
        <w:ind w:left="514" w:right="0"/>
        <w:jc w:val="left"/>
      </w:pPr>
      <w:r>
        <w:rPr/>
        <w:t>（</w:t>
      </w:r>
      <w:r>
        <w:rPr>
          <w:rFonts w:ascii="Arial" w:hAnsi="Arial" w:cs="Arial" w:eastAsia="Arial" w:hint="default"/>
        </w:rPr>
        <w:t>5</w:t>
      </w:r>
      <w:r>
        <w:rPr/>
        <w:t>）人力资源风险 </w:t>
      </w:r>
      <w:r>
        <w:rPr>
          <w:spacing w:val="-2"/>
        </w:rPr>
        <w:t>公司规模的迅速扩张带来人才上的瓶颈，高端人才比较紧缺仍然是公司目前存在的主要困难，特别是研发人员扩张速度</w:t>
      </w:r>
    </w:p>
    <w:p>
      <w:pPr>
        <w:pStyle w:val="BodyText"/>
        <w:spacing w:line="232" w:lineRule="exact"/>
        <w:ind w:right="0"/>
        <w:jc w:val="left"/>
      </w:pPr>
      <w:r>
        <w:rPr/>
        <w:t>跟不上公司业务规模的扩张，导致公司潜在的新用户的需求得不到很好的满足，这可能会使公司失去一些市场机会。</w:t>
      </w:r>
    </w:p>
    <w:p>
      <w:pPr>
        <w:pStyle w:val="BodyText"/>
        <w:spacing w:line="309" w:lineRule="auto" w:before="115"/>
        <w:ind w:right="1127" w:firstLine="360"/>
        <w:jc w:val="both"/>
      </w:pPr>
      <w:r>
        <w:rPr>
          <w:rFonts w:ascii="Arial" w:hAnsi="Arial" w:cs="Arial" w:eastAsia="Arial" w:hint="default"/>
        </w:rPr>
        <w:t>2020</w:t>
      </w:r>
      <w:r>
        <w:rPr/>
        <w:t>年度公司将继续从人才培养和激励机制两方面来完善公司人才建设，建立多层次培训体系、薪酬体系和有效的激</w:t>
      </w:r>
      <w:r>
        <w:rPr>
          <w:spacing w:val="1"/>
        </w:rPr>
        <w:t> </w:t>
      </w:r>
      <w:r>
        <w:rPr>
          <w:spacing w:val="-1"/>
        </w:rPr>
        <w:t>励措施，满足研发技术类的人才需求；加强企业文化建设，把</w:t>
      </w:r>
      <w:r>
        <w:rPr>
          <w:rFonts w:ascii="Arial" w:hAnsi="Arial" w:cs="Arial" w:eastAsia="Arial" w:hint="default"/>
          <w:spacing w:val="-1"/>
        </w:rPr>
        <w:t>“</w:t>
      </w:r>
      <w:r>
        <w:rPr>
          <w:spacing w:val="-1"/>
        </w:rPr>
        <w:t>服务于社会以促进企业发展，贡献于企业以追求个人进步</w:t>
      </w:r>
      <w:r>
        <w:rPr>
          <w:rFonts w:ascii="Arial" w:hAnsi="Arial" w:cs="Arial" w:eastAsia="Arial" w:hint="default"/>
          <w:spacing w:val="-1"/>
        </w:rPr>
        <w:t>”</w:t>
      </w:r>
      <w:r>
        <w:rPr>
          <w:spacing w:val="-1"/>
        </w:rPr>
        <w:t>作</w:t>
      </w:r>
      <w:r>
        <w:rPr>
          <w:spacing w:val="-58"/>
        </w:rPr>
        <w:t> </w:t>
      </w:r>
      <w:r>
        <w:rPr>
          <w:spacing w:val="-2"/>
        </w:rPr>
        <w:t>为核心价值观，努力培育团结、创新、开拓、务实的企业文化精神，争取广大员工的认可；将投入更多资源改善工作环境和</w:t>
      </w:r>
      <w:r>
        <w:rPr>
          <w:spacing w:val="-68"/>
        </w:rPr>
        <w:t> </w:t>
      </w:r>
      <w:r>
        <w:rPr>
          <w:spacing w:val="-68"/>
        </w:rPr>
      </w:r>
      <w:r>
        <w:rPr>
          <w:spacing w:val="-2"/>
        </w:rPr>
        <w:t>工作条件，增强公司对高素质人才的吸引力和归属感。公司将在河南、上海设立区域研发中心，未来还将根据发展需要在其</w:t>
      </w:r>
      <w:r>
        <w:rPr>
          <w:spacing w:val="-66"/>
        </w:rPr>
        <w:t> </w:t>
      </w:r>
      <w:r>
        <w:rPr>
          <w:spacing w:val="-66"/>
        </w:rPr>
      </w:r>
      <w:r>
        <w:rPr/>
        <w:t>他地区设立区域研发中心。</w:t>
      </w:r>
    </w:p>
    <w:p>
      <w:pPr>
        <w:spacing w:line="240" w:lineRule="auto" w:before="1"/>
        <w:rPr>
          <w:rFonts w:ascii="宋体" w:hAnsi="宋体" w:cs="宋体" w:eastAsia="宋体" w:hint="default"/>
          <w:sz w:val="21"/>
          <w:szCs w:val="21"/>
        </w:rPr>
      </w:pPr>
    </w:p>
    <w:p>
      <w:pPr>
        <w:pStyle w:val="Heading2"/>
        <w:spacing w:line="240" w:lineRule="auto"/>
        <w:ind w:right="2239"/>
        <w:jc w:val="left"/>
        <w:rPr>
          <w:b w:val="0"/>
          <w:bCs w:val="0"/>
        </w:rPr>
      </w:pPr>
      <w:r>
        <w:rPr/>
        <w:t>十、接待调研、沟通、采访等活动</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1</w:t>
      </w:r>
      <w:r>
        <w:rPr/>
        <w:t>、报告期内接待调研、沟通、采访等活动登记表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78"/>
        <w:gridCol w:w="2177"/>
        <w:gridCol w:w="2177"/>
        <w:gridCol w:w="3037"/>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接待方式</w:t>
            </w:r>
          </w:p>
        </w:tc>
        <w:tc>
          <w:tcPr>
            <w:tcW w:w="21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30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04" w:right="0"/>
              <w:jc w:val="left"/>
              <w:rPr>
                <w:rFonts w:ascii="宋体" w:hAnsi="宋体" w:cs="宋体" w:eastAsia="宋体" w:hint="default"/>
                <w:sz w:val="18"/>
                <w:szCs w:val="18"/>
              </w:rPr>
            </w:pPr>
            <w:r>
              <w:rPr>
                <w:rFonts w:ascii="宋体" w:hAnsi="宋体" w:cs="宋体" w:eastAsia="宋体" w:hint="default"/>
                <w:sz w:val="18"/>
                <w:szCs w:val="18"/>
              </w:rPr>
              <w:t>调研的基本情况索引</w:t>
            </w:r>
          </w:p>
        </w:tc>
      </w:tr>
      <w:tr>
        <w:trPr>
          <w:trHeight w:val="1338"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03</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pacing w:val="-7"/>
                <w:sz w:val="18"/>
                <w:szCs w:val="18"/>
              </w:rPr>
              <w:t>11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3" w:right="28"/>
              <w:jc w:val="left"/>
              <w:rPr>
                <w:rFonts w:ascii="Arial" w:hAnsi="Arial" w:cs="Arial" w:eastAsia="Arial" w:hint="default"/>
                <w:sz w:val="18"/>
                <w:szCs w:val="18"/>
              </w:rPr>
            </w:pPr>
            <w:hyperlink r:id="rId14">
              <w:r>
                <w:rPr>
                  <w:rFonts w:ascii="Arial"/>
                  <w:sz w:val="18"/>
                </w:rPr>
                <w:t>http://view.officeapps.live.com/op/vie</w:t>
              </w:r>
            </w:hyperlink>
            <w:r>
              <w:rPr>
                <w:rFonts w:ascii="Arial"/>
                <w:sz w:val="18"/>
              </w:rPr>
              <w:t> </w:t>
            </w:r>
            <w:r>
              <w:rPr>
                <w:rFonts w:ascii="Arial"/>
                <w:spacing w:val="-2"/>
                <w:sz w:val="18"/>
              </w:rPr>
              <w:t>w.aspx?src=http%3A%2F%2Fstatic.c</w:t>
            </w:r>
            <w:r>
              <w:rPr>
                <w:rFonts w:ascii="Arial"/>
                <w:spacing w:val="-21"/>
                <w:sz w:val="18"/>
              </w:rPr>
              <w:t> </w:t>
            </w:r>
            <w:r>
              <w:rPr>
                <w:rFonts w:ascii="Arial"/>
                <w:spacing w:val="-21"/>
                <w:sz w:val="18"/>
              </w:rPr>
            </w:r>
            <w:r>
              <w:rPr>
                <w:rFonts w:ascii="Arial"/>
                <w:sz w:val="18"/>
              </w:rPr>
              <w:t>ninfo.com.cn%2Ffinalpage%2F2019-</w:t>
            </w:r>
            <w:r>
              <w:rPr>
                <w:rFonts w:ascii="Arial"/>
                <w:spacing w:val="-1"/>
                <w:sz w:val="18"/>
              </w:rPr>
              <w:t> </w:t>
            </w:r>
            <w:r>
              <w:rPr>
                <w:rFonts w:ascii="Arial"/>
                <w:sz w:val="18"/>
              </w:rPr>
              <w:t>03-12%2F1205894162.doc</w:t>
            </w:r>
          </w:p>
        </w:tc>
      </w:tr>
      <w:tr>
        <w:trPr>
          <w:trHeight w:val="1338" w:hRule="exact"/>
        </w:trPr>
        <w:tc>
          <w:tcPr>
            <w:tcW w:w="2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07</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18</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037"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3" w:right="67"/>
              <w:jc w:val="left"/>
              <w:rPr>
                <w:rFonts w:ascii="Arial" w:hAnsi="Arial" w:cs="Arial" w:eastAsia="Arial" w:hint="default"/>
                <w:sz w:val="18"/>
                <w:szCs w:val="18"/>
              </w:rPr>
            </w:pPr>
            <w:r>
              <w:rPr>
                <w:rFonts w:ascii="Arial"/>
                <w:sz w:val="18"/>
              </w:rPr>
              <w:t>https://view.officeapps.live.com/op/vi </w:t>
            </w:r>
            <w:r>
              <w:rPr>
                <w:rFonts w:ascii="Arial"/>
                <w:spacing w:val="-1"/>
                <w:sz w:val="18"/>
              </w:rPr>
              <w:t>ew.aspx?src=http%3A%2F%2Fstatic</w:t>
            </w:r>
          </w:p>
          <w:p>
            <w:pPr>
              <w:pStyle w:val="TableParagraph"/>
              <w:spacing w:line="362" w:lineRule="auto" w:before="4"/>
              <w:ind w:left="23" w:right="73"/>
              <w:jc w:val="left"/>
              <w:rPr>
                <w:rFonts w:ascii="Arial" w:hAnsi="Arial" w:cs="Arial" w:eastAsia="Arial" w:hint="default"/>
                <w:sz w:val="18"/>
                <w:szCs w:val="18"/>
              </w:rPr>
            </w:pPr>
            <w:r>
              <w:rPr>
                <w:rFonts w:ascii="Arial"/>
                <w:spacing w:val="-1"/>
                <w:sz w:val="18"/>
              </w:rPr>
              <w:t>.cninfo.com.cn%2Ffinalpage%2F201</w:t>
            </w:r>
            <w:r>
              <w:rPr>
                <w:rFonts w:ascii="Arial"/>
                <w:spacing w:val="-43"/>
                <w:sz w:val="18"/>
              </w:rPr>
              <w:t> </w:t>
            </w:r>
            <w:r>
              <w:rPr>
                <w:rFonts w:ascii="Arial"/>
                <w:spacing w:val="-43"/>
                <w:sz w:val="18"/>
              </w:rPr>
            </w:r>
            <w:r>
              <w:rPr>
                <w:rFonts w:ascii="Arial"/>
                <w:sz w:val="18"/>
              </w:rPr>
              <w:t>9-07-22%2F1206466495.DOC</w:t>
            </w:r>
          </w:p>
        </w:tc>
      </w:tr>
    </w:tbl>
    <w:p>
      <w:pPr>
        <w:spacing w:after="0" w:line="362" w:lineRule="auto"/>
        <w:jc w:val="left"/>
        <w:rPr>
          <w:rFonts w:ascii="Arial" w:hAnsi="Arial" w:cs="Arial" w:eastAsia="Arial" w:hint="default"/>
          <w:sz w:val="18"/>
          <w:szCs w:val="18"/>
        </w:rPr>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617"/>
        <w:jc w:val="center"/>
        <w:rPr>
          <w:b w:val="0"/>
          <w:bCs w:val="0"/>
        </w:rPr>
      </w:pPr>
      <w:bookmarkStart w:name="_TOC_250008" w:id="5"/>
      <w:r>
        <w:rPr/>
        <w:t>第五节重要事项</w:t>
      </w:r>
      <w:bookmarkEnd w:id="5"/>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2239"/>
        <w:jc w:val="left"/>
        <w:rPr>
          <w:b w:val="0"/>
          <w:bCs w:val="0"/>
        </w:rPr>
      </w:pPr>
      <w:r>
        <w:rPr/>
        <w:t>一、公司普通股利润分配及资本公积金转增股本情况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t>报告期内普通股利润分配政策，特别是现金分红政策的制定、执行或调整情况</w:t>
      </w:r>
    </w:p>
    <w:p>
      <w:pPr>
        <w:pStyle w:val="BodyText"/>
        <w:spacing w:line="240" w:lineRule="auto" w:before="117"/>
        <w:ind w:left="153"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pStyle w:val="BodyText"/>
        <w:spacing w:line="240" w:lineRule="auto" w:before="103"/>
        <w:ind w:right="2239"/>
        <w:jc w:val="left"/>
      </w:pPr>
      <w:r>
        <w:rPr/>
        <w:t>公司近</w:t>
      </w:r>
      <w:r>
        <w:rPr>
          <w:spacing w:val="-46"/>
        </w:rPr>
        <w:t> </w:t>
      </w:r>
      <w:r>
        <w:rPr>
          <w:rFonts w:ascii="Arial" w:hAnsi="Arial" w:cs="Arial" w:eastAsia="Arial" w:hint="default"/>
        </w:rPr>
        <w:t>3</w:t>
      </w:r>
      <w:r>
        <w:rPr>
          <w:rFonts w:ascii="Arial" w:hAnsi="Arial" w:cs="Arial" w:eastAsia="Arial" w:hint="default"/>
          <w:spacing w:val="-7"/>
        </w:rPr>
        <w:t> </w:t>
      </w:r>
      <w:r>
        <w:rPr/>
        <w:t>年</w:t>
      </w:r>
      <w:r>
        <w:rPr>
          <w:spacing w:val="1"/>
        </w:rPr>
        <w:t>（</w:t>
      </w:r>
      <w:r>
        <w:rPr/>
        <w:t>包括本报告期）的普通股股利分配方案（预案</w:t>
      </w:r>
      <w:r>
        <w:rPr>
          <w:spacing w:val="-90"/>
        </w:rPr>
        <w:t>）</w:t>
      </w:r>
      <w:r>
        <w:rPr/>
        <w:t>、资本公积金转增股本方案（预案）情况</w:t>
      </w:r>
    </w:p>
    <w:p>
      <w:pPr>
        <w:pStyle w:val="BodyText"/>
        <w:spacing w:line="340" w:lineRule="auto" w:before="103"/>
        <w:ind w:left="514" w:right="0" w:hanging="360"/>
        <w:jc w:val="left"/>
      </w:pPr>
      <w:r>
        <w:rPr>
          <w:rFonts w:ascii="Arial" w:hAnsi="Arial" w:cs="Arial" w:eastAsia="Arial" w:hint="default"/>
        </w:rPr>
        <w:t>1</w:t>
      </w:r>
      <w:r>
        <w:rPr/>
        <w:t>、公司</w:t>
      </w:r>
      <w:r>
        <w:rPr>
          <w:rFonts w:ascii="Arial" w:hAnsi="Arial" w:cs="Arial" w:eastAsia="Arial" w:hint="default"/>
        </w:rPr>
        <w:t>2017</w:t>
      </w:r>
      <w:r>
        <w:rPr/>
        <w:t>年度权益分派方案： 以</w:t>
      </w:r>
      <w:r>
        <w:rPr>
          <w:rFonts w:ascii="Arial" w:hAnsi="Arial" w:cs="Arial" w:eastAsia="Arial" w:hint="default"/>
        </w:rPr>
        <w:t>2017</w:t>
      </w:r>
      <w:r>
        <w:rPr/>
        <w:t>年年末总股本</w:t>
      </w:r>
      <w:r>
        <w:rPr>
          <w:rFonts w:ascii="Arial" w:hAnsi="Arial" w:cs="Arial" w:eastAsia="Arial" w:hint="default"/>
        </w:rPr>
        <w:t>622,200,000</w:t>
      </w:r>
      <w:r>
        <w:rPr/>
        <w:t>股为基数，向全体股东每</w:t>
      </w:r>
      <w:r>
        <w:rPr>
          <w:rFonts w:ascii="Arial" w:hAnsi="Arial" w:cs="Arial" w:eastAsia="Arial" w:hint="default"/>
        </w:rPr>
        <w:t>10</w:t>
      </w:r>
      <w:r>
        <w:rPr/>
        <w:t>股派现金</w:t>
      </w:r>
      <w:r>
        <w:rPr>
          <w:rFonts w:ascii="Arial" w:hAnsi="Arial" w:cs="Arial" w:eastAsia="Arial" w:hint="default"/>
        </w:rPr>
        <w:t>0.10</w:t>
      </w:r>
      <w:r>
        <w:rPr/>
        <w:t>元（含税），共派发股利</w:t>
      </w:r>
      <w:r>
        <w:rPr>
          <w:rFonts w:ascii="Arial" w:hAnsi="Arial" w:cs="Arial" w:eastAsia="Arial" w:hint="default"/>
        </w:rPr>
        <w:t>6,222,000</w:t>
      </w:r>
      <w:r>
        <w:rPr/>
        <w:t>元，剩</w:t>
      </w:r>
    </w:p>
    <w:p>
      <w:pPr>
        <w:pStyle w:val="BodyText"/>
        <w:spacing w:line="229" w:lineRule="exact"/>
        <w:ind w:right="2239"/>
        <w:jc w:val="left"/>
      </w:pPr>
      <w:r>
        <w:rPr/>
        <w:t>余未分配利润</w:t>
      </w:r>
      <w:r>
        <w:rPr>
          <w:rFonts w:ascii="Arial" w:hAnsi="Arial" w:cs="Arial" w:eastAsia="Arial" w:hint="default"/>
        </w:rPr>
        <w:t>402,596,388.57</w:t>
      </w:r>
      <w:r>
        <w:rPr/>
        <w:t>元结转下一年度，</w:t>
      </w:r>
      <w:r>
        <w:rPr>
          <w:rFonts w:ascii="Arial" w:hAnsi="Arial" w:cs="Arial" w:eastAsia="Arial" w:hint="default"/>
        </w:rPr>
        <w:t>2017</w:t>
      </w:r>
      <w:r>
        <w:rPr/>
        <w:t>年度公司不进行资本公积金转增股本。</w:t>
      </w:r>
    </w:p>
    <w:p>
      <w:pPr>
        <w:pStyle w:val="BodyText"/>
        <w:spacing w:line="338" w:lineRule="auto" w:before="103"/>
        <w:ind w:left="514" w:right="0" w:hanging="360"/>
        <w:jc w:val="left"/>
      </w:pPr>
      <w:r>
        <w:rPr>
          <w:rFonts w:ascii="Arial" w:hAnsi="Arial" w:cs="Arial" w:eastAsia="Arial" w:hint="default"/>
        </w:rPr>
        <w:t>2</w:t>
      </w:r>
      <w:r>
        <w:rPr/>
        <w:t>、公司</w:t>
      </w:r>
      <w:r>
        <w:rPr>
          <w:rFonts w:ascii="Arial" w:hAnsi="Arial" w:cs="Arial" w:eastAsia="Arial" w:hint="default"/>
        </w:rPr>
        <w:t>2018</w:t>
      </w:r>
      <w:r>
        <w:rPr/>
        <w:t>年度权益分派预案： 以</w:t>
      </w:r>
      <w:r>
        <w:rPr>
          <w:rFonts w:ascii="Arial" w:hAnsi="Arial" w:cs="Arial" w:eastAsia="Arial" w:hint="default"/>
        </w:rPr>
        <w:t>2018</w:t>
      </w:r>
      <w:r>
        <w:rPr/>
        <w:t>年年末总股本</w:t>
      </w:r>
      <w:r>
        <w:rPr>
          <w:rFonts w:ascii="Arial" w:hAnsi="Arial" w:cs="Arial" w:eastAsia="Arial" w:hint="default"/>
        </w:rPr>
        <w:t>622,200,000</w:t>
      </w:r>
      <w:r>
        <w:rPr/>
        <w:t>股为基数，向全体股东每</w:t>
      </w:r>
      <w:r>
        <w:rPr>
          <w:rFonts w:ascii="Arial" w:hAnsi="Arial" w:cs="Arial" w:eastAsia="Arial" w:hint="default"/>
        </w:rPr>
        <w:t>10</w:t>
      </w:r>
      <w:r>
        <w:rPr/>
        <w:t>股派现金</w:t>
      </w:r>
      <w:r>
        <w:rPr>
          <w:rFonts w:ascii="Arial" w:hAnsi="Arial" w:cs="Arial" w:eastAsia="Arial" w:hint="default"/>
        </w:rPr>
        <w:t>0.10</w:t>
      </w:r>
      <w:r>
        <w:rPr/>
        <w:t>元（含税），共派发股利</w:t>
      </w:r>
      <w:r>
        <w:rPr>
          <w:rFonts w:ascii="Arial" w:hAnsi="Arial" w:cs="Arial" w:eastAsia="Arial" w:hint="default"/>
        </w:rPr>
        <w:t>6,222,000</w:t>
      </w:r>
      <w:r>
        <w:rPr/>
        <w:t>元，剩</w:t>
      </w:r>
    </w:p>
    <w:p>
      <w:pPr>
        <w:pStyle w:val="BodyText"/>
        <w:spacing w:line="231" w:lineRule="exact"/>
        <w:ind w:right="2239"/>
        <w:jc w:val="left"/>
      </w:pPr>
      <w:r>
        <w:rPr/>
        <w:t>余未分配利润</w:t>
      </w:r>
      <w:r>
        <w:rPr>
          <w:rFonts w:ascii="Arial" w:hAnsi="Arial" w:cs="Arial" w:eastAsia="Arial" w:hint="default"/>
        </w:rPr>
        <w:t>441,615,996.47</w:t>
      </w:r>
      <w:r>
        <w:rPr/>
        <w:t>元结转下一年度，</w:t>
      </w:r>
      <w:r>
        <w:rPr>
          <w:rFonts w:ascii="Arial" w:hAnsi="Arial" w:cs="Arial" w:eastAsia="Arial" w:hint="default"/>
        </w:rPr>
        <w:t>2018</w:t>
      </w:r>
      <w:r>
        <w:rPr/>
        <w:t>年度公司不进行资本公积金转增股本。</w:t>
      </w:r>
    </w:p>
    <w:p>
      <w:pPr>
        <w:pStyle w:val="BodyText"/>
        <w:spacing w:line="340" w:lineRule="auto" w:before="104"/>
        <w:ind w:left="514" w:right="5530" w:hanging="360"/>
        <w:jc w:val="left"/>
      </w:pPr>
      <w:r>
        <w:rPr>
          <w:rFonts w:ascii="Arial" w:hAnsi="Arial" w:cs="Arial" w:eastAsia="Arial" w:hint="default"/>
        </w:rPr>
        <w:t>3</w:t>
      </w:r>
      <w:r>
        <w:rPr/>
        <w:t>、公司</w:t>
      </w:r>
      <w:r>
        <w:rPr>
          <w:rFonts w:ascii="Arial" w:hAnsi="Arial" w:cs="Arial" w:eastAsia="Arial" w:hint="default"/>
        </w:rPr>
        <w:t>2019</w:t>
      </w:r>
      <w:r>
        <w:rPr/>
        <w:t>年度权益分派预案： 公司计划不派发现金红利，不送红股，不以公积金转增股本。</w:t>
      </w:r>
    </w:p>
    <w:p>
      <w:pPr>
        <w:pStyle w:val="BodyText"/>
        <w:spacing w:line="240" w:lineRule="auto" w:before="40"/>
        <w:ind w:right="2239"/>
        <w:jc w:val="left"/>
      </w:pPr>
      <w:r>
        <w:rPr/>
        <w:t>公司近三年（包括本报告期）普通股现金分红情况表</w:t>
      </w:r>
    </w:p>
    <w:p>
      <w:pPr>
        <w:pStyle w:val="BodyText"/>
        <w:spacing w:line="240" w:lineRule="auto" w:before="117"/>
        <w:ind w:left="0" w:right="1129"/>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186"/>
        <w:gridCol w:w="1194"/>
        <w:gridCol w:w="1448"/>
        <w:gridCol w:w="1264"/>
        <w:gridCol w:w="877"/>
        <w:gridCol w:w="1184"/>
        <w:gridCol w:w="1219"/>
        <w:gridCol w:w="1172"/>
      </w:tblGrid>
      <w:tr>
        <w:trPr>
          <w:trHeight w:val="161" w:hRule="exact"/>
        </w:trPr>
        <w:tc>
          <w:tcPr>
            <w:tcW w:w="1186" w:type="dxa"/>
            <w:vMerge w:val="restart"/>
            <w:tcBorders>
              <w:top w:val="single" w:sz="4" w:space="0" w:color="000000"/>
              <w:left w:val="single" w:sz="4" w:space="0" w:color="000000"/>
              <w:right w:val="single" w:sz="4" w:space="0" w:color="000000"/>
            </w:tcBorders>
            <w:shd w:val="clear" w:color="auto" w:fill="D3D3D3"/>
          </w:tcPr>
          <w:p>
            <w:pPr/>
          </w:p>
        </w:tc>
        <w:tc>
          <w:tcPr>
            <w:tcW w:w="1194" w:type="dxa"/>
            <w:vMerge w:val="restart"/>
            <w:tcBorders>
              <w:top w:val="single" w:sz="4" w:space="0" w:color="000000"/>
              <w:left w:val="single" w:sz="4" w:space="0" w:color="000000"/>
              <w:right w:val="single" w:sz="4" w:space="0" w:color="000000"/>
            </w:tcBorders>
            <w:shd w:val="clear" w:color="auto" w:fill="D3D3D3"/>
          </w:tcPr>
          <w:p>
            <w:pPr/>
          </w:p>
        </w:tc>
        <w:tc>
          <w:tcPr>
            <w:tcW w:w="1448" w:type="dxa"/>
            <w:vMerge w:val="restart"/>
            <w:tcBorders>
              <w:top w:val="single" w:sz="4" w:space="0" w:color="000000"/>
              <w:left w:val="single" w:sz="4" w:space="0" w:color="000000"/>
              <w:right w:val="single" w:sz="4" w:space="0" w:color="000000"/>
            </w:tcBorders>
            <w:shd w:val="clear" w:color="auto" w:fill="D3D3D3"/>
          </w:tcPr>
          <w:p>
            <w:pPr/>
          </w:p>
        </w:tc>
        <w:tc>
          <w:tcPr>
            <w:tcW w:w="1264" w:type="dxa"/>
            <w:tcBorders>
              <w:top w:val="single" w:sz="4" w:space="0" w:color="000000"/>
              <w:left w:val="single" w:sz="4" w:space="0" w:color="000000"/>
              <w:bottom w:val="nil" w:sz="6" w:space="0" w:color="auto"/>
              <w:right w:val="single" w:sz="4" w:space="0" w:color="000000"/>
            </w:tcBorders>
            <w:shd w:val="clear" w:color="auto" w:fill="D3D3D3"/>
          </w:tcPr>
          <w:p>
            <w:pPr/>
          </w:p>
        </w:tc>
        <w:tc>
          <w:tcPr>
            <w:tcW w:w="877" w:type="dxa"/>
            <w:vMerge w:val="restart"/>
            <w:tcBorders>
              <w:top w:val="single" w:sz="4" w:space="0" w:color="000000"/>
              <w:left w:val="single" w:sz="4" w:space="0" w:color="000000"/>
              <w:right w:val="single" w:sz="4" w:space="0" w:color="000000"/>
            </w:tcBorders>
            <w:shd w:val="clear" w:color="auto" w:fill="D3D3D3"/>
          </w:tcPr>
          <w:p>
            <w:pPr/>
          </w:p>
        </w:tc>
        <w:tc>
          <w:tcPr>
            <w:tcW w:w="1184" w:type="dxa"/>
            <w:tcBorders>
              <w:top w:val="single" w:sz="4" w:space="0" w:color="000000"/>
              <w:left w:val="single" w:sz="4" w:space="0" w:color="000000"/>
              <w:bottom w:val="nil" w:sz="6" w:space="0" w:color="auto"/>
              <w:right w:val="single" w:sz="4" w:space="0" w:color="000000"/>
            </w:tcBorders>
            <w:shd w:val="clear" w:color="auto" w:fill="D3D3D3"/>
          </w:tcPr>
          <w:p>
            <w:pPr/>
          </w:p>
        </w:tc>
        <w:tc>
          <w:tcPr>
            <w:tcW w:w="1219" w:type="dxa"/>
            <w:vMerge w:val="restart"/>
            <w:tcBorders>
              <w:top w:val="single" w:sz="4" w:space="0" w:color="000000"/>
              <w:left w:val="single" w:sz="4" w:space="0" w:color="000000"/>
              <w:right w:val="single" w:sz="4" w:space="0" w:color="000000"/>
            </w:tcBorders>
            <w:shd w:val="clear" w:color="auto" w:fill="D3D3D3"/>
          </w:tcPr>
          <w:p>
            <w:pPr/>
          </w:p>
        </w:tc>
        <w:tc>
          <w:tcPr>
            <w:tcW w:w="11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41" w:right="39"/>
              <w:jc w:val="center"/>
              <w:rPr>
                <w:rFonts w:ascii="宋体" w:hAnsi="宋体" w:cs="宋体" w:eastAsia="宋体" w:hint="default"/>
                <w:sz w:val="18"/>
                <w:szCs w:val="18"/>
              </w:rPr>
            </w:pPr>
            <w:r>
              <w:rPr>
                <w:rFonts w:ascii="宋体" w:hAnsi="宋体" w:cs="宋体" w:eastAsia="宋体" w:hint="default"/>
                <w:sz w:val="18"/>
                <w:szCs w:val="18"/>
              </w:rPr>
              <w:t>（含其他方 式）占合并报 表中归属于上 市公司普通股 股东的净利润 的比率</w:t>
            </w:r>
          </w:p>
        </w:tc>
      </w:tr>
      <w:tr>
        <w:trPr>
          <w:trHeight w:val="156" w:hRule="exact"/>
        </w:trPr>
        <w:tc>
          <w:tcPr>
            <w:tcW w:w="1186" w:type="dxa"/>
            <w:vMerge/>
            <w:tcBorders>
              <w:left w:val="single" w:sz="4" w:space="0" w:color="000000"/>
              <w:right w:val="single" w:sz="4" w:space="0" w:color="000000"/>
            </w:tcBorders>
            <w:shd w:val="clear" w:color="auto" w:fill="D3D3D3"/>
          </w:tcPr>
          <w:p>
            <w:pPr/>
          </w:p>
        </w:tc>
        <w:tc>
          <w:tcPr>
            <w:tcW w:w="1194" w:type="dxa"/>
            <w:vMerge/>
            <w:tcBorders>
              <w:left w:val="single" w:sz="4" w:space="0" w:color="000000"/>
              <w:right w:val="single" w:sz="4" w:space="0" w:color="000000"/>
            </w:tcBorders>
            <w:shd w:val="clear" w:color="auto" w:fill="D3D3D3"/>
          </w:tcPr>
          <w:p>
            <w:pPr/>
          </w:p>
        </w:tc>
        <w:tc>
          <w:tcPr>
            <w:tcW w:w="1448" w:type="dxa"/>
            <w:vMerge/>
            <w:tcBorders>
              <w:left w:val="single" w:sz="4" w:space="0" w:color="000000"/>
              <w:right w:val="single" w:sz="4" w:space="0" w:color="000000"/>
            </w:tcBorders>
            <w:shd w:val="clear" w:color="auto" w:fill="D3D3D3"/>
          </w:tcPr>
          <w:p>
            <w:pPr/>
          </w:p>
        </w:tc>
        <w:tc>
          <w:tcPr>
            <w:tcW w:w="126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81" w:right="91"/>
              <w:jc w:val="center"/>
              <w:rPr>
                <w:rFonts w:ascii="宋体" w:hAnsi="宋体" w:cs="宋体" w:eastAsia="宋体" w:hint="default"/>
                <w:sz w:val="18"/>
                <w:szCs w:val="18"/>
              </w:rPr>
            </w:pPr>
            <w:r>
              <w:rPr>
                <w:rFonts w:ascii="宋体" w:hAnsi="宋体" w:cs="宋体" w:eastAsia="宋体" w:hint="default"/>
                <w:sz w:val="18"/>
                <w:szCs w:val="18"/>
              </w:rPr>
              <w:t>现金分红金额 占合并报表中 归属于上市公 司普通股股东 的净利润的比 率</w:t>
            </w:r>
          </w:p>
        </w:tc>
        <w:tc>
          <w:tcPr>
            <w:tcW w:w="877" w:type="dxa"/>
            <w:vMerge/>
            <w:tcBorders>
              <w:left w:val="single" w:sz="4" w:space="0" w:color="000000"/>
              <w:bottom w:val="nil" w:sz="6" w:space="0" w:color="auto"/>
              <w:right w:val="single" w:sz="4" w:space="0" w:color="000000"/>
            </w:tcBorders>
            <w:shd w:val="clear" w:color="auto" w:fill="D3D3D3"/>
          </w:tcPr>
          <w:p>
            <w:pPr/>
          </w:p>
        </w:tc>
        <w:tc>
          <w:tcPr>
            <w:tcW w:w="118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53" w:right="39"/>
              <w:jc w:val="both"/>
              <w:rPr>
                <w:rFonts w:ascii="宋体" w:hAnsi="宋体" w:cs="宋体" w:eastAsia="宋体" w:hint="default"/>
                <w:sz w:val="18"/>
                <w:szCs w:val="18"/>
              </w:rPr>
            </w:pPr>
            <w:r>
              <w:rPr>
                <w:rFonts w:ascii="宋体" w:hAnsi="宋体" w:cs="宋体" w:eastAsia="宋体" w:hint="default"/>
                <w:sz w:val="18"/>
                <w:szCs w:val="18"/>
              </w:rPr>
              <w:t>以其他方式现 金分红金额占 合并报表中归 属于上市公司 普通股股东的 净利润的比例</w:t>
            </w:r>
          </w:p>
        </w:tc>
        <w:tc>
          <w:tcPr>
            <w:tcW w:w="1219" w:type="dxa"/>
            <w:vMerge/>
            <w:tcBorders>
              <w:left w:val="single" w:sz="4" w:space="0" w:color="000000"/>
              <w:right w:val="single" w:sz="4" w:space="0" w:color="000000"/>
            </w:tcBorders>
            <w:shd w:val="clear" w:color="auto" w:fill="D3D3D3"/>
          </w:tcPr>
          <w:p>
            <w:pPr/>
          </w:p>
        </w:tc>
        <w:tc>
          <w:tcPr>
            <w:tcW w:w="1172" w:type="dxa"/>
            <w:vMerge/>
            <w:tcBorders>
              <w:left w:val="single" w:sz="4" w:space="0" w:color="000000"/>
              <w:right w:val="single" w:sz="4" w:space="0" w:color="000000"/>
            </w:tcBorders>
            <w:shd w:val="clear" w:color="auto" w:fill="D3D3D3"/>
          </w:tcPr>
          <w:p>
            <w:pPr/>
          </w:p>
        </w:tc>
      </w:tr>
      <w:tr>
        <w:trPr>
          <w:trHeight w:val="156" w:hRule="exact"/>
        </w:trPr>
        <w:tc>
          <w:tcPr>
            <w:tcW w:w="1186" w:type="dxa"/>
            <w:vMerge/>
            <w:tcBorders>
              <w:left w:val="single" w:sz="4" w:space="0" w:color="000000"/>
              <w:right w:val="single" w:sz="4" w:space="0" w:color="000000"/>
            </w:tcBorders>
            <w:shd w:val="clear" w:color="auto" w:fill="D3D3D3"/>
          </w:tcPr>
          <w:p>
            <w:pPr/>
          </w:p>
        </w:tc>
        <w:tc>
          <w:tcPr>
            <w:tcW w:w="1194" w:type="dxa"/>
            <w:vMerge/>
            <w:tcBorders>
              <w:left w:val="single" w:sz="4" w:space="0" w:color="000000"/>
              <w:right w:val="single" w:sz="4" w:space="0" w:color="000000"/>
            </w:tcBorders>
            <w:shd w:val="clear" w:color="auto" w:fill="D3D3D3"/>
          </w:tcPr>
          <w:p>
            <w:pPr/>
          </w:p>
        </w:tc>
        <w:tc>
          <w:tcPr>
            <w:tcW w:w="1448" w:type="dxa"/>
            <w:vMerge/>
            <w:tcBorders>
              <w:left w:val="single" w:sz="4" w:space="0" w:color="000000"/>
              <w:bottom w:val="nil" w:sz="6" w:space="0" w:color="auto"/>
              <w:right w:val="single" w:sz="4" w:space="0" w:color="000000"/>
            </w:tcBorders>
            <w:shd w:val="clear" w:color="auto" w:fill="D3D3D3"/>
          </w:tcPr>
          <w:p>
            <w:pPr/>
          </w:p>
        </w:tc>
        <w:tc>
          <w:tcPr>
            <w:tcW w:w="1264" w:type="dxa"/>
            <w:vMerge/>
            <w:tcBorders>
              <w:left w:val="single" w:sz="4" w:space="0" w:color="000000"/>
              <w:right w:val="single" w:sz="4" w:space="0" w:color="000000"/>
            </w:tcBorders>
            <w:shd w:val="clear" w:color="auto" w:fill="D3D3D3"/>
          </w:tcPr>
          <w:p>
            <w:pPr/>
          </w:p>
        </w:tc>
        <w:tc>
          <w:tcPr>
            <w:tcW w:w="877"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3" w:right="21"/>
              <w:jc w:val="center"/>
              <w:rPr>
                <w:rFonts w:ascii="宋体" w:hAnsi="宋体" w:cs="宋体" w:eastAsia="宋体" w:hint="default"/>
                <w:sz w:val="18"/>
                <w:szCs w:val="18"/>
              </w:rPr>
            </w:pPr>
            <w:r>
              <w:rPr>
                <w:rFonts w:ascii="宋体" w:hAnsi="宋体" w:cs="宋体" w:eastAsia="宋体" w:hint="default"/>
                <w:sz w:val="18"/>
                <w:szCs w:val="18"/>
              </w:rPr>
              <w:t>以其他方 </w:t>
            </w:r>
            <w:r>
              <w:rPr>
                <w:rFonts w:ascii="宋体" w:hAnsi="宋体" w:cs="宋体" w:eastAsia="宋体" w:hint="default"/>
                <w:spacing w:val="-16"/>
                <w:sz w:val="18"/>
                <w:szCs w:val="18"/>
              </w:rPr>
              <w:t>式（如回购</w:t>
            </w:r>
            <w:r>
              <w:rPr>
                <w:rFonts w:ascii="宋体" w:hAnsi="宋体" w:cs="宋体" w:eastAsia="宋体" w:hint="default"/>
                <w:sz w:val="18"/>
                <w:szCs w:val="18"/>
              </w:rPr>
              <w:t> </w:t>
            </w:r>
            <w:r>
              <w:rPr>
                <w:rFonts w:ascii="宋体" w:hAnsi="宋体" w:cs="宋体" w:eastAsia="宋体" w:hint="default"/>
                <w:spacing w:val="-16"/>
                <w:sz w:val="18"/>
                <w:szCs w:val="18"/>
              </w:rPr>
              <w:t>股份）现金</w:t>
            </w:r>
            <w:r>
              <w:rPr>
                <w:rFonts w:ascii="宋体" w:hAnsi="宋体" w:cs="宋体" w:eastAsia="宋体" w:hint="default"/>
                <w:sz w:val="18"/>
                <w:szCs w:val="18"/>
              </w:rPr>
              <w:t> 分红的金 额</w:t>
            </w:r>
          </w:p>
        </w:tc>
        <w:tc>
          <w:tcPr>
            <w:tcW w:w="1184"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right w:val="single" w:sz="4" w:space="0" w:color="000000"/>
            </w:tcBorders>
            <w:shd w:val="clear" w:color="auto" w:fill="D3D3D3"/>
          </w:tcPr>
          <w:p>
            <w:pPr/>
          </w:p>
        </w:tc>
        <w:tc>
          <w:tcPr>
            <w:tcW w:w="1172" w:type="dxa"/>
            <w:vMerge/>
            <w:tcBorders>
              <w:left w:val="single" w:sz="4" w:space="0" w:color="000000"/>
              <w:right w:val="single" w:sz="4" w:space="0" w:color="000000"/>
            </w:tcBorders>
            <w:shd w:val="clear" w:color="auto" w:fill="D3D3D3"/>
          </w:tcPr>
          <w:p>
            <w:pPr/>
          </w:p>
        </w:tc>
      </w:tr>
      <w:tr>
        <w:trPr>
          <w:trHeight w:val="156" w:hRule="exact"/>
        </w:trPr>
        <w:tc>
          <w:tcPr>
            <w:tcW w:w="1186" w:type="dxa"/>
            <w:vMerge/>
            <w:tcBorders>
              <w:left w:val="single" w:sz="4" w:space="0" w:color="000000"/>
              <w:right w:val="single" w:sz="4" w:space="0" w:color="000000"/>
            </w:tcBorders>
            <w:shd w:val="clear" w:color="auto" w:fill="D3D3D3"/>
          </w:tcPr>
          <w:p>
            <w:pPr/>
          </w:p>
        </w:tc>
        <w:tc>
          <w:tcPr>
            <w:tcW w:w="1194" w:type="dxa"/>
            <w:vMerge/>
            <w:tcBorders>
              <w:left w:val="single" w:sz="4" w:space="0" w:color="000000"/>
              <w:right w:val="single" w:sz="4" w:space="0" w:color="000000"/>
            </w:tcBorders>
            <w:shd w:val="clear" w:color="auto" w:fill="D3D3D3"/>
          </w:tcPr>
          <w:p>
            <w:pPr/>
          </w:p>
        </w:tc>
        <w:tc>
          <w:tcPr>
            <w:tcW w:w="1448"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83" w:right="92"/>
              <w:jc w:val="center"/>
              <w:rPr>
                <w:rFonts w:ascii="宋体" w:hAnsi="宋体" w:cs="宋体" w:eastAsia="宋体" w:hint="default"/>
                <w:sz w:val="18"/>
                <w:szCs w:val="18"/>
              </w:rPr>
            </w:pPr>
            <w:r>
              <w:rPr>
                <w:rFonts w:ascii="宋体" w:hAnsi="宋体" w:cs="宋体" w:eastAsia="宋体" w:hint="default"/>
                <w:sz w:val="18"/>
                <w:szCs w:val="18"/>
              </w:rPr>
              <w:t>分红年度合并报 表中归属于上市 公司普通股股东 的净利润</w:t>
            </w:r>
          </w:p>
        </w:tc>
        <w:tc>
          <w:tcPr>
            <w:tcW w:w="1264" w:type="dxa"/>
            <w:vMerge/>
            <w:tcBorders>
              <w:left w:val="single" w:sz="4" w:space="0" w:color="000000"/>
              <w:right w:val="single" w:sz="4" w:space="0" w:color="000000"/>
            </w:tcBorders>
            <w:shd w:val="clear" w:color="auto" w:fill="D3D3D3"/>
          </w:tcPr>
          <w:p>
            <w:pPr/>
          </w:p>
        </w:tc>
        <w:tc>
          <w:tcPr>
            <w:tcW w:w="877" w:type="dxa"/>
            <w:vMerge/>
            <w:tcBorders>
              <w:left w:val="single" w:sz="4" w:space="0" w:color="000000"/>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bottom w:val="nil" w:sz="6" w:space="0" w:color="auto"/>
              <w:right w:val="single" w:sz="4" w:space="0" w:color="000000"/>
            </w:tcBorders>
            <w:shd w:val="clear" w:color="auto" w:fill="D3D3D3"/>
          </w:tcPr>
          <w:p>
            <w:pPr/>
          </w:p>
        </w:tc>
        <w:tc>
          <w:tcPr>
            <w:tcW w:w="1172" w:type="dxa"/>
            <w:vMerge/>
            <w:tcBorders>
              <w:left w:val="single" w:sz="4" w:space="0" w:color="000000"/>
              <w:right w:val="single" w:sz="4" w:space="0" w:color="000000"/>
            </w:tcBorders>
            <w:shd w:val="clear" w:color="auto" w:fill="D3D3D3"/>
          </w:tcPr>
          <w:p>
            <w:pPr/>
          </w:p>
        </w:tc>
      </w:tr>
      <w:tr>
        <w:trPr>
          <w:trHeight w:val="156" w:hRule="exact"/>
        </w:trPr>
        <w:tc>
          <w:tcPr>
            <w:tcW w:w="1186" w:type="dxa"/>
            <w:vMerge/>
            <w:tcBorders>
              <w:left w:val="single" w:sz="4" w:space="0" w:color="000000"/>
              <w:right w:val="single" w:sz="4" w:space="0" w:color="000000"/>
            </w:tcBorders>
            <w:shd w:val="clear" w:color="auto" w:fill="D3D3D3"/>
          </w:tcPr>
          <w:p>
            <w:pPr/>
          </w:p>
        </w:tc>
        <w:tc>
          <w:tcPr>
            <w:tcW w:w="1194" w:type="dxa"/>
            <w:vMerge/>
            <w:tcBorders>
              <w:left w:val="single" w:sz="4" w:space="0" w:color="000000"/>
              <w:bottom w:val="nil" w:sz="6" w:space="0" w:color="auto"/>
              <w:right w:val="single" w:sz="4" w:space="0" w:color="000000"/>
            </w:tcBorders>
            <w:shd w:val="clear" w:color="auto" w:fill="D3D3D3"/>
          </w:tcPr>
          <w:p>
            <w:pPr/>
          </w:p>
        </w:tc>
        <w:tc>
          <w:tcPr>
            <w:tcW w:w="1448" w:type="dxa"/>
            <w:vMerge/>
            <w:tcBorders>
              <w:left w:val="single" w:sz="4" w:space="0" w:color="000000"/>
              <w:right w:val="single" w:sz="4" w:space="0" w:color="000000"/>
            </w:tcBorders>
            <w:shd w:val="clear" w:color="auto" w:fill="D3D3D3"/>
          </w:tcPr>
          <w:p>
            <w:pPr/>
          </w:p>
        </w:tc>
        <w:tc>
          <w:tcPr>
            <w:tcW w:w="1264" w:type="dxa"/>
            <w:vMerge/>
            <w:tcBorders>
              <w:left w:val="single" w:sz="4" w:space="0" w:color="000000"/>
              <w:right w:val="single" w:sz="4" w:space="0" w:color="000000"/>
            </w:tcBorders>
            <w:shd w:val="clear" w:color="auto" w:fill="D3D3D3"/>
          </w:tcPr>
          <w:p>
            <w:pPr/>
          </w:p>
        </w:tc>
        <w:tc>
          <w:tcPr>
            <w:tcW w:w="877" w:type="dxa"/>
            <w:vMerge/>
            <w:tcBorders>
              <w:left w:val="single" w:sz="4" w:space="0" w:color="000000"/>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21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4" w:right="0"/>
              <w:jc w:val="left"/>
              <w:rPr>
                <w:rFonts w:ascii="宋体" w:hAnsi="宋体" w:cs="宋体" w:eastAsia="宋体" w:hint="default"/>
                <w:sz w:val="18"/>
                <w:szCs w:val="18"/>
              </w:rPr>
            </w:pPr>
            <w:r>
              <w:rPr>
                <w:rFonts w:ascii="宋体" w:hAnsi="宋体" w:cs="宋体" w:eastAsia="宋体" w:hint="default"/>
                <w:sz w:val="18"/>
                <w:szCs w:val="18"/>
              </w:rPr>
              <w:t>现金分红总额</w:t>
            </w:r>
          </w:p>
          <w:p>
            <w:pPr>
              <w:pStyle w:val="TableParagraph"/>
              <w:spacing w:line="319" w:lineRule="auto" w:before="76"/>
              <w:ind w:left="424" w:right="153" w:hanging="270"/>
              <w:jc w:val="left"/>
              <w:rPr>
                <w:rFonts w:ascii="宋体" w:hAnsi="宋体" w:cs="宋体" w:eastAsia="宋体" w:hint="default"/>
                <w:sz w:val="18"/>
                <w:szCs w:val="18"/>
              </w:rPr>
            </w:pPr>
            <w:r>
              <w:rPr>
                <w:rFonts w:ascii="宋体" w:hAnsi="宋体" w:cs="宋体" w:eastAsia="宋体" w:hint="default"/>
                <w:sz w:val="18"/>
                <w:szCs w:val="18"/>
              </w:rPr>
              <w:t>（含其他方 式）</w:t>
            </w:r>
          </w:p>
        </w:tc>
        <w:tc>
          <w:tcPr>
            <w:tcW w:w="1172" w:type="dxa"/>
            <w:vMerge/>
            <w:tcBorders>
              <w:left w:val="single" w:sz="4" w:space="0" w:color="000000"/>
              <w:right w:val="single" w:sz="4" w:space="0" w:color="000000"/>
            </w:tcBorders>
            <w:shd w:val="clear" w:color="auto" w:fill="D3D3D3"/>
          </w:tcPr>
          <w:p>
            <w:pPr/>
          </w:p>
        </w:tc>
      </w:tr>
      <w:tr>
        <w:trPr>
          <w:trHeight w:val="156" w:hRule="exact"/>
        </w:trPr>
        <w:tc>
          <w:tcPr>
            <w:tcW w:w="1186" w:type="dxa"/>
            <w:vMerge/>
            <w:tcBorders>
              <w:left w:val="single" w:sz="4" w:space="0" w:color="000000"/>
              <w:bottom w:val="nil" w:sz="6" w:space="0" w:color="auto"/>
              <w:right w:val="single" w:sz="4" w:space="0" w:color="000000"/>
            </w:tcBorders>
            <w:shd w:val="clear" w:color="auto" w:fill="D3D3D3"/>
          </w:tcPr>
          <w:p>
            <w:pPr/>
          </w:p>
        </w:tc>
        <w:tc>
          <w:tcPr>
            <w:tcW w:w="119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现金分红金额</w:t>
            </w:r>
          </w:p>
          <w:p>
            <w:pPr>
              <w:pStyle w:val="TableParagraph"/>
              <w:spacing w:line="240" w:lineRule="auto" w:before="77"/>
              <w:ind w:right="1"/>
              <w:jc w:val="center"/>
              <w:rPr>
                <w:rFonts w:ascii="宋体" w:hAnsi="宋体" w:cs="宋体" w:eastAsia="宋体" w:hint="default"/>
                <w:sz w:val="18"/>
                <w:szCs w:val="18"/>
              </w:rPr>
            </w:pPr>
            <w:r>
              <w:rPr>
                <w:rFonts w:ascii="宋体" w:hAnsi="宋体" w:cs="宋体" w:eastAsia="宋体" w:hint="default"/>
                <w:sz w:val="18"/>
                <w:szCs w:val="18"/>
              </w:rPr>
              <w:t>（含税）</w:t>
            </w:r>
          </w:p>
        </w:tc>
        <w:tc>
          <w:tcPr>
            <w:tcW w:w="1448" w:type="dxa"/>
            <w:vMerge/>
            <w:tcBorders>
              <w:left w:val="single" w:sz="4" w:space="0" w:color="000000"/>
              <w:right w:val="single" w:sz="4" w:space="0" w:color="000000"/>
            </w:tcBorders>
            <w:shd w:val="clear" w:color="auto" w:fill="D3D3D3"/>
          </w:tcPr>
          <w:p>
            <w:pPr/>
          </w:p>
        </w:tc>
        <w:tc>
          <w:tcPr>
            <w:tcW w:w="1264" w:type="dxa"/>
            <w:vMerge/>
            <w:tcBorders>
              <w:left w:val="single" w:sz="4" w:space="0" w:color="000000"/>
              <w:right w:val="single" w:sz="4" w:space="0" w:color="000000"/>
            </w:tcBorders>
            <w:shd w:val="clear" w:color="auto" w:fill="D3D3D3"/>
          </w:tcPr>
          <w:p>
            <w:pPr/>
          </w:p>
        </w:tc>
        <w:tc>
          <w:tcPr>
            <w:tcW w:w="877" w:type="dxa"/>
            <w:vMerge/>
            <w:tcBorders>
              <w:left w:val="single" w:sz="4" w:space="0" w:color="000000"/>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right w:val="single" w:sz="4" w:space="0" w:color="000000"/>
            </w:tcBorders>
            <w:shd w:val="clear" w:color="auto" w:fill="D3D3D3"/>
          </w:tcPr>
          <w:p>
            <w:pPr/>
          </w:p>
        </w:tc>
        <w:tc>
          <w:tcPr>
            <w:tcW w:w="1172" w:type="dxa"/>
            <w:vMerge/>
            <w:tcBorders>
              <w:left w:val="single" w:sz="4" w:space="0" w:color="000000"/>
              <w:right w:val="single" w:sz="4" w:space="0" w:color="000000"/>
            </w:tcBorders>
            <w:shd w:val="clear" w:color="auto" w:fill="D3D3D3"/>
          </w:tcPr>
          <w:p>
            <w:pPr/>
          </w:p>
        </w:tc>
      </w:tr>
      <w:tr>
        <w:trPr>
          <w:trHeight w:val="392" w:hRule="exact"/>
        </w:trPr>
        <w:tc>
          <w:tcPr>
            <w:tcW w:w="11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1" w:right="0"/>
              <w:jc w:val="left"/>
              <w:rPr>
                <w:rFonts w:ascii="宋体" w:hAnsi="宋体" w:cs="宋体" w:eastAsia="宋体" w:hint="default"/>
                <w:sz w:val="18"/>
                <w:szCs w:val="18"/>
              </w:rPr>
            </w:pPr>
            <w:r>
              <w:rPr>
                <w:rFonts w:ascii="宋体" w:hAnsi="宋体" w:cs="宋体" w:eastAsia="宋体" w:hint="default"/>
                <w:sz w:val="18"/>
                <w:szCs w:val="18"/>
              </w:rPr>
              <w:t>分红年度</w:t>
            </w:r>
          </w:p>
        </w:tc>
        <w:tc>
          <w:tcPr>
            <w:tcW w:w="1194" w:type="dxa"/>
            <w:vMerge/>
            <w:tcBorders>
              <w:left w:val="single" w:sz="4" w:space="0" w:color="000000"/>
              <w:right w:val="single" w:sz="4" w:space="0" w:color="000000"/>
            </w:tcBorders>
            <w:shd w:val="clear" w:color="auto" w:fill="D3D3D3"/>
          </w:tcPr>
          <w:p>
            <w:pPr/>
          </w:p>
        </w:tc>
        <w:tc>
          <w:tcPr>
            <w:tcW w:w="1448" w:type="dxa"/>
            <w:vMerge/>
            <w:tcBorders>
              <w:left w:val="single" w:sz="4" w:space="0" w:color="000000"/>
              <w:right w:val="single" w:sz="4" w:space="0" w:color="000000"/>
            </w:tcBorders>
            <w:shd w:val="clear" w:color="auto" w:fill="D3D3D3"/>
          </w:tcPr>
          <w:p>
            <w:pPr/>
          </w:p>
        </w:tc>
        <w:tc>
          <w:tcPr>
            <w:tcW w:w="1264" w:type="dxa"/>
            <w:vMerge/>
            <w:tcBorders>
              <w:left w:val="single" w:sz="4" w:space="0" w:color="000000"/>
              <w:right w:val="single" w:sz="4" w:space="0" w:color="000000"/>
            </w:tcBorders>
            <w:shd w:val="clear" w:color="auto" w:fill="D3D3D3"/>
          </w:tcPr>
          <w:p>
            <w:pPr/>
          </w:p>
        </w:tc>
        <w:tc>
          <w:tcPr>
            <w:tcW w:w="877" w:type="dxa"/>
            <w:vMerge/>
            <w:tcBorders>
              <w:left w:val="single" w:sz="4" w:space="0" w:color="000000"/>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right w:val="single" w:sz="4" w:space="0" w:color="000000"/>
            </w:tcBorders>
            <w:shd w:val="clear" w:color="auto" w:fill="D3D3D3"/>
          </w:tcPr>
          <w:p>
            <w:pPr/>
          </w:p>
        </w:tc>
        <w:tc>
          <w:tcPr>
            <w:tcW w:w="1172" w:type="dxa"/>
            <w:vMerge/>
            <w:tcBorders>
              <w:left w:val="single" w:sz="4" w:space="0" w:color="000000"/>
              <w:right w:val="single" w:sz="4" w:space="0" w:color="000000"/>
            </w:tcBorders>
            <w:shd w:val="clear" w:color="auto" w:fill="D3D3D3"/>
          </w:tcPr>
          <w:p>
            <w:pPr/>
          </w:p>
        </w:tc>
      </w:tr>
      <w:tr>
        <w:trPr>
          <w:trHeight w:val="156" w:hRule="exact"/>
        </w:trPr>
        <w:tc>
          <w:tcPr>
            <w:tcW w:w="1186" w:type="dxa"/>
            <w:vMerge w:val="restart"/>
            <w:tcBorders>
              <w:top w:val="nil" w:sz="6" w:space="0" w:color="auto"/>
              <w:left w:val="single" w:sz="4" w:space="0" w:color="000000"/>
              <w:right w:val="single" w:sz="4" w:space="0" w:color="000000"/>
            </w:tcBorders>
            <w:shd w:val="clear" w:color="auto" w:fill="D3D3D3"/>
          </w:tcPr>
          <w:p>
            <w:pPr/>
          </w:p>
        </w:tc>
        <w:tc>
          <w:tcPr>
            <w:tcW w:w="1194" w:type="dxa"/>
            <w:vMerge/>
            <w:tcBorders>
              <w:left w:val="single" w:sz="4" w:space="0" w:color="000000"/>
              <w:bottom w:val="nil" w:sz="6" w:space="0" w:color="auto"/>
              <w:right w:val="single" w:sz="4" w:space="0" w:color="000000"/>
            </w:tcBorders>
            <w:shd w:val="clear" w:color="auto" w:fill="D3D3D3"/>
          </w:tcPr>
          <w:p>
            <w:pPr/>
          </w:p>
        </w:tc>
        <w:tc>
          <w:tcPr>
            <w:tcW w:w="1448" w:type="dxa"/>
            <w:vMerge/>
            <w:tcBorders>
              <w:left w:val="single" w:sz="4" w:space="0" w:color="000000"/>
              <w:right w:val="single" w:sz="4" w:space="0" w:color="000000"/>
            </w:tcBorders>
            <w:shd w:val="clear" w:color="auto" w:fill="D3D3D3"/>
          </w:tcPr>
          <w:p>
            <w:pPr/>
          </w:p>
        </w:tc>
        <w:tc>
          <w:tcPr>
            <w:tcW w:w="1264" w:type="dxa"/>
            <w:vMerge/>
            <w:tcBorders>
              <w:left w:val="single" w:sz="4" w:space="0" w:color="000000"/>
              <w:right w:val="single" w:sz="4" w:space="0" w:color="000000"/>
            </w:tcBorders>
            <w:shd w:val="clear" w:color="auto" w:fill="D3D3D3"/>
          </w:tcPr>
          <w:p>
            <w:pPr/>
          </w:p>
        </w:tc>
        <w:tc>
          <w:tcPr>
            <w:tcW w:w="877" w:type="dxa"/>
            <w:vMerge/>
            <w:tcBorders>
              <w:left w:val="single" w:sz="4" w:space="0" w:color="000000"/>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right w:val="single" w:sz="4" w:space="0" w:color="000000"/>
            </w:tcBorders>
            <w:shd w:val="clear" w:color="auto" w:fill="D3D3D3"/>
          </w:tcPr>
          <w:p>
            <w:pPr/>
          </w:p>
        </w:tc>
        <w:tc>
          <w:tcPr>
            <w:tcW w:w="1172" w:type="dxa"/>
            <w:vMerge/>
            <w:tcBorders>
              <w:left w:val="single" w:sz="4" w:space="0" w:color="000000"/>
              <w:right w:val="single" w:sz="4" w:space="0" w:color="000000"/>
            </w:tcBorders>
            <w:shd w:val="clear" w:color="auto" w:fill="D3D3D3"/>
          </w:tcPr>
          <w:p>
            <w:pPr/>
          </w:p>
        </w:tc>
      </w:tr>
      <w:tr>
        <w:trPr>
          <w:trHeight w:val="156" w:hRule="exact"/>
        </w:trPr>
        <w:tc>
          <w:tcPr>
            <w:tcW w:w="1186" w:type="dxa"/>
            <w:vMerge/>
            <w:tcBorders>
              <w:left w:val="single" w:sz="4" w:space="0" w:color="000000"/>
              <w:right w:val="single" w:sz="4" w:space="0" w:color="000000"/>
            </w:tcBorders>
            <w:shd w:val="clear" w:color="auto" w:fill="D3D3D3"/>
          </w:tcPr>
          <w:p>
            <w:pPr/>
          </w:p>
        </w:tc>
        <w:tc>
          <w:tcPr>
            <w:tcW w:w="1194" w:type="dxa"/>
            <w:vMerge w:val="restart"/>
            <w:tcBorders>
              <w:top w:val="nil" w:sz="6" w:space="0" w:color="auto"/>
              <w:left w:val="single" w:sz="4" w:space="0" w:color="000000"/>
              <w:right w:val="single" w:sz="4" w:space="0" w:color="000000"/>
            </w:tcBorders>
            <w:shd w:val="clear" w:color="auto" w:fill="D3D3D3"/>
          </w:tcPr>
          <w:p>
            <w:pPr/>
          </w:p>
        </w:tc>
        <w:tc>
          <w:tcPr>
            <w:tcW w:w="1448" w:type="dxa"/>
            <w:vMerge/>
            <w:tcBorders>
              <w:left w:val="single" w:sz="4" w:space="0" w:color="000000"/>
              <w:right w:val="single" w:sz="4" w:space="0" w:color="000000"/>
            </w:tcBorders>
            <w:shd w:val="clear" w:color="auto" w:fill="D3D3D3"/>
          </w:tcPr>
          <w:p>
            <w:pPr/>
          </w:p>
        </w:tc>
        <w:tc>
          <w:tcPr>
            <w:tcW w:w="1264" w:type="dxa"/>
            <w:vMerge/>
            <w:tcBorders>
              <w:left w:val="single" w:sz="4" w:space="0" w:color="000000"/>
              <w:right w:val="single" w:sz="4" w:space="0" w:color="000000"/>
            </w:tcBorders>
            <w:shd w:val="clear" w:color="auto" w:fill="D3D3D3"/>
          </w:tcPr>
          <w:p>
            <w:pPr/>
          </w:p>
        </w:tc>
        <w:tc>
          <w:tcPr>
            <w:tcW w:w="877" w:type="dxa"/>
            <w:vMerge/>
            <w:tcBorders>
              <w:left w:val="single" w:sz="4" w:space="0" w:color="000000"/>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bottom w:val="nil" w:sz="6" w:space="0" w:color="auto"/>
              <w:right w:val="single" w:sz="4" w:space="0" w:color="000000"/>
            </w:tcBorders>
            <w:shd w:val="clear" w:color="auto" w:fill="D3D3D3"/>
          </w:tcPr>
          <w:p>
            <w:pPr/>
          </w:p>
        </w:tc>
        <w:tc>
          <w:tcPr>
            <w:tcW w:w="1172" w:type="dxa"/>
            <w:vMerge/>
            <w:tcBorders>
              <w:left w:val="single" w:sz="4" w:space="0" w:color="000000"/>
              <w:right w:val="single" w:sz="4" w:space="0" w:color="000000"/>
            </w:tcBorders>
            <w:shd w:val="clear" w:color="auto" w:fill="D3D3D3"/>
          </w:tcPr>
          <w:p>
            <w:pPr/>
          </w:p>
        </w:tc>
      </w:tr>
      <w:tr>
        <w:trPr>
          <w:trHeight w:val="156" w:hRule="exact"/>
        </w:trPr>
        <w:tc>
          <w:tcPr>
            <w:tcW w:w="1186" w:type="dxa"/>
            <w:vMerge/>
            <w:tcBorders>
              <w:left w:val="single" w:sz="4" w:space="0" w:color="000000"/>
              <w:right w:val="single" w:sz="4" w:space="0" w:color="000000"/>
            </w:tcBorders>
            <w:shd w:val="clear" w:color="auto" w:fill="D3D3D3"/>
          </w:tcPr>
          <w:p>
            <w:pPr/>
          </w:p>
        </w:tc>
        <w:tc>
          <w:tcPr>
            <w:tcW w:w="1194" w:type="dxa"/>
            <w:vMerge/>
            <w:tcBorders>
              <w:left w:val="single" w:sz="4" w:space="0" w:color="000000"/>
              <w:right w:val="single" w:sz="4" w:space="0" w:color="000000"/>
            </w:tcBorders>
            <w:shd w:val="clear" w:color="auto" w:fill="D3D3D3"/>
          </w:tcPr>
          <w:p>
            <w:pPr/>
          </w:p>
        </w:tc>
        <w:tc>
          <w:tcPr>
            <w:tcW w:w="1448" w:type="dxa"/>
            <w:vMerge/>
            <w:tcBorders>
              <w:left w:val="single" w:sz="4" w:space="0" w:color="000000"/>
              <w:bottom w:val="nil" w:sz="6" w:space="0" w:color="auto"/>
              <w:right w:val="single" w:sz="4" w:space="0" w:color="000000"/>
            </w:tcBorders>
            <w:shd w:val="clear" w:color="auto" w:fill="D3D3D3"/>
          </w:tcPr>
          <w:p>
            <w:pPr/>
          </w:p>
        </w:tc>
        <w:tc>
          <w:tcPr>
            <w:tcW w:w="1264" w:type="dxa"/>
            <w:vMerge/>
            <w:tcBorders>
              <w:left w:val="single" w:sz="4" w:space="0" w:color="000000"/>
              <w:right w:val="single" w:sz="4" w:space="0" w:color="000000"/>
            </w:tcBorders>
            <w:shd w:val="clear" w:color="auto" w:fill="D3D3D3"/>
          </w:tcPr>
          <w:p>
            <w:pPr/>
          </w:p>
        </w:tc>
        <w:tc>
          <w:tcPr>
            <w:tcW w:w="877" w:type="dxa"/>
            <w:vMerge/>
            <w:tcBorders>
              <w:left w:val="single" w:sz="4" w:space="0" w:color="000000"/>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219" w:type="dxa"/>
            <w:vMerge w:val="restart"/>
            <w:tcBorders>
              <w:top w:val="nil" w:sz="6" w:space="0" w:color="auto"/>
              <w:left w:val="single" w:sz="4" w:space="0" w:color="000000"/>
              <w:right w:val="single" w:sz="4" w:space="0" w:color="000000"/>
            </w:tcBorders>
            <w:shd w:val="clear" w:color="auto" w:fill="D3D3D3"/>
          </w:tcPr>
          <w:p>
            <w:pPr/>
          </w:p>
        </w:tc>
        <w:tc>
          <w:tcPr>
            <w:tcW w:w="1172" w:type="dxa"/>
            <w:vMerge/>
            <w:tcBorders>
              <w:left w:val="single" w:sz="4" w:space="0" w:color="000000"/>
              <w:right w:val="single" w:sz="4" w:space="0" w:color="000000"/>
            </w:tcBorders>
            <w:shd w:val="clear" w:color="auto" w:fill="D3D3D3"/>
          </w:tcPr>
          <w:p>
            <w:pPr/>
          </w:p>
        </w:tc>
      </w:tr>
      <w:tr>
        <w:trPr>
          <w:trHeight w:val="156" w:hRule="exact"/>
        </w:trPr>
        <w:tc>
          <w:tcPr>
            <w:tcW w:w="1186" w:type="dxa"/>
            <w:vMerge/>
            <w:tcBorders>
              <w:left w:val="single" w:sz="4" w:space="0" w:color="000000"/>
              <w:right w:val="single" w:sz="4" w:space="0" w:color="000000"/>
            </w:tcBorders>
            <w:shd w:val="clear" w:color="auto" w:fill="D3D3D3"/>
          </w:tcPr>
          <w:p>
            <w:pPr/>
          </w:p>
        </w:tc>
        <w:tc>
          <w:tcPr>
            <w:tcW w:w="1194" w:type="dxa"/>
            <w:vMerge/>
            <w:tcBorders>
              <w:left w:val="single" w:sz="4" w:space="0" w:color="000000"/>
              <w:right w:val="single" w:sz="4" w:space="0" w:color="000000"/>
            </w:tcBorders>
            <w:shd w:val="clear" w:color="auto" w:fill="D3D3D3"/>
          </w:tcPr>
          <w:p>
            <w:pPr/>
          </w:p>
        </w:tc>
        <w:tc>
          <w:tcPr>
            <w:tcW w:w="1448" w:type="dxa"/>
            <w:vMerge w:val="restart"/>
            <w:tcBorders>
              <w:top w:val="nil" w:sz="6" w:space="0" w:color="auto"/>
              <w:left w:val="single" w:sz="4" w:space="0" w:color="000000"/>
              <w:right w:val="single" w:sz="4" w:space="0" w:color="000000"/>
            </w:tcBorders>
            <w:shd w:val="clear" w:color="auto" w:fill="D3D3D3"/>
          </w:tcPr>
          <w:p>
            <w:pPr/>
          </w:p>
        </w:tc>
        <w:tc>
          <w:tcPr>
            <w:tcW w:w="1264" w:type="dxa"/>
            <w:vMerge/>
            <w:tcBorders>
              <w:left w:val="single" w:sz="4" w:space="0" w:color="000000"/>
              <w:right w:val="single" w:sz="4" w:space="0" w:color="000000"/>
            </w:tcBorders>
            <w:shd w:val="clear" w:color="auto" w:fill="D3D3D3"/>
          </w:tcPr>
          <w:p>
            <w:pPr/>
          </w:p>
        </w:tc>
        <w:tc>
          <w:tcPr>
            <w:tcW w:w="877" w:type="dxa"/>
            <w:vMerge/>
            <w:tcBorders>
              <w:left w:val="single" w:sz="4" w:space="0" w:color="000000"/>
              <w:bottom w:val="nil" w:sz="6" w:space="0" w:color="auto"/>
              <w:right w:val="single" w:sz="4" w:space="0" w:color="000000"/>
            </w:tcBorders>
            <w:shd w:val="clear" w:color="auto" w:fill="D3D3D3"/>
          </w:tcPr>
          <w:p>
            <w:pPr/>
          </w:p>
        </w:tc>
        <w:tc>
          <w:tcPr>
            <w:tcW w:w="1184" w:type="dxa"/>
            <w:vMerge/>
            <w:tcBorders>
              <w:left w:val="single" w:sz="4" w:space="0" w:color="000000"/>
              <w:right w:val="single" w:sz="4" w:space="0" w:color="000000"/>
            </w:tcBorders>
            <w:shd w:val="clear" w:color="auto" w:fill="D3D3D3"/>
          </w:tcPr>
          <w:p>
            <w:pPr/>
          </w:p>
        </w:tc>
        <w:tc>
          <w:tcPr>
            <w:tcW w:w="1219" w:type="dxa"/>
            <w:vMerge/>
            <w:tcBorders>
              <w:left w:val="single" w:sz="4" w:space="0" w:color="000000"/>
              <w:right w:val="single" w:sz="4" w:space="0" w:color="000000"/>
            </w:tcBorders>
            <w:shd w:val="clear" w:color="auto" w:fill="D3D3D3"/>
          </w:tcPr>
          <w:p>
            <w:pPr/>
          </w:p>
        </w:tc>
        <w:tc>
          <w:tcPr>
            <w:tcW w:w="1172" w:type="dxa"/>
            <w:vMerge/>
            <w:tcBorders>
              <w:left w:val="single" w:sz="4" w:space="0" w:color="000000"/>
              <w:right w:val="single" w:sz="4" w:space="0" w:color="000000"/>
            </w:tcBorders>
            <w:shd w:val="clear" w:color="auto" w:fill="D3D3D3"/>
          </w:tcPr>
          <w:p>
            <w:pPr/>
          </w:p>
        </w:tc>
      </w:tr>
      <w:tr>
        <w:trPr>
          <w:trHeight w:val="156" w:hRule="exact"/>
        </w:trPr>
        <w:tc>
          <w:tcPr>
            <w:tcW w:w="1186" w:type="dxa"/>
            <w:vMerge/>
            <w:tcBorders>
              <w:left w:val="single" w:sz="4" w:space="0" w:color="000000"/>
              <w:right w:val="single" w:sz="4" w:space="0" w:color="000000"/>
            </w:tcBorders>
            <w:shd w:val="clear" w:color="auto" w:fill="D3D3D3"/>
          </w:tcPr>
          <w:p>
            <w:pPr/>
          </w:p>
        </w:tc>
        <w:tc>
          <w:tcPr>
            <w:tcW w:w="1194" w:type="dxa"/>
            <w:vMerge/>
            <w:tcBorders>
              <w:left w:val="single" w:sz="4" w:space="0" w:color="000000"/>
              <w:right w:val="single" w:sz="4" w:space="0" w:color="000000"/>
            </w:tcBorders>
            <w:shd w:val="clear" w:color="auto" w:fill="D3D3D3"/>
          </w:tcPr>
          <w:p>
            <w:pPr/>
          </w:p>
        </w:tc>
        <w:tc>
          <w:tcPr>
            <w:tcW w:w="1448" w:type="dxa"/>
            <w:vMerge/>
            <w:tcBorders>
              <w:left w:val="single" w:sz="4" w:space="0" w:color="000000"/>
              <w:right w:val="single" w:sz="4" w:space="0" w:color="000000"/>
            </w:tcBorders>
            <w:shd w:val="clear" w:color="auto" w:fill="D3D3D3"/>
          </w:tcPr>
          <w:p>
            <w:pPr/>
          </w:p>
        </w:tc>
        <w:tc>
          <w:tcPr>
            <w:tcW w:w="1264" w:type="dxa"/>
            <w:vMerge/>
            <w:tcBorders>
              <w:left w:val="single" w:sz="4" w:space="0" w:color="000000"/>
              <w:bottom w:val="nil" w:sz="6" w:space="0" w:color="auto"/>
              <w:right w:val="single" w:sz="4" w:space="0" w:color="000000"/>
            </w:tcBorders>
            <w:shd w:val="clear" w:color="auto" w:fill="D3D3D3"/>
          </w:tcPr>
          <w:p>
            <w:pPr/>
          </w:p>
        </w:tc>
        <w:tc>
          <w:tcPr>
            <w:tcW w:w="877" w:type="dxa"/>
            <w:vMerge w:val="restart"/>
            <w:tcBorders>
              <w:top w:val="nil" w:sz="6" w:space="0" w:color="auto"/>
              <w:left w:val="single" w:sz="4" w:space="0" w:color="000000"/>
              <w:right w:val="single" w:sz="4" w:space="0" w:color="000000"/>
            </w:tcBorders>
            <w:shd w:val="clear" w:color="auto" w:fill="D3D3D3"/>
          </w:tcPr>
          <w:p>
            <w:pPr/>
          </w:p>
        </w:tc>
        <w:tc>
          <w:tcPr>
            <w:tcW w:w="1184" w:type="dxa"/>
            <w:vMerge/>
            <w:tcBorders>
              <w:left w:val="single" w:sz="4" w:space="0" w:color="000000"/>
              <w:bottom w:val="nil" w:sz="6" w:space="0" w:color="auto"/>
              <w:right w:val="single" w:sz="4" w:space="0" w:color="000000"/>
            </w:tcBorders>
            <w:shd w:val="clear" w:color="auto" w:fill="D3D3D3"/>
          </w:tcPr>
          <w:p>
            <w:pPr/>
          </w:p>
        </w:tc>
        <w:tc>
          <w:tcPr>
            <w:tcW w:w="1219" w:type="dxa"/>
            <w:vMerge/>
            <w:tcBorders>
              <w:left w:val="single" w:sz="4" w:space="0" w:color="000000"/>
              <w:right w:val="single" w:sz="4" w:space="0" w:color="000000"/>
            </w:tcBorders>
            <w:shd w:val="clear" w:color="auto" w:fill="D3D3D3"/>
          </w:tcPr>
          <w:p>
            <w:pPr/>
          </w:p>
        </w:tc>
        <w:tc>
          <w:tcPr>
            <w:tcW w:w="1172" w:type="dxa"/>
            <w:vMerge/>
            <w:tcBorders>
              <w:left w:val="single" w:sz="4" w:space="0" w:color="000000"/>
              <w:right w:val="single" w:sz="4" w:space="0" w:color="000000"/>
            </w:tcBorders>
            <w:shd w:val="clear" w:color="auto" w:fill="D3D3D3"/>
          </w:tcPr>
          <w:p>
            <w:pPr/>
          </w:p>
        </w:tc>
      </w:tr>
      <w:tr>
        <w:trPr>
          <w:trHeight w:val="161" w:hRule="exact"/>
        </w:trPr>
        <w:tc>
          <w:tcPr>
            <w:tcW w:w="1186" w:type="dxa"/>
            <w:vMerge/>
            <w:tcBorders>
              <w:left w:val="single" w:sz="4" w:space="0" w:color="000000"/>
              <w:bottom w:val="single" w:sz="4" w:space="0" w:color="000000"/>
              <w:right w:val="single" w:sz="4" w:space="0" w:color="000000"/>
            </w:tcBorders>
            <w:shd w:val="clear" w:color="auto" w:fill="D3D3D3"/>
          </w:tcPr>
          <w:p>
            <w:pPr/>
          </w:p>
        </w:tc>
        <w:tc>
          <w:tcPr>
            <w:tcW w:w="1194" w:type="dxa"/>
            <w:vMerge/>
            <w:tcBorders>
              <w:left w:val="single" w:sz="4" w:space="0" w:color="000000"/>
              <w:bottom w:val="single" w:sz="4" w:space="0" w:color="000000"/>
              <w:right w:val="single" w:sz="4" w:space="0" w:color="000000"/>
            </w:tcBorders>
            <w:shd w:val="clear" w:color="auto" w:fill="D3D3D3"/>
          </w:tcPr>
          <w:p>
            <w:pPr/>
          </w:p>
        </w:tc>
        <w:tc>
          <w:tcPr>
            <w:tcW w:w="1448" w:type="dxa"/>
            <w:vMerge/>
            <w:tcBorders>
              <w:left w:val="single" w:sz="4" w:space="0" w:color="000000"/>
              <w:bottom w:val="single" w:sz="4" w:space="0" w:color="000000"/>
              <w:right w:val="single" w:sz="4" w:space="0" w:color="000000"/>
            </w:tcBorders>
            <w:shd w:val="clear" w:color="auto" w:fill="D3D3D3"/>
          </w:tcPr>
          <w:p>
            <w:pPr/>
          </w:p>
        </w:tc>
        <w:tc>
          <w:tcPr>
            <w:tcW w:w="1264" w:type="dxa"/>
            <w:tcBorders>
              <w:top w:val="nil" w:sz="6" w:space="0" w:color="auto"/>
              <w:left w:val="single" w:sz="4" w:space="0" w:color="000000"/>
              <w:bottom w:val="single" w:sz="4" w:space="0" w:color="000000"/>
              <w:right w:val="single" w:sz="4" w:space="0" w:color="000000"/>
            </w:tcBorders>
            <w:shd w:val="clear" w:color="auto" w:fill="D3D3D3"/>
          </w:tcPr>
          <w:p>
            <w:pPr/>
          </w:p>
        </w:tc>
        <w:tc>
          <w:tcPr>
            <w:tcW w:w="877" w:type="dxa"/>
            <w:vMerge/>
            <w:tcBorders>
              <w:left w:val="single" w:sz="4" w:space="0" w:color="000000"/>
              <w:bottom w:val="single" w:sz="4" w:space="0" w:color="000000"/>
              <w:right w:val="single" w:sz="4" w:space="0" w:color="000000"/>
            </w:tcBorders>
            <w:shd w:val="clear" w:color="auto" w:fill="D3D3D3"/>
          </w:tcPr>
          <w:p>
            <w:pPr/>
          </w:p>
        </w:tc>
        <w:tc>
          <w:tcPr>
            <w:tcW w:w="1184" w:type="dxa"/>
            <w:tcBorders>
              <w:top w:val="nil" w:sz="6" w:space="0" w:color="auto"/>
              <w:left w:val="single" w:sz="4" w:space="0" w:color="000000"/>
              <w:bottom w:val="single" w:sz="4" w:space="0" w:color="000000"/>
              <w:right w:val="single" w:sz="4" w:space="0" w:color="000000"/>
            </w:tcBorders>
            <w:shd w:val="clear" w:color="auto" w:fill="D3D3D3"/>
          </w:tcPr>
          <w:p>
            <w:pPr/>
          </w:p>
        </w:tc>
        <w:tc>
          <w:tcPr>
            <w:tcW w:w="1219" w:type="dxa"/>
            <w:vMerge/>
            <w:tcBorders>
              <w:left w:val="single" w:sz="4" w:space="0" w:color="000000"/>
              <w:bottom w:val="single" w:sz="4" w:space="0" w:color="000000"/>
              <w:right w:val="single" w:sz="4" w:space="0" w:color="000000"/>
            </w:tcBorders>
            <w:shd w:val="clear" w:color="auto" w:fill="D3D3D3"/>
          </w:tcPr>
          <w:p>
            <w:pPr/>
          </w:p>
        </w:tc>
        <w:tc>
          <w:tcPr>
            <w:tcW w:w="117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0.00</w:t>
            </w:r>
            <w:r>
              <w:rPr>
                <w:rFonts w:ascii="Arial"/>
                <w:w w:val="95"/>
                <w:sz w:val="18"/>
              </w:rPr>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3"/>
              <w:jc w:val="right"/>
              <w:rPr>
                <w:rFonts w:ascii="Arial" w:hAnsi="Arial" w:cs="Arial" w:eastAsia="Arial" w:hint="default"/>
                <w:sz w:val="18"/>
                <w:szCs w:val="18"/>
              </w:rPr>
            </w:pPr>
            <w:r>
              <w:rPr>
                <w:rFonts w:ascii="Arial"/>
                <w:spacing w:val="-1"/>
                <w:sz w:val="18"/>
              </w:rPr>
              <w:t>49,816,021.80</w:t>
            </w:r>
            <w:r>
              <w:rPr>
                <w:rFonts w:ascii="Arial"/>
                <w:sz w:val="18"/>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0.00%</w:t>
            </w:r>
            <w:r>
              <w:rPr>
                <w:rFonts w:ascii="Arial"/>
                <w:w w:val="95"/>
                <w:sz w:val="18"/>
              </w:rPr>
            </w:r>
          </w:p>
        </w:tc>
        <w:tc>
          <w:tcPr>
            <w:tcW w:w="87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4"/>
              <w:jc w:val="right"/>
              <w:rPr>
                <w:rFonts w:ascii="Arial" w:hAnsi="Arial" w:cs="Arial" w:eastAsia="Arial" w:hint="default"/>
                <w:sz w:val="18"/>
                <w:szCs w:val="18"/>
              </w:rPr>
            </w:pPr>
            <w:r>
              <w:rPr>
                <w:rFonts w:ascii="Arial"/>
                <w:spacing w:val="-1"/>
                <w:w w:val="95"/>
                <w:sz w:val="18"/>
              </w:rPr>
              <w:t>0.00</w:t>
            </w:r>
            <w:r>
              <w:rPr>
                <w:rFonts w:ascii="Arial"/>
                <w:w w:val="95"/>
                <w:sz w:val="18"/>
              </w:rPr>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Arial" w:hAnsi="Arial" w:cs="Arial" w:eastAsia="Arial" w:hint="default"/>
                <w:sz w:val="18"/>
                <w:szCs w:val="18"/>
              </w:rPr>
            </w:pPr>
            <w:r>
              <w:rPr>
                <w:rFonts w:ascii="Arial"/>
                <w:spacing w:val="-1"/>
                <w:w w:val="95"/>
                <w:sz w:val="18"/>
              </w:rPr>
              <w:t>0.00%</w:t>
            </w:r>
            <w:r>
              <w:rPr>
                <w:rFonts w:ascii="Arial"/>
                <w:w w:val="95"/>
                <w:sz w:val="18"/>
              </w:rPr>
            </w:r>
          </w:p>
        </w:tc>
      </w:tr>
      <w:tr>
        <w:trPr>
          <w:trHeight w:val="402" w:hRule="exact"/>
        </w:trPr>
        <w:tc>
          <w:tcPr>
            <w:tcW w:w="1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6,222,000.00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3"/>
              <w:jc w:val="right"/>
              <w:rPr>
                <w:rFonts w:ascii="Arial" w:hAnsi="Arial" w:cs="Arial" w:eastAsia="Arial" w:hint="default"/>
                <w:sz w:val="18"/>
                <w:szCs w:val="18"/>
              </w:rPr>
            </w:pPr>
            <w:r>
              <w:rPr>
                <w:rFonts w:ascii="Arial"/>
                <w:spacing w:val="-1"/>
                <w:sz w:val="18"/>
              </w:rPr>
              <w:t>33,287,713.07</w:t>
            </w:r>
            <w:r>
              <w:rPr>
                <w:rFonts w:ascii="Arial"/>
                <w:sz w:val="18"/>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18.69%</w:t>
            </w:r>
          </w:p>
        </w:tc>
        <w:tc>
          <w:tcPr>
            <w:tcW w:w="87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4"/>
              <w:jc w:val="right"/>
              <w:rPr>
                <w:rFonts w:ascii="Arial" w:hAnsi="Arial" w:cs="Arial" w:eastAsia="Arial" w:hint="default"/>
                <w:sz w:val="18"/>
                <w:szCs w:val="18"/>
              </w:rPr>
            </w:pPr>
            <w:r>
              <w:rPr>
                <w:rFonts w:ascii="Arial"/>
                <w:spacing w:val="-1"/>
                <w:sz w:val="18"/>
              </w:rPr>
              <w:t>6,222,000.00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Arial" w:hAnsi="Arial" w:cs="Arial" w:eastAsia="Arial" w:hint="default"/>
                <w:sz w:val="18"/>
                <w:szCs w:val="18"/>
              </w:rPr>
            </w:pPr>
            <w:r>
              <w:rPr>
                <w:rFonts w:ascii="Arial"/>
                <w:spacing w:val="-1"/>
                <w:sz w:val="18"/>
              </w:rPr>
              <w:t>18.69%</w:t>
            </w:r>
          </w:p>
        </w:tc>
      </w:tr>
      <w:tr>
        <w:trPr>
          <w:trHeight w:val="402" w:hRule="exact"/>
        </w:trPr>
        <w:tc>
          <w:tcPr>
            <w:tcW w:w="1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11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6,222,000.00</w:t>
            </w:r>
          </w:p>
        </w:tc>
        <w:tc>
          <w:tcPr>
            <w:tcW w:w="14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3"/>
              <w:jc w:val="right"/>
              <w:rPr>
                <w:rFonts w:ascii="Arial" w:hAnsi="Arial" w:cs="Arial" w:eastAsia="Arial" w:hint="default"/>
                <w:sz w:val="18"/>
                <w:szCs w:val="18"/>
              </w:rPr>
            </w:pPr>
            <w:r>
              <w:rPr>
                <w:rFonts w:ascii="Arial"/>
                <w:spacing w:val="-1"/>
                <w:sz w:val="18"/>
              </w:rPr>
              <w:t>32,763,224.88</w:t>
            </w:r>
            <w:r>
              <w:rPr>
                <w:rFonts w:ascii="Arial"/>
                <w:sz w:val="18"/>
              </w:rPr>
            </w:r>
          </w:p>
        </w:tc>
        <w:tc>
          <w:tcPr>
            <w:tcW w:w="12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18.99%</w:t>
            </w:r>
          </w:p>
        </w:tc>
        <w:tc>
          <w:tcPr>
            <w:tcW w:w="877" w:type="dxa"/>
            <w:tcBorders>
              <w:top w:val="single" w:sz="4" w:space="0" w:color="000000"/>
              <w:left w:val="single" w:sz="4" w:space="0" w:color="000000"/>
              <w:bottom w:val="single" w:sz="4" w:space="0" w:color="000000"/>
              <w:right w:val="single" w:sz="4" w:space="0" w:color="000000"/>
            </w:tcBorders>
          </w:tcPr>
          <w:p>
            <w:pPr/>
          </w:p>
        </w:tc>
        <w:tc>
          <w:tcPr>
            <w:tcW w:w="1184" w:type="dxa"/>
            <w:tcBorders>
              <w:top w:val="single" w:sz="4" w:space="0" w:color="000000"/>
              <w:left w:val="single" w:sz="4" w:space="0" w:color="000000"/>
              <w:bottom w:val="single" w:sz="4" w:space="0" w:color="000000"/>
              <w:right w:val="single" w:sz="4" w:space="0" w:color="000000"/>
            </w:tcBorders>
          </w:tcPr>
          <w:p>
            <w:pPr/>
          </w:p>
        </w:tc>
        <w:tc>
          <w:tcPr>
            <w:tcW w:w="12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4"/>
              <w:jc w:val="right"/>
              <w:rPr>
                <w:rFonts w:ascii="Arial" w:hAnsi="Arial" w:cs="Arial" w:eastAsia="Arial" w:hint="default"/>
                <w:sz w:val="18"/>
                <w:szCs w:val="18"/>
              </w:rPr>
            </w:pPr>
            <w:r>
              <w:rPr>
                <w:rFonts w:ascii="Arial"/>
                <w:spacing w:val="-1"/>
                <w:sz w:val="18"/>
              </w:rPr>
              <w:t>6,222,000.00</w:t>
            </w:r>
          </w:p>
        </w:tc>
        <w:tc>
          <w:tcPr>
            <w:tcW w:w="11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Arial" w:hAnsi="Arial" w:cs="Arial" w:eastAsia="Arial" w:hint="default"/>
                <w:sz w:val="18"/>
                <w:szCs w:val="18"/>
              </w:rPr>
            </w:pPr>
            <w:r>
              <w:rPr>
                <w:rFonts w:ascii="Arial"/>
                <w:spacing w:val="-1"/>
                <w:sz w:val="18"/>
              </w:rPr>
              <w:t>18.99%</w:t>
            </w:r>
          </w:p>
        </w:tc>
      </w:tr>
    </w:tbl>
    <w:p>
      <w:pPr>
        <w:pStyle w:val="BodyText"/>
        <w:spacing w:line="240" w:lineRule="auto" w:before="51"/>
        <w:ind w:right="2239"/>
        <w:jc w:val="left"/>
      </w:pPr>
      <w:r>
        <w:rPr/>
        <w:t>公司报告期内盈利且母公司可供普通股股东分配利润为正但未提出普通股现金红利分配预案</w:t>
      </w:r>
    </w:p>
    <w:p>
      <w:pPr>
        <w:pStyle w:val="BodyText"/>
        <w:spacing w:line="240" w:lineRule="auto" w:before="117"/>
        <w:ind w:left="153" w:right="223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44"/>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4784"/>
        <w:gridCol w:w="4783"/>
      </w:tblGrid>
      <w:tr>
        <w:trPr>
          <w:trHeight w:val="713"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036" w:right="47" w:hanging="990"/>
              <w:jc w:val="left"/>
              <w:rPr>
                <w:rFonts w:ascii="宋体" w:hAnsi="宋体" w:cs="宋体" w:eastAsia="宋体" w:hint="default"/>
                <w:sz w:val="18"/>
                <w:szCs w:val="18"/>
              </w:rPr>
            </w:pPr>
            <w:r>
              <w:rPr>
                <w:rFonts w:ascii="宋体" w:hAnsi="宋体" w:cs="宋体" w:eastAsia="宋体" w:hint="default"/>
                <w:sz w:val="18"/>
                <w:szCs w:val="18"/>
              </w:rPr>
              <w:t>报告期内盈利且母公司可供普通股股东分配利润为正但未提 出普通股现金红利分配预案的原因</w:t>
            </w:r>
          </w:p>
        </w:tc>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036" w:right="0"/>
              <w:jc w:val="left"/>
              <w:rPr>
                <w:rFonts w:ascii="宋体" w:hAnsi="宋体" w:cs="宋体" w:eastAsia="宋体" w:hint="default"/>
                <w:sz w:val="18"/>
                <w:szCs w:val="18"/>
              </w:rPr>
            </w:pPr>
            <w:r>
              <w:rPr>
                <w:rFonts w:ascii="宋体" w:hAnsi="宋体" w:cs="宋体" w:eastAsia="宋体" w:hint="default"/>
                <w:sz w:val="18"/>
                <w:szCs w:val="18"/>
              </w:rPr>
              <w:t>公司未分配利润的用途和使用计划</w:t>
            </w:r>
          </w:p>
        </w:tc>
      </w:tr>
      <w:tr>
        <w:trPr>
          <w:trHeight w:val="715" w:hRule="exact"/>
        </w:trPr>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1"/>
              <w:jc w:val="left"/>
              <w:rPr>
                <w:rFonts w:ascii="宋体" w:hAnsi="宋体" w:cs="宋体" w:eastAsia="宋体" w:hint="default"/>
                <w:sz w:val="18"/>
                <w:szCs w:val="18"/>
              </w:rPr>
            </w:pPr>
            <w:r>
              <w:rPr>
                <w:rFonts w:ascii="宋体" w:hAnsi="宋体" w:cs="宋体" w:eastAsia="宋体" w:hint="default"/>
                <w:sz w:val="18"/>
                <w:szCs w:val="18"/>
              </w:rPr>
              <w:t>由于公司目前正处于战略升级阶段，着眼于长远和可持续发 展，公司需保持必要的资金储备。</w:t>
            </w:r>
          </w:p>
        </w:tc>
        <w:tc>
          <w:tcPr>
            <w:tcW w:w="478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8"/>
              <w:jc w:val="left"/>
              <w:rPr>
                <w:rFonts w:ascii="宋体" w:hAnsi="宋体" w:cs="宋体" w:eastAsia="宋体" w:hint="default"/>
                <w:sz w:val="18"/>
                <w:szCs w:val="18"/>
              </w:rPr>
            </w:pPr>
            <w:r>
              <w:rPr>
                <w:rFonts w:ascii="宋体" w:hAnsi="宋体" w:cs="宋体" w:eastAsia="宋体" w:hint="default"/>
                <w:sz w:val="18"/>
                <w:szCs w:val="18"/>
              </w:rPr>
              <w:t>加大产品的研发，实施产业战略布局及业务拓展，创造更大 的利润以回报股东。</w:t>
            </w:r>
          </w:p>
        </w:tc>
      </w:tr>
    </w:tbl>
    <w:p>
      <w:pPr>
        <w:spacing w:line="240" w:lineRule="auto" w:before="2"/>
        <w:rPr>
          <w:rFonts w:ascii="宋体" w:hAnsi="宋体" w:cs="宋体" w:eastAsia="宋体" w:hint="default"/>
          <w:sz w:val="18"/>
          <w:szCs w:val="18"/>
        </w:rPr>
      </w:pPr>
    </w:p>
    <w:p>
      <w:pPr>
        <w:pStyle w:val="Heading2"/>
        <w:spacing w:line="240" w:lineRule="auto" w:before="26"/>
        <w:ind w:right="2239"/>
        <w:jc w:val="left"/>
        <w:rPr>
          <w:b w:val="0"/>
          <w:bCs w:val="0"/>
        </w:rPr>
      </w:pPr>
      <w:r>
        <w:rPr/>
        <w:t>二、本报告期利润分配及资本公积金转增股本情况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t>□ 适用 √ 不适用</w:t>
      </w:r>
    </w:p>
    <w:p>
      <w:pPr>
        <w:pStyle w:val="BodyText"/>
        <w:spacing w:line="240" w:lineRule="auto" w:before="116"/>
        <w:ind w:left="153" w:right="2239"/>
        <w:jc w:val="left"/>
      </w:pP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年度不派发现金红利，不送红股，不以公积金转增股本。</w:t>
      </w:r>
    </w:p>
    <w:p>
      <w:pPr>
        <w:spacing w:after="0" w:line="240" w:lineRule="auto"/>
        <w:jc w:val="left"/>
        <w:sectPr>
          <w:pgSz w:w="11910" w:h="16840"/>
          <w:pgMar w:header="747" w:footer="982" w:top="1060" w:bottom="118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2239"/>
        <w:jc w:val="left"/>
        <w:rPr>
          <w:b w:val="0"/>
          <w:bCs w:val="0"/>
        </w:rPr>
      </w:pPr>
      <w:r>
        <w:rPr/>
        <w:t>三、承诺事项履行情况</w:t>
      </w:r>
      <w:r>
        <w:rPr>
          <w:b w:val="0"/>
          <w:bCs w:val="0"/>
        </w:rPr>
      </w:r>
    </w:p>
    <w:p>
      <w:pPr>
        <w:spacing w:line="240" w:lineRule="auto" w:before="9"/>
        <w:rPr>
          <w:rFonts w:ascii="宋体" w:hAnsi="宋体" w:cs="宋体" w:eastAsia="宋体" w:hint="default"/>
          <w:b/>
          <w:bCs/>
          <w:sz w:val="24"/>
          <w:szCs w:val="24"/>
        </w:rPr>
      </w:pPr>
    </w:p>
    <w:p>
      <w:pPr>
        <w:pStyle w:val="Heading4"/>
        <w:spacing w:line="259" w:lineRule="auto"/>
        <w:ind w:right="0"/>
        <w:jc w:val="left"/>
        <w:rPr>
          <w:b w:val="0"/>
          <w:bCs w:val="0"/>
        </w:rPr>
      </w:pPr>
      <w:r>
        <w:rPr>
          <w:rFonts w:ascii="Arial" w:hAnsi="Arial" w:cs="Arial" w:eastAsia="Arial" w:hint="default"/>
        </w:rPr>
        <w:t>1</w:t>
      </w:r>
      <w:r>
        <w:rPr/>
        <w:t>、公司实际控制人、股东、关联方、收购人以及公司等承诺相关方在报告期内履行完毕及截至报告期末</w:t>
      </w:r>
      <w:r>
        <w:rPr>
          <w:spacing w:val="-83"/>
        </w:rPr>
        <w:t> </w:t>
      </w:r>
      <w:r>
        <w:rPr>
          <w:spacing w:val="-83"/>
        </w:rPr>
      </w:r>
      <w:r>
        <w:rPr/>
        <w:t>尚未履行完毕的承诺事项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702"/>
        <w:gridCol w:w="1276"/>
        <w:gridCol w:w="1134"/>
        <w:gridCol w:w="2693"/>
        <w:gridCol w:w="994"/>
        <w:gridCol w:w="991"/>
        <w:gridCol w:w="779"/>
      </w:tblGrid>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84" w:right="0"/>
              <w:jc w:val="left"/>
              <w:rPr>
                <w:rFonts w:ascii="宋体" w:hAnsi="宋体" w:cs="宋体" w:eastAsia="宋体" w:hint="default"/>
                <w:sz w:val="18"/>
                <w:szCs w:val="18"/>
              </w:rPr>
            </w:pPr>
            <w:r>
              <w:rPr>
                <w:rFonts w:ascii="宋体" w:hAnsi="宋体" w:cs="宋体" w:eastAsia="宋体" w:hint="default"/>
                <w:sz w:val="18"/>
                <w:szCs w:val="18"/>
              </w:rPr>
              <w:t>承诺事由</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2"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1" w:right="0"/>
              <w:jc w:val="left"/>
              <w:rPr>
                <w:rFonts w:ascii="宋体" w:hAnsi="宋体" w:cs="宋体" w:eastAsia="宋体" w:hint="default"/>
                <w:sz w:val="18"/>
                <w:szCs w:val="18"/>
              </w:rPr>
            </w:pPr>
            <w:r>
              <w:rPr>
                <w:rFonts w:ascii="宋体" w:hAnsi="宋体" w:cs="宋体" w:eastAsia="宋体" w:hint="default"/>
                <w:sz w:val="18"/>
                <w:szCs w:val="18"/>
              </w:rPr>
              <w:t>承诺类型</w:t>
            </w:r>
          </w:p>
        </w:tc>
        <w:tc>
          <w:tcPr>
            <w:tcW w:w="26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9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7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76" w:type="dxa"/>
            <w:tcBorders>
              <w:top w:val="single" w:sz="4" w:space="0" w:color="000000"/>
              <w:left w:val="single" w:sz="13" w:space="0" w:color="D3D3D3"/>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收购报告书或权益变 动报告书中所作承诺</w:t>
            </w:r>
          </w:p>
        </w:tc>
        <w:tc>
          <w:tcPr>
            <w:tcW w:w="1276" w:type="dxa"/>
            <w:tcBorders>
              <w:top w:val="single" w:sz="4" w:space="0" w:color="000000"/>
              <w:left w:val="single" w:sz="13" w:space="0" w:color="D3D3D3"/>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276" w:type="dxa"/>
            <w:tcBorders>
              <w:top w:val="single" w:sz="4" w:space="0" w:color="000000"/>
              <w:left w:val="single" w:sz="13" w:space="0" w:color="D3D3D3"/>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3210" w:hRule="exact"/>
        </w:trPr>
        <w:tc>
          <w:tcPr>
            <w:tcW w:w="1702" w:type="dxa"/>
            <w:vMerge w:val="restart"/>
            <w:tcBorders>
              <w:top w:val="single" w:sz="4" w:space="0" w:color="000000"/>
              <w:left w:val="single" w:sz="4" w:space="0" w:color="000000"/>
              <w:right w:val="single" w:sz="4" w:space="0" w:color="000000"/>
            </w:tcBorders>
            <w:shd w:val="clear" w:color="auto" w:fill="D3D3D3"/>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鲁峰、侯伟</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2" w:right="20"/>
              <w:jc w:val="left"/>
              <w:rPr>
                <w:rFonts w:ascii="宋体" w:hAnsi="宋体" w:cs="宋体" w:eastAsia="宋体" w:hint="default"/>
                <w:sz w:val="18"/>
                <w:szCs w:val="18"/>
              </w:rPr>
            </w:pPr>
            <w:r>
              <w:rPr>
                <w:rFonts w:ascii="宋体" w:hAnsi="宋体" w:cs="宋体" w:eastAsia="宋体" w:hint="default"/>
                <w:spacing w:val="-5"/>
                <w:sz w:val="18"/>
                <w:szCs w:val="18"/>
              </w:rPr>
              <w:t>在本公司任董事、高级管理人员的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股东鲁峰、侯伟承诺：在其任职期</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间每年转让的股份不得超过其所 持有本公司股份总数的</w:t>
            </w:r>
            <w:r>
              <w:rPr>
                <w:rFonts w:ascii="宋体" w:hAnsi="宋体" w:cs="宋体" w:eastAsia="宋体" w:hint="default"/>
                <w:spacing w:val="-47"/>
                <w:sz w:val="18"/>
                <w:szCs w:val="18"/>
              </w:rPr>
              <w:t> </w:t>
            </w:r>
            <w:r>
              <w:rPr>
                <w:rFonts w:ascii="Arial" w:hAnsi="Arial" w:cs="Arial" w:eastAsia="Arial" w:hint="default"/>
                <w:sz w:val="18"/>
                <w:szCs w:val="18"/>
              </w:rPr>
              <w:t>25%</w:t>
            </w:r>
            <w:r>
              <w:rPr>
                <w:rFonts w:ascii="宋体" w:hAnsi="宋体" w:cs="宋体" w:eastAsia="宋体" w:hint="default"/>
                <w:sz w:val="18"/>
                <w:szCs w:val="18"/>
              </w:rPr>
              <w:t>；离 </w:t>
            </w:r>
            <w:r>
              <w:rPr>
                <w:rFonts w:ascii="宋体" w:hAnsi="宋体" w:cs="宋体" w:eastAsia="宋体" w:hint="default"/>
                <w:spacing w:val="-5"/>
                <w:sz w:val="18"/>
                <w:szCs w:val="18"/>
              </w:rPr>
              <w:t>职后半年内，不转让其所持有的本</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公司股份；申报离职</w:t>
            </w:r>
            <w:r>
              <w:rPr>
                <w:rFonts w:ascii="宋体" w:hAnsi="宋体" w:cs="宋体" w:eastAsia="宋体" w:hint="default"/>
                <w:spacing w:val="-46"/>
                <w:sz w:val="18"/>
                <w:szCs w:val="18"/>
              </w:rPr>
              <w:t> </w:t>
            </w:r>
            <w:r>
              <w:rPr>
                <w:rFonts w:ascii="Arial" w:hAnsi="Arial" w:cs="Arial" w:eastAsia="Arial" w:hint="default"/>
                <w:sz w:val="18"/>
                <w:szCs w:val="18"/>
              </w:rPr>
              <w:t>6</w:t>
            </w:r>
            <w:r>
              <w:rPr>
                <w:rFonts w:ascii="Arial" w:hAnsi="Arial" w:cs="Arial" w:eastAsia="Arial" w:hint="default"/>
                <w:spacing w:val="-7"/>
                <w:sz w:val="18"/>
                <w:szCs w:val="18"/>
              </w:rPr>
              <w:t> </w:t>
            </w:r>
            <w:r>
              <w:rPr>
                <w:rFonts w:ascii="宋体" w:hAnsi="宋体" w:cs="宋体" w:eastAsia="宋体" w:hint="default"/>
                <w:sz w:val="18"/>
                <w:szCs w:val="18"/>
              </w:rPr>
              <w:t>个月后的</w:t>
            </w:r>
          </w:p>
          <w:p>
            <w:pPr>
              <w:pStyle w:val="TableParagraph"/>
              <w:spacing w:line="312" w:lineRule="auto" w:before="1"/>
              <w:ind w:left="22" w:right="73"/>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个月内通过证券交易所挂牌交 易出售的发行人股票数量占其所 持有发行人股票总数的比例不超 过</w:t>
            </w:r>
            <w:r>
              <w:rPr>
                <w:rFonts w:ascii="宋体" w:hAnsi="宋体" w:cs="宋体" w:eastAsia="宋体" w:hint="default"/>
                <w:spacing w:val="-48"/>
                <w:sz w:val="18"/>
                <w:szCs w:val="18"/>
              </w:rPr>
              <w:t> </w:t>
            </w:r>
            <w:r>
              <w:rPr>
                <w:rFonts w:ascii="Arial" w:hAnsi="Arial" w:cs="Arial" w:eastAsia="Arial" w:hint="default"/>
                <w:sz w:val="18"/>
                <w:szCs w:val="18"/>
              </w:rPr>
              <w:t>50%</w:t>
            </w:r>
            <w:r>
              <w:rPr>
                <w:rFonts w:ascii="宋体" w:hAnsi="宋体" w:cs="宋体" w:eastAsia="宋体" w:hint="default"/>
                <w:sz w:val="18"/>
                <w:szCs w:val="18"/>
              </w:rPr>
              <w:t>。</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1"/>
              <w:ind w:left="22" w:right="0"/>
              <w:jc w:val="left"/>
              <w:rPr>
                <w:rFonts w:ascii="Arial" w:hAnsi="Arial" w:cs="Arial" w:eastAsia="Arial" w:hint="default"/>
                <w:sz w:val="18"/>
                <w:szCs w:val="18"/>
              </w:rPr>
            </w:pPr>
            <w:r>
              <w:rPr>
                <w:rFonts w:ascii="Arial" w:hAnsi="Arial" w:cs="Arial" w:eastAsia="Arial" w:hint="default"/>
                <w:sz w:val="18"/>
                <w:szCs w:val="18"/>
              </w:rPr>
              <w:t>2010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15</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56"/>
              <w:jc w:val="both"/>
              <w:rPr>
                <w:rFonts w:ascii="宋体" w:hAnsi="宋体" w:cs="宋体" w:eastAsia="宋体" w:hint="default"/>
                <w:sz w:val="18"/>
                <w:szCs w:val="18"/>
              </w:rPr>
            </w:pPr>
            <w:r>
              <w:rPr>
                <w:rFonts w:ascii="宋体" w:hAnsi="宋体" w:cs="宋体" w:eastAsia="宋体" w:hint="default"/>
                <w:sz w:val="18"/>
                <w:szCs w:val="18"/>
              </w:rPr>
              <w:t>在职期间以 及申报离职 </w:t>
            </w:r>
            <w:r>
              <w:rPr>
                <w:rFonts w:ascii="Arial" w:hAnsi="Arial" w:cs="Arial" w:eastAsia="Arial" w:hint="default"/>
                <w:sz w:val="18"/>
                <w:szCs w:val="18"/>
              </w:rPr>
              <w:t>6</w:t>
            </w:r>
            <w:r>
              <w:rPr>
                <w:rFonts w:ascii="Arial" w:hAnsi="Arial" w:cs="Arial" w:eastAsia="Arial" w:hint="default"/>
                <w:spacing w:val="-7"/>
                <w:sz w:val="18"/>
                <w:szCs w:val="18"/>
              </w:rPr>
              <w:t> </w:t>
            </w:r>
            <w:r>
              <w:rPr>
                <w:rFonts w:ascii="宋体" w:hAnsi="宋体" w:cs="宋体" w:eastAsia="宋体" w:hint="default"/>
                <w:sz w:val="18"/>
                <w:szCs w:val="18"/>
              </w:rPr>
              <w:t>个月后的</w:t>
            </w:r>
          </w:p>
          <w:p>
            <w:pPr>
              <w:pStyle w:val="TableParagraph"/>
              <w:spacing w:line="240" w:lineRule="auto"/>
              <w:ind w:left="22" w:right="0"/>
              <w:jc w:val="both"/>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个月内</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1"/>
                <w:szCs w:val="21"/>
              </w:rPr>
            </w:pPr>
          </w:p>
          <w:p>
            <w:pPr>
              <w:pStyle w:val="TableParagraph"/>
              <w:spacing w:line="316" w:lineRule="auto"/>
              <w:ind w:left="22" w:right="24"/>
              <w:jc w:val="both"/>
              <w:rPr>
                <w:rFonts w:ascii="宋体" w:hAnsi="宋体" w:cs="宋体" w:eastAsia="宋体" w:hint="default"/>
                <w:sz w:val="18"/>
                <w:szCs w:val="18"/>
              </w:rPr>
            </w:pPr>
            <w:r>
              <w:rPr>
                <w:rFonts w:ascii="宋体" w:hAnsi="宋体" w:cs="宋体" w:eastAsia="宋体" w:hint="default"/>
                <w:sz w:val="18"/>
                <w:szCs w:val="18"/>
              </w:rPr>
              <w:t>在承诺期 限内，按 承诺持续 履行中</w:t>
            </w:r>
          </w:p>
        </w:tc>
      </w:tr>
      <w:tr>
        <w:trPr>
          <w:trHeight w:val="1389" w:hRule="exact"/>
        </w:trPr>
        <w:tc>
          <w:tcPr>
            <w:tcW w:w="1702" w:type="dxa"/>
            <w:vMerge/>
            <w:tcBorders>
              <w:left w:val="single" w:sz="4" w:space="0" w:color="000000"/>
              <w:bottom w:val="nil" w:sz="6" w:space="0" w:color="auto"/>
              <w:right w:val="single" w:sz="4" w:space="0" w:color="000000"/>
            </w:tcBorders>
            <w:shd w:val="clear" w:color="auto" w:fill="D3D3D3"/>
          </w:tcPr>
          <w:p>
            <w:pPr/>
          </w:p>
        </w:tc>
        <w:tc>
          <w:tcPr>
            <w:tcW w:w="1276" w:type="dxa"/>
            <w:vMerge w:val="restart"/>
            <w:tcBorders>
              <w:top w:val="single" w:sz="4" w:space="0" w:color="000000"/>
              <w:left w:val="single" w:sz="9"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鲁峰、侯伟</w:t>
            </w:r>
          </w:p>
        </w:tc>
        <w:tc>
          <w:tcPr>
            <w:tcW w:w="11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6" w:lineRule="auto"/>
              <w:ind w:left="22" w:right="23"/>
              <w:jc w:val="left"/>
              <w:rPr>
                <w:rFonts w:ascii="宋体" w:hAnsi="宋体" w:cs="宋体" w:eastAsia="宋体" w:hint="default"/>
                <w:sz w:val="18"/>
                <w:szCs w:val="18"/>
              </w:rPr>
            </w:pPr>
            <w:r>
              <w:rPr>
                <w:rFonts w:ascii="宋体" w:hAnsi="宋体" w:cs="宋体" w:eastAsia="宋体" w:hint="default"/>
                <w:sz w:val="18"/>
                <w:szCs w:val="18"/>
              </w:rPr>
              <w:t>关于同业竞 争、关联交 易、资金占用 方面的承诺</w:t>
            </w:r>
          </w:p>
        </w:tc>
        <w:tc>
          <w:tcPr>
            <w:tcW w:w="2693" w:type="dxa"/>
            <w:vMerge w:val="restart"/>
            <w:tcBorders>
              <w:top w:val="single" w:sz="4" w:space="0" w:color="000000"/>
              <w:left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pacing w:val="-5"/>
                <w:sz w:val="18"/>
                <w:szCs w:val="18"/>
              </w:rPr>
              <w:t>为了避免将来发生同业竞争，公司</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控股股东鲁峰和股东侯伟出具了</w:t>
            </w:r>
          </w:p>
          <w:p>
            <w:pPr>
              <w:pStyle w:val="TableParagraph"/>
              <w:spacing w:line="316" w:lineRule="auto" w:before="19"/>
              <w:ind w:left="22" w:right="23"/>
              <w:jc w:val="left"/>
              <w:rPr>
                <w:rFonts w:ascii="宋体" w:hAnsi="宋体" w:cs="宋体" w:eastAsia="宋体" w:hint="default"/>
                <w:sz w:val="18"/>
                <w:szCs w:val="18"/>
              </w:rPr>
            </w:pPr>
            <w:r>
              <w:rPr>
                <w:rFonts w:ascii="宋体" w:hAnsi="宋体" w:cs="宋体" w:eastAsia="宋体" w:hint="default"/>
                <w:spacing w:val="-6"/>
                <w:sz w:val="18"/>
                <w:szCs w:val="18"/>
              </w:rPr>
              <w:t>《放弃竞争与利益冲突承诺函》，</w:t>
            </w:r>
            <w:r>
              <w:rPr>
                <w:rFonts w:ascii="宋体" w:hAnsi="宋体" w:cs="宋体" w:eastAsia="宋体" w:hint="default"/>
                <w:sz w:val="18"/>
                <w:szCs w:val="18"/>
              </w:rPr>
              <w:t> </w:t>
            </w:r>
            <w:r>
              <w:rPr>
                <w:rFonts w:ascii="宋体" w:hAnsi="宋体" w:cs="宋体" w:eastAsia="宋体" w:hint="default"/>
                <w:spacing w:val="-5"/>
                <w:sz w:val="18"/>
                <w:szCs w:val="18"/>
              </w:rPr>
              <w:t>承诺不生产、开发任何与股份公司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及其下属子公司生产的产品构成 </w:t>
            </w:r>
            <w:r>
              <w:rPr>
                <w:rFonts w:ascii="宋体" w:hAnsi="宋体" w:cs="宋体" w:eastAsia="宋体" w:hint="default"/>
                <w:spacing w:val="-5"/>
                <w:sz w:val="18"/>
                <w:szCs w:val="18"/>
              </w:rPr>
              <w:t>竞争或可能构成竞争的产品，不直</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接或间接经营任何与股份公司及 其下属子公司经营的业务构成竞 </w:t>
            </w:r>
            <w:r>
              <w:rPr>
                <w:rFonts w:ascii="宋体" w:hAnsi="宋体" w:cs="宋体" w:eastAsia="宋体" w:hint="default"/>
                <w:spacing w:val="-5"/>
                <w:sz w:val="18"/>
                <w:szCs w:val="18"/>
              </w:rPr>
              <w:t>争或可能构成竞争的业务，也不参</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与投资任何与股份公司及其下属 子公司生产的产品或经营的业务 构成竞争或可能构成竞争的其他 </w:t>
            </w:r>
            <w:r>
              <w:rPr>
                <w:rFonts w:ascii="宋体" w:hAnsi="宋体" w:cs="宋体" w:eastAsia="宋体" w:hint="default"/>
                <w:spacing w:val="-5"/>
                <w:sz w:val="18"/>
                <w:szCs w:val="18"/>
              </w:rPr>
              <w:t>企业；从第三方获得的商业机会如</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果属于股份公司主营业务范围之 </w:t>
            </w:r>
            <w:r>
              <w:rPr>
                <w:rFonts w:ascii="宋体" w:hAnsi="宋体" w:cs="宋体" w:eastAsia="宋体" w:hint="default"/>
                <w:spacing w:val="-5"/>
                <w:sz w:val="18"/>
                <w:szCs w:val="18"/>
              </w:rPr>
              <w:t>内的，将尽可能地协助股份公司取</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得该等商业机会。</w:t>
            </w:r>
          </w:p>
        </w:tc>
        <w:tc>
          <w:tcPr>
            <w:tcW w:w="9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2" w:right="0"/>
              <w:jc w:val="left"/>
              <w:rPr>
                <w:rFonts w:ascii="Arial" w:hAnsi="Arial" w:cs="Arial" w:eastAsia="Arial" w:hint="default"/>
                <w:sz w:val="18"/>
                <w:szCs w:val="18"/>
              </w:rPr>
            </w:pPr>
            <w:r>
              <w:rPr>
                <w:rFonts w:ascii="Arial" w:hAnsi="Arial" w:cs="Arial" w:eastAsia="Arial" w:hint="default"/>
                <w:sz w:val="18"/>
                <w:szCs w:val="18"/>
              </w:rPr>
              <w:t>2010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15</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99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0"/>
                <w:szCs w:val="20"/>
              </w:rPr>
            </w:pPr>
          </w:p>
          <w:p>
            <w:pPr>
              <w:pStyle w:val="TableParagraph"/>
              <w:spacing w:line="316" w:lineRule="auto"/>
              <w:ind w:left="22" w:right="24"/>
              <w:jc w:val="both"/>
              <w:rPr>
                <w:rFonts w:ascii="宋体" w:hAnsi="宋体" w:cs="宋体" w:eastAsia="宋体" w:hint="default"/>
                <w:sz w:val="18"/>
                <w:szCs w:val="18"/>
              </w:rPr>
            </w:pPr>
            <w:r>
              <w:rPr>
                <w:rFonts w:ascii="宋体" w:hAnsi="宋体" w:cs="宋体" w:eastAsia="宋体" w:hint="default"/>
                <w:sz w:val="18"/>
                <w:szCs w:val="18"/>
              </w:rPr>
              <w:t>在承诺期 限内，按 承诺持续 履行中</w:t>
            </w:r>
          </w:p>
        </w:tc>
      </w:tr>
      <w:tr>
        <w:trPr>
          <w:trHeight w:val="704" w:hRule="exact"/>
        </w:trPr>
        <w:tc>
          <w:tcPr>
            <w:tcW w:w="170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1"/>
              <w:ind w:left="22" w:right="47"/>
              <w:jc w:val="left"/>
              <w:rPr>
                <w:rFonts w:ascii="宋体" w:hAnsi="宋体" w:cs="宋体" w:eastAsia="宋体" w:hint="default"/>
                <w:sz w:val="18"/>
                <w:szCs w:val="18"/>
              </w:rPr>
            </w:pPr>
            <w:r>
              <w:rPr>
                <w:rFonts w:ascii="宋体" w:hAnsi="宋体" w:cs="宋体" w:eastAsia="宋体" w:hint="default"/>
                <w:sz w:val="18"/>
                <w:szCs w:val="18"/>
              </w:rPr>
              <w:t>首次公开发行或再融 资时所作承诺</w:t>
            </w:r>
          </w:p>
        </w:tc>
        <w:tc>
          <w:tcPr>
            <w:tcW w:w="1276" w:type="dxa"/>
            <w:vMerge/>
            <w:tcBorders>
              <w:left w:val="single" w:sz="9" w:space="0" w:color="D3D3D3"/>
              <w:right w:val="single" w:sz="4" w:space="0" w:color="000000"/>
            </w:tcBorders>
          </w:tcPr>
          <w:p>
            <w:pPr/>
          </w:p>
        </w:tc>
        <w:tc>
          <w:tcPr>
            <w:tcW w:w="1134" w:type="dxa"/>
            <w:vMerge/>
            <w:tcBorders>
              <w:left w:val="single" w:sz="4" w:space="0" w:color="000000"/>
              <w:right w:val="single" w:sz="4" w:space="0" w:color="000000"/>
            </w:tcBorders>
          </w:tcPr>
          <w:p>
            <w:pPr/>
          </w:p>
        </w:tc>
        <w:tc>
          <w:tcPr>
            <w:tcW w:w="2693" w:type="dxa"/>
            <w:vMerge/>
            <w:tcBorders>
              <w:left w:val="single" w:sz="4" w:space="0" w:color="000000"/>
              <w:right w:val="single" w:sz="4" w:space="0" w:color="000000"/>
            </w:tcBorders>
          </w:tcPr>
          <w:p>
            <w:pPr/>
          </w:p>
        </w:tc>
        <w:tc>
          <w:tcPr>
            <w:tcW w:w="994" w:type="dxa"/>
            <w:vMerge/>
            <w:tcBorders>
              <w:left w:val="single" w:sz="4" w:space="0" w:color="000000"/>
              <w:right w:val="single" w:sz="4" w:space="0" w:color="000000"/>
            </w:tcBorders>
          </w:tcPr>
          <w:p>
            <w:pPr/>
          </w:p>
        </w:tc>
        <w:tc>
          <w:tcPr>
            <w:tcW w:w="991" w:type="dxa"/>
            <w:vMerge/>
            <w:tcBorders>
              <w:left w:val="single" w:sz="4" w:space="0" w:color="000000"/>
              <w:right w:val="single" w:sz="4" w:space="0" w:color="000000"/>
            </w:tcBorders>
          </w:tcPr>
          <w:p>
            <w:pPr/>
          </w:p>
        </w:tc>
        <w:tc>
          <w:tcPr>
            <w:tcW w:w="779" w:type="dxa"/>
            <w:vMerge/>
            <w:tcBorders>
              <w:left w:val="single" w:sz="4" w:space="0" w:color="000000"/>
              <w:right w:val="single" w:sz="4" w:space="0" w:color="000000"/>
            </w:tcBorders>
          </w:tcPr>
          <w:p>
            <w:pPr/>
          </w:p>
        </w:tc>
      </w:tr>
      <w:tr>
        <w:trPr>
          <w:trHeight w:val="2988" w:hRule="exact"/>
        </w:trPr>
        <w:tc>
          <w:tcPr>
            <w:tcW w:w="1702" w:type="dxa"/>
            <w:vMerge w:val="restart"/>
            <w:tcBorders>
              <w:top w:val="nil" w:sz="6" w:space="0" w:color="auto"/>
              <w:left w:val="single" w:sz="4" w:space="0" w:color="000000"/>
              <w:right w:val="single" w:sz="4" w:space="0" w:color="000000"/>
            </w:tcBorders>
            <w:shd w:val="clear" w:color="auto" w:fill="D3D3D3"/>
          </w:tcPr>
          <w:p>
            <w:pPr/>
          </w:p>
        </w:tc>
        <w:tc>
          <w:tcPr>
            <w:tcW w:w="1276" w:type="dxa"/>
            <w:vMerge/>
            <w:tcBorders>
              <w:left w:val="single" w:sz="9" w:space="0" w:color="D3D3D3"/>
              <w:bottom w:val="single" w:sz="4" w:space="0" w:color="000000"/>
              <w:right w:val="single" w:sz="4" w:space="0" w:color="000000"/>
            </w:tcBorders>
          </w:tcPr>
          <w:p>
            <w:pPr/>
          </w:p>
        </w:tc>
        <w:tc>
          <w:tcPr>
            <w:tcW w:w="1134" w:type="dxa"/>
            <w:vMerge/>
            <w:tcBorders>
              <w:left w:val="single" w:sz="4" w:space="0" w:color="000000"/>
              <w:bottom w:val="single" w:sz="4" w:space="0" w:color="000000"/>
              <w:right w:val="single" w:sz="4" w:space="0" w:color="000000"/>
            </w:tcBorders>
          </w:tcPr>
          <w:p>
            <w:pPr/>
          </w:p>
        </w:tc>
        <w:tc>
          <w:tcPr>
            <w:tcW w:w="2693" w:type="dxa"/>
            <w:vMerge/>
            <w:tcBorders>
              <w:left w:val="single" w:sz="4" w:space="0" w:color="000000"/>
              <w:bottom w:val="single" w:sz="4" w:space="0" w:color="000000"/>
              <w:right w:val="single" w:sz="4" w:space="0" w:color="000000"/>
            </w:tcBorders>
          </w:tcPr>
          <w:p>
            <w:pPr/>
          </w:p>
        </w:tc>
        <w:tc>
          <w:tcPr>
            <w:tcW w:w="994" w:type="dxa"/>
            <w:vMerge/>
            <w:tcBorders>
              <w:left w:val="single" w:sz="4" w:space="0" w:color="000000"/>
              <w:bottom w:val="single" w:sz="4" w:space="0" w:color="000000"/>
              <w:right w:val="single" w:sz="4" w:space="0" w:color="000000"/>
            </w:tcBorders>
          </w:tcPr>
          <w:p>
            <w:pPr/>
          </w:p>
        </w:tc>
        <w:tc>
          <w:tcPr>
            <w:tcW w:w="991" w:type="dxa"/>
            <w:vMerge/>
            <w:tcBorders>
              <w:left w:val="single" w:sz="4" w:space="0" w:color="000000"/>
              <w:bottom w:val="single" w:sz="4" w:space="0" w:color="000000"/>
              <w:right w:val="single" w:sz="4" w:space="0" w:color="000000"/>
            </w:tcBorders>
          </w:tcPr>
          <w:p>
            <w:pPr/>
          </w:p>
        </w:tc>
        <w:tc>
          <w:tcPr>
            <w:tcW w:w="779" w:type="dxa"/>
            <w:vMerge/>
            <w:tcBorders>
              <w:left w:val="single" w:sz="4" w:space="0" w:color="000000"/>
              <w:bottom w:val="single" w:sz="4" w:space="0" w:color="000000"/>
              <w:right w:val="single" w:sz="4" w:space="0" w:color="000000"/>
            </w:tcBorders>
          </w:tcPr>
          <w:p>
            <w:pPr/>
          </w:p>
        </w:tc>
      </w:tr>
      <w:tr>
        <w:trPr>
          <w:trHeight w:val="1610" w:hRule="exact"/>
        </w:trPr>
        <w:tc>
          <w:tcPr>
            <w:tcW w:w="1702" w:type="dxa"/>
            <w:vMerge/>
            <w:tcBorders>
              <w:left w:val="single" w:sz="4" w:space="0" w:color="000000"/>
              <w:bottom w:val="single" w:sz="4" w:space="0" w:color="000000"/>
              <w:right w:val="single" w:sz="4" w:space="0" w:color="000000"/>
            </w:tcBorders>
            <w:shd w:val="clear" w:color="auto" w:fill="D3D3D3"/>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2"/>
              <w:jc w:val="left"/>
              <w:rPr>
                <w:rFonts w:ascii="宋体" w:hAnsi="宋体" w:cs="宋体" w:eastAsia="宋体" w:hint="default"/>
                <w:sz w:val="18"/>
                <w:szCs w:val="18"/>
              </w:rPr>
            </w:pPr>
            <w:r>
              <w:rPr>
                <w:rFonts w:ascii="宋体" w:hAnsi="宋体" w:cs="宋体" w:eastAsia="宋体" w:hint="default"/>
                <w:spacing w:val="-5"/>
                <w:sz w:val="18"/>
                <w:szCs w:val="18"/>
              </w:rPr>
              <w:t>公司属于高新技术企业，行业内技</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术人员流动性较大，为了保护公司</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的知识产权和保持核心人员的稳 </w:t>
            </w:r>
            <w:r>
              <w:rPr>
                <w:rFonts w:ascii="宋体" w:hAnsi="宋体" w:cs="宋体" w:eastAsia="宋体" w:hint="default"/>
                <w:spacing w:val="-5"/>
                <w:sz w:val="18"/>
                <w:szCs w:val="18"/>
              </w:rPr>
              <w:t>定，公司已与高级管理人员和核心</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技术人员签订劳动合同，上述人员</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0"/>
                <w:szCs w:val="20"/>
              </w:rPr>
            </w:pPr>
          </w:p>
          <w:p>
            <w:pPr>
              <w:pStyle w:val="TableParagraph"/>
              <w:spacing w:line="240" w:lineRule="auto"/>
              <w:ind w:left="22" w:right="0"/>
              <w:jc w:val="left"/>
              <w:rPr>
                <w:rFonts w:ascii="Arial" w:hAnsi="Arial" w:cs="Arial" w:eastAsia="Arial" w:hint="default"/>
                <w:sz w:val="18"/>
                <w:szCs w:val="18"/>
              </w:rPr>
            </w:pPr>
            <w:r>
              <w:rPr>
                <w:rFonts w:ascii="Arial" w:hAnsi="Arial" w:cs="Arial" w:eastAsia="Arial" w:hint="default"/>
                <w:sz w:val="18"/>
                <w:szCs w:val="18"/>
              </w:rPr>
              <w:t>2010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15</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316" w:lineRule="auto"/>
              <w:ind w:left="22" w:right="24"/>
              <w:jc w:val="both"/>
              <w:rPr>
                <w:rFonts w:ascii="宋体" w:hAnsi="宋体" w:cs="宋体" w:eastAsia="宋体" w:hint="default"/>
                <w:sz w:val="18"/>
                <w:szCs w:val="18"/>
              </w:rPr>
            </w:pPr>
            <w:r>
              <w:rPr>
                <w:rFonts w:ascii="宋体" w:hAnsi="宋体" w:cs="宋体" w:eastAsia="宋体" w:hint="default"/>
                <w:sz w:val="18"/>
                <w:szCs w:val="18"/>
              </w:rPr>
              <w:t>在承诺期 限内，按 承诺持续 履行中</w:t>
            </w:r>
          </w:p>
        </w:tc>
      </w:tr>
    </w:tbl>
    <w:p>
      <w:pPr>
        <w:spacing w:after="0" w:line="316" w:lineRule="auto"/>
        <w:jc w:val="both"/>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397.140015pt;margin-top:172.600006pt;width:49.15pt;height:31.2pt;mso-position-horizontal-relative:page;mso-position-vertical-relative:page;z-index:-1406320" coordorigin="7943,3452" coordsize="983,624">
            <v:shape style="position:absolute;left:7943;top:3452;width:983;height:624" coordorigin="7943,3452" coordsize="983,624" path="m7943,4076l8926,4076,8926,3452,7943,3452,7943,4076xe" filled="true" fillcolor="#ffffff" stroked="false">
              <v:path arrowok="t"/>
              <v:fill type="solid"/>
            </v:shape>
            <w10:wrap type="none"/>
          </v:group>
        </w:pict>
      </w:r>
      <w:r>
        <w:rPr/>
        <w:pict>
          <v:group style="position:absolute;margin-left:397.140015pt;margin-top:503.700012pt;width:49.15pt;height:264.2pt;mso-position-horizontal-relative:page;mso-position-vertical-relative:page;z-index:-1406296" coordorigin="7943,10074" coordsize="983,5284">
            <v:shape style="position:absolute;left:7943;top:10074;width:983;height:5284" coordorigin="7943,10074" coordsize="983,5284" path="m7943,15358l8926,15358,8926,10074,7943,10074,7943,1535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1"/>
        <w:gridCol w:w="1276"/>
        <w:gridCol w:w="1134"/>
        <w:gridCol w:w="2693"/>
        <w:gridCol w:w="994"/>
        <w:gridCol w:w="991"/>
        <w:gridCol w:w="779"/>
      </w:tblGrid>
      <w:tr>
        <w:trPr>
          <w:trHeight w:val="674" w:hRule="exact"/>
        </w:trPr>
        <w:tc>
          <w:tcPr>
            <w:tcW w:w="1701" w:type="dxa"/>
            <w:vMerge w:val="restart"/>
            <w:tcBorders>
              <w:top w:val="single" w:sz="4" w:space="0" w:color="000000"/>
              <w:left w:val="single" w:sz="4" w:space="0" w:color="000000"/>
              <w:right w:val="single" w:sz="4" w:space="0" w:color="000000"/>
            </w:tcBorders>
            <w:shd w:val="clear" w:color="auto" w:fill="D3D3D3"/>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20"/>
              <w:jc w:val="left"/>
              <w:rPr>
                <w:rFonts w:ascii="宋体" w:hAnsi="宋体" w:cs="宋体" w:eastAsia="宋体" w:hint="default"/>
                <w:sz w:val="18"/>
                <w:szCs w:val="18"/>
              </w:rPr>
            </w:pPr>
            <w:r>
              <w:rPr>
                <w:rFonts w:ascii="宋体" w:hAnsi="宋体" w:cs="宋体" w:eastAsia="宋体" w:hint="default"/>
                <w:spacing w:val="-5"/>
                <w:sz w:val="18"/>
                <w:szCs w:val="18"/>
              </w:rPr>
              <w:t>同时对公司出具了《保密义务、技</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pacing w:val="-9"/>
                <w:sz w:val="18"/>
                <w:szCs w:val="18"/>
              </w:rPr>
              <w:t>术成果归属承诺书》。</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1701" w:type="dxa"/>
            <w:vMerge/>
            <w:tcBorders>
              <w:left w:val="single" w:sz="4" w:space="0" w:color="000000"/>
              <w:right w:val="single" w:sz="4" w:space="0" w:color="000000"/>
            </w:tcBorders>
            <w:shd w:val="clear" w:color="auto" w:fill="D3D3D3"/>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26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15"/>
              <w:jc w:val="center"/>
              <w:rPr>
                <w:rFonts w:ascii="宋体" w:hAnsi="宋体" w:cs="宋体" w:eastAsia="宋体" w:hint="default"/>
                <w:sz w:val="18"/>
                <w:szCs w:val="18"/>
              </w:rPr>
            </w:pPr>
            <w:r>
              <w:rPr>
                <w:rFonts w:ascii="宋体" w:hAnsi="宋体" w:cs="宋体" w:eastAsia="宋体" w:hint="default"/>
                <w:sz w:val="18"/>
                <w:szCs w:val="18"/>
              </w:rPr>
              <w:t>公司所有募集资金将存放于专户</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5"/>
                <w:sz w:val="18"/>
                <w:szCs w:val="18"/>
              </w:rPr>
              <w:t>管理，并用于公司新一代电子政务</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在承诺期</w:t>
            </w:r>
          </w:p>
        </w:tc>
      </w:tr>
      <w:tr>
        <w:trPr>
          <w:trHeight w:val="628" w:hRule="exact"/>
        </w:trPr>
        <w:tc>
          <w:tcPr>
            <w:tcW w:w="1701" w:type="dxa"/>
            <w:vMerge/>
            <w:tcBorders>
              <w:left w:val="single" w:sz="4" w:space="0" w:color="000000"/>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199"/>
              <w:jc w:val="left"/>
              <w:rPr>
                <w:rFonts w:ascii="宋体" w:hAnsi="宋体" w:cs="宋体" w:eastAsia="宋体" w:hint="default"/>
                <w:sz w:val="18"/>
                <w:szCs w:val="18"/>
              </w:rPr>
            </w:pPr>
            <w:r>
              <w:rPr>
                <w:rFonts w:ascii="宋体" w:hAnsi="宋体" w:cs="宋体" w:eastAsia="宋体" w:hint="default"/>
                <w:sz w:val="18"/>
                <w:szCs w:val="18"/>
              </w:rPr>
              <w:t>募集资金使 用承诺</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2"/>
              <w:jc w:val="left"/>
              <w:rPr>
                <w:rFonts w:ascii="宋体" w:hAnsi="宋体" w:cs="宋体" w:eastAsia="宋体" w:hint="default"/>
                <w:sz w:val="18"/>
                <w:szCs w:val="18"/>
              </w:rPr>
            </w:pPr>
            <w:r>
              <w:rPr>
                <w:rFonts w:ascii="宋体" w:hAnsi="宋体" w:cs="宋体" w:eastAsia="宋体" w:hint="default"/>
                <w:spacing w:val="-5"/>
                <w:sz w:val="18"/>
                <w:szCs w:val="18"/>
              </w:rPr>
              <w:t>应用平台、信息安全风险综合管理</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pacing w:val="-5"/>
                <w:sz w:val="18"/>
                <w:szCs w:val="18"/>
              </w:rPr>
              <w:t>系统、质检三电工程企业端软件运</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Arial" w:hAnsi="Arial" w:cs="Arial" w:eastAsia="Arial" w:hint="default"/>
                <w:sz w:val="18"/>
                <w:szCs w:val="18"/>
              </w:rPr>
            </w:pPr>
            <w:r>
              <w:rPr>
                <w:rFonts w:ascii="Arial" w:hAnsi="Arial" w:cs="Arial" w:eastAsia="Arial" w:hint="default"/>
                <w:sz w:val="18"/>
                <w:szCs w:val="18"/>
              </w:rPr>
              <w:t>2010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15</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24"/>
              <w:jc w:val="left"/>
              <w:rPr>
                <w:rFonts w:ascii="宋体" w:hAnsi="宋体" w:cs="宋体" w:eastAsia="宋体" w:hint="default"/>
                <w:sz w:val="18"/>
                <w:szCs w:val="18"/>
              </w:rPr>
            </w:pPr>
            <w:r>
              <w:rPr>
                <w:rFonts w:ascii="宋体" w:hAnsi="宋体" w:cs="宋体" w:eastAsia="宋体" w:hint="default"/>
                <w:sz w:val="18"/>
                <w:szCs w:val="18"/>
              </w:rPr>
              <w:t>限内，按 承诺持续</w:t>
            </w:r>
          </w:p>
        </w:tc>
      </w:tr>
      <w:tr>
        <w:trPr>
          <w:trHeight w:val="308" w:hRule="exact"/>
        </w:trPr>
        <w:tc>
          <w:tcPr>
            <w:tcW w:w="1701" w:type="dxa"/>
            <w:vMerge/>
            <w:tcBorders>
              <w:left w:val="single" w:sz="4" w:space="0" w:color="000000"/>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right="115"/>
              <w:jc w:val="center"/>
              <w:rPr>
                <w:rFonts w:ascii="宋体" w:hAnsi="宋体" w:cs="宋体" w:eastAsia="宋体" w:hint="default"/>
                <w:sz w:val="18"/>
                <w:szCs w:val="18"/>
              </w:rPr>
            </w:pPr>
            <w:r>
              <w:rPr>
                <w:rFonts w:ascii="宋体" w:hAnsi="宋体" w:cs="宋体" w:eastAsia="宋体" w:hint="default"/>
                <w:sz w:val="18"/>
                <w:szCs w:val="18"/>
              </w:rPr>
              <w:t>维服务平台、协同管理软件平台</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151" w:right="0"/>
              <w:jc w:val="left"/>
              <w:rPr>
                <w:rFonts w:ascii="宋体" w:hAnsi="宋体" w:cs="宋体" w:eastAsia="宋体" w:hint="default"/>
                <w:sz w:val="18"/>
                <w:szCs w:val="18"/>
              </w:rPr>
            </w:pPr>
            <w:r>
              <w:rPr>
                <w:rFonts w:ascii="宋体" w:hAnsi="宋体" w:cs="宋体" w:eastAsia="宋体" w:hint="default"/>
                <w:sz w:val="18"/>
                <w:szCs w:val="18"/>
              </w:rPr>
              <w:t>、</w:t>
            </w: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56" w:hRule="exact"/>
        </w:trPr>
        <w:tc>
          <w:tcPr>
            <w:tcW w:w="1701" w:type="dxa"/>
            <w:vMerge/>
            <w:tcBorders>
              <w:left w:val="single" w:sz="4" w:space="0" w:color="000000"/>
              <w:right w:val="single" w:sz="4" w:space="0" w:color="000000"/>
            </w:tcBorders>
            <w:shd w:val="clear" w:color="auto" w:fill="D3D3D3"/>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26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技术研发与创新中心等主营业务</w:t>
            </w:r>
          </w:p>
        </w:tc>
        <w:tc>
          <w:tcPr>
            <w:tcW w:w="99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51" w:right="0"/>
              <w:jc w:val="left"/>
              <w:rPr>
                <w:rFonts w:ascii="宋体" w:hAnsi="宋体" w:cs="宋体" w:eastAsia="宋体" w:hint="default"/>
                <w:sz w:val="18"/>
                <w:szCs w:val="18"/>
              </w:rPr>
            </w:pPr>
            <w:r>
              <w:rPr>
                <w:rFonts w:ascii="宋体" w:hAnsi="宋体" w:cs="宋体" w:eastAsia="宋体" w:hint="default"/>
                <w:sz w:val="18"/>
                <w:szCs w:val="18"/>
              </w:rPr>
              <w:t>。</w:t>
            </w:r>
          </w:p>
        </w:tc>
        <w:tc>
          <w:tcPr>
            <w:tcW w:w="99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r>
        <w:trPr>
          <w:trHeight w:val="357" w:hRule="exact"/>
        </w:trPr>
        <w:tc>
          <w:tcPr>
            <w:tcW w:w="1701" w:type="dxa"/>
            <w:vMerge/>
            <w:tcBorders>
              <w:left w:val="single" w:sz="4" w:space="0" w:color="000000"/>
              <w:right w:val="single" w:sz="4" w:space="0" w:color="000000"/>
            </w:tcBorders>
            <w:shd w:val="clear" w:color="auto" w:fill="D3D3D3"/>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26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right="115"/>
              <w:jc w:val="center"/>
              <w:rPr>
                <w:rFonts w:ascii="宋体" w:hAnsi="宋体" w:cs="宋体" w:eastAsia="宋体" w:hint="default"/>
                <w:sz w:val="18"/>
                <w:szCs w:val="18"/>
              </w:rPr>
            </w:pPr>
            <w:r>
              <w:rPr>
                <w:rFonts w:ascii="宋体" w:hAnsi="宋体" w:cs="宋体" w:eastAsia="宋体" w:hint="default"/>
                <w:sz w:val="18"/>
                <w:szCs w:val="18"/>
              </w:rPr>
              <w:t>公司章程第一百六十五条规定：</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701" w:type="dxa"/>
            <w:vMerge/>
            <w:tcBorders>
              <w:left w:val="single" w:sz="4" w:space="0" w:color="000000"/>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5"/>
                <w:sz w:val="18"/>
                <w:szCs w:val="18"/>
              </w:rPr>
              <w:t>（一）公司董事会负责制定公司的</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股利分配预案，股东大会负责审</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5"/>
                <w:sz w:val="18"/>
                <w:szCs w:val="18"/>
              </w:rPr>
              <w:t>批。在公司当年度盈利且提取法定</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公积金及弥补以前年度亏损后仍</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5"/>
                <w:sz w:val="18"/>
                <w:szCs w:val="18"/>
              </w:rPr>
              <w:t>有剩余时，董事会应当作出现金分</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5"/>
                <w:sz w:val="18"/>
                <w:szCs w:val="18"/>
              </w:rPr>
              <w:t>红预案。公司董事会未做出现金利</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5"/>
                <w:sz w:val="18"/>
                <w:szCs w:val="18"/>
              </w:rPr>
              <w:t>润分配预案的，应当在定期报告中</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5"/>
                <w:sz w:val="18"/>
                <w:szCs w:val="18"/>
              </w:rPr>
              <w:t>披露原因，公司独立董事应当对此</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5"/>
              <w:jc w:val="center"/>
              <w:rPr>
                <w:rFonts w:ascii="宋体" w:hAnsi="宋体" w:cs="宋体" w:eastAsia="宋体" w:hint="default"/>
                <w:sz w:val="18"/>
                <w:szCs w:val="18"/>
              </w:rPr>
            </w:pPr>
            <w:r>
              <w:rPr>
                <w:rFonts w:ascii="宋体" w:hAnsi="宋体" w:cs="宋体" w:eastAsia="宋体" w:hint="default"/>
                <w:sz w:val="18"/>
                <w:szCs w:val="18"/>
              </w:rPr>
              <w:t>发表独立意见</w:t>
            </w:r>
            <w:r>
              <w:rPr>
                <w:rFonts w:ascii="宋体" w:hAnsi="宋体" w:cs="宋体" w:eastAsia="宋体" w:hint="default"/>
                <w:spacing w:val="-90"/>
                <w:sz w:val="18"/>
                <w:szCs w:val="18"/>
              </w:rPr>
              <w:t>。</w:t>
            </w:r>
            <w:r>
              <w:rPr>
                <w:rFonts w:ascii="宋体" w:hAnsi="宋体" w:cs="宋体" w:eastAsia="宋体" w:hint="default"/>
                <w:sz w:val="18"/>
                <w:szCs w:val="18"/>
              </w:rPr>
              <w:t>（二）公司每年以</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现金方式分配的利润应当不少于</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701" w:type="dxa"/>
            <w:vMerge/>
            <w:tcBorders>
              <w:left w:val="single" w:sz="4" w:space="0" w:color="000000"/>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1"/>
              <w:jc w:val="center"/>
              <w:rPr>
                <w:rFonts w:ascii="宋体" w:hAnsi="宋体" w:cs="宋体" w:eastAsia="宋体" w:hint="default"/>
                <w:sz w:val="18"/>
                <w:szCs w:val="18"/>
              </w:rPr>
            </w:pPr>
            <w:r>
              <w:rPr>
                <w:rFonts w:ascii="宋体" w:hAnsi="宋体" w:cs="宋体" w:eastAsia="宋体" w:hint="default"/>
                <w:sz w:val="18"/>
                <w:szCs w:val="18"/>
              </w:rPr>
              <w:t>当年可分配利润的</w:t>
            </w:r>
            <w:r>
              <w:rPr>
                <w:rFonts w:ascii="宋体" w:hAnsi="宋体" w:cs="宋体" w:eastAsia="宋体" w:hint="default"/>
                <w:spacing w:val="-47"/>
                <w:sz w:val="18"/>
                <w:szCs w:val="18"/>
              </w:rPr>
              <w:t> </w:t>
            </w:r>
            <w:r>
              <w:rPr>
                <w:rFonts w:ascii="Arial" w:hAnsi="Arial" w:cs="Arial" w:eastAsia="Arial" w:hint="default"/>
                <w:sz w:val="18"/>
                <w:szCs w:val="18"/>
              </w:rPr>
              <w:t>10%</w:t>
            </w:r>
            <w:r>
              <w:rPr>
                <w:rFonts w:ascii="宋体" w:hAnsi="宋体" w:cs="宋体" w:eastAsia="宋体" w:hint="default"/>
                <w:sz w:val="18"/>
                <w:szCs w:val="18"/>
              </w:rPr>
              <w:t>；公司上</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701" w:type="dxa"/>
            <w:vMerge/>
            <w:tcBorders>
              <w:left w:val="single" w:sz="4" w:space="0" w:color="000000"/>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15"/>
              <w:jc w:val="center"/>
              <w:rPr>
                <w:rFonts w:ascii="宋体" w:hAnsi="宋体" w:cs="宋体" w:eastAsia="宋体" w:hint="default"/>
                <w:sz w:val="18"/>
                <w:szCs w:val="18"/>
              </w:rPr>
            </w:pPr>
            <w:r>
              <w:rPr>
                <w:rFonts w:ascii="宋体" w:hAnsi="宋体" w:cs="宋体" w:eastAsia="宋体" w:hint="default"/>
                <w:sz w:val="18"/>
                <w:szCs w:val="18"/>
              </w:rPr>
              <w:t>市后连续三年以现金方式累计分</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配的利润应不少于该连续三年实</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6" w:hRule="exact"/>
        </w:trPr>
        <w:tc>
          <w:tcPr>
            <w:tcW w:w="1701" w:type="dxa"/>
            <w:vMerge/>
            <w:tcBorders>
              <w:left w:val="single" w:sz="4" w:space="0" w:color="000000"/>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71"/>
              <w:jc w:val="center"/>
              <w:rPr>
                <w:rFonts w:ascii="宋体" w:hAnsi="宋体" w:cs="宋体" w:eastAsia="宋体" w:hint="default"/>
                <w:sz w:val="18"/>
                <w:szCs w:val="18"/>
              </w:rPr>
            </w:pPr>
            <w:r>
              <w:rPr>
                <w:rFonts w:ascii="宋体" w:hAnsi="宋体" w:cs="宋体" w:eastAsia="宋体" w:hint="default"/>
                <w:sz w:val="18"/>
                <w:szCs w:val="18"/>
              </w:rPr>
              <w:t>现的年均可分配利润的</w:t>
            </w:r>
            <w:r>
              <w:rPr>
                <w:rFonts w:ascii="宋体" w:hAnsi="宋体" w:cs="宋体" w:eastAsia="宋体" w:hint="default"/>
                <w:spacing w:val="-47"/>
                <w:sz w:val="18"/>
                <w:szCs w:val="18"/>
              </w:rPr>
              <w:t> </w:t>
            </w:r>
            <w:r>
              <w:rPr>
                <w:rFonts w:ascii="Arial" w:hAnsi="Arial" w:cs="Arial" w:eastAsia="Arial" w:hint="default"/>
                <w:sz w:val="18"/>
                <w:szCs w:val="18"/>
              </w:rPr>
              <w:t>30%</w:t>
            </w:r>
            <w:r>
              <w:rPr>
                <w:rFonts w:ascii="宋体" w:hAnsi="宋体" w:cs="宋体" w:eastAsia="宋体" w:hint="default"/>
                <w:sz w:val="18"/>
                <w:szCs w:val="18"/>
              </w:rPr>
              <w:t>；在</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298" w:hRule="exact"/>
        </w:trPr>
        <w:tc>
          <w:tcPr>
            <w:tcW w:w="1701" w:type="dxa"/>
            <w:vMerge/>
            <w:tcBorders>
              <w:left w:val="single" w:sz="4" w:space="0" w:color="000000"/>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1"/>
              <w:jc w:val="center"/>
              <w:rPr>
                <w:rFonts w:ascii="宋体" w:hAnsi="宋体" w:cs="宋体" w:eastAsia="宋体" w:hint="default"/>
                <w:sz w:val="18"/>
                <w:szCs w:val="18"/>
              </w:rPr>
            </w:pPr>
            <w:r>
              <w:rPr>
                <w:rFonts w:ascii="宋体" w:hAnsi="宋体" w:cs="宋体" w:eastAsia="宋体" w:hint="default"/>
                <w:spacing w:val="-5"/>
                <w:sz w:val="18"/>
                <w:szCs w:val="18"/>
              </w:rPr>
              <w:t>进行现金分配的同时，公司可以进</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20"/>
              <w:ind w:right="25"/>
              <w:jc w:val="center"/>
              <w:rPr>
                <w:rFonts w:ascii="宋体" w:hAnsi="宋体" w:cs="宋体" w:eastAsia="宋体" w:hint="default"/>
                <w:sz w:val="18"/>
                <w:szCs w:val="18"/>
              </w:rPr>
            </w:pPr>
            <w:r>
              <w:rPr>
                <w:rFonts w:ascii="宋体" w:hAnsi="宋体" w:cs="宋体" w:eastAsia="宋体" w:hint="default"/>
                <w:sz w:val="18"/>
                <w:szCs w:val="18"/>
              </w:rPr>
              <w:t>行股票股利的分配</w:t>
            </w:r>
            <w:r>
              <w:rPr>
                <w:rFonts w:ascii="宋体" w:hAnsi="宋体" w:cs="宋体" w:eastAsia="宋体" w:hint="default"/>
                <w:spacing w:val="-90"/>
                <w:sz w:val="18"/>
                <w:szCs w:val="18"/>
              </w:rPr>
              <w:t>。</w:t>
            </w:r>
            <w:r>
              <w:rPr>
                <w:rFonts w:ascii="宋体" w:hAnsi="宋体" w:cs="宋体" w:eastAsia="宋体" w:hint="default"/>
                <w:sz w:val="18"/>
                <w:szCs w:val="18"/>
              </w:rPr>
              <w:t>（三）公司的</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在承诺期</w:t>
            </w:r>
          </w:p>
        </w:tc>
      </w:tr>
      <w:tr>
        <w:trPr>
          <w:trHeight w:val="625" w:hRule="exact"/>
        </w:trPr>
        <w:tc>
          <w:tcPr>
            <w:tcW w:w="1701" w:type="dxa"/>
            <w:vMerge/>
            <w:tcBorders>
              <w:left w:val="single" w:sz="4" w:space="0" w:color="000000"/>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分红承诺</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316" w:lineRule="auto" w:before="20"/>
              <w:ind w:left="22" w:right="20"/>
              <w:jc w:val="left"/>
              <w:rPr>
                <w:rFonts w:ascii="宋体" w:hAnsi="宋体" w:cs="宋体" w:eastAsia="宋体" w:hint="default"/>
                <w:sz w:val="18"/>
                <w:szCs w:val="18"/>
              </w:rPr>
            </w:pPr>
            <w:r>
              <w:rPr>
                <w:rFonts w:ascii="宋体" w:hAnsi="宋体" w:cs="宋体" w:eastAsia="宋体" w:hint="default"/>
                <w:sz w:val="18"/>
                <w:szCs w:val="18"/>
              </w:rPr>
              <w:t>利润分配应重视对投资者的合理 </w:t>
            </w:r>
            <w:r>
              <w:rPr>
                <w:rFonts w:ascii="宋体" w:hAnsi="宋体" w:cs="宋体" w:eastAsia="宋体" w:hint="default"/>
                <w:spacing w:val="-5"/>
                <w:sz w:val="18"/>
                <w:szCs w:val="18"/>
              </w:rPr>
              <w:t>投资回报；在有条件的情况下，公</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Arial" w:hAnsi="Arial" w:cs="Arial" w:eastAsia="Arial" w:hint="default"/>
                <w:sz w:val="18"/>
                <w:szCs w:val="18"/>
              </w:rPr>
            </w:pPr>
            <w:r>
              <w:rPr>
                <w:rFonts w:ascii="Arial" w:hAnsi="Arial" w:cs="Arial" w:eastAsia="Arial" w:hint="default"/>
                <w:sz w:val="18"/>
                <w:szCs w:val="18"/>
              </w:rPr>
              <w:t>2010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09</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15</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157"/>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316" w:lineRule="auto" w:before="1"/>
              <w:ind w:left="22" w:right="24"/>
              <w:jc w:val="left"/>
              <w:rPr>
                <w:rFonts w:ascii="宋体" w:hAnsi="宋体" w:cs="宋体" w:eastAsia="宋体" w:hint="default"/>
                <w:sz w:val="18"/>
                <w:szCs w:val="18"/>
              </w:rPr>
            </w:pPr>
            <w:r>
              <w:rPr>
                <w:rFonts w:ascii="宋体" w:hAnsi="宋体" w:cs="宋体" w:eastAsia="宋体" w:hint="default"/>
                <w:sz w:val="18"/>
                <w:szCs w:val="18"/>
              </w:rPr>
              <w:t>限内，按 承诺持续</w:t>
            </w:r>
          </w:p>
        </w:tc>
      </w:tr>
      <w:tr>
        <w:trPr>
          <w:trHeight w:val="321" w:hRule="exact"/>
        </w:trPr>
        <w:tc>
          <w:tcPr>
            <w:tcW w:w="1701" w:type="dxa"/>
            <w:vMerge/>
            <w:tcBorders>
              <w:left w:val="single" w:sz="4" w:space="0" w:color="000000"/>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9"/>
              <w:ind w:right="25"/>
              <w:jc w:val="center"/>
              <w:rPr>
                <w:rFonts w:ascii="宋体" w:hAnsi="宋体" w:cs="宋体" w:eastAsia="宋体" w:hint="default"/>
                <w:sz w:val="18"/>
                <w:szCs w:val="18"/>
              </w:rPr>
            </w:pPr>
            <w:r>
              <w:rPr>
                <w:rFonts w:ascii="宋体" w:hAnsi="宋体" w:cs="宋体" w:eastAsia="宋体" w:hint="default"/>
                <w:sz w:val="18"/>
                <w:szCs w:val="18"/>
              </w:rPr>
              <w:t>司可以进行中期分配</w:t>
            </w:r>
            <w:r>
              <w:rPr>
                <w:rFonts w:ascii="宋体" w:hAnsi="宋体" w:cs="宋体" w:eastAsia="宋体" w:hint="default"/>
                <w:spacing w:val="-90"/>
                <w:sz w:val="18"/>
                <w:szCs w:val="18"/>
              </w:rPr>
              <w:t>。</w:t>
            </w:r>
            <w:r>
              <w:rPr>
                <w:rFonts w:ascii="宋体" w:hAnsi="宋体" w:cs="宋体" w:eastAsia="宋体" w:hint="default"/>
                <w:sz w:val="18"/>
                <w:szCs w:val="18"/>
              </w:rPr>
              <w:t>（四）存在</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1"/>
              <w:ind w:left="22" w:right="0"/>
              <w:jc w:val="left"/>
              <w:rPr>
                <w:rFonts w:ascii="宋体" w:hAnsi="宋体" w:cs="宋体" w:eastAsia="宋体" w:hint="default"/>
                <w:sz w:val="18"/>
                <w:szCs w:val="18"/>
              </w:rPr>
            </w:pPr>
            <w:r>
              <w:rPr>
                <w:rFonts w:ascii="宋体" w:hAnsi="宋体" w:cs="宋体" w:eastAsia="宋体" w:hint="default"/>
                <w:sz w:val="18"/>
                <w:szCs w:val="18"/>
              </w:rPr>
              <w:t>履行中</w:t>
            </w:r>
          </w:p>
        </w:tc>
      </w:tr>
      <w:tr>
        <w:trPr>
          <w:trHeight w:val="312" w:hRule="exact"/>
        </w:trPr>
        <w:tc>
          <w:tcPr>
            <w:tcW w:w="1701" w:type="dxa"/>
            <w:vMerge/>
            <w:tcBorders>
              <w:left w:val="single" w:sz="4" w:space="0" w:color="000000"/>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5"/>
                <w:sz w:val="18"/>
                <w:szCs w:val="18"/>
              </w:rPr>
              <w:t>股东违规占用公司资金情况的，公</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司应当扣减该股东所分配的现金</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88"/>
              <w:jc w:val="center"/>
              <w:rPr>
                <w:rFonts w:ascii="宋体" w:hAnsi="宋体" w:cs="宋体" w:eastAsia="宋体" w:hint="default"/>
                <w:sz w:val="18"/>
                <w:szCs w:val="18"/>
              </w:rPr>
            </w:pPr>
            <w:r>
              <w:rPr>
                <w:rFonts w:ascii="宋体" w:hAnsi="宋体" w:cs="宋体" w:eastAsia="宋体" w:hint="default"/>
                <w:sz w:val="18"/>
                <w:szCs w:val="18"/>
              </w:rPr>
              <w:t>红利</w:t>
            </w:r>
            <w:r>
              <w:rPr>
                <w:rFonts w:ascii="宋体" w:hAnsi="宋体" w:cs="宋体" w:eastAsia="宋体" w:hint="default"/>
                <w:spacing w:val="-32"/>
                <w:sz w:val="18"/>
                <w:szCs w:val="18"/>
              </w:rPr>
              <w:t>，</w:t>
            </w:r>
            <w:r>
              <w:rPr>
                <w:rFonts w:ascii="宋体" w:hAnsi="宋体" w:cs="宋体" w:eastAsia="宋体" w:hint="default"/>
                <w:sz w:val="18"/>
                <w:szCs w:val="18"/>
              </w:rPr>
              <w:t>以偿还其占用的资金</w:t>
            </w:r>
            <w:r>
              <w:rPr>
                <w:rFonts w:ascii="宋体" w:hAnsi="宋体" w:cs="宋体" w:eastAsia="宋体" w:hint="default"/>
                <w:spacing w:val="-122"/>
                <w:sz w:val="18"/>
                <w:szCs w:val="18"/>
              </w:rPr>
              <w:t>。</w:t>
            </w:r>
            <w:r>
              <w:rPr>
                <w:rFonts w:ascii="宋体" w:hAnsi="宋体" w:cs="宋体" w:eastAsia="宋体" w:hint="default"/>
                <w:sz w:val="18"/>
                <w:szCs w:val="18"/>
              </w:rPr>
              <w:t>（五</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5"/>
                <w:sz w:val="18"/>
                <w:szCs w:val="18"/>
              </w:rPr>
              <w:t>公司根据生产经营情况、投资规划</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5"/>
                <w:sz w:val="18"/>
                <w:szCs w:val="18"/>
              </w:rPr>
              <w:t>和长期发展的需要，确需调整利润</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5"/>
                <w:sz w:val="18"/>
                <w:szCs w:val="18"/>
              </w:rPr>
              <w:t>分配政策的，调整后的利润分配政</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策不得违反中国证监会和证券交</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5"/>
                <w:sz w:val="18"/>
                <w:szCs w:val="18"/>
              </w:rPr>
              <w:t>易所的有关规定。在对有关调整利</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pacing w:val="-5"/>
                <w:sz w:val="18"/>
                <w:szCs w:val="18"/>
              </w:rPr>
              <w:t>润分配政策的议案进行表决时，由</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全体独立董事同意及监事会审议</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并经公司董事会审议后方可提交</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5"/>
                <w:sz w:val="18"/>
                <w:szCs w:val="18"/>
              </w:rPr>
              <w:t>公司股东大会审议，公司控股股东</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5"/>
                <w:sz w:val="18"/>
                <w:szCs w:val="18"/>
              </w:rPr>
              <w:t>应回避表决，公司可以采取提供网</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15"/>
              <w:jc w:val="center"/>
              <w:rPr>
                <w:rFonts w:ascii="宋体" w:hAnsi="宋体" w:cs="宋体" w:eastAsia="宋体" w:hint="default"/>
                <w:sz w:val="18"/>
                <w:szCs w:val="18"/>
              </w:rPr>
            </w:pPr>
            <w:r>
              <w:rPr>
                <w:rFonts w:ascii="宋体" w:hAnsi="宋体" w:cs="宋体" w:eastAsia="宋体" w:hint="default"/>
                <w:sz w:val="18"/>
                <w:szCs w:val="18"/>
              </w:rPr>
              <w:t>络投票等方式以方便股东参与股</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1701" w:type="dxa"/>
            <w:vMerge/>
            <w:tcBorders>
              <w:left w:val="single" w:sz="4" w:space="0" w:color="000000"/>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25"/>
              <w:jc w:val="center"/>
              <w:rPr>
                <w:rFonts w:ascii="宋体" w:hAnsi="宋体" w:cs="宋体" w:eastAsia="宋体" w:hint="default"/>
                <w:sz w:val="18"/>
                <w:szCs w:val="18"/>
              </w:rPr>
            </w:pPr>
            <w:r>
              <w:rPr>
                <w:rFonts w:ascii="宋体" w:hAnsi="宋体" w:cs="宋体" w:eastAsia="宋体" w:hint="default"/>
                <w:sz w:val="18"/>
                <w:szCs w:val="18"/>
              </w:rPr>
              <w:t>东大会表决</w:t>
            </w:r>
            <w:r>
              <w:rPr>
                <w:rFonts w:ascii="宋体" w:hAnsi="宋体" w:cs="宋体" w:eastAsia="宋体" w:hint="default"/>
                <w:spacing w:val="-90"/>
                <w:sz w:val="18"/>
                <w:szCs w:val="18"/>
              </w:rPr>
              <w:t>。</w:t>
            </w:r>
            <w:r>
              <w:rPr>
                <w:rFonts w:ascii="宋体" w:hAnsi="宋体" w:cs="宋体" w:eastAsia="宋体" w:hint="default"/>
                <w:sz w:val="18"/>
                <w:szCs w:val="18"/>
              </w:rPr>
              <w:t>（六）公司应以每三</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8" w:hRule="exact"/>
        </w:trPr>
        <w:tc>
          <w:tcPr>
            <w:tcW w:w="1701" w:type="dxa"/>
            <w:vMerge/>
            <w:tcBorders>
              <w:left w:val="single" w:sz="4" w:space="0" w:color="000000"/>
              <w:bottom w:val="single" w:sz="4" w:space="0" w:color="000000"/>
              <w:right w:val="single" w:sz="4" w:space="0" w:color="000000"/>
            </w:tcBorders>
            <w:shd w:val="clear" w:color="auto" w:fill="D3D3D3"/>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26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pacing w:val="-5"/>
                <w:sz w:val="18"/>
                <w:szCs w:val="18"/>
              </w:rPr>
              <w:t>年为一个周期，制订周期内股东分</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01"/>
        <w:gridCol w:w="1276"/>
        <w:gridCol w:w="1134"/>
        <w:gridCol w:w="2693"/>
        <w:gridCol w:w="994"/>
        <w:gridCol w:w="991"/>
        <w:gridCol w:w="779"/>
      </w:tblGrid>
      <w:tr>
        <w:trPr>
          <w:trHeight w:val="362"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红回报规划。</w:t>
            </w: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股权激励承诺</w:t>
            </w:r>
          </w:p>
        </w:tc>
        <w:tc>
          <w:tcPr>
            <w:tcW w:w="1276" w:type="dxa"/>
            <w:tcBorders>
              <w:top w:val="single" w:sz="4" w:space="0" w:color="000000"/>
              <w:left w:val="single" w:sz="4" w:space="0" w:color="000000"/>
              <w:bottom w:val="single" w:sz="4" w:space="0" w:color="000000"/>
              <w:right w:val="single" w:sz="4" w:space="0" w:color="000000"/>
            </w:tcBorders>
          </w:tcPr>
          <w:p>
            <w:pPr/>
          </w:p>
        </w:tc>
        <w:tc>
          <w:tcPr>
            <w:tcW w:w="1134" w:type="dxa"/>
            <w:tcBorders>
              <w:top w:val="single" w:sz="4" w:space="0" w:color="000000"/>
              <w:left w:val="single" w:sz="4" w:space="0" w:color="000000"/>
              <w:bottom w:val="single" w:sz="4" w:space="0" w:color="000000"/>
              <w:right w:val="single" w:sz="4" w:space="0" w:color="000000"/>
            </w:tcBorders>
          </w:tcPr>
          <w:p>
            <w:pPr/>
          </w:p>
        </w:tc>
        <w:tc>
          <w:tcPr>
            <w:tcW w:w="2693"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77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701" w:type="dxa"/>
            <w:tcBorders>
              <w:top w:val="single" w:sz="4" w:space="0" w:color="000000"/>
              <w:left w:val="single" w:sz="4" w:space="0" w:color="000000"/>
              <w:bottom w:val="nil" w:sz="6" w:space="0" w:color="auto"/>
              <w:right w:val="single" w:sz="4" w:space="0" w:color="000000"/>
            </w:tcBorders>
            <w:shd w:val="clear" w:color="auto" w:fill="D3D3D3"/>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公司部分董事、 高级管理人员 和核心骨干</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其他承诺</w:t>
            </w:r>
          </w:p>
        </w:tc>
        <w:tc>
          <w:tcPr>
            <w:tcW w:w="2693"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51"/>
              <w:ind w:left="22" w:right="131"/>
              <w:jc w:val="both"/>
              <w:rPr>
                <w:rFonts w:ascii="宋体" w:hAnsi="宋体" w:cs="宋体" w:eastAsia="宋体" w:hint="default"/>
                <w:sz w:val="18"/>
                <w:szCs w:val="18"/>
              </w:rPr>
            </w:pPr>
            <w:r>
              <w:rPr>
                <w:rFonts w:ascii="宋体" w:hAnsi="宋体" w:cs="宋体" w:eastAsia="宋体" w:hint="default"/>
                <w:sz w:val="18"/>
                <w:szCs w:val="18"/>
              </w:rPr>
              <w:t>在法定期限内不减持其所持有的 本公司股份；严格遵守有关规定 不进行内幕交易及敏感期买卖股 份、短线交易。</w:t>
            </w:r>
          </w:p>
        </w:tc>
        <w:tc>
          <w:tcPr>
            <w:tcW w:w="994"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57" w:right="88"/>
              <w:jc w:val="center"/>
              <w:rPr>
                <w:rFonts w:ascii="Arial" w:hAnsi="Arial" w:cs="Arial" w:eastAsia="Arial" w:hint="default"/>
                <w:sz w:val="18"/>
                <w:szCs w:val="18"/>
              </w:rPr>
            </w:pPr>
            <w:r>
              <w:rPr>
                <w:rFonts w:ascii="宋体" w:hAnsi="宋体" w:cs="宋体" w:eastAsia="宋体" w:hint="default"/>
                <w:sz w:val="18"/>
                <w:szCs w:val="18"/>
              </w:rPr>
              <w:t>，</w:t>
            </w:r>
            <w:r>
              <w:rPr>
                <w:rFonts w:ascii="Arial" w:hAnsi="Arial" w:cs="Arial" w:eastAsia="Arial" w:hint="default"/>
                <w:sz w:val="18"/>
                <w:szCs w:val="18"/>
              </w:rPr>
              <w:t>2015 </w:t>
            </w:r>
            <w:r>
              <w:rPr>
                <w:rFonts w:ascii="宋体" w:hAnsi="宋体" w:cs="宋体" w:eastAsia="宋体" w:hint="default"/>
                <w:sz w:val="18"/>
                <w:szCs w:val="18"/>
              </w:rPr>
              <w:t>年</w:t>
            </w:r>
            <w:r>
              <w:rPr>
                <w:rFonts w:ascii="宋体" w:hAnsi="宋体" w:cs="宋体" w:eastAsia="宋体" w:hint="default"/>
                <w:spacing w:val="-61"/>
                <w:sz w:val="18"/>
                <w:szCs w:val="18"/>
              </w:rPr>
              <w:t> </w:t>
            </w:r>
            <w:r>
              <w:rPr>
                <w:rFonts w:ascii="Arial" w:hAnsi="Arial" w:cs="Arial" w:eastAsia="Arial" w:hint="default"/>
                <w:sz w:val="18"/>
                <w:szCs w:val="18"/>
              </w:rPr>
              <w:t>07</w:t>
            </w:r>
          </w:p>
          <w:p>
            <w:pPr>
              <w:pStyle w:val="TableParagraph"/>
              <w:spacing w:line="240" w:lineRule="auto" w:before="63"/>
              <w:ind w:right="293"/>
              <w:jc w:val="center"/>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09</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长期</w:t>
            </w:r>
          </w:p>
        </w:tc>
        <w:tc>
          <w:tcPr>
            <w:tcW w:w="77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4"/>
              <w:jc w:val="both"/>
              <w:rPr>
                <w:rFonts w:ascii="宋体" w:hAnsi="宋体" w:cs="宋体" w:eastAsia="宋体" w:hint="default"/>
                <w:sz w:val="18"/>
                <w:szCs w:val="18"/>
              </w:rPr>
            </w:pPr>
            <w:r>
              <w:rPr>
                <w:rFonts w:ascii="宋体" w:hAnsi="宋体" w:cs="宋体" w:eastAsia="宋体" w:hint="default"/>
                <w:sz w:val="18"/>
                <w:szCs w:val="18"/>
              </w:rPr>
              <w:t>在承诺期 限内，按 承诺持续 履行中</w:t>
            </w:r>
          </w:p>
        </w:tc>
      </w:tr>
      <w:tr>
        <w:trPr>
          <w:trHeight w:val="362"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26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pacing w:val="-1"/>
                <w:sz w:val="18"/>
                <w:szCs w:val="18"/>
              </w:rPr>
              <w:t>20</w:t>
            </w:r>
            <w:r>
              <w:rPr>
                <w:rFonts w:ascii="Arial" w:hAnsi="Arial" w:cs="Arial" w:eastAsia="Arial" w:hint="default"/>
                <w:sz w:val="18"/>
                <w:szCs w:val="18"/>
              </w:rPr>
              <w:t>18</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2</w:t>
            </w:r>
            <w:r>
              <w:rPr>
                <w:rFonts w:ascii="Arial" w:hAnsi="Arial" w:cs="Arial" w:eastAsia="Arial" w:hint="default"/>
                <w:spacing w:val="-7"/>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日</w:t>
            </w:r>
            <w:r>
              <w:rPr>
                <w:rFonts w:ascii="宋体" w:hAnsi="宋体" w:cs="宋体" w:eastAsia="宋体" w:hint="default"/>
                <w:spacing w:val="-89"/>
                <w:sz w:val="18"/>
                <w:szCs w:val="18"/>
              </w:rPr>
              <w:t>，</w:t>
            </w:r>
            <w:r>
              <w:rPr>
                <w:rFonts w:ascii="宋体" w:hAnsi="宋体" w:cs="宋体" w:eastAsia="宋体" w:hint="default"/>
                <w:sz w:val="18"/>
                <w:szCs w:val="18"/>
              </w:rPr>
              <w:t>华融榕</w:t>
            </w:r>
            <w:r>
              <w:rPr>
                <w:rFonts w:ascii="宋体" w:hAnsi="宋体" w:cs="宋体" w:eastAsia="宋体" w:hint="default"/>
                <w:spacing w:val="1"/>
                <w:sz w:val="18"/>
                <w:szCs w:val="18"/>
              </w:rPr>
              <w:t>基</w:t>
            </w:r>
            <w:r>
              <w:rPr>
                <w:rFonts w:ascii="宋体" w:hAnsi="宋体" w:cs="宋体" w:eastAsia="宋体" w:hint="default"/>
                <w:sz w:val="18"/>
                <w:szCs w:val="18"/>
              </w:rPr>
              <w:t>软件</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员工持股</w:t>
            </w:r>
            <w:r>
              <w:rPr>
                <w:rFonts w:ascii="宋体" w:hAnsi="宋体" w:cs="宋体" w:eastAsia="宋体" w:hint="default"/>
                <w:spacing w:val="-46"/>
                <w:sz w:val="18"/>
                <w:szCs w:val="18"/>
              </w:rPr>
              <w:t> </w:t>
            </w: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号定向资产管理计划</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08"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pacing w:val="-5"/>
                <w:sz w:val="18"/>
                <w:szCs w:val="18"/>
              </w:rPr>
              <w:t>（第三期）已通过二级市场购入的</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Arial" w:hAnsi="Arial" w:cs="Arial" w:eastAsia="Arial" w:hint="default"/>
                <w:sz w:val="18"/>
                <w:szCs w:val="18"/>
              </w:rPr>
            </w:pPr>
            <w:r>
              <w:rPr>
                <w:rFonts w:ascii="宋体" w:hAnsi="宋体" w:cs="宋体" w:eastAsia="宋体" w:hint="default"/>
                <w:sz w:val="18"/>
                <w:szCs w:val="18"/>
              </w:rPr>
              <w:t>方式累计购买公司股票</w:t>
            </w:r>
            <w:r>
              <w:rPr>
                <w:rFonts w:ascii="宋体" w:hAnsi="宋体" w:cs="宋体" w:eastAsia="宋体" w:hint="default"/>
                <w:spacing w:val="-60"/>
                <w:sz w:val="18"/>
                <w:szCs w:val="18"/>
              </w:rPr>
              <w:t> </w:t>
            </w:r>
            <w:r>
              <w:rPr>
                <w:rFonts w:ascii="Arial" w:hAnsi="Arial" w:cs="Arial" w:eastAsia="Arial" w:hint="default"/>
                <w:sz w:val="18"/>
                <w:szCs w:val="18"/>
              </w:rPr>
              <w:t>7,856,200</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Arial" w:hAnsi="Arial" w:cs="Arial" w:eastAsia="Arial" w:hint="default"/>
                <w:sz w:val="18"/>
                <w:szCs w:val="18"/>
              </w:rPr>
            </w:pPr>
            <w:r>
              <w:rPr>
                <w:rFonts w:ascii="宋体" w:hAnsi="宋体" w:cs="宋体" w:eastAsia="宋体" w:hint="default"/>
                <w:sz w:val="18"/>
                <w:szCs w:val="18"/>
              </w:rPr>
              <w:t>于</w:t>
            </w:r>
            <w:r>
              <w:rPr>
                <w:rFonts w:ascii="宋体" w:hAnsi="宋体" w:cs="宋体" w:eastAsia="宋体" w:hint="default"/>
                <w:spacing w:val="-49"/>
                <w:sz w:val="18"/>
                <w:szCs w:val="18"/>
              </w:rPr>
              <w:t> </w:t>
            </w:r>
            <w:r>
              <w:rPr>
                <w:rFonts w:ascii="Arial" w:hAnsi="Arial" w:cs="Arial" w:eastAsia="Arial" w:hint="default"/>
                <w:sz w:val="18"/>
                <w:szCs w:val="18"/>
              </w:rPr>
              <w:t>2019</w:t>
            </w:r>
          </w:p>
        </w:tc>
      </w:tr>
      <w:tr>
        <w:trPr>
          <w:trHeight w:val="624"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6"/>
              <w:ind w:left="22" w:right="46"/>
              <w:jc w:val="left"/>
              <w:rPr>
                <w:rFonts w:ascii="宋体" w:hAnsi="宋体" w:cs="宋体" w:eastAsia="宋体" w:hint="default"/>
                <w:sz w:val="18"/>
                <w:szCs w:val="18"/>
              </w:rPr>
            </w:pPr>
            <w:r>
              <w:rPr>
                <w:rFonts w:ascii="宋体" w:hAnsi="宋体" w:cs="宋体" w:eastAsia="宋体" w:hint="default"/>
                <w:sz w:val="18"/>
                <w:szCs w:val="18"/>
              </w:rPr>
              <w:t>其他对公司中小股东 所作承诺</w:t>
            </w: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3" w:right="161"/>
              <w:jc w:val="left"/>
              <w:rPr>
                <w:rFonts w:ascii="宋体" w:hAnsi="宋体" w:cs="宋体" w:eastAsia="宋体" w:hint="default"/>
                <w:sz w:val="18"/>
                <w:szCs w:val="18"/>
              </w:rPr>
            </w:pPr>
            <w:r>
              <w:rPr>
                <w:rFonts w:ascii="宋体" w:hAnsi="宋体" w:cs="宋体" w:eastAsia="宋体" w:hint="default"/>
                <w:sz w:val="18"/>
                <w:szCs w:val="18"/>
              </w:rPr>
              <w:t>第三期员工持 股计划</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199"/>
              <w:jc w:val="left"/>
              <w:rPr>
                <w:rFonts w:ascii="宋体" w:hAnsi="宋体" w:cs="宋体" w:eastAsia="宋体" w:hint="default"/>
                <w:sz w:val="18"/>
                <w:szCs w:val="18"/>
              </w:rPr>
            </w:pPr>
            <w:r>
              <w:rPr>
                <w:rFonts w:ascii="宋体" w:hAnsi="宋体" w:cs="宋体" w:eastAsia="宋体" w:hint="default"/>
                <w:sz w:val="18"/>
                <w:szCs w:val="18"/>
              </w:rPr>
              <w:t>员工持股计 划承诺</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302" w:lineRule="auto" w:before="5"/>
              <w:ind w:left="22" w:right="61"/>
              <w:jc w:val="left"/>
              <w:rPr>
                <w:rFonts w:ascii="宋体" w:hAnsi="宋体" w:cs="宋体" w:eastAsia="宋体" w:hint="default"/>
                <w:sz w:val="18"/>
                <w:szCs w:val="18"/>
              </w:rPr>
            </w:pPr>
            <w:r>
              <w:rPr>
                <w:rFonts w:ascii="宋体" w:hAnsi="宋体" w:cs="宋体" w:eastAsia="宋体" w:hint="default"/>
                <w:spacing w:val="-4"/>
                <w:sz w:val="18"/>
                <w:szCs w:val="18"/>
              </w:rPr>
              <w:t>股，占公司总股本约为</w:t>
            </w:r>
            <w:r>
              <w:rPr>
                <w:rFonts w:ascii="宋体" w:hAnsi="宋体" w:cs="宋体" w:eastAsia="宋体" w:hint="default"/>
                <w:spacing w:val="-45"/>
                <w:sz w:val="18"/>
                <w:szCs w:val="18"/>
              </w:rPr>
              <w:t> </w:t>
            </w:r>
            <w:r>
              <w:rPr>
                <w:rFonts w:ascii="Arial" w:hAnsi="Arial" w:cs="Arial" w:eastAsia="Arial" w:hint="default"/>
                <w:spacing w:val="-12"/>
                <w:sz w:val="18"/>
                <w:szCs w:val="18"/>
              </w:rPr>
              <w:t>1.26%</w:t>
            </w:r>
            <w:r>
              <w:rPr>
                <w:rFonts w:ascii="宋体" w:hAnsi="宋体" w:cs="宋体" w:eastAsia="宋体" w:hint="default"/>
                <w:spacing w:val="-12"/>
                <w:sz w:val="18"/>
                <w:szCs w:val="18"/>
              </w:rPr>
              <w:t>，公</w:t>
            </w:r>
            <w:r>
              <w:rPr>
                <w:rFonts w:ascii="宋体" w:hAnsi="宋体" w:cs="宋体" w:eastAsia="宋体" w:hint="default"/>
                <w:spacing w:val="-40"/>
                <w:sz w:val="18"/>
                <w:szCs w:val="18"/>
              </w:rPr>
              <w:t> </w:t>
            </w:r>
            <w:r>
              <w:rPr>
                <w:rFonts w:ascii="宋体" w:hAnsi="宋体" w:cs="宋体" w:eastAsia="宋体" w:hint="default"/>
                <w:sz w:val="18"/>
                <w:szCs w:val="18"/>
              </w:rPr>
              <w:t>司已完成本期员工持股计划标的</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Arial" w:hAnsi="Arial" w:cs="Arial" w:eastAsia="Arial" w:hint="default"/>
                <w:sz w:val="18"/>
                <w:szCs w:val="18"/>
              </w:rPr>
            </w:pPr>
            <w:r>
              <w:rPr>
                <w:rFonts w:ascii="Arial" w:hAnsi="Arial" w:cs="Arial" w:eastAsia="Arial" w:hint="default"/>
                <w:sz w:val="18"/>
                <w:szCs w:val="18"/>
              </w:rPr>
              <w:t>2018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02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一年</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2</w:t>
            </w:r>
            <w:r>
              <w:rPr>
                <w:rFonts w:ascii="Arial" w:hAnsi="Arial" w:cs="Arial" w:eastAsia="Arial" w:hint="default"/>
                <w:spacing w:val="-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日履</w:t>
            </w:r>
          </w:p>
        </w:tc>
      </w:tr>
      <w:tr>
        <w:trPr>
          <w:trHeight w:val="308"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pacing w:val="-5"/>
                <w:sz w:val="18"/>
                <w:szCs w:val="18"/>
              </w:rPr>
              <w:t>股票的购买。公司第三期员工持股</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行完毕</w:t>
            </w:r>
          </w:p>
        </w:tc>
      </w:tr>
      <w:tr>
        <w:trPr>
          <w:trHeight w:val="316"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计划的存续期为</w:t>
            </w:r>
            <w:r>
              <w:rPr>
                <w:rFonts w:ascii="宋体" w:hAnsi="宋体" w:cs="宋体" w:eastAsia="宋体" w:hint="default"/>
                <w:spacing w:val="-46"/>
                <w:sz w:val="18"/>
                <w:szCs w:val="18"/>
              </w:rPr>
              <w:t> </w:t>
            </w:r>
            <w:r>
              <w:rPr>
                <w:rFonts w:ascii="Arial" w:hAnsi="Arial" w:cs="Arial" w:eastAsia="Arial" w:hint="default"/>
                <w:sz w:val="18"/>
                <w:szCs w:val="18"/>
              </w:rPr>
              <w:t>48</w:t>
            </w:r>
            <w:r>
              <w:rPr>
                <w:rFonts w:ascii="Arial" w:hAnsi="Arial" w:cs="Arial" w:eastAsia="Arial" w:hint="default"/>
                <w:spacing w:val="-7"/>
                <w:sz w:val="18"/>
                <w:szCs w:val="18"/>
              </w:rPr>
              <w:t> </w:t>
            </w:r>
            <w:r>
              <w:rPr>
                <w:rFonts w:ascii="宋体" w:hAnsi="宋体" w:cs="宋体" w:eastAsia="宋体" w:hint="default"/>
                <w:sz w:val="18"/>
                <w:szCs w:val="18"/>
              </w:rPr>
              <w:t>个月，锁定期</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13"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
        </w:tc>
        <w:tc>
          <w:tcPr>
            <w:tcW w:w="1134" w:type="dxa"/>
            <w:tcBorders>
              <w:top w:val="nil" w:sz="6" w:space="0" w:color="auto"/>
              <w:left w:val="single" w:sz="4" w:space="0" w:color="000000"/>
              <w:bottom w:val="nil" w:sz="6" w:space="0" w:color="auto"/>
              <w:right w:val="single" w:sz="4" w:space="0" w:color="000000"/>
            </w:tcBorders>
          </w:tcPr>
          <w:p>
            <w:pP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Arial" w:hAnsi="Arial" w:cs="Arial" w:eastAsia="Arial" w:hint="default"/>
                <w:sz w:val="18"/>
                <w:szCs w:val="18"/>
              </w:rPr>
            </w:pPr>
            <w:r>
              <w:rPr>
                <w:rFonts w:ascii="宋体" w:hAnsi="宋体" w:cs="宋体" w:eastAsia="宋体" w:hint="default"/>
                <w:sz w:val="18"/>
                <w:szCs w:val="18"/>
              </w:rPr>
              <w:t>为</w:t>
            </w:r>
            <w:r>
              <w:rPr>
                <w:rFonts w:ascii="宋体" w:hAnsi="宋体" w:cs="宋体" w:eastAsia="宋体" w:hint="default"/>
                <w:spacing w:val="-52"/>
                <w:sz w:val="18"/>
                <w:szCs w:val="18"/>
              </w:rPr>
              <w:t> </w:t>
            </w:r>
            <w:r>
              <w:rPr>
                <w:rFonts w:ascii="Arial" w:hAnsi="Arial" w:cs="Arial" w:eastAsia="Arial" w:hint="default"/>
                <w:sz w:val="18"/>
                <w:szCs w:val="18"/>
              </w:rPr>
              <w:t>2018</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w:hAnsi="Arial" w:cs="Arial" w:eastAsia="Arial" w:hint="default"/>
                <w:sz w:val="18"/>
                <w:szCs w:val="18"/>
              </w:rPr>
              <w:t>2</w:t>
            </w:r>
            <w:r>
              <w:rPr>
                <w:rFonts w:ascii="Arial" w:hAnsi="Arial" w:cs="Arial" w:eastAsia="Arial"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12</w:t>
            </w:r>
            <w:r>
              <w:rPr>
                <w:rFonts w:ascii="Arial" w:hAnsi="Arial" w:cs="Arial" w:eastAsia="Arial" w:hint="default"/>
                <w:spacing w:val="-12"/>
                <w:sz w:val="18"/>
                <w:szCs w:val="18"/>
              </w:rPr>
              <w:t> </w:t>
            </w:r>
            <w:r>
              <w:rPr>
                <w:rFonts w:ascii="宋体" w:hAnsi="宋体" w:cs="宋体" w:eastAsia="宋体" w:hint="default"/>
                <w:sz w:val="18"/>
                <w:szCs w:val="18"/>
              </w:rPr>
              <w:t>日至</w:t>
            </w:r>
            <w:r>
              <w:rPr>
                <w:rFonts w:ascii="宋体" w:hAnsi="宋体" w:cs="宋体" w:eastAsia="宋体" w:hint="default"/>
                <w:spacing w:val="-52"/>
                <w:sz w:val="18"/>
                <w:szCs w:val="18"/>
              </w:rPr>
              <w:t> </w:t>
            </w:r>
            <w:r>
              <w:rPr>
                <w:rFonts w:ascii="Arial" w:hAnsi="Arial" w:cs="Arial" w:eastAsia="Arial" w:hint="default"/>
                <w:sz w:val="18"/>
                <w:szCs w:val="18"/>
              </w:rPr>
              <w:t>2019</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w:hAnsi="Arial" w:cs="Arial" w:eastAsia="Arial" w:hint="default"/>
                <w:sz w:val="18"/>
                <w:szCs w:val="18"/>
              </w:rPr>
              <w:t>2</w:t>
            </w:r>
          </w:p>
        </w:tc>
        <w:tc>
          <w:tcPr>
            <w:tcW w:w="994" w:type="dxa"/>
            <w:tcBorders>
              <w:top w:val="nil" w:sz="6" w:space="0" w:color="auto"/>
              <w:left w:val="single" w:sz="4" w:space="0" w:color="000000"/>
              <w:bottom w:val="nil" w:sz="6" w:space="0" w:color="auto"/>
              <w:right w:val="single" w:sz="4" w:space="0" w:color="000000"/>
            </w:tcBorders>
          </w:tcPr>
          <w:p>
            <w:pPr/>
          </w:p>
        </w:tc>
        <w:tc>
          <w:tcPr>
            <w:tcW w:w="991" w:type="dxa"/>
            <w:tcBorders>
              <w:top w:val="nil" w:sz="6" w:space="0" w:color="auto"/>
              <w:left w:val="single" w:sz="4" w:space="0" w:color="000000"/>
              <w:bottom w:val="nil" w:sz="6" w:space="0" w:color="auto"/>
              <w:right w:val="single" w:sz="4" w:space="0" w:color="000000"/>
            </w:tcBorders>
          </w:tcPr>
          <w:p>
            <w:pPr/>
          </w:p>
        </w:tc>
        <w:tc>
          <w:tcPr>
            <w:tcW w:w="779" w:type="dxa"/>
            <w:tcBorders>
              <w:top w:val="nil" w:sz="6" w:space="0" w:color="auto"/>
              <w:left w:val="single" w:sz="4" w:space="0" w:color="000000"/>
              <w:bottom w:val="nil" w:sz="6" w:space="0" w:color="auto"/>
              <w:right w:val="single" w:sz="4" w:space="0" w:color="000000"/>
            </w:tcBorders>
          </w:tcPr>
          <w:p>
            <w:pPr/>
          </w:p>
        </w:tc>
      </w:tr>
      <w:tr>
        <w:trPr>
          <w:trHeight w:val="352"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26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pacing w:val="-7"/>
                <w:sz w:val="18"/>
                <w:szCs w:val="18"/>
              </w:rPr>
              <w:t>11 </w:t>
            </w:r>
            <w:r>
              <w:rPr>
                <w:rFonts w:ascii="宋体" w:hAnsi="宋体" w:cs="宋体" w:eastAsia="宋体" w:hint="default"/>
                <w:sz w:val="18"/>
                <w:szCs w:val="18"/>
              </w:rPr>
              <w:t>日。</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
        </w:tc>
        <w:tc>
          <w:tcPr>
            <w:tcW w:w="1276" w:type="dxa"/>
            <w:tcBorders>
              <w:top w:val="single" w:sz="4" w:space="0" w:color="000000"/>
              <w:left w:val="single" w:sz="4" w:space="0" w:color="000000"/>
              <w:bottom w:val="nil" w:sz="6" w:space="0" w:color="auto"/>
              <w:right w:val="single" w:sz="4" w:space="0" w:color="000000"/>
            </w:tcBorders>
          </w:tcPr>
          <w:p>
            <w:pPr/>
          </w:p>
        </w:tc>
        <w:tc>
          <w:tcPr>
            <w:tcW w:w="1134" w:type="dxa"/>
            <w:tcBorders>
              <w:top w:val="single" w:sz="4" w:space="0" w:color="000000"/>
              <w:left w:val="single" w:sz="4" w:space="0" w:color="000000"/>
              <w:bottom w:val="nil" w:sz="6" w:space="0" w:color="auto"/>
              <w:right w:val="single" w:sz="4" w:space="0" w:color="000000"/>
            </w:tcBorders>
          </w:tcPr>
          <w:p>
            <w:pPr/>
          </w:p>
        </w:tc>
        <w:tc>
          <w:tcPr>
            <w:tcW w:w="269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本次股份增持计划将严格遵守有</w:t>
            </w:r>
          </w:p>
        </w:tc>
        <w:tc>
          <w:tcPr>
            <w:tcW w:w="994" w:type="dxa"/>
            <w:tcBorders>
              <w:top w:val="single" w:sz="4" w:space="0" w:color="000000"/>
              <w:left w:val="single" w:sz="4" w:space="0" w:color="000000"/>
              <w:bottom w:val="nil" w:sz="6" w:space="0" w:color="auto"/>
              <w:right w:val="single" w:sz="4" w:space="0" w:color="000000"/>
            </w:tcBorders>
          </w:tcPr>
          <w:p>
            <w:pPr/>
          </w:p>
        </w:tc>
        <w:tc>
          <w:tcPr>
            <w:tcW w:w="991" w:type="dxa"/>
            <w:tcBorders>
              <w:top w:val="single" w:sz="4" w:space="0" w:color="000000"/>
              <w:left w:val="single" w:sz="4" w:space="0" w:color="000000"/>
              <w:bottom w:val="nil" w:sz="6" w:space="0" w:color="auto"/>
              <w:right w:val="single" w:sz="4" w:space="0" w:color="000000"/>
            </w:tcBorders>
          </w:tcPr>
          <w:p>
            <w:pPr/>
          </w:p>
        </w:tc>
        <w:tc>
          <w:tcPr>
            <w:tcW w:w="779"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Arial" w:hAnsi="Arial" w:cs="Arial" w:eastAsia="Arial" w:hint="default"/>
                <w:sz w:val="18"/>
                <w:szCs w:val="18"/>
              </w:rPr>
            </w:pPr>
            <w:r>
              <w:rPr>
                <w:rFonts w:ascii="宋体" w:hAnsi="宋体" w:cs="宋体" w:eastAsia="宋体" w:hint="default"/>
                <w:sz w:val="18"/>
                <w:szCs w:val="18"/>
              </w:rPr>
              <w:t>于</w:t>
            </w:r>
            <w:r>
              <w:rPr>
                <w:rFonts w:ascii="宋体" w:hAnsi="宋体" w:cs="宋体" w:eastAsia="宋体" w:hint="default"/>
                <w:spacing w:val="-49"/>
                <w:sz w:val="18"/>
                <w:szCs w:val="18"/>
              </w:rPr>
              <w:t> </w:t>
            </w:r>
            <w:r>
              <w:rPr>
                <w:rFonts w:ascii="Arial" w:hAnsi="Arial" w:cs="Arial" w:eastAsia="Arial" w:hint="default"/>
                <w:sz w:val="18"/>
                <w:szCs w:val="18"/>
              </w:rPr>
              <w:t>2019</w:t>
            </w:r>
          </w:p>
        </w:tc>
      </w:tr>
      <w:tr>
        <w:trPr>
          <w:trHeight w:val="625"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
        </w:tc>
        <w:tc>
          <w:tcPr>
            <w:tcW w:w="1276"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1134" w:type="dxa"/>
            <w:tcBorders>
              <w:top w:val="nil" w:sz="6" w:space="0" w:color="auto"/>
              <w:left w:val="single" w:sz="4" w:space="0" w:color="000000"/>
              <w:bottom w:val="nil" w:sz="6" w:space="0" w:color="auto"/>
              <w:right w:val="single" w:sz="4" w:space="0" w:color="000000"/>
            </w:tcBorders>
          </w:tcPr>
          <w:p>
            <w:pPr>
              <w:pStyle w:val="TableParagraph"/>
              <w:spacing w:line="316" w:lineRule="auto" w:before="6"/>
              <w:ind w:left="22" w:right="199"/>
              <w:jc w:val="left"/>
              <w:rPr>
                <w:rFonts w:ascii="宋体" w:hAnsi="宋体" w:cs="宋体" w:eastAsia="宋体" w:hint="default"/>
                <w:sz w:val="18"/>
                <w:szCs w:val="18"/>
              </w:rPr>
            </w:pPr>
            <w:r>
              <w:rPr>
                <w:rFonts w:ascii="宋体" w:hAnsi="宋体" w:cs="宋体" w:eastAsia="宋体" w:hint="default"/>
                <w:sz w:val="18"/>
                <w:szCs w:val="18"/>
              </w:rPr>
              <w:t>股份增持承 诺</w:t>
            </w:r>
          </w:p>
        </w:tc>
        <w:tc>
          <w:tcPr>
            <w:tcW w:w="2693" w:type="dxa"/>
            <w:tcBorders>
              <w:top w:val="nil" w:sz="6" w:space="0" w:color="auto"/>
              <w:left w:val="single" w:sz="4" w:space="0" w:color="000000"/>
              <w:bottom w:val="nil" w:sz="6" w:space="0" w:color="auto"/>
              <w:right w:val="single" w:sz="4" w:space="0" w:color="000000"/>
            </w:tcBorders>
          </w:tcPr>
          <w:p>
            <w:pPr>
              <w:pStyle w:val="TableParagraph"/>
              <w:spacing w:line="316" w:lineRule="auto" w:before="5"/>
              <w:ind w:left="22" w:right="22"/>
              <w:jc w:val="left"/>
              <w:rPr>
                <w:rFonts w:ascii="宋体" w:hAnsi="宋体" w:cs="宋体" w:eastAsia="宋体" w:hint="default"/>
                <w:sz w:val="18"/>
                <w:szCs w:val="18"/>
              </w:rPr>
            </w:pPr>
            <w:r>
              <w:rPr>
                <w:rFonts w:ascii="宋体" w:hAnsi="宋体" w:cs="宋体" w:eastAsia="宋体" w:hint="default"/>
                <w:spacing w:val="-5"/>
                <w:sz w:val="18"/>
                <w:szCs w:val="18"/>
              </w:rPr>
              <w:t>关法律法规的规定，在本次增持计</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划实施期间及增持完成后</w:t>
            </w:r>
            <w:r>
              <w:rPr>
                <w:rFonts w:ascii="宋体" w:hAnsi="宋体" w:cs="宋体" w:eastAsia="宋体" w:hint="default"/>
                <w:spacing w:val="-46"/>
                <w:sz w:val="18"/>
                <w:szCs w:val="18"/>
              </w:rPr>
              <w:t> </w:t>
            </w:r>
            <w:r>
              <w:rPr>
                <w:rFonts w:ascii="Arial" w:hAnsi="Arial" w:cs="Arial" w:eastAsia="Arial" w:hint="default"/>
                <w:sz w:val="18"/>
                <w:szCs w:val="18"/>
              </w:rPr>
              <w:t>6</w:t>
            </w:r>
            <w:r>
              <w:rPr>
                <w:rFonts w:ascii="Arial" w:hAnsi="Arial" w:cs="Arial" w:eastAsia="Arial" w:hint="default"/>
                <w:spacing w:val="-5"/>
                <w:sz w:val="18"/>
                <w:szCs w:val="18"/>
              </w:rPr>
              <w:t> </w:t>
            </w:r>
            <w:r>
              <w:rPr>
                <w:rFonts w:ascii="宋体" w:hAnsi="宋体" w:cs="宋体" w:eastAsia="宋体" w:hint="default"/>
                <w:sz w:val="18"/>
                <w:szCs w:val="18"/>
              </w:rPr>
              <w:t>个月</w:t>
            </w:r>
          </w:p>
        </w:tc>
        <w:tc>
          <w:tcPr>
            <w:tcW w:w="994"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Arial" w:hAnsi="Arial" w:cs="Arial" w:eastAsia="Arial" w:hint="default"/>
                <w:sz w:val="18"/>
                <w:szCs w:val="18"/>
              </w:rPr>
            </w:pPr>
            <w:r>
              <w:rPr>
                <w:rFonts w:ascii="Arial" w:hAnsi="Arial" w:cs="Arial" w:eastAsia="Arial" w:hint="default"/>
                <w:sz w:val="18"/>
                <w:szCs w:val="18"/>
              </w:rPr>
              <w:t>2018 </w:t>
            </w:r>
            <w:r>
              <w:rPr>
                <w:rFonts w:ascii="宋体" w:hAnsi="宋体" w:cs="宋体" w:eastAsia="宋体" w:hint="default"/>
                <w:sz w:val="18"/>
                <w:szCs w:val="18"/>
              </w:rPr>
              <w:t>年</w:t>
            </w:r>
            <w:r>
              <w:rPr>
                <w:rFonts w:ascii="宋体" w:hAnsi="宋体" w:cs="宋体" w:eastAsia="宋体" w:hint="default"/>
                <w:spacing w:val="-53"/>
                <w:sz w:val="18"/>
                <w:szCs w:val="18"/>
              </w:rPr>
              <w:t> </w:t>
            </w:r>
            <w:r>
              <w:rPr>
                <w:rFonts w:ascii="Arial" w:hAnsi="Arial" w:cs="Arial" w:eastAsia="Arial" w:hint="default"/>
                <w:sz w:val="18"/>
                <w:szCs w:val="18"/>
              </w:rPr>
              <w:t>12</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日</w:t>
            </w:r>
          </w:p>
        </w:tc>
        <w:tc>
          <w:tcPr>
            <w:tcW w:w="991"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2" w:right="0"/>
              <w:jc w:val="left"/>
              <w:rPr>
                <w:rFonts w:ascii="宋体" w:hAnsi="宋体" w:cs="宋体" w:eastAsia="宋体" w:hint="default"/>
                <w:sz w:val="18"/>
                <w:szCs w:val="18"/>
              </w:rPr>
            </w:pPr>
            <w:r>
              <w:rPr>
                <w:rFonts w:ascii="Arial" w:hAnsi="Arial" w:cs="Arial" w:eastAsia="Arial" w:hint="default"/>
                <w:sz w:val="18"/>
                <w:szCs w:val="18"/>
              </w:rPr>
              <w:t>6</w:t>
            </w:r>
            <w:r>
              <w:rPr>
                <w:rFonts w:ascii="Arial" w:hAnsi="Arial" w:cs="Arial" w:eastAsia="Arial" w:hint="default"/>
                <w:spacing w:val="-7"/>
                <w:sz w:val="18"/>
                <w:szCs w:val="18"/>
              </w:rPr>
              <w:t> </w:t>
            </w:r>
            <w:r>
              <w:rPr>
                <w:rFonts w:ascii="宋体" w:hAnsi="宋体" w:cs="宋体" w:eastAsia="宋体" w:hint="default"/>
                <w:sz w:val="18"/>
                <w:szCs w:val="18"/>
              </w:rPr>
              <w:t>个月</w:t>
            </w:r>
          </w:p>
        </w:tc>
        <w:tc>
          <w:tcPr>
            <w:tcW w:w="779"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6</w:t>
            </w:r>
            <w:r>
              <w:rPr>
                <w:rFonts w:ascii="Arial" w:hAnsi="Arial" w:cs="Arial" w:eastAsia="Arial" w:hint="default"/>
                <w:spacing w:val="-7"/>
                <w:sz w:val="18"/>
                <w:szCs w:val="18"/>
              </w:rPr>
              <w:t> </w:t>
            </w:r>
            <w:r>
              <w:rPr>
                <w:rFonts w:ascii="宋体" w:hAnsi="宋体" w:cs="宋体" w:eastAsia="宋体" w:hint="default"/>
                <w:sz w:val="18"/>
                <w:szCs w:val="18"/>
              </w:rPr>
              <w:t>月</w:t>
            </w:r>
          </w:p>
          <w:p>
            <w:pPr>
              <w:pStyle w:val="TableParagraph"/>
              <w:spacing w:line="240" w:lineRule="auto" w:before="63"/>
              <w:ind w:left="22"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日期</w:t>
            </w:r>
          </w:p>
        </w:tc>
      </w:tr>
      <w:tr>
        <w:trPr>
          <w:trHeight w:val="352" w:hRule="exact"/>
        </w:trPr>
        <w:tc>
          <w:tcPr>
            <w:tcW w:w="1701" w:type="dxa"/>
            <w:tcBorders>
              <w:top w:val="nil" w:sz="6" w:space="0" w:color="auto"/>
              <w:left w:val="single" w:sz="4" w:space="0" w:color="000000"/>
              <w:bottom w:val="single" w:sz="4" w:space="0" w:color="000000"/>
              <w:right w:val="single" w:sz="4" w:space="0" w:color="000000"/>
            </w:tcBorders>
            <w:shd w:val="clear" w:color="auto" w:fill="D3D3D3"/>
          </w:tcPr>
          <w:p>
            <w:pPr/>
          </w:p>
        </w:tc>
        <w:tc>
          <w:tcPr>
            <w:tcW w:w="1276" w:type="dxa"/>
            <w:tcBorders>
              <w:top w:val="nil" w:sz="6" w:space="0" w:color="auto"/>
              <w:left w:val="single" w:sz="4" w:space="0" w:color="000000"/>
              <w:bottom w:val="single" w:sz="4" w:space="0" w:color="000000"/>
              <w:right w:val="single" w:sz="4" w:space="0" w:color="000000"/>
            </w:tcBorders>
          </w:tcPr>
          <w:p>
            <w:pPr/>
          </w:p>
        </w:tc>
        <w:tc>
          <w:tcPr>
            <w:tcW w:w="1134" w:type="dxa"/>
            <w:tcBorders>
              <w:top w:val="nil" w:sz="6" w:space="0" w:color="auto"/>
              <w:left w:val="single" w:sz="4" w:space="0" w:color="000000"/>
              <w:bottom w:val="single" w:sz="4" w:space="0" w:color="000000"/>
              <w:right w:val="single" w:sz="4" w:space="0" w:color="000000"/>
            </w:tcBorders>
          </w:tcPr>
          <w:p>
            <w:pPr/>
          </w:p>
        </w:tc>
        <w:tc>
          <w:tcPr>
            <w:tcW w:w="269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内不减持其所持有的公司股份。</w:t>
            </w:r>
          </w:p>
        </w:tc>
        <w:tc>
          <w:tcPr>
            <w:tcW w:w="994" w:type="dxa"/>
            <w:tcBorders>
              <w:top w:val="nil" w:sz="6" w:space="0" w:color="auto"/>
              <w:left w:val="single" w:sz="4" w:space="0" w:color="000000"/>
              <w:bottom w:val="single" w:sz="4" w:space="0" w:color="000000"/>
              <w:right w:val="single" w:sz="4" w:space="0" w:color="000000"/>
            </w:tcBorders>
          </w:tcPr>
          <w:p>
            <w:pPr/>
          </w:p>
        </w:tc>
        <w:tc>
          <w:tcPr>
            <w:tcW w:w="991" w:type="dxa"/>
            <w:tcBorders>
              <w:top w:val="nil" w:sz="6" w:space="0" w:color="auto"/>
              <w:left w:val="single" w:sz="4" w:space="0" w:color="000000"/>
              <w:bottom w:val="single" w:sz="4" w:space="0" w:color="000000"/>
              <w:right w:val="single" w:sz="4" w:space="0" w:color="000000"/>
            </w:tcBorders>
          </w:tcPr>
          <w:p>
            <w:pPr/>
          </w:p>
        </w:tc>
        <w:tc>
          <w:tcPr>
            <w:tcW w:w="77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履行完毕</w:t>
            </w:r>
          </w:p>
        </w:tc>
      </w:tr>
      <w:tr>
        <w:trPr>
          <w:trHeight w:val="402" w:hRule="exact"/>
        </w:trPr>
        <w:tc>
          <w:tcPr>
            <w:tcW w:w="17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承诺是否按时履行</w:t>
            </w:r>
          </w:p>
        </w:tc>
        <w:tc>
          <w:tcPr>
            <w:tcW w:w="7867"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57" w:hRule="exact"/>
        </w:trPr>
        <w:tc>
          <w:tcPr>
            <w:tcW w:w="170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如承诺超期未履行完</w:t>
            </w:r>
          </w:p>
        </w:tc>
        <w:tc>
          <w:tcPr>
            <w:tcW w:w="7867" w:type="dxa"/>
            <w:gridSpan w:val="6"/>
            <w:tcBorders>
              <w:top w:val="single" w:sz="4" w:space="0" w:color="000000"/>
              <w:left w:val="single" w:sz="4" w:space="0" w:color="000000"/>
              <w:bottom w:val="nil" w:sz="6" w:space="0" w:color="auto"/>
              <w:right w:val="single" w:sz="4" w:space="0" w:color="000000"/>
            </w:tcBorders>
          </w:tcPr>
          <w:p>
            <w:pPr/>
          </w:p>
        </w:tc>
      </w:tr>
      <w:tr>
        <w:trPr>
          <w:trHeight w:val="311"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毕的，应当详细说明</w:t>
            </w:r>
          </w:p>
        </w:tc>
        <w:tc>
          <w:tcPr>
            <w:tcW w:w="7867" w:type="dxa"/>
            <w:gridSpan w:val="6"/>
            <w:tcBorders>
              <w:top w:val="nil" w:sz="6" w:space="0" w:color="auto"/>
              <w:left w:val="single" w:sz="4" w:space="0" w:color="000000"/>
              <w:bottom w:val="nil" w:sz="6" w:space="0" w:color="auto"/>
              <w:right w:val="single" w:sz="4" w:space="0" w:color="000000"/>
            </w:tcBorders>
          </w:tcPr>
          <w:p>
            <w:pPr/>
          </w:p>
        </w:tc>
      </w:tr>
      <w:tr>
        <w:trPr>
          <w:trHeight w:val="313"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未完成履行的具体原</w:t>
            </w:r>
          </w:p>
        </w:tc>
        <w:tc>
          <w:tcPr>
            <w:tcW w:w="7867" w:type="dxa"/>
            <w:gridSpan w:val="6"/>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312" w:hRule="exact"/>
        </w:trPr>
        <w:tc>
          <w:tcPr>
            <w:tcW w:w="170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因及下一步的工作计</w:t>
            </w:r>
          </w:p>
        </w:tc>
        <w:tc>
          <w:tcPr>
            <w:tcW w:w="7867" w:type="dxa"/>
            <w:gridSpan w:val="6"/>
            <w:tcBorders>
              <w:top w:val="nil" w:sz="6" w:space="0" w:color="auto"/>
              <w:left w:val="single" w:sz="4" w:space="0" w:color="000000"/>
              <w:bottom w:val="nil" w:sz="6" w:space="0" w:color="auto"/>
              <w:right w:val="single" w:sz="4" w:space="0" w:color="000000"/>
            </w:tcBorders>
          </w:tcPr>
          <w:p>
            <w:pPr/>
          </w:p>
        </w:tc>
      </w:tr>
      <w:tr>
        <w:trPr>
          <w:trHeight w:val="357" w:hRule="exact"/>
        </w:trPr>
        <w:tc>
          <w:tcPr>
            <w:tcW w:w="170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划</w:t>
            </w:r>
          </w:p>
        </w:tc>
        <w:tc>
          <w:tcPr>
            <w:tcW w:w="7867" w:type="dxa"/>
            <w:gridSpan w:val="6"/>
            <w:tcBorders>
              <w:top w:val="nil" w:sz="6" w:space="0" w:color="auto"/>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59" w:lineRule="auto" w:before="35"/>
        <w:ind w:right="0"/>
        <w:jc w:val="left"/>
        <w:rPr>
          <w:b w:val="0"/>
          <w:bCs w:val="0"/>
        </w:rPr>
      </w:pPr>
      <w:r>
        <w:rPr>
          <w:rFonts w:ascii="Arial" w:hAnsi="Arial" w:cs="Arial" w:eastAsia="Arial" w:hint="default"/>
        </w:rPr>
        <w:t>2</w:t>
      </w:r>
      <w:r>
        <w:rPr/>
        <w:t>、公司资产或项目存在盈利预测，且报告期仍处在盈利预测期间，公司就资产或项目达到原盈利预测及</w:t>
      </w:r>
      <w:r>
        <w:rPr>
          <w:spacing w:val="-83"/>
        </w:rPr>
        <w:t> </w:t>
      </w:r>
      <w:r>
        <w:rPr>
          <w:spacing w:val="-83"/>
        </w:rPr>
      </w:r>
      <w:r>
        <w:rPr/>
        <w:t>其原因做出说明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2239"/>
        <w:jc w:val="left"/>
        <w:rPr>
          <w:b w:val="0"/>
          <w:bCs w:val="0"/>
        </w:rPr>
      </w:pPr>
      <w:r>
        <w:rPr/>
        <w:t>四、控股股东及其关联方对上市公司的非经营性占用资金情况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499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公司报告期不存在控股股东及其关联方对上市公司的非经营性占用资金。</w:t>
      </w:r>
    </w:p>
    <w:p>
      <w:pPr>
        <w:spacing w:line="240" w:lineRule="auto" w:before="3"/>
        <w:rPr>
          <w:rFonts w:ascii="宋体" w:hAnsi="宋体" w:cs="宋体" w:eastAsia="宋体" w:hint="default"/>
          <w:sz w:val="19"/>
          <w:szCs w:val="19"/>
        </w:rPr>
      </w:pPr>
    </w:p>
    <w:p>
      <w:pPr>
        <w:pStyle w:val="Heading2"/>
        <w:spacing w:line="240" w:lineRule="auto"/>
        <w:ind w:right="0"/>
        <w:jc w:val="left"/>
        <w:rPr>
          <w:b w:val="0"/>
          <w:bCs w:val="0"/>
        </w:rPr>
      </w:pPr>
      <w:r>
        <w:rPr/>
        <w:t>五、董事会、监事会、独立董事（如有）对会计师事务所本报告期</w:t>
      </w:r>
      <w:r>
        <w:rPr>
          <w:rFonts w:ascii="Arial" w:hAnsi="Arial" w:cs="Arial" w:eastAsia="Arial" w:hint="default"/>
        </w:rPr>
        <w:t>“</w:t>
      </w:r>
      <w:r>
        <w:rPr/>
        <w:t>非标准审计报告</w:t>
      </w:r>
      <w:r>
        <w:rPr>
          <w:rFonts w:ascii="Arial" w:hAnsi="Arial" w:cs="Arial" w:eastAsia="Arial" w:hint="default"/>
        </w:rPr>
        <w:t>”</w:t>
      </w:r>
      <w:r>
        <w:rPr/>
        <w:t>的说明</w:t>
      </w:r>
      <w:r>
        <w:rPr>
          <w:b w:val="0"/>
          <w:bCs w:val="0"/>
        </w:rPr>
      </w:r>
    </w:p>
    <w:p>
      <w:pPr>
        <w:spacing w:line="240" w:lineRule="auto" w:before="5"/>
        <w:rPr>
          <w:rFonts w:ascii="宋体" w:hAnsi="宋体" w:cs="宋体" w:eastAsia="宋体" w:hint="default"/>
          <w:b/>
          <w:bCs/>
          <w:sz w:val="25"/>
          <w:szCs w:val="25"/>
        </w:rPr>
      </w:pPr>
    </w:p>
    <w:p>
      <w:pPr>
        <w:pStyle w:val="BodyText"/>
        <w:spacing w:line="240" w:lineRule="auto"/>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after="0" w:line="240" w:lineRule="auto"/>
        <w:jc w:val="left"/>
        <w:sectPr>
          <w:pgSz w:w="11910" w:h="16840"/>
          <w:pgMar w:header="747" w:footer="982" w:top="1060" w:bottom="1180" w:left="980" w:right="0"/>
        </w:sectPr>
      </w:pPr>
    </w:p>
    <w:p>
      <w:pPr>
        <w:spacing w:line="240" w:lineRule="auto" w:before="8"/>
        <w:rPr>
          <w:rFonts w:ascii="宋体" w:hAnsi="宋体" w:cs="宋体" w:eastAsia="宋体" w:hint="default"/>
          <w:sz w:val="23"/>
          <w:szCs w:val="23"/>
        </w:rPr>
      </w:pPr>
    </w:p>
    <w:p>
      <w:pPr>
        <w:pStyle w:val="Heading2"/>
        <w:spacing w:line="240" w:lineRule="auto" w:before="26"/>
        <w:ind w:left="294" w:right="1036"/>
        <w:jc w:val="left"/>
        <w:rPr>
          <w:b w:val="0"/>
          <w:bCs w:val="0"/>
        </w:rPr>
      </w:pPr>
      <w:r>
        <w:rPr/>
        <w:t>六、与上年度财务报告相比，会计政策、会计估计和核算方法发生变化的情况说明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350" w:lineRule="auto"/>
        <w:ind w:left="294" w:right="823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重要会计政策、会计估计的变更 </w:t>
      </w:r>
      <w:r>
        <w:rPr>
          <w:rFonts w:ascii="Arial" w:hAnsi="Arial" w:cs="Arial" w:eastAsia="Arial" w:hint="default"/>
        </w:rPr>
        <w:t>1</w:t>
      </w:r>
      <w:r>
        <w:rPr/>
        <w:t>、重要会计政策变更</w:t>
      </w:r>
    </w:p>
    <w:p>
      <w:pPr>
        <w:pStyle w:val="BodyText"/>
        <w:spacing w:line="240" w:lineRule="auto" w:before="10"/>
        <w:ind w:left="564" w:right="1036"/>
        <w:jc w:val="left"/>
      </w:pPr>
      <w:r>
        <w:rPr/>
        <w:t>①新金融工具准则</w:t>
      </w:r>
    </w:p>
    <w:p>
      <w:pPr>
        <w:pStyle w:val="BodyText"/>
        <w:spacing w:line="240" w:lineRule="auto" w:before="115"/>
        <w:ind w:left="564" w:right="1036"/>
        <w:jc w:val="left"/>
      </w:pPr>
      <w:r>
        <w:rPr/>
        <w:t>财政部于</w:t>
      </w:r>
      <w:r>
        <w:rPr>
          <w:spacing w:val="-46"/>
        </w:rPr>
        <w:t> </w:t>
      </w:r>
      <w:r>
        <w:rPr>
          <w:rFonts w:ascii="Arial" w:hAnsi="Arial" w:cs="Arial" w:eastAsia="Arial" w:hint="default"/>
          <w:spacing w:val="-1"/>
        </w:rPr>
        <w:t>2</w:t>
      </w:r>
      <w:r>
        <w:rPr>
          <w:rFonts w:ascii="Arial" w:hAnsi="Arial" w:cs="Arial" w:eastAsia="Arial" w:hint="default"/>
        </w:rPr>
        <w:t>017</w:t>
      </w:r>
      <w:r>
        <w:rPr>
          <w:rFonts w:ascii="Arial" w:hAnsi="Arial" w:cs="Arial" w:eastAsia="Arial" w:hint="default"/>
          <w:spacing w:val="-5"/>
        </w:rPr>
        <w:t> </w:t>
      </w:r>
      <w:r>
        <w:rPr/>
        <w:t>年颁布</w:t>
      </w:r>
      <w:r>
        <w:rPr>
          <w:spacing w:val="-24"/>
        </w:rPr>
        <w:t>了</w:t>
      </w:r>
      <w:r>
        <w:rPr/>
        <w:t>《企业会计准则第</w:t>
      </w:r>
      <w:r>
        <w:rPr>
          <w:spacing w:val="-46"/>
        </w:rPr>
        <w:t> </w:t>
      </w:r>
      <w:r>
        <w:rPr>
          <w:rFonts w:ascii="Arial" w:hAnsi="Arial" w:cs="Arial" w:eastAsia="Arial" w:hint="default"/>
        </w:rPr>
        <w:t>22</w:t>
      </w:r>
      <w:r>
        <w:rPr>
          <w:rFonts w:ascii="Arial" w:hAnsi="Arial" w:cs="Arial" w:eastAsia="Arial" w:hint="default"/>
          <w:spacing w:val="-7"/>
        </w:rPr>
        <w:t> </w:t>
      </w:r>
      <w:r>
        <w:rPr/>
        <w:t>号</w:t>
      </w:r>
      <w:r>
        <w:rPr>
          <w:rFonts w:ascii="Arial" w:hAnsi="Arial" w:cs="Arial" w:eastAsia="Arial" w:hint="default"/>
        </w:rPr>
        <w:t>——</w:t>
      </w:r>
      <w:r>
        <w:rPr/>
        <w:t>金融</w:t>
      </w:r>
      <w:r>
        <w:rPr>
          <w:spacing w:val="1"/>
        </w:rPr>
        <w:t>工</w:t>
      </w:r>
      <w:r>
        <w:rPr/>
        <w:t>具确认和计</w:t>
      </w:r>
      <w:r>
        <w:rPr>
          <w:spacing w:val="-24"/>
        </w:rPr>
        <w:t>量</w:t>
      </w:r>
      <w:r>
        <w:rPr/>
        <w:t>（修订</w:t>
      </w:r>
      <w:r>
        <w:rPr>
          <w:spacing w:val="-90"/>
        </w:rPr>
        <w:t>）》</w:t>
      </w:r>
      <w:r>
        <w:rPr>
          <w:spacing w:val="-114"/>
        </w:rPr>
        <w:t>、</w:t>
      </w:r>
      <w:r>
        <w:rPr/>
        <w:t>《</w:t>
      </w:r>
      <w:r>
        <w:rPr>
          <w:spacing w:val="-2"/>
        </w:rPr>
        <w:t>企</w:t>
      </w:r>
      <w:r>
        <w:rPr/>
        <w:t>业会计准则第</w:t>
      </w:r>
      <w:r>
        <w:rPr>
          <w:spacing w:val="-46"/>
        </w:rPr>
        <w:t> </w:t>
      </w:r>
      <w:r>
        <w:rPr>
          <w:rFonts w:ascii="Arial" w:hAnsi="Arial" w:cs="Arial" w:eastAsia="Arial" w:hint="default"/>
        </w:rPr>
        <w:t>23</w:t>
      </w:r>
      <w:r>
        <w:rPr>
          <w:rFonts w:ascii="Arial" w:hAnsi="Arial" w:cs="Arial" w:eastAsia="Arial" w:hint="default"/>
          <w:spacing w:val="-7"/>
        </w:rPr>
        <w:t> </w:t>
      </w:r>
      <w:r>
        <w:rPr/>
        <w:t>号</w:t>
      </w:r>
      <w:r>
        <w:rPr>
          <w:rFonts w:ascii="Arial" w:hAnsi="Arial" w:cs="Arial" w:eastAsia="Arial" w:hint="default"/>
        </w:rPr>
        <w:t>——</w:t>
      </w:r>
      <w:r>
        <w:rPr/>
        <w:t>金融资</w:t>
      </w:r>
    </w:p>
    <w:p>
      <w:pPr>
        <w:pStyle w:val="BodyText"/>
        <w:spacing w:line="240" w:lineRule="auto" w:before="63"/>
        <w:ind w:left="294" w:right="1036"/>
        <w:jc w:val="left"/>
      </w:pPr>
      <w:r>
        <w:rPr/>
        <w:t>产转</w:t>
      </w:r>
      <w:r>
        <w:rPr>
          <w:spacing w:val="-18"/>
        </w:rPr>
        <w:t>移</w:t>
      </w:r>
      <w:r>
        <w:rPr/>
        <w:t>（修订</w:t>
      </w:r>
      <w:r>
        <w:rPr>
          <w:spacing w:val="-90"/>
        </w:rPr>
        <w:t>）》</w:t>
      </w:r>
      <w:r>
        <w:rPr>
          <w:spacing w:val="-108"/>
        </w:rPr>
        <w:t>、</w:t>
      </w:r>
      <w:r>
        <w:rPr/>
        <w:t>《企业会计准则第</w:t>
      </w:r>
      <w:r>
        <w:rPr>
          <w:spacing w:val="-46"/>
        </w:rPr>
        <w:t> </w:t>
      </w:r>
      <w:r>
        <w:rPr>
          <w:rFonts w:ascii="Arial" w:hAnsi="Arial" w:cs="Arial" w:eastAsia="Arial" w:hint="default"/>
        </w:rPr>
        <w:t>24</w:t>
      </w:r>
      <w:r>
        <w:rPr>
          <w:rFonts w:ascii="Arial" w:hAnsi="Arial" w:cs="Arial" w:eastAsia="Arial" w:hint="default"/>
          <w:spacing w:val="-7"/>
        </w:rPr>
        <w:t> </w:t>
      </w:r>
      <w:r>
        <w:rPr/>
        <w:t>号</w:t>
      </w:r>
      <w:r>
        <w:rPr>
          <w:rFonts w:ascii="Arial" w:hAnsi="Arial" w:cs="Arial" w:eastAsia="Arial" w:hint="default"/>
          <w:spacing w:val="1"/>
        </w:rPr>
        <w:t>—</w:t>
      </w:r>
      <w:r>
        <w:rPr>
          <w:rFonts w:ascii="Arial" w:hAnsi="Arial" w:cs="Arial" w:eastAsia="Arial" w:hint="default"/>
        </w:rPr>
        <w:t>—</w:t>
      </w:r>
      <w:r>
        <w:rPr/>
        <w:t>套期会</w:t>
      </w:r>
      <w:r>
        <w:rPr>
          <w:spacing w:val="-18"/>
        </w:rPr>
        <w:t>计</w:t>
      </w:r>
      <w:r>
        <w:rPr/>
        <w:t>（修订</w:t>
      </w:r>
      <w:r>
        <w:rPr>
          <w:spacing w:val="-90"/>
        </w:rPr>
        <w:t>）</w:t>
      </w:r>
      <w:r>
        <w:rPr>
          <w:spacing w:val="-18"/>
        </w:rPr>
        <w:t>》及</w:t>
      </w:r>
      <w:r>
        <w:rPr/>
        <w:t>《</w:t>
      </w:r>
      <w:r>
        <w:rPr>
          <w:spacing w:val="1"/>
        </w:rPr>
        <w:t>企</w:t>
      </w:r>
      <w:r>
        <w:rPr/>
        <w:t>业会计准则第</w:t>
      </w:r>
      <w:r>
        <w:rPr>
          <w:spacing w:val="-46"/>
        </w:rPr>
        <w:t> </w:t>
      </w:r>
      <w:r>
        <w:rPr>
          <w:rFonts w:ascii="Arial" w:hAnsi="Arial" w:cs="Arial" w:eastAsia="Arial" w:hint="default"/>
        </w:rPr>
        <w:t>37</w:t>
      </w:r>
      <w:r>
        <w:rPr>
          <w:rFonts w:ascii="Arial" w:hAnsi="Arial" w:cs="Arial" w:eastAsia="Arial" w:hint="default"/>
          <w:spacing w:val="-7"/>
        </w:rPr>
        <w:t> </w:t>
      </w:r>
      <w:r>
        <w:rPr/>
        <w:t>号</w:t>
      </w:r>
      <w:r>
        <w:rPr>
          <w:rFonts w:ascii="Arial" w:hAnsi="Arial" w:cs="Arial" w:eastAsia="Arial" w:hint="default"/>
        </w:rPr>
        <w:t>——</w:t>
      </w:r>
      <w:r>
        <w:rPr/>
        <w:t>金融</w:t>
      </w:r>
      <w:r>
        <w:rPr>
          <w:spacing w:val="1"/>
        </w:rPr>
        <w:t>工</w:t>
      </w:r>
      <w:r>
        <w:rPr/>
        <w:t>具列</w:t>
      </w:r>
      <w:r>
        <w:rPr>
          <w:spacing w:val="-18"/>
        </w:rPr>
        <w:t>报</w:t>
      </w:r>
      <w:r>
        <w:rPr/>
        <w:t>（修订</w:t>
      </w:r>
      <w:r>
        <w:rPr>
          <w:spacing w:val="-90"/>
        </w:rPr>
        <w:t>）</w:t>
      </w:r>
      <w:r>
        <w:rPr>
          <w:spacing w:val="-108"/>
        </w:rPr>
        <w:t>》</w:t>
      </w:r>
      <w:r>
        <w:rPr>
          <w:spacing w:val="1"/>
        </w:rPr>
        <w:t>（以</w:t>
      </w:r>
      <w:r>
        <w:rPr/>
      </w:r>
    </w:p>
    <w:p>
      <w:pPr>
        <w:pStyle w:val="BodyText"/>
        <w:spacing w:line="302" w:lineRule="auto" w:before="63"/>
        <w:ind w:left="294" w:right="1155"/>
        <w:jc w:val="left"/>
      </w:pPr>
      <w:r>
        <w:rPr>
          <w:spacing w:val="-5"/>
        </w:rPr>
        <w:t>下统称</w:t>
      </w:r>
      <w:r>
        <w:rPr>
          <w:rFonts w:ascii="Arial" w:hAnsi="Arial" w:cs="Arial" w:eastAsia="Arial" w:hint="default"/>
          <w:spacing w:val="-5"/>
        </w:rPr>
        <w:t>“</w:t>
      </w:r>
      <w:r>
        <w:rPr>
          <w:spacing w:val="-5"/>
        </w:rPr>
        <w:t>新金融工具准则</w:t>
      </w:r>
      <w:r>
        <w:rPr>
          <w:rFonts w:ascii="Arial" w:hAnsi="Arial" w:cs="Arial" w:eastAsia="Arial" w:hint="default"/>
          <w:spacing w:val="-5"/>
        </w:rPr>
        <w:t>”</w:t>
      </w:r>
      <w:r>
        <w:rPr>
          <w:spacing w:val="-5"/>
        </w:rPr>
        <w:t>），本公司于</w:t>
      </w:r>
      <w:r>
        <w:rPr>
          <w:spacing w:val="-46"/>
        </w:rPr>
        <w:t> </w:t>
      </w:r>
      <w:r>
        <w:rPr>
          <w:rFonts w:ascii="Arial" w:hAnsi="Arial" w:cs="Arial" w:eastAsia="Arial" w:hint="default"/>
          <w:spacing w:val="-1"/>
        </w:rPr>
        <w:t>2019</w:t>
      </w:r>
      <w:r>
        <w:rPr>
          <w:rFonts w:ascii="Arial" w:hAnsi="Arial" w:cs="Arial" w:eastAsia="Arial" w:hint="default"/>
          <w:spacing w:val="-5"/>
        </w:rPr>
        <w:t> </w:t>
      </w:r>
      <w:r>
        <w:rPr/>
        <w:t>年</w:t>
      </w:r>
      <w:r>
        <w:rPr>
          <w:spacing w:val="-46"/>
        </w:rPr>
        <w:t> </w:t>
      </w:r>
      <w:r>
        <w:rPr>
          <w:rFonts w:ascii="Arial" w:hAnsi="Arial" w:cs="Arial" w:eastAsia="Arial" w:hint="default"/>
        </w:rPr>
        <w:t>8</w:t>
      </w:r>
      <w:r>
        <w:rPr>
          <w:rFonts w:ascii="Arial" w:hAnsi="Arial" w:cs="Arial" w:eastAsia="Arial" w:hint="default"/>
          <w:spacing w:val="-5"/>
        </w:rPr>
        <w:t> </w:t>
      </w:r>
      <w:r>
        <w:rPr/>
        <w:t>月</w:t>
      </w:r>
      <w:r>
        <w:rPr>
          <w:spacing w:val="-46"/>
        </w:rPr>
        <w:t> </w:t>
      </w:r>
      <w:r>
        <w:rPr>
          <w:rFonts w:ascii="Arial" w:hAnsi="Arial" w:cs="Arial" w:eastAsia="Arial" w:hint="default"/>
        </w:rPr>
        <w:t>22</w:t>
      </w:r>
      <w:r>
        <w:rPr>
          <w:rFonts w:ascii="Arial" w:hAnsi="Arial" w:cs="Arial" w:eastAsia="Arial" w:hint="default"/>
          <w:spacing w:val="-7"/>
        </w:rPr>
        <w:t> </w:t>
      </w:r>
      <w:r>
        <w:rPr/>
        <w:t>日召开的第四届董事会第十八次会议，批准自</w:t>
      </w:r>
      <w:r>
        <w:rPr>
          <w:spacing w:val="-46"/>
        </w:rPr>
        <w:t> </w:t>
      </w:r>
      <w:r>
        <w:rPr>
          <w:rFonts w:ascii="Arial" w:hAnsi="Arial" w:cs="Arial" w:eastAsia="Arial" w:hint="default"/>
          <w:spacing w:val="-1"/>
        </w:rPr>
        <w:t>2019</w:t>
      </w:r>
      <w:r>
        <w:rPr>
          <w:rFonts w:ascii="Arial" w:hAnsi="Arial" w:cs="Arial" w:eastAsia="Arial" w:hint="default"/>
          <w:spacing w:val="-7"/>
        </w:rPr>
        <w:t> </w:t>
      </w:r>
      <w:r>
        <w:rPr/>
        <w:t>年</w:t>
      </w:r>
      <w:r>
        <w:rPr>
          <w:spacing w:val="-45"/>
        </w:rPr>
        <w:t> </w:t>
      </w:r>
      <w:r>
        <w:rPr>
          <w:rFonts w:ascii="Arial" w:hAnsi="Arial" w:cs="Arial" w:eastAsia="Arial" w:hint="default"/>
        </w:rPr>
        <w:t>1</w:t>
      </w:r>
      <w:r>
        <w:rPr>
          <w:rFonts w:ascii="Arial" w:hAnsi="Arial" w:cs="Arial" w:eastAsia="Arial" w:hint="default"/>
          <w:spacing w:val="-5"/>
        </w:rPr>
        <w:t> </w:t>
      </w:r>
      <w:r>
        <w:rPr/>
        <w:t>月</w:t>
      </w:r>
      <w:r>
        <w:rPr>
          <w:spacing w:val="-45"/>
        </w:rPr>
        <w:t> </w:t>
      </w:r>
      <w:r>
        <w:rPr>
          <w:rFonts w:ascii="Arial" w:hAnsi="Arial" w:cs="Arial" w:eastAsia="Arial" w:hint="default"/>
        </w:rPr>
        <w:t>1</w:t>
      </w:r>
      <w:r>
        <w:rPr>
          <w:rFonts w:ascii="Arial" w:hAnsi="Arial" w:cs="Arial" w:eastAsia="Arial" w:hint="default"/>
          <w:spacing w:val="-5"/>
        </w:rPr>
        <w:t> </w:t>
      </w:r>
      <w:r>
        <w:rPr/>
        <w:t>日起执 行新金融工具准则，对会计政策相关内容进行了调整。变更后的会计政策参见附注三、</w:t>
      </w:r>
      <w:r>
        <w:rPr>
          <w:rFonts w:ascii="Arial" w:hAnsi="Arial" w:cs="Arial" w:eastAsia="Arial" w:hint="default"/>
        </w:rPr>
        <w:t>9</w:t>
      </w:r>
      <w:r>
        <w:rPr/>
        <w:t>。</w:t>
      </w:r>
    </w:p>
    <w:p>
      <w:pPr>
        <w:pStyle w:val="BodyText"/>
        <w:spacing w:line="307" w:lineRule="auto" w:before="51"/>
        <w:ind w:left="294" w:right="1036" w:firstLine="360"/>
        <w:jc w:val="left"/>
      </w:pPr>
      <w:r>
        <w:rPr>
          <w:spacing w:val="-2"/>
        </w:rPr>
        <w:t>新金融工具准则要求根据管理金融资产的业务模式和金融资产的合同现金流量特征，将金融资产划分为以下三类：（</w:t>
      </w:r>
      <w:r>
        <w:rPr>
          <w:rFonts w:ascii="Arial" w:hAnsi="Arial" w:cs="Arial" w:eastAsia="Arial" w:hint="default"/>
          <w:spacing w:val="-2"/>
        </w:rPr>
        <w:t>1</w:t>
      </w:r>
      <w:r>
        <w:rPr>
          <w:spacing w:val="-2"/>
        </w:rPr>
        <w:t>）</w:t>
      </w:r>
      <w:r>
        <w:rPr/>
        <w:t> </w:t>
      </w:r>
      <w:r>
        <w:rPr>
          <w:spacing w:val="-4"/>
        </w:rPr>
        <w:t>以摊余成本计量的金融资产；（</w:t>
      </w:r>
      <w:r>
        <w:rPr>
          <w:rFonts w:ascii="Arial" w:hAnsi="Arial" w:cs="Arial" w:eastAsia="Arial" w:hint="default"/>
          <w:spacing w:val="-4"/>
        </w:rPr>
        <w:t>2</w:t>
      </w:r>
      <w:r>
        <w:rPr>
          <w:spacing w:val="-4"/>
        </w:rPr>
        <w:t>）以公允价值计量且其变动计入其他综合收益的金融资产；（</w:t>
      </w:r>
      <w:r>
        <w:rPr>
          <w:rFonts w:ascii="Arial" w:hAnsi="Arial" w:cs="Arial" w:eastAsia="Arial" w:hint="default"/>
          <w:spacing w:val="-4"/>
        </w:rPr>
        <w:t>3</w:t>
      </w:r>
      <w:r>
        <w:rPr>
          <w:spacing w:val="-4"/>
        </w:rPr>
        <w:t>）以公允价值计量且其变动</w:t>
      </w:r>
      <w:r>
        <w:rPr>
          <w:spacing w:val="-52"/>
        </w:rPr>
        <w:t> </w:t>
      </w:r>
      <w:r>
        <w:rPr>
          <w:spacing w:val="-2"/>
        </w:rPr>
        <w:t>计入当期损益的金融资产。混合合同包含的主合同属于金融资产的，不应从该混合合同中分拆嵌入衍生工具，而应当将该混</w:t>
      </w:r>
      <w:r>
        <w:rPr>
          <w:spacing w:val="-66"/>
        </w:rPr>
        <w:t> </w:t>
      </w:r>
      <w:r>
        <w:rPr>
          <w:spacing w:val="-66"/>
        </w:rPr>
      </w:r>
      <w:r>
        <w:rPr/>
        <w:t>合合同作为一个整体适用金融资产分类的相关规定。</w:t>
      </w:r>
    </w:p>
    <w:p>
      <w:pPr>
        <w:pStyle w:val="BodyText"/>
        <w:spacing w:line="240" w:lineRule="auto" w:before="65"/>
        <w:ind w:left="654" w:right="1036"/>
        <w:jc w:val="left"/>
      </w:pPr>
      <w:r>
        <w:rPr/>
        <w:t>除财务担保合同负债外，采用新金融工具准则对本集团金融负债的会计政策并无重大影响。</w:t>
      </w:r>
    </w:p>
    <w:p>
      <w:pPr>
        <w:pStyle w:val="BodyText"/>
        <w:spacing w:line="302" w:lineRule="auto" w:before="115"/>
        <w:ind w:left="293" w:right="1117" w:firstLine="360"/>
        <w:jc w:val="left"/>
      </w:pPr>
      <w:r>
        <w:rPr>
          <w:rFonts w:ascii="Arial" w:hAnsi="Arial" w:cs="Arial" w:eastAsia="Arial" w:hint="default"/>
        </w:rPr>
        <w:t>2019</w:t>
      </w:r>
      <w:r>
        <w:rPr>
          <w:rFonts w:ascii="Arial" w:hAnsi="Arial" w:cs="Arial" w:eastAsia="Arial" w:hint="default"/>
          <w:spacing w:val="-7"/>
        </w:rPr>
        <w:t> </w:t>
      </w:r>
      <w:r>
        <w:rPr/>
        <w:t>年</w:t>
      </w:r>
      <w:r>
        <w:rPr>
          <w:spacing w:val="-47"/>
        </w:rPr>
        <w:t> </w:t>
      </w:r>
      <w:r>
        <w:rPr>
          <w:rFonts w:ascii="Arial" w:hAnsi="Arial" w:cs="Arial" w:eastAsia="Arial" w:hint="default"/>
        </w:rPr>
        <w:t>1</w:t>
      </w:r>
      <w:r>
        <w:rPr>
          <w:rFonts w:ascii="Arial" w:hAnsi="Arial" w:cs="Arial" w:eastAsia="Arial" w:hint="default"/>
          <w:spacing w:val="-9"/>
        </w:rPr>
        <w:t> </w:t>
      </w:r>
      <w:r>
        <w:rPr/>
        <w:t>月</w:t>
      </w:r>
      <w:r>
        <w:rPr>
          <w:spacing w:val="-47"/>
        </w:rPr>
        <w:t> </w:t>
      </w:r>
      <w:r>
        <w:rPr>
          <w:rFonts w:ascii="Arial" w:hAnsi="Arial" w:cs="Arial" w:eastAsia="Arial" w:hint="default"/>
        </w:rPr>
        <w:t>1</w:t>
      </w:r>
      <w:r>
        <w:rPr>
          <w:rFonts w:ascii="Arial" w:hAnsi="Arial" w:cs="Arial" w:eastAsia="Arial" w:hint="default"/>
          <w:spacing w:val="-7"/>
        </w:rPr>
        <w:t> </w:t>
      </w:r>
      <w:r>
        <w:rPr/>
        <w:t>日，本集团没有将任何金融资产或金融负债指定为以公允价值计量且其变动计入当期损益的金融资产或 金融负债，也没有撤销之前的指定。</w:t>
      </w:r>
    </w:p>
    <w:p>
      <w:pPr>
        <w:pStyle w:val="BodyText"/>
        <w:spacing w:line="302" w:lineRule="auto" w:before="69"/>
        <w:ind w:left="293" w:right="1130" w:firstLine="360"/>
        <w:jc w:val="both"/>
      </w:pPr>
      <w:r>
        <w:rPr>
          <w:spacing w:val="-2"/>
        </w:rPr>
        <w:t>新金融工具准则以</w:t>
      </w:r>
      <w:r>
        <w:rPr>
          <w:rFonts w:ascii="Arial" w:hAnsi="Arial" w:cs="Arial" w:eastAsia="Arial" w:hint="default"/>
          <w:spacing w:val="-2"/>
        </w:rPr>
        <w:t>“</w:t>
      </w:r>
      <w:r>
        <w:rPr>
          <w:spacing w:val="-2"/>
        </w:rPr>
        <w:t>预期信用损失法</w:t>
      </w:r>
      <w:r>
        <w:rPr>
          <w:rFonts w:ascii="Arial" w:hAnsi="Arial" w:cs="Arial" w:eastAsia="Arial" w:hint="default"/>
          <w:spacing w:val="-2"/>
        </w:rPr>
        <w:t>”</w:t>
      </w:r>
      <w:r>
        <w:rPr>
          <w:spacing w:val="-2"/>
        </w:rPr>
        <w:t>替代了原金融工具准则规定的、根据实际已发生减值损失确认减值准备的方法。</w:t>
      </w:r>
      <w:r>
        <w:rPr>
          <w:rFonts w:ascii="Arial" w:hAnsi="Arial" w:cs="Arial" w:eastAsia="Arial" w:hint="default"/>
          <w:spacing w:val="-2"/>
        </w:rPr>
        <w:t>“</w:t>
      </w:r>
      <w:r>
        <w:rPr>
          <w:spacing w:val="-2"/>
        </w:rPr>
        <w:t>预</w:t>
      </w:r>
      <w:r>
        <w:rPr/>
        <w:t> 期信用损失法</w:t>
      </w:r>
      <w:r>
        <w:rPr>
          <w:rFonts w:ascii="Arial" w:hAnsi="Arial" w:cs="Arial" w:eastAsia="Arial" w:hint="default"/>
        </w:rPr>
        <w:t>”</w:t>
      </w:r>
      <w:r>
        <w:rPr/>
        <w:t>模型要求持续评估金融资产的信用风险，因此在新金融工具准则下，本集团信用损失的确认时点早于原金融 工具准则。</w:t>
      </w:r>
    </w:p>
    <w:p>
      <w:pPr>
        <w:pStyle w:val="BodyText"/>
        <w:spacing w:line="240" w:lineRule="auto" w:before="69"/>
        <w:ind w:left="654" w:right="1036"/>
        <w:jc w:val="left"/>
      </w:pPr>
      <w:r>
        <w:rPr/>
        <w:t>本集团以预期信用损失为基础，对下列项目进行减值会计处理并确认损失准备：</w:t>
      </w:r>
    </w:p>
    <w:p>
      <w:pPr>
        <w:pStyle w:val="BodyText"/>
        <w:spacing w:line="240" w:lineRule="auto" w:before="116"/>
        <w:ind w:left="653" w:right="1036"/>
        <w:jc w:val="left"/>
      </w:pPr>
      <w:r>
        <w:rPr/>
        <w:t>（</w:t>
      </w:r>
      <w:r>
        <w:rPr>
          <w:rFonts w:ascii="Arial" w:hAnsi="Arial" w:cs="Arial" w:eastAsia="Arial" w:hint="default"/>
        </w:rPr>
        <w:t>1</w:t>
      </w:r>
      <w:r>
        <w:rPr/>
        <w:t>）以摊余成本计量的金融资产；</w:t>
      </w:r>
    </w:p>
    <w:p>
      <w:pPr>
        <w:pStyle w:val="BodyText"/>
        <w:spacing w:line="240" w:lineRule="auto" w:before="104"/>
        <w:ind w:left="653" w:right="1036"/>
        <w:jc w:val="left"/>
      </w:pPr>
      <w:r>
        <w:rPr/>
        <w:t>（</w:t>
      </w:r>
      <w:r>
        <w:rPr>
          <w:rFonts w:ascii="Arial" w:hAnsi="Arial" w:cs="Arial" w:eastAsia="Arial" w:hint="default"/>
        </w:rPr>
        <w:t>2</w:t>
      </w:r>
      <w:r>
        <w:rPr/>
        <w:t>）以公允价值计量且其变动计入其他综合收益的应收款项和债权投资；</w:t>
      </w:r>
    </w:p>
    <w:p>
      <w:pPr>
        <w:pStyle w:val="BodyText"/>
        <w:spacing w:line="240" w:lineRule="auto" w:before="103"/>
        <w:ind w:left="653" w:right="1036"/>
        <w:jc w:val="left"/>
      </w:pPr>
      <w:r>
        <w:rPr/>
        <w:t>（</w:t>
      </w:r>
      <w:r>
        <w:rPr>
          <w:rFonts w:ascii="Arial" w:hAnsi="Arial" w:cs="Arial" w:eastAsia="Arial" w:hint="default"/>
        </w:rPr>
        <w:t>3</w:t>
      </w:r>
      <w:r>
        <w:rPr/>
        <w:t>）租赁应收款；</w:t>
      </w:r>
    </w:p>
    <w:p>
      <w:pPr>
        <w:pStyle w:val="BodyText"/>
        <w:spacing w:line="302" w:lineRule="auto" w:before="102"/>
        <w:ind w:left="293" w:right="1111" w:firstLine="360"/>
        <w:jc w:val="left"/>
      </w:pPr>
      <w:r>
        <w:rPr/>
        <w:t>（</w:t>
      </w:r>
      <w:r>
        <w:rPr>
          <w:rFonts w:ascii="Arial" w:hAnsi="Arial" w:cs="Arial" w:eastAsia="Arial" w:hint="default"/>
        </w:rPr>
        <w:t>4</w:t>
      </w:r>
      <w:r>
        <w:rPr/>
        <w:t>）财务担保合同（以公允价值计量且其变动计入当期损益、金融资产转移不符合终止确认条件或继续涉入被转移金 </w:t>
      </w:r>
      <w:r>
        <w:rPr>
          <w:spacing w:val="-9"/>
        </w:rPr>
        <w:t>融资产所形成的除外）。</w:t>
      </w:r>
    </w:p>
    <w:p>
      <w:pPr>
        <w:pStyle w:val="BodyText"/>
        <w:spacing w:line="309" w:lineRule="auto" w:before="69"/>
        <w:ind w:left="293" w:right="1131" w:firstLine="360"/>
        <w:jc w:val="both"/>
      </w:pPr>
      <w:r>
        <w:rPr>
          <w:spacing w:val="-2"/>
        </w:rPr>
        <w:t>本集团按照新金融工具准则的规定，除某些特定情形外，对金融工具的分类和计量（含减值）进行追溯调整，将金融工</w:t>
      </w:r>
      <w:r>
        <w:rPr/>
        <w:t> 具原账面价值和在新金融工具准则施行日（即</w:t>
      </w:r>
      <w:r>
        <w:rPr>
          <w:spacing w:val="-47"/>
        </w:rPr>
        <w:t> </w:t>
      </w:r>
      <w:r>
        <w:rPr>
          <w:rFonts w:ascii="Arial" w:hAnsi="Arial" w:cs="Arial" w:eastAsia="Arial" w:hint="default"/>
        </w:rPr>
        <w:t>2019</w:t>
      </w:r>
      <w:r>
        <w:rPr>
          <w:rFonts w:ascii="Arial" w:hAnsi="Arial" w:cs="Arial" w:eastAsia="Arial" w:hint="default"/>
          <w:spacing w:val="-6"/>
        </w:rPr>
        <w:t> </w:t>
      </w:r>
      <w:r>
        <w:rPr/>
        <w:t>年</w:t>
      </w:r>
      <w:r>
        <w:rPr>
          <w:spacing w:val="-46"/>
        </w:rPr>
        <w:t> </w:t>
      </w:r>
      <w:r>
        <w:rPr>
          <w:rFonts w:ascii="Arial" w:hAnsi="Arial" w:cs="Arial" w:eastAsia="Arial" w:hint="default"/>
        </w:rPr>
        <w:t>1</w:t>
      </w:r>
      <w:r>
        <w:rPr>
          <w:rFonts w:ascii="Arial" w:hAnsi="Arial" w:cs="Arial" w:eastAsia="Arial" w:hint="default"/>
          <w:spacing w:val="-6"/>
        </w:rPr>
        <w:t> </w:t>
      </w:r>
      <w:r>
        <w:rPr/>
        <w:t>月</w:t>
      </w:r>
      <w:r>
        <w:rPr>
          <w:spacing w:val="-47"/>
        </w:rPr>
        <w:t> </w:t>
      </w:r>
      <w:r>
        <w:rPr>
          <w:rFonts w:ascii="Arial" w:hAnsi="Arial" w:cs="Arial" w:eastAsia="Arial" w:hint="default"/>
        </w:rPr>
        <w:t>1</w:t>
      </w:r>
      <w:r>
        <w:rPr>
          <w:rFonts w:ascii="Arial" w:hAnsi="Arial" w:cs="Arial" w:eastAsia="Arial" w:hint="default"/>
          <w:spacing w:val="-8"/>
        </w:rPr>
        <w:t> </w:t>
      </w:r>
      <w:r>
        <w:rPr/>
        <w:t>日）的新账面价值之间的差额计入</w:t>
      </w:r>
      <w:r>
        <w:rPr>
          <w:spacing w:val="-47"/>
        </w:rPr>
        <w:t> </w:t>
      </w:r>
      <w:r>
        <w:rPr>
          <w:rFonts w:ascii="Arial" w:hAnsi="Arial" w:cs="Arial" w:eastAsia="Arial" w:hint="default"/>
        </w:rPr>
        <w:t>2019</w:t>
      </w:r>
      <w:r>
        <w:rPr>
          <w:rFonts w:ascii="Arial" w:hAnsi="Arial" w:cs="Arial" w:eastAsia="Arial" w:hint="default"/>
          <w:spacing w:val="-8"/>
        </w:rPr>
        <w:t> </w:t>
      </w:r>
      <w:r>
        <w:rPr/>
        <w:t>年年初留存收益或其 他综合收益。同时，本集团未对比较财务报表数据进行调整。</w:t>
      </w:r>
    </w:p>
    <w:p>
      <w:pPr>
        <w:pStyle w:val="BodyText"/>
        <w:spacing w:line="240" w:lineRule="auto" w:before="64"/>
        <w:ind w:left="654" w:right="1036"/>
        <w:jc w:val="left"/>
      </w:pPr>
      <w:r>
        <w:rPr/>
        <w:t>于</w:t>
      </w:r>
      <w:r>
        <w:rPr>
          <w:spacing w:val="-46"/>
        </w:rPr>
        <w:t> </w:t>
      </w:r>
      <w:r>
        <w:rPr>
          <w:rFonts w:ascii="Arial" w:hAnsi="Arial" w:cs="Arial" w:eastAsia="Arial" w:hint="default"/>
        </w:rPr>
        <w:t>2019</w:t>
      </w:r>
      <w:r>
        <w:rPr>
          <w:rFonts w:ascii="Arial" w:hAnsi="Arial" w:cs="Arial" w:eastAsia="Arial" w:hint="default"/>
          <w:spacing w:val="-7"/>
        </w:rPr>
        <w:t> </w:t>
      </w:r>
      <w:r>
        <w:rPr/>
        <w:t>年</w:t>
      </w:r>
      <w:r>
        <w:rPr>
          <w:spacing w:val="-45"/>
        </w:rPr>
        <w:t> </w:t>
      </w:r>
      <w:r>
        <w:rPr>
          <w:rFonts w:ascii="Arial" w:hAnsi="Arial" w:cs="Arial" w:eastAsia="Arial" w:hint="default"/>
        </w:rPr>
        <w:t>1</w:t>
      </w:r>
      <w:r>
        <w:rPr>
          <w:rFonts w:ascii="Arial" w:hAnsi="Arial" w:cs="Arial" w:eastAsia="Arial" w:hint="default"/>
          <w:spacing w:val="-5"/>
        </w:rPr>
        <w:t> </w:t>
      </w:r>
      <w:r>
        <w:rPr/>
        <w:t>月</w:t>
      </w:r>
      <w:r>
        <w:rPr>
          <w:spacing w:val="-46"/>
        </w:rPr>
        <w:t> </w:t>
      </w:r>
      <w:r>
        <w:rPr>
          <w:rFonts w:ascii="Arial" w:hAnsi="Arial" w:cs="Arial" w:eastAsia="Arial" w:hint="default"/>
        </w:rPr>
        <w:t>1</w:t>
      </w:r>
      <w:r>
        <w:rPr>
          <w:rFonts w:ascii="Arial" w:hAnsi="Arial" w:cs="Arial" w:eastAsia="Arial" w:hint="default"/>
          <w:spacing w:val="-7"/>
        </w:rPr>
        <w:t> </w:t>
      </w:r>
      <w:r>
        <w:rPr/>
        <w:t>日，金融资产按照原金融工具准则和新金融工具准则的规定进行分类和计量的结果对比如下：</w:t>
      </w:r>
    </w:p>
    <w:p>
      <w:pPr>
        <w:pStyle w:val="BodyText"/>
        <w:spacing w:line="240" w:lineRule="auto" w:before="103"/>
        <w:ind w:left="0" w:right="1129"/>
        <w:jc w:val="right"/>
      </w:pPr>
      <w:r>
        <w:rPr/>
        <w:t>单位：元</w:t>
      </w:r>
    </w:p>
    <w:p>
      <w:pPr>
        <w:spacing w:line="240" w:lineRule="auto" w:before="1"/>
        <w:rPr>
          <w:rFonts w:ascii="宋体" w:hAnsi="宋体" w:cs="宋体" w:eastAsia="宋体" w:hint="default"/>
          <w:sz w:val="8"/>
          <w:szCs w:val="8"/>
        </w:rPr>
      </w:pPr>
    </w:p>
    <w:tbl>
      <w:tblPr>
        <w:tblW w:w="0" w:type="auto"/>
        <w:jc w:val="left"/>
        <w:tblInd w:w="115" w:type="dxa"/>
        <w:tblLayout w:type="fixed"/>
        <w:tblCellMar>
          <w:top w:w="0" w:type="dxa"/>
          <w:left w:w="0" w:type="dxa"/>
          <w:bottom w:w="0" w:type="dxa"/>
          <w:right w:w="0" w:type="dxa"/>
        </w:tblCellMar>
        <w:tblLook w:val="01E0"/>
      </w:tblPr>
      <w:tblGrid>
        <w:gridCol w:w="1247"/>
        <w:gridCol w:w="1480"/>
        <w:gridCol w:w="1639"/>
        <w:gridCol w:w="1702"/>
        <w:gridCol w:w="2068"/>
        <w:gridCol w:w="1850"/>
      </w:tblGrid>
      <w:tr>
        <w:trPr>
          <w:trHeight w:val="699" w:hRule="exact"/>
        </w:trPr>
        <w:tc>
          <w:tcPr>
            <w:tcW w:w="4366"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left="153" w:right="0"/>
              <w:jc w:val="center"/>
              <w:rPr>
                <w:rFonts w:ascii="宋体" w:hAnsi="宋体" w:cs="宋体" w:eastAsia="宋体" w:hint="default"/>
                <w:sz w:val="18"/>
                <w:szCs w:val="18"/>
              </w:rPr>
            </w:pPr>
            <w:r>
              <w:rPr>
                <w:rFonts w:ascii="宋体" w:hAnsi="宋体" w:cs="宋体" w:eastAsia="宋体" w:hint="default"/>
                <w:sz w:val="18"/>
                <w:szCs w:val="18"/>
              </w:rPr>
              <w:t>原金融工具准则</w:t>
            </w:r>
          </w:p>
        </w:tc>
        <w:tc>
          <w:tcPr>
            <w:tcW w:w="5620"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292"/>
              <w:jc w:val="center"/>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648" w:hRule="exact"/>
        </w:trPr>
        <w:tc>
          <w:tcPr>
            <w:tcW w:w="124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27"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148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63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454"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832" w:right="0"/>
              <w:jc w:val="left"/>
              <w:rPr>
                <w:rFonts w:ascii="宋体" w:hAnsi="宋体" w:cs="宋体" w:eastAsia="宋体" w:hint="default"/>
                <w:sz w:val="18"/>
                <w:szCs w:val="18"/>
              </w:rPr>
            </w:pPr>
            <w:r>
              <w:rPr>
                <w:rFonts w:ascii="宋体" w:hAnsi="宋体" w:cs="宋体" w:eastAsia="宋体" w:hint="default"/>
                <w:sz w:val="18"/>
                <w:szCs w:val="18"/>
              </w:rPr>
              <w:t>项 目</w:t>
            </w:r>
          </w:p>
        </w:tc>
        <w:tc>
          <w:tcPr>
            <w:tcW w:w="20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1059" w:right="0"/>
              <w:jc w:val="left"/>
              <w:rPr>
                <w:rFonts w:ascii="宋体" w:hAnsi="宋体" w:cs="宋体" w:eastAsia="宋体" w:hint="default"/>
                <w:sz w:val="18"/>
                <w:szCs w:val="18"/>
              </w:rPr>
            </w:pPr>
            <w:r>
              <w:rPr>
                <w:rFonts w:ascii="宋体" w:hAnsi="宋体" w:cs="宋体" w:eastAsia="宋体" w:hint="default"/>
                <w:sz w:val="18"/>
                <w:szCs w:val="18"/>
              </w:rPr>
              <w:t>类别</w:t>
            </w:r>
          </w:p>
        </w:tc>
        <w:tc>
          <w:tcPr>
            <w:tcW w:w="18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
              <w:ind w:right="0"/>
              <w:jc w:val="left"/>
              <w:rPr>
                <w:rFonts w:ascii="宋体" w:hAnsi="宋体" w:cs="宋体" w:eastAsia="宋体" w:hint="default"/>
                <w:sz w:val="13"/>
                <w:szCs w:val="13"/>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328" w:hRule="exact"/>
        </w:trPr>
        <w:tc>
          <w:tcPr>
            <w:tcW w:w="1247" w:type="dxa"/>
            <w:tcBorders>
              <w:top w:val="single" w:sz="4" w:space="0" w:color="000000"/>
              <w:left w:val="single" w:sz="4" w:space="0" w:color="000000"/>
              <w:bottom w:val="nil" w:sz="6" w:space="0" w:color="auto"/>
              <w:right w:val="single" w:sz="4" w:space="0" w:color="000000"/>
            </w:tcBorders>
          </w:tcPr>
          <w:p>
            <w:pPr/>
          </w:p>
        </w:tc>
        <w:tc>
          <w:tcPr>
            <w:tcW w:w="148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1"/>
              <w:ind w:right="18"/>
              <w:jc w:val="center"/>
              <w:rPr>
                <w:rFonts w:ascii="宋体" w:hAnsi="宋体" w:cs="宋体" w:eastAsia="宋体" w:hint="default"/>
                <w:sz w:val="18"/>
                <w:szCs w:val="18"/>
              </w:rPr>
            </w:pPr>
            <w:r>
              <w:rPr>
                <w:rFonts w:ascii="宋体" w:hAnsi="宋体" w:cs="宋体" w:eastAsia="宋体" w:hint="default"/>
                <w:sz w:val="18"/>
                <w:szCs w:val="18"/>
              </w:rPr>
              <w:t>以公允价值计量且</w:t>
            </w:r>
          </w:p>
        </w:tc>
        <w:tc>
          <w:tcPr>
            <w:tcW w:w="1639"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nil" w:sz="6" w:space="0" w:color="auto"/>
              <w:right w:val="single" w:sz="4" w:space="0" w:color="000000"/>
            </w:tcBorders>
          </w:tcPr>
          <w:p>
            <w:pPr/>
          </w:p>
        </w:tc>
        <w:tc>
          <w:tcPr>
            <w:tcW w:w="206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以公允价值计量</w:t>
            </w:r>
          </w:p>
        </w:tc>
        <w:tc>
          <w:tcPr>
            <w:tcW w:w="1850" w:type="dxa"/>
            <w:vMerge w:val="restart"/>
            <w:tcBorders>
              <w:top w:val="single" w:sz="4" w:space="0" w:color="000000"/>
              <w:left w:val="single" w:sz="4" w:space="0" w:color="000000"/>
              <w:right w:val="single" w:sz="4" w:space="0" w:color="000000"/>
            </w:tcBorders>
          </w:tcPr>
          <w:p>
            <w:pPr/>
          </w:p>
        </w:tc>
      </w:tr>
      <w:tr>
        <w:trPr>
          <w:trHeight w:val="312" w:hRule="exact"/>
        </w:trPr>
        <w:tc>
          <w:tcPr>
            <w:tcW w:w="1247" w:type="dxa"/>
            <w:tcBorders>
              <w:top w:val="nil" w:sz="6" w:space="0" w:color="auto"/>
              <w:left w:val="single" w:sz="4" w:space="0" w:color="000000"/>
              <w:bottom w:val="nil" w:sz="6" w:space="0" w:color="auto"/>
              <w:right w:val="single" w:sz="4" w:space="0" w:color="000000"/>
            </w:tcBorders>
          </w:tcPr>
          <w:p>
            <w:pPr/>
          </w:p>
        </w:tc>
        <w:tc>
          <w:tcPr>
            <w:tcW w:w="148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18"/>
              <w:jc w:val="center"/>
              <w:rPr>
                <w:rFonts w:ascii="宋体" w:hAnsi="宋体" w:cs="宋体" w:eastAsia="宋体" w:hint="default"/>
                <w:sz w:val="18"/>
                <w:szCs w:val="18"/>
              </w:rPr>
            </w:pPr>
            <w:r>
              <w:rPr>
                <w:rFonts w:ascii="宋体" w:hAnsi="宋体" w:cs="宋体" w:eastAsia="宋体" w:hint="default"/>
                <w:sz w:val="18"/>
                <w:szCs w:val="18"/>
              </w:rPr>
              <w:t>其变动计入其他综</w:t>
            </w:r>
          </w:p>
        </w:tc>
        <w:tc>
          <w:tcPr>
            <w:tcW w:w="1639" w:type="dxa"/>
            <w:tcBorders>
              <w:top w:val="nil" w:sz="6" w:space="0" w:color="auto"/>
              <w:left w:val="single" w:sz="4" w:space="0" w:color="000000"/>
              <w:bottom w:val="nil" w:sz="6" w:space="0" w:color="auto"/>
              <w:right w:val="single" w:sz="4" w:space="0" w:color="000000"/>
            </w:tcBorders>
          </w:tcPr>
          <w:p>
            <w:pPr/>
          </w:p>
        </w:tc>
        <w:tc>
          <w:tcPr>
            <w:tcW w:w="170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6"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068"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且其变动计入当</w:t>
            </w:r>
          </w:p>
        </w:tc>
        <w:tc>
          <w:tcPr>
            <w:tcW w:w="1850" w:type="dxa"/>
            <w:vMerge/>
            <w:tcBorders>
              <w:left w:val="single" w:sz="4" w:space="0" w:color="000000"/>
              <w:right w:val="single" w:sz="4" w:space="0" w:color="000000"/>
            </w:tcBorders>
          </w:tcPr>
          <w:p>
            <w:pPr/>
          </w:p>
        </w:tc>
      </w:tr>
      <w:tr>
        <w:trPr>
          <w:trHeight w:val="326" w:hRule="exact"/>
        </w:trPr>
        <w:tc>
          <w:tcPr>
            <w:tcW w:w="1247" w:type="dxa"/>
            <w:tcBorders>
              <w:top w:val="nil" w:sz="6" w:space="0" w:color="auto"/>
              <w:left w:val="single" w:sz="4" w:space="0" w:color="000000"/>
              <w:bottom w:val="nil" w:sz="6" w:space="0" w:color="auto"/>
              <w:right w:val="single" w:sz="4" w:space="0" w:color="000000"/>
            </w:tcBorders>
          </w:tcPr>
          <w:p>
            <w:pPr>
              <w:pStyle w:val="TableParagraph"/>
              <w:spacing w:line="240" w:lineRule="auto" w:before="40"/>
              <w:ind w:left="4" w:right="0"/>
              <w:jc w:val="left"/>
              <w:rPr>
                <w:rFonts w:ascii="宋体" w:hAnsi="宋体" w:cs="宋体" w:eastAsia="宋体" w:hint="default"/>
                <w:sz w:val="18"/>
                <w:szCs w:val="18"/>
              </w:rPr>
            </w:pPr>
            <w:r>
              <w:rPr>
                <w:rFonts w:ascii="宋体" w:hAnsi="宋体" w:cs="宋体" w:eastAsia="宋体" w:hint="default"/>
                <w:sz w:val="18"/>
                <w:szCs w:val="18"/>
              </w:rPr>
              <w:t>可供出售金融</w:t>
            </w:r>
          </w:p>
        </w:tc>
        <w:tc>
          <w:tcPr>
            <w:tcW w:w="14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89"/>
              <w:jc w:val="center"/>
              <w:rPr>
                <w:rFonts w:ascii="宋体" w:hAnsi="宋体" w:cs="宋体" w:eastAsia="宋体" w:hint="default"/>
                <w:sz w:val="18"/>
                <w:szCs w:val="18"/>
              </w:rPr>
            </w:pPr>
            <w:r>
              <w:rPr>
                <w:rFonts w:ascii="宋体" w:hAnsi="宋体" w:cs="宋体" w:eastAsia="宋体" w:hint="default"/>
                <w:spacing w:val="-9"/>
                <w:sz w:val="18"/>
                <w:szCs w:val="18"/>
              </w:rPr>
              <w:t>合收益（债务工具</w:t>
            </w:r>
          </w:p>
        </w:tc>
        <w:tc>
          <w:tcPr>
            <w:tcW w:w="16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6" w:right="0"/>
              <w:jc w:val="left"/>
              <w:rPr>
                <w:rFonts w:ascii="宋体" w:hAnsi="宋体" w:cs="宋体" w:eastAsia="宋体" w:hint="default"/>
                <w:sz w:val="18"/>
                <w:szCs w:val="18"/>
              </w:rPr>
            </w:pPr>
            <w:r>
              <w:rPr>
                <w:rFonts w:ascii="宋体" w:hAnsi="宋体" w:cs="宋体" w:eastAsia="宋体" w:hint="default"/>
                <w:sz w:val="18"/>
                <w:szCs w:val="18"/>
              </w:rPr>
              <w:t>）</w:t>
            </w:r>
          </w:p>
        </w:tc>
        <w:tc>
          <w:tcPr>
            <w:tcW w:w="1702" w:type="dxa"/>
            <w:tcBorders>
              <w:top w:val="nil" w:sz="6" w:space="0" w:color="auto"/>
              <w:left w:val="single" w:sz="4" w:space="0" w:color="000000"/>
              <w:bottom w:val="single" w:sz="4" w:space="0" w:color="000000"/>
              <w:right w:val="single" w:sz="4" w:space="0" w:color="000000"/>
            </w:tcBorders>
          </w:tcPr>
          <w:p>
            <w:pPr/>
          </w:p>
        </w:tc>
        <w:tc>
          <w:tcPr>
            <w:tcW w:w="206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期损益</w:t>
            </w:r>
          </w:p>
        </w:tc>
        <w:tc>
          <w:tcPr>
            <w:tcW w:w="1850" w:type="dxa"/>
            <w:vMerge/>
            <w:tcBorders>
              <w:left w:val="single" w:sz="4" w:space="0" w:color="000000"/>
              <w:bottom w:val="single" w:sz="4" w:space="0" w:color="000000"/>
              <w:right w:val="single" w:sz="4" w:space="0" w:color="000000"/>
            </w:tcBorders>
          </w:tcPr>
          <w:p>
            <w:pPr/>
          </w:p>
        </w:tc>
      </w:tr>
      <w:tr>
        <w:trPr>
          <w:trHeight w:val="654" w:hRule="exact"/>
        </w:trPr>
        <w:tc>
          <w:tcPr>
            <w:tcW w:w="1247" w:type="dxa"/>
            <w:tcBorders>
              <w:top w:val="nil" w:sz="6" w:space="0" w:color="auto"/>
              <w:left w:val="single" w:sz="4" w:space="0" w:color="000000"/>
              <w:bottom w:val="nil" w:sz="6" w:space="0" w:color="auto"/>
              <w:right w:val="single" w:sz="4" w:space="0" w:color="000000"/>
            </w:tcBorders>
          </w:tcPr>
          <w:p>
            <w:pPr>
              <w:pStyle w:val="TableParagraph"/>
              <w:spacing w:line="240" w:lineRule="auto" w:before="26"/>
              <w:ind w:left="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1480" w:type="dxa"/>
            <w:tcBorders>
              <w:top w:val="single" w:sz="4" w:space="0" w:color="000000"/>
              <w:left w:val="single" w:sz="4" w:space="0" w:color="000000"/>
              <w:bottom w:val="nil" w:sz="6" w:space="0" w:color="auto"/>
              <w:right w:val="single" w:sz="4" w:space="0" w:color="000000"/>
            </w:tcBorders>
          </w:tcPr>
          <w:p>
            <w:pPr>
              <w:pStyle w:val="TableParagraph"/>
              <w:spacing w:line="316" w:lineRule="auto" w:before="35"/>
              <w:ind w:left="4" w:right="23"/>
              <w:jc w:val="left"/>
              <w:rPr>
                <w:rFonts w:ascii="宋体" w:hAnsi="宋体" w:cs="宋体" w:eastAsia="宋体" w:hint="default"/>
                <w:sz w:val="18"/>
                <w:szCs w:val="18"/>
              </w:rPr>
            </w:pPr>
            <w:r>
              <w:rPr>
                <w:rFonts w:ascii="宋体" w:hAnsi="宋体" w:cs="宋体" w:eastAsia="宋体" w:hint="default"/>
                <w:sz w:val="18"/>
                <w:szCs w:val="18"/>
              </w:rPr>
              <w:t>以公允价值计量且 其变动计入其他综</w:t>
            </w:r>
          </w:p>
        </w:tc>
        <w:tc>
          <w:tcPr>
            <w:tcW w:w="1639" w:type="dxa"/>
            <w:tcBorders>
              <w:top w:val="single" w:sz="4" w:space="0" w:color="000000"/>
              <w:left w:val="single" w:sz="4" w:space="0" w:color="000000"/>
              <w:bottom w:val="nil" w:sz="6" w:space="0" w:color="auto"/>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71"/>
              <w:jc w:val="left"/>
              <w:rPr>
                <w:rFonts w:ascii="宋体" w:hAnsi="宋体" w:cs="宋体" w:eastAsia="宋体" w:hint="default"/>
                <w:sz w:val="18"/>
                <w:szCs w:val="18"/>
              </w:rPr>
            </w:pPr>
            <w:r>
              <w:rPr>
                <w:rFonts w:ascii="宋体" w:hAnsi="宋体" w:cs="宋体" w:eastAsia="宋体" w:hint="default"/>
                <w:sz w:val="18"/>
                <w:szCs w:val="18"/>
              </w:rPr>
              <w:t>以公允价值计量且其变动 计入当期损益</w:t>
            </w:r>
          </w:p>
        </w:tc>
        <w:tc>
          <w:tcPr>
            <w:tcW w:w="18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247" w:type="dxa"/>
            <w:tcBorders>
              <w:top w:val="nil" w:sz="6" w:space="0" w:color="auto"/>
              <w:left w:val="single" w:sz="4" w:space="0" w:color="000000"/>
              <w:bottom w:val="single" w:sz="4" w:space="0" w:color="000000"/>
              <w:right w:val="single" w:sz="4" w:space="0" w:color="000000"/>
            </w:tcBorders>
          </w:tcPr>
          <w:p>
            <w:pPr/>
          </w:p>
        </w:tc>
        <w:tc>
          <w:tcPr>
            <w:tcW w:w="1480"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right="89"/>
              <w:jc w:val="center"/>
              <w:rPr>
                <w:rFonts w:ascii="宋体" w:hAnsi="宋体" w:cs="宋体" w:eastAsia="宋体" w:hint="default"/>
                <w:sz w:val="18"/>
                <w:szCs w:val="18"/>
              </w:rPr>
            </w:pPr>
            <w:r>
              <w:rPr>
                <w:rFonts w:ascii="宋体" w:hAnsi="宋体" w:cs="宋体" w:eastAsia="宋体" w:hint="default"/>
                <w:spacing w:val="-9"/>
                <w:sz w:val="18"/>
                <w:szCs w:val="18"/>
              </w:rPr>
              <w:t>合收益（权益工具</w:t>
            </w:r>
          </w:p>
        </w:tc>
        <w:tc>
          <w:tcPr>
            <w:tcW w:w="1639"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06" w:right="0"/>
              <w:jc w:val="left"/>
              <w:rPr>
                <w:rFonts w:ascii="宋体" w:hAnsi="宋体" w:cs="宋体" w:eastAsia="宋体" w:hint="default"/>
                <w:sz w:val="18"/>
                <w:szCs w:val="18"/>
              </w:rPr>
            </w:pPr>
            <w:r>
              <w:rPr>
                <w:rFonts w:ascii="宋体" w:hAnsi="宋体" w:cs="宋体" w:eastAsia="宋体" w:hint="default"/>
                <w:sz w:val="18"/>
                <w:szCs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以公允价值计量且其变动</w:t>
            </w:r>
          </w:p>
        </w:tc>
        <w:tc>
          <w:tcPr>
            <w:tcW w:w="185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840" w:right="0"/>
        </w:sectPr>
      </w:pPr>
    </w:p>
    <w:p>
      <w:pPr>
        <w:spacing w:line="240" w:lineRule="auto" w:before="6"/>
        <w:rPr>
          <w:rFonts w:ascii="宋体" w:hAnsi="宋体" w:cs="宋体" w:eastAsia="宋体" w:hint="default"/>
          <w:sz w:val="28"/>
          <w:szCs w:val="28"/>
        </w:rPr>
      </w:pPr>
    </w:p>
    <w:tbl>
      <w:tblPr>
        <w:tblW w:w="0" w:type="auto"/>
        <w:jc w:val="left"/>
        <w:tblInd w:w="115" w:type="dxa"/>
        <w:tblLayout w:type="fixed"/>
        <w:tblCellMar>
          <w:top w:w="0" w:type="dxa"/>
          <w:left w:w="0" w:type="dxa"/>
          <w:bottom w:w="0" w:type="dxa"/>
          <w:right w:w="0" w:type="dxa"/>
        </w:tblCellMar>
        <w:tblLook w:val="01E0"/>
      </w:tblPr>
      <w:tblGrid>
        <w:gridCol w:w="1247"/>
        <w:gridCol w:w="1480"/>
        <w:gridCol w:w="1639"/>
        <w:gridCol w:w="1702"/>
        <w:gridCol w:w="2068"/>
        <w:gridCol w:w="1850"/>
      </w:tblGrid>
      <w:tr>
        <w:trPr>
          <w:trHeight w:val="342" w:hRule="exact"/>
        </w:trPr>
        <w:tc>
          <w:tcPr>
            <w:tcW w:w="1247" w:type="dxa"/>
            <w:vMerge w:val="restart"/>
            <w:tcBorders>
              <w:top w:val="single" w:sz="4" w:space="0" w:color="000000"/>
              <w:left w:val="single" w:sz="4" w:space="0" w:color="000000"/>
              <w:right w:val="single" w:sz="4" w:space="0" w:color="000000"/>
            </w:tcBorders>
          </w:tcPr>
          <w:p>
            <w:pPr/>
          </w:p>
        </w:tc>
        <w:tc>
          <w:tcPr>
            <w:tcW w:w="1480"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计入其他综合收益</w:t>
            </w:r>
          </w:p>
        </w:tc>
        <w:tc>
          <w:tcPr>
            <w:tcW w:w="1850"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1247" w:type="dxa"/>
            <w:vMerge/>
            <w:tcBorders>
              <w:left w:val="single" w:sz="4" w:space="0" w:color="000000"/>
              <w:right w:val="single" w:sz="4" w:space="0" w:color="000000"/>
            </w:tcBorders>
          </w:tcPr>
          <w:p>
            <w:pPr/>
          </w:p>
        </w:tc>
        <w:tc>
          <w:tcPr>
            <w:tcW w:w="148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316" w:lineRule="auto"/>
              <w:ind w:left="4" w:right="23"/>
              <w:jc w:val="left"/>
              <w:rPr>
                <w:rFonts w:ascii="宋体" w:hAnsi="宋体" w:cs="宋体" w:eastAsia="宋体" w:hint="default"/>
                <w:sz w:val="18"/>
                <w:szCs w:val="18"/>
              </w:rPr>
            </w:pPr>
            <w:r>
              <w:rPr>
                <w:rFonts w:ascii="宋体" w:hAnsi="宋体" w:cs="宋体" w:eastAsia="宋体" w:hint="default"/>
                <w:sz w:val="18"/>
                <w:szCs w:val="18"/>
              </w:rPr>
              <w:t>以成本计量（权益 工具）</w:t>
            </w:r>
          </w:p>
        </w:tc>
        <w:tc>
          <w:tcPr>
            <w:tcW w:w="16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3"/>
                <w:szCs w:val="23"/>
              </w:rPr>
            </w:pPr>
          </w:p>
          <w:p>
            <w:pPr>
              <w:pStyle w:val="TableParagraph"/>
              <w:spacing w:line="240" w:lineRule="auto"/>
              <w:ind w:left="384" w:right="0"/>
              <w:jc w:val="left"/>
              <w:rPr>
                <w:rFonts w:ascii="Arial" w:hAnsi="Arial" w:cs="Arial" w:eastAsia="Arial" w:hint="default"/>
                <w:sz w:val="18"/>
                <w:szCs w:val="18"/>
              </w:rPr>
            </w:pPr>
            <w:r>
              <w:rPr>
                <w:rFonts w:ascii="Arial"/>
                <w:sz w:val="18"/>
              </w:rPr>
              <w:t>47,900,000.00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6"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71"/>
              <w:jc w:val="left"/>
              <w:rPr>
                <w:rFonts w:ascii="宋体" w:hAnsi="宋体" w:cs="宋体" w:eastAsia="宋体" w:hint="default"/>
                <w:sz w:val="18"/>
                <w:szCs w:val="18"/>
              </w:rPr>
            </w:pPr>
            <w:r>
              <w:rPr>
                <w:rFonts w:ascii="宋体" w:hAnsi="宋体" w:cs="宋体" w:eastAsia="宋体" w:hint="default"/>
                <w:sz w:val="18"/>
                <w:szCs w:val="18"/>
              </w:rPr>
              <w:t>以公允价值计量且其变动 计入当期损益</w:t>
            </w:r>
          </w:p>
        </w:tc>
        <w:tc>
          <w:tcPr>
            <w:tcW w:w="1850"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1247" w:type="dxa"/>
            <w:vMerge/>
            <w:tcBorders>
              <w:left w:val="single" w:sz="4" w:space="0" w:color="000000"/>
              <w:bottom w:val="single" w:sz="4" w:space="0" w:color="000000"/>
              <w:right w:val="single" w:sz="4" w:space="0" w:color="000000"/>
            </w:tcBorders>
          </w:tcPr>
          <w:p>
            <w:pPr/>
          </w:p>
        </w:tc>
        <w:tc>
          <w:tcPr>
            <w:tcW w:w="1480" w:type="dxa"/>
            <w:vMerge/>
            <w:tcBorders>
              <w:left w:val="single" w:sz="4" w:space="0" w:color="000000"/>
              <w:bottom w:val="single" w:sz="4" w:space="0" w:color="000000"/>
              <w:right w:val="single" w:sz="4" w:space="0" w:color="000000"/>
            </w:tcBorders>
          </w:tcPr>
          <w:p>
            <w:pPr/>
          </w:p>
        </w:tc>
        <w:tc>
          <w:tcPr>
            <w:tcW w:w="1639"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71"/>
              <w:jc w:val="left"/>
              <w:rPr>
                <w:rFonts w:ascii="宋体" w:hAnsi="宋体" w:cs="宋体" w:eastAsia="宋体" w:hint="default"/>
                <w:sz w:val="18"/>
                <w:szCs w:val="18"/>
              </w:rPr>
            </w:pPr>
            <w:r>
              <w:rPr>
                <w:rFonts w:ascii="宋体" w:hAnsi="宋体" w:cs="宋体" w:eastAsia="宋体" w:hint="default"/>
                <w:sz w:val="18"/>
                <w:szCs w:val="18"/>
              </w:rPr>
              <w:t>以公允价值计量且其变动 计入其他综合收益</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4"/>
              <w:jc w:val="right"/>
              <w:rPr>
                <w:rFonts w:ascii="Arial" w:hAnsi="Arial" w:cs="Arial" w:eastAsia="Arial" w:hint="default"/>
                <w:sz w:val="18"/>
                <w:szCs w:val="18"/>
              </w:rPr>
            </w:pPr>
            <w:r>
              <w:rPr>
                <w:rFonts w:ascii="Arial"/>
                <w:spacing w:val="-1"/>
                <w:sz w:val="18"/>
              </w:rPr>
              <w:t>78,722,530.86</w:t>
            </w:r>
            <w:r>
              <w:rPr>
                <w:rFonts w:ascii="Arial"/>
                <w:sz w:val="18"/>
              </w:rPr>
            </w:r>
          </w:p>
        </w:tc>
      </w:tr>
      <w:tr>
        <w:trPr>
          <w:trHeight w:val="342" w:hRule="exact"/>
        </w:trPr>
        <w:tc>
          <w:tcPr>
            <w:tcW w:w="1247"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480"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6"/>
                <w:szCs w:val="26"/>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2"/>
              <w:ind w:left="284" w:right="0"/>
              <w:jc w:val="left"/>
              <w:rPr>
                <w:rFonts w:ascii="Arial" w:hAnsi="Arial" w:cs="Arial" w:eastAsia="Arial" w:hint="default"/>
                <w:sz w:val="18"/>
                <w:szCs w:val="18"/>
              </w:rPr>
            </w:pPr>
            <w:r>
              <w:rPr>
                <w:rFonts w:ascii="Arial"/>
                <w:sz w:val="18"/>
              </w:rPr>
              <w:t>178,425,721.05</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178,425,721.05</w:t>
            </w:r>
          </w:p>
        </w:tc>
      </w:tr>
      <w:tr>
        <w:trPr>
          <w:trHeight w:val="654" w:hRule="exact"/>
        </w:trPr>
        <w:tc>
          <w:tcPr>
            <w:tcW w:w="1247" w:type="dxa"/>
            <w:vMerge/>
            <w:tcBorders>
              <w:left w:val="single" w:sz="4" w:space="0" w:color="000000"/>
              <w:bottom w:val="single" w:sz="4" w:space="0" w:color="000000"/>
              <w:right w:val="single" w:sz="4" w:space="0" w:color="000000"/>
            </w:tcBorders>
          </w:tcPr>
          <w:p>
            <w:pPr/>
          </w:p>
        </w:tc>
        <w:tc>
          <w:tcPr>
            <w:tcW w:w="1480" w:type="dxa"/>
            <w:vMerge/>
            <w:tcBorders>
              <w:left w:val="single" w:sz="4" w:space="0" w:color="000000"/>
              <w:bottom w:val="single" w:sz="4" w:space="0" w:color="000000"/>
              <w:right w:val="single" w:sz="4" w:space="0" w:color="000000"/>
            </w:tcBorders>
          </w:tcPr>
          <w:p>
            <w:pPr/>
          </w:p>
        </w:tc>
        <w:tc>
          <w:tcPr>
            <w:tcW w:w="1639"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71"/>
              <w:jc w:val="left"/>
              <w:rPr>
                <w:rFonts w:ascii="宋体" w:hAnsi="宋体" w:cs="宋体" w:eastAsia="宋体" w:hint="default"/>
                <w:sz w:val="18"/>
                <w:szCs w:val="18"/>
              </w:rPr>
            </w:pPr>
            <w:r>
              <w:rPr>
                <w:rFonts w:ascii="宋体" w:hAnsi="宋体" w:cs="宋体" w:eastAsia="宋体" w:hint="default"/>
                <w:sz w:val="18"/>
                <w:szCs w:val="18"/>
              </w:rPr>
              <w:t>以公允价值计量且其变动 计入其他综合收益</w:t>
            </w:r>
          </w:p>
        </w:tc>
        <w:tc>
          <w:tcPr>
            <w:tcW w:w="18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24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48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3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84" w:right="0"/>
              <w:jc w:val="left"/>
              <w:rPr>
                <w:rFonts w:ascii="Arial" w:hAnsi="Arial" w:cs="Arial" w:eastAsia="Arial" w:hint="default"/>
                <w:sz w:val="18"/>
                <w:szCs w:val="18"/>
              </w:rPr>
            </w:pPr>
            <w:r>
              <w:rPr>
                <w:rFonts w:ascii="Arial"/>
                <w:sz w:val="18"/>
              </w:rPr>
              <w:t>55,049,415.52</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603,902.82</w:t>
            </w:r>
          </w:p>
        </w:tc>
      </w:tr>
      <w:tr>
        <w:trPr>
          <w:trHeight w:val="342" w:hRule="exact"/>
        </w:trPr>
        <w:tc>
          <w:tcPr>
            <w:tcW w:w="1247" w:type="dxa"/>
            <w:vMerge/>
            <w:tcBorders>
              <w:left w:val="single" w:sz="4" w:space="0" w:color="000000"/>
              <w:right w:val="single" w:sz="4" w:space="0" w:color="000000"/>
            </w:tcBorders>
          </w:tcPr>
          <w:p>
            <w:pPr/>
          </w:p>
        </w:tc>
        <w:tc>
          <w:tcPr>
            <w:tcW w:w="1480" w:type="dxa"/>
            <w:vMerge/>
            <w:tcBorders>
              <w:left w:val="single" w:sz="4" w:space="0" w:color="000000"/>
              <w:right w:val="single" w:sz="4" w:space="0" w:color="000000"/>
            </w:tcBorders>
          </w:tcPr>
          <w:p>
            <w:pPr/>
          </w:p>
        </w:tc>
        <w:tc>
          <w:tcPr>
            <w:tcW w:w="1639" w:type="dxa"/>
            <w:vMerge/>
            <w:tcBorders>
              <w:left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247" w:type="dxa"/>
            <w:vMerge/>
            <w:tcBorders>
              <w:left w:val="single" w:sz="4" w:space="0" w:color="000000"/>
              <w:bottom w:val="single" w:sz="4" w:space="0" w:color="000000"/>
              <w:right w:val="single" w:sz="4" w:space="0" w:color="000000"/>
            </w:tcBorders>
          </w:tcPr>
          <w:p>
            <w:pPr/>
          </w:p>
        </w:tc>
        <w:tc>
          <w:tcPr>
            <w:tcW w:w="1480" w:type="dxa"/>
            <w:vMerge/>
            <w:tcBorders>
              <w:left w:val="single" w:sz="4" w:space="0" w:color="000000"/>
              <w:bottom w:val="single" w:sz="4" w:space="0" w:color="000000"/>
              <w:right w:val="single" w:sz="4" w:space="0" w:color="000000"/>
            </w:tcBorders>
          </w:tcPr>
          <w:p>
            <w:pPr/>
          </w:p>
        </w:tc>
        <w:tc>
          <w:tcPr>
            <w:tcW w:w="1639" w:type="dxa"/>
            <w:vMerge/>
            <w:tcBorders>
              <w:left w:val="single" w:sz="4" w:space="0" w:color="000000"/>
              <w:bottom w:val="single" w:sz="4" w:space="0" w:color="000000"/>
              <w:right w:val="single" w:sz="4" w:space="0" w:color="000000"/>
            </w:tcBorders>
          </w:tcPr>
          <w:p>
            <w:pP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54,445,512.70</w:t>
            </w:r>
            <w:r>
              <w:rPr>
                <w:rFonts w:ascii="Arial"/>
                <w:sz w:val="18"/>
              </w:rPr>
            </w:r>
          </w:p>
        </w:tc>
      </w:tr>
      <w:tr>
        <w:trPr>
          <w:trHeight w:val="654" w:hRule="exact"/>
        </w:trPr>
        <w:tc>
          <w:tcPr>
            <w:tcW w:w="12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4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left="194" w:right="0"/>
              <w:jc w:val="left"/>
              <w:rPr>
                <w:rFonts w:ascii="Arial" w:hAnsi="Arial" w:cs="Arial" w:eastAsia="Arial" w:hint="default"/>
                <w:sz w:val="18"/>
                <w:szCs w:val="18"/>
              </w:rPr>
            </w:pPr>
            <w:r>
              <w:rPr>
                <w:rFonts w:ascii="Arial"/>
                <w:sz w:val="18"/>
              </w:rPr>
              <w:t>408,340,000.00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0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4" w:right="71"/>
              <w:jc w:val="left"/>
              <w:rPr>
                <w:rFonts w:ascii="宋体" w:hAnsi="宋体" w:cs="宋体" w:eastAsia="宋体" w:hint="default"/>
                <w:sz w:val="18"/>
                <w:szCs w:val="18"/>
              </w:rPr>
            </w:pPr>
            <w:r>
              <w:rPr>
                <w:rFonts w:ascii="宋体" w:hAnsi="宋体" w:cs="宋体" w:eastAsia="宋体" w:hint="default"/>
                <w:sz w:val="18"/>
                <w:szCs w:val="18"/>
              </w:rPr>
              <w:t>以公允价值计量且其变动 计入当期损益</w:t>
            </w:r>
          </w:p>
        </w:tc>
        <w:tc>
          <w:tcPr>
            <w:tcW w:w="1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6"/>
                <w:szCs w:val="16"/>
              </w:rPr>
            </w:pPr>
          </w:p>
          <w:p>
            <w:pPr>
              <w:pStyle w:val="TableParagraph"/>
              <w:spacing w:line="240" w:lineRule="auto"/>
              <w:ind w:right="2"/>
              <w:jc w:val="right"/>
              <w:rPr>
                <w:rFonts w:ascii="Arial" w:hAnsi="Arial" w:cs="Arial" w:eastAsia="Arial" w:hint="default"/>
                <w:sz w:val="18"/>
                <w:szCs w:val="18"/>
              </w:rPr>
            </w:pPr>
            <w:r>
              <w:rPr>
                <w:rFonts w:ascii="Arial"/>
                <w:spacing w:val="-1"/>
                <w:sz w:val="18"/>
              </w:rPr>
              <w:t>408,340,000.00</w:t>
            </w:r>
          </w:p>
        </w:tc>
      </w:tr>
    </w:tbl>
    <w:p>
      <w:pPr>
        <w:pStyle w:val="BodyText"/>
        <w:spacing w:line="240" w:lineRule="auto" w:before="51"/>
        <w:ind w:left="654" w:right="1036"/>
        <w:jc w:val="left"/>
      </w:pPr>
      <w:r>
        <w:rPr/>
        <w:t>于</w:t>
      </w:r>
      <w:r>
        <w:rPr>
          <w:spacing w:val="-46"/>
        </w:rPr>
        <w:t> </w:t>
      </w:r>
      <w:r>
        <w:rPr>
          <w:rFonts w:ascii="Arial" w:hAnsi="Arial" w:cs="Arial" w:eastAsia="Arial" w:hint="default"/>
        </w:rPr>
        <w:t>2019</w:t>
      </w:r>
      <w:r>
        <w:rPr>
          <w:rFonts w:ascii="Arial" w:hAnsi="Arial" w:cs="Arial" w:eastAsia="Arial" w:hint="default"/>
          <w:spacing w:val="-7"/>
        </w:rPr>
        <w:t> </w:t>
      </w:r>
      <w:r>
        <w:rPr/>
        <w:t>年</w:t>
      </w:r>
      <w:r>
        <w:rPr>
          <w:spacing w:val="-45"/>
        </w:rPr>
        <w:t> </w:t>
      </w:r>
      <w:r>
        <w:rPr>
          <w:rFonts w:ascii="Arial" w:hAnsi="Arial" w:cs="Arial" w:eastAsia="Arial" w:hint="default"/>
        </w:rPr>
        <w:t>1</w:t>
      </w:r>
      <w:r>
        <w:rPr>
          <w:rFonts w:ascii="Arial" w:hAnsi="Arial" w:cs="Arial" w:eastAsia="Arial" w:hint="default"/>
          <w:spacing w:val="-5"/>
        </w:rPr>
        <w:t> </w:t>
      </w:r>
      <w:r>
        <w:rPr/>
        <w:t>月</w:t>
      </w:r>
      <w:r>
        <w:rPr>
          <w:spacing w:val="-46"/>
        </w:rPr>
        <w:t> </w:t>
      </w:r>
      <w:r>
        <w:rPr>
          <w:rFonts w:ascii="Arial" w:hAnsi="Arial" w:cs="Arial" w:eastAsia="Arial" w:hint="default"/>
        </w:rPr>
        <w:t>1</w:t>
      </w:r>
      <w:r>
        <w:rPr>
          <w:rFonts w:ascii="Arial" w:hAnsi="Arial" w:cs="Arial" w:eastAsia="Arial" w:hint="default"/>
          <w:spacing w:val="-7"/>
        </w:rPr>
        <w:t> </w:t>
      </w:r>
      <w:r>
        <w:rPr/>
        <w:t>日，执行新金融工具准则时金融工具分类和账面价值调节表如下：</w:t>
      </w:r>
    </w:p>
    <w:p>
      <w:pPr>
        <w:pStyle w:val="BodyText"/>
        <w:spacing w:line="240" w:lineRule="auto" w:before="104"/>
        <w:ind w:left="0" w:right="1131"/>
        <w:jc w:val="right"/>
      </w:pPr>
      <w:r>
        <w:rPr/>
        <w:t>单位：元</w:t>
      </w:r>
    </w:p>
    <w:p>
      <w:pPr>
        <w:spacing w:line="240" w:lineRule="auto" w:before="0"/>
        <w:rPr>
          <w:rFonts w:ascii="宋体" w:hAnsi="宋体" w:cs="宋体" w:eastAsia="宋体" w:hint="default"/>
          <w:sz w:val="8"/>
          <w:szCs w:val="8"/>
        </w:rPr>
      </w:pPr>
    </w:p>
    <w:tbl>
      <w:tblPr>
        <w:tblW w:w="0" w:type="auto"/>
        <w:jc w:val="left"/>
        <w:tblInd w:w="240" w:type="dxa"/>
        <w:tblLayout w:type="fixed"/>
        <w:tblCellMar>
          <w:top w:w="0" w:type="dxa"/>
          <w:left w:w="0" w:type="dxa"/>
          <w:bottom w:w="0" w:type="dxa"/>
          <w:right w:w="0" w:type="dxa"/>
        </w:tblCellMar>
        <w:tblLook w:val="01E0"/>
      </w:tblPr>
      <w:tblGrid>
        <w:gridCol w:w="1799"/>
        <w:gridCol w:w="1979"/>
        <w:gridCol w:w="1987"/>
        <w:gridCol w:w="1843"/>
        <w:gridCol w:w="2129"/>
      </w:tblGrid>
      <w:tr>
        <w:trPr>
          <w:trHeight w:val="654" w:hRule="exact"/>
        </w:trPr>
        <w:tc>
          <w:tcPr>
            <w:tcW w:w="179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97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调整前账面金额</w:t>
            </w:r>
          </w:p>
          <w:p>
            <w:pPr>
              <w:pStyle w:val="TableParagraph"/>
              <w:spacing w:line="240" w:lineRule="auto" w:before="76"/>
              <w:ind w:right="1"/>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2018</w:t>
            </w:r>
            <w:r>
              <w:rPr>
                <w:rFonts w:ascii="宋体" w:hAnsi="宋体" w:cs="宋体" w:eastAsia="宋体" w:hint="default"/>
                <w:sz w:val="18"/>
                <w:szCs w:val="18"/>
              </w:rPr>
              <w:t>年</w:t>
            </w:r>
            <w:r>
              <w:rPr>
                <w:rFonts w:ascii="Arial" w:hAnsi="Arial" w:cs="Arial" w:eastAsia="Arial" w:hint="default"/>
                <w:sz w:val="18"/>
                <w:szCs w:val="18"/>
              </w:rPr>
              <w:t>12</w:t>
            </w:r>
            <w:r>
              <w:rPr>
                <w:rFonts w:ascii="宋体" w:hAnsi="宋体" w:cs="宋体" w:eastAsia="宋体" w:hint="default"/>
                <w:sz w:val="18"/>
                <w:szCs w:val="18"/>
              </w:rPr>
              <w:t>月</w:t>
            </w:r>
            <w:r>
              <w:rPr>
                <w:rFonts w:ascii="Arial" w:hAnsi="Arial" w:cs="Arial" w:eastAsia="Arial" w:hint="default"/>
                <w:sz w:val="18"/>
                <w:szCs w:val="18"/>
              </w:rPr>
              <w:t>31</w:t>
            </w:r>
            <w:r>
              <w:rPr>
                <w:rFonts w:ascii="宋体" w:hAnsi="宋体" w:cs="宋体" w:eastAsia="宋体" w:hint="default"/>
                <w:sz w:val="18"/>
                <w:szCs w:val="18"/>
              </w:rPr>
              <w:t>日）</w:t>
            </w:r>
          </w:p>
        </w:tc>
        <w:tc>
          <w:tcPr>
            <w:tcW w:w="198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重分类</w:t>
            </w:r>
          </w:p>
        </w:tc>
        <w:tc>
          <w:tcPr>
            <w:tcW w:w="184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73"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212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调整后账面金额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2019</w:t>
            </w:r>
            <w:r>
              <w:rPr>
                <w:rFonts w:ascii="宋体" w:hAnsi="宋体" w:cs="宋体" w:eastAsia="宋体" w:hint="default"/>
                <w:sz w:val="18"/>
                <w:szCs w:val="18"/>
              </w:rPr>
              <w:t>年</w:t>
            </w:r>
            <w:r>
              <w:rPr>
                <w:rFonts w:ascii="Arial" w:hAnsi="Arial" w:cs="Arial" w:eastAsia="Arial" w:hint="default"/>
                <w:sz w:val="18"/>
                <w:szCs w:val="18"/>
              </w:rPr>
              <w:t>1</w:t>
            </w:r>
            <w:r>
              <w:rPr>
                <w:rFonts w:ascii="宋体" w:hAnsi="宋体" w:cs="宋体" w:eastAsia="宋体" w:hint="default"/>
                <w:sz w:val="18"/>
                <w:szCs w:val="18"/>
              </w:rPr>
              <w:t>月</w:t>
            </w:r>
            <w:r>
              <w:rPr>
                <w:rFonts w:ascii="Arial" w:hAnsi="Arial" w:cs="Arial" w:eastAsia="Arial" w:hint="default"/>
                <w:sz w:val="18"/>
                <w:szCs w:val="18"/>
              </w:rPr>
              <w:t>1</w:t>
            </w:r>
            <w:r>
              <w:rPr>
                <w:rFonts w:ascii="宋体" w:hAnsi="宋体" w:cs="宋体" w:eastAsia="宋体" w:hint="default"/>
                <w:sz w:val="18"/>
                <w:szCs w:val="18"/>
              </w:rPr>
              <w:t>日）</w:t>
            </w:r>
          </w:p>
        </w:tc>
      </w:tr>
      <w:tr>
        <w:trPr>
          <w:trHeight w:val="342"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b/>
                <w:bCs/>
                <w:sz w:val="18"/>
                <w:szCs w:val="18"/>
              </w:rPr>
              <w:t>资产：</w:t>
            </w:r>
            <w:r>
              <w:rPr>
                <w:rFonts w:ascii="宋体" w:hAnsi="宋体" w:cs="宋体" w:eastAsia="宋体" w:hint="default"/>
                <w:sz w:val="18"/>
                <w:szCs w:val="18"/>
              </w:rPr>
            </w:r>
          </w:p>
        </w:tc>
        <w:tc>
          <w:tcPr>
            <w:tcW w:w="1979"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330,503,276.34</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603,902.82</w:t>
            </w:r>
          </w:p>
        </w:tc>
        <w:tc>
          <w:tcPr>
            <w:tcW w:w="1843"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331,107,179.16</w:t>
            </w:r>
          </w:p>
        </w:tc>
      </w:tr>
      <w:tr>
        <w:trPr>
          <w:trHeight w:val="342"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w w:val="95"/>
                <w:sz w:val="18"/>
              </w:rPr>
              <w:t>--</w:t>
            </w:r>
            <w:r>
              <w:rPr>
                <w:rFonts w:ascii="Arial"/>
                <w:w w:val="95"/>
                <w:sz w:val="18"/>
              </w:rPr>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408,340,000.00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408,340,000.00</w:t>
            </w:r>
          </w:p>
        </w:tc>
      </w:tr>
      <w:tr>
        <w:trPr>
          <w:trHeight w:val="342"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178,425,721.05</w:t>
            </w:r>
          </w:p>
        </w:tc>
        <w:tc>
          <w:tcPr>
            <w:tcW w:w="198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178,425,721.05</w:t>
            </w:r>
          </w:p>
        </w:tc>
      </w:tr>
      <w:tr>
        <w:trPr>
          <w:trHeight w:val="342"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Arial" w:hAnsi="Arial" w:cs="Arial" w:eastAsia="Arial" w:hint="default"/>
                <w:sz w:val="18"/>
                <w:szCs w:val="18"/>
              </w:rPr>
            </w:pPr>
            <w:r>
              <w:rPr>
                <w:rFonts w:ascii="Arial"/>
                <w:spacing w:val="-1"/>
                <w:sz w:val="18"/>
              </w:rPr>
              <w:t>55,049,415.52</w:t>
            </w:r>
            <w:r>
              <w:rPr>
                <w:rFonts w:ascii="Arial"/>
                <w:sz w:val="18"/>
              </w:rPr>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-603,902.82</w:t>
            </w:r>
          </w:p>
        </w:tc>
        <w:tc>
          <w:tcPr>
            <w:tcW w:w="1843"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Arial" w:hAnsi="Arial" w:cs="Arial" w:eastAsia="Arial" w:hint="default"/>
                <w:sz w:val="18"/>
                <w:szCs w:val="18"/>
              </w:rPr>
            </w:pPr>
            <w:r>
              <w:rPr>
                <w:rFonts w:ascii="Arial"/>
                <w:spacing w:val="-1"/>
                <w:sz w:val="18"/>
              </w:rPr>
              <w:t>54,445,512.70</w:t>
            </w:r>
            <w:r>
              <w:rPr>
                <w:rFonts w:ascii="Arial"/>
                <w:sz w:val="18"/>
              </w:rPr>
            </w:r>
          </w:p>
        </w:tc>
      </w:tr>
      <w:tr>
        <w:trPr>
          <w:trHeight w:val="342"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450,928,507.17</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-408,340,000.00</w:t>
            </w:r>
          </w:p>
        </w:tc>
        <w:tc>
          <w:tcPr>
            <w:tcW w:w="1843"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Arial" w:hAnsi="Arial" w:cs="Arial" w:eastAsia="Arial" w:hint="default"/>
                <w:sz w:val="18"/>
                <w:szCs w:val="18"/>
              </w:rPr>
            </w:pPr>
            <w:r>
              <w:rPr>
                <w:rFonts w:ascii="Arial"/>
                <w:spacing w:val="-1"/>
                <w:sz w:val="18"/>
              </w:rPr>
              <w:t>42,588,507.17</w:t>
            </w:r>
            <w:r>
              <w:rPr>
                <w:rFonts w:ascii="Arial"/>
                <w:sz w:val="18"/>
              </w:rPr>
            </w:r>
          </w:p>
        </w:tc>
      </w:tr>
      <w:tr>
        <w:trPr>
          <w:trHeight w:val="342"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Arial" w:hAnsi="Arial" w:cs="Arial" w:eastAsia="Arial" w:hint="default"/>
                <w:sz w:val="18"/>
                <w:szCs w:val="18"/>
              </w:rPr>
            </w:pPr>
            <w:r>
              <w:rPr>
                <w:rFonts w:ascii="Arial"/>
                <w:spacing w:val="-1"/>
                <w:sz w:val="18"/>
              </w:rPr>
              <w:t>47,900,000.00</w:t>
            </w:r>
            <w:r>
              <w:rPr>
                <w:rFonts w:ascii="Arial"/>
                <w:sz w:val="18"/>
              </w:rPr>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-47,900,000.00</w:t>
            </w:r>
            <w:r>
              <w:rPr>
                <w:rFonts w:ascii="Arial"/>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w w:val="95"/>
                <w:sz w:val="18"/>
              </w:rPr>
              <w:t>--</w:t>
            </w:r>
            <w:r>
              <w:rPr>
                <w:rFonts w:ascii="Arial"/>
                <w:w w:val="95"/>
                <w:sz w:val="18"/>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w w:val="95"/>
                <w:sz w:val="18"/>
              </w:rPr>
              <w:t>--</w:t>
            </w:r>
            <w:r>
              <w:rPr>
                <w:rFonts w:ascii="Arial"/>
                <w:w w:val="95"/>
                <w:sz w:val="18"/>
              </w:rPr>
            </w:r>
          </w:p>
        </w:tc>
      </w:tr>
      <w:tr>
        <w:trPr>
          <w:trHeight w:val="342"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w w:val="95"/>
                <w:sz w:val="18"/>
              </w:rPr>
              <w:t>--</w:t>
            </w:r>
            <w:r>
              <w:rPr>
                <w:rFonts w:ascii="Arial"/>
                <w:w w:val="95"/>
                <w:sz w:val="18"/>
              </w:rPr>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6"/>
              <w:jc w:val="right"/>
              <w:rPr>
                <w:rFonts w:ascii="Arial" w:hAnsi="Arial" w:cs="Arial" w:eastAsia="Arial" w:hint="default"/>
                <w:sz w:val="18"/>
                <w:szCs w:val="18"/>
              </w:rPr>
            </w:pPr>
            <w:r>
              <w:rPr>
                <w:rFonts w:ascii="Arial"/>
                <w:spacing w:val="-1"/>
                <w:sz w:val="18"/>
              </w:rPr>
              <w:t>47,900,000.00</w:t>
            </w:r>
            <w:r>
              <w:rPr>
                <w:rFonts w:ascii="Arial"/>
                <w:sz w:val="18"/>
              </w:rPr>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30,822,530.86</w:t>
            </w:r>
            <w:r>
              <w:rPr>
                <w:rFonts w:ascii="Arial"/>
                <w:sz w:val="18"/>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6"/>
              <w:jc w:val="right"/>
              <w:rPr>
                <w:rFonts w:ascii="Arial" w:hAnsi="Arial" w:cs="Arial" w:eastAsia="Arial" w:hint="default"/>
                <w:sz w:val="18"/>
                <w:szCs w:val="18"/>
              </w:rPr>
            </w:pPr>
            <w:r>
              <w:rPr>
                <w:rFonts w:ascii="Arial"/>
                <w:spacing w:val="-1"/>
                <w:sz w:val="18"/>
              </w:rPr>
              <w:t>78,722,530.86</w:t>
            </w:r>
            <w:r>
              <w:rPr>
                <w:rFonts w:ascii="Arial"/>
                <w:sz w:val="18"/>
              </w:rPr>
            </w:r>
          </w:p>
        </w:tc>
      </w:tr>
      <w:tr>
        <w:trPr>
          <w:trHeight w:val="342"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b/>
                <w:bCs/>
                <w:sz w:val="18"/>
                <w:szCs w:val="18"/>
              </w:rPr>
              <w:t>负债：</w:t>
            </w:r>
            <w:r>
              <w:rPr>
                <w:rFonts w:ascii="宋体" w:hAnsi="宋体" w:cs="宋体" w:eastAsia="宋体" w:hint="default"/>
                <w:sz w:val="18"/>
                <w:szCs w:val="18"/>
              </w:rPr>
            </w:r>
          </w:p>
        </w:tc>
        <w:tc>
          <w:tcPr>
            <w:tcW w:w="1979"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430,000,000.00</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502,012.50</w:t>
            </w:r>
          </w:p>
        </w:tc>
        <w:tc>
          <w:tcPr>
            <w:tcW w:w="1843"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430,502,012.50</w:t>
            </w:r>
          </w:p>
        </w:tc>
      </w:tr>
      <w:tr>
        <w:trPr>
          <w:trHeight w:val="342"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502,012.50</w:t>
            </w:r>
          </w:p>
        </w:tc>
        <w:tc>
          <w:tcPr>
            <w:tcW w:w="19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Arial" w:hAnsi="Arial" w:cs="Arial" w:eastAsia="Arial" w:hint="default"/>
                <w:sz w:val="18"/>
                <w:szCs w:val="18"/>
              </w:rPr>
            </w:pPr>
            <w:r>
              <w:rPr>
                <w:rFonts w:ascii="Arial"/>
                <w:spacing w:val="-1"/>
                <w:sz w:val="18"/>
              </w:rPr>
              <w:t>-502,012.50</w:t>
            </w:r>
          </w:p>
        </w:tc>
        <w:tc>
          <w:tcPr>
            <w:tcW w:w="1843"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w w:val="95"/>
                <w:sz w:val="18"/>
              </w:rPr>
              <w:t>--</w:t>
            </w:r>
            <w:r>
              <w:rPr>
                <w:rFonts w:ascii="Arial"/>
                <w:w w:val="95"/>
                <w:sz w:val="18"/>
              </w:rPr>
            </w:r>
          </w:p>
        </w:tc>
        <w:tc>
          <w:tcPr>
            <w:tcW w:w="198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3,082,253.09</w:t>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3,082,253.09</w:t>
            </w:r>
          </w:p>
        </w:tc>
      </w:tr>
      <w:tr>
        <w:trPr>
          <w:trHeight w:val="342"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b/>
                <w:bCs/>
                <w:sz w:val="18"/>
                <w:szCs w:val="18"/>
              </w:rPr>
              <w:t>股东权益：</w:t>
            </w:r>
            <w:r>
              <w:rPr>
                <w:rFonts w:ascii="宋体" w:hAnsi="宋体" w:cs="宋体" w:eastAsia="宋体" w:hint="default"/>
                <w:sz w:val="18"/>
                <w:szCs w:val="18"/>
              </w:rPr>
            </w:r>
          </w:p>
        </w:tc>
        <w:tc>
          <w:tcPr>
            <w:tcW w:w="1979" w:type="dxa"/>
            <w:tcBorders>
              <w:top w:val="single" w:sz="4" w:space="0" w:color="000000"/>
              <w:left w:val="single" w:sz="4" w:space="0" w:color="000000"/>
              <w:bottom w:val="single" w:sz="4" w:space="0" w:color="000000"/>
              <w:right w:val="single" w:sz="4" w:space="0" w:color="000000"/>
            </w:tcBorders>
          </w:tcPr>
          <w:p>
            <w:pPr/>
          </w:p>
        </w:tc>
        <w:tc>
          <w:tcPr>
            <w:tcW w:w="198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Arial" w:hAnsi="Arial" w:cs="Arial" w:eastAsia="Arial" w:hint="default"/>
                <w:sz w:val="18"/>
                <w:szCs w:val="18"/>
              </w:rPr>
            </w:pPr>
            <w:r>
              <w:rPr>
                <w:rFonts w:ascii="Arial"/>
                <w:spacing w:val="-1"/>
                <w:sz w:val="18"/>
              </w:rPr>
              <w:t>7,403,655.99</w:t>
            </w:r>
          </w:p>
        </w:tc>
        <w:tc>
          <w:tcPr>
            <w:tcW w:w="198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27,740,277.77</w:t>
            </w:r>
            <w:r>
              <w:rPr>
                <w:rFonts w:ascii="Arial"/>
                <w:sz w:val="18"/>
              </w:rPr>
            </w: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6"/>
              <w:jc w:val="right"/>
              <w:rPr>
                <w:rFonts w:ascii="Arial" w:hAnsi="Arial" w:cs="Arial" w:eastAsia="Arial" w:hint="default"/>
                <w:sz w:val="18"/>
                <w:szCs w:val="18"/>
              </w:rPr>
            </w:pPr>
            <w:r>
              <w:rPr>
                <w:rFonts w:ascii="Arial"/>
                <w:spacing w:val="-1"/>
                <w:sz w:val="18"/>
              </w:rPr>
              <w:t>35,143,933.76</w:t>
            </w:r>
            <w:r>
              <w:rPr>
                <w:rFonts w:ascii="Arial"/>
                <w:sz w:val="18"/>
              </w:rPr>
            </w:r>
          </w:p>
        </w:tc>
      </w:tr>
      <w:tr>
        <w:trPr>
          <w:trHeight w:val="342"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Arial" w:hAnsi="Arial" w:cs="Arial" w:eastAsia="Arial" w:hint="default"/>
                <w:sz w:val="18"/>
                <w:szCs w:val="18"/>
              </w:rPr>
            </w:pPr>
            <w:r>
              <w:rPr>
                <w:rFonts w:ascii="Arial"/>
                <w:spacing w:val="-1"/>
                <w:sz w:val="18"/>
              </w:rPr>
              <w:t>67,571,711.68</w:t>
            </w:r>
            <w:r>
              <w:rPr>
                <w:rFonts w:ascii="Arial"/>
                <w:sz w:val="18"/>
              </w:rPr>
            </w:r>
          </w:p>
        </w:tc>
        <w:tc>
          <w:tcPr>
            <w:tcW w:w="198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Arial" w:hAnsi="Arial" w:cs="Arial" w:eastAsia="Arial" w:hint="default"/>
                <w:sz w:val="18"/>
                <w:szCs w:val="18"/>
              </w:rPr>
            </w:pPr>
            <w:r>
              <w:rPr>
                <w:rFonts w:ascii="Arial"/>
                <w:spacing w:val="-1"/>
                <w:sz w:val="18"/>
              </w:rPr>
              <w:t>67,571,711.68</w:t>
            </w:r>
            <w:r>
              <w:rPr>
                <w:rFonts w:ascii="Arial"/>
                <w:sz w:val="18"/>
              </w:rPr>
            </w:r>
          </w:p>
        </w:tc>
      </w:tr>
      <w:tr>
        <w:trPr>
          <w:trHeight w:val="342"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388,870,542.81</w:t>
            </w:r>
          </w:p>
        </w:tc>
        <w:tc>
          <w:tcPr>
            <w:tcW w:w="198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388,870,542.81</w:t>
            </w:r>
          </w:p>
        </w:tc>
      </w:tr>
      <w:tr>
        <w:trPr>
          <w:trHeight w:val="343" w:hRule="exact"/>
        </w:trPr>
        <w:tc>
          <w:tcPr>
            <w:tcW w:w="1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6"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6,679,995.14</w:t>
            </w:r>
          </w:p>
        </w:tc>
        <w:tc>
          <w:tcPr>
            <w:tcW w:w="1987"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6,679,995.14</w:t>
            </w:r>
          </w:p>
        </w:tc>
      </w:tr>
    </w:tbl>
    <w:p>
      <w:pPr>
        <w:spacing w:line="240" w:lineRule="auto" w:before="8"/>
        <w:rPr>
          <w:rFonts w:ascii="宋体" w:hAnsi="宋体" w:cs="宋体" w:eastAsia="宋体" w:hint="default"/>
          <w:sz w:val="6"/>
          <w:szCs w:val="6"/>
        </w:rPr>
      </w:pPr>
    </w:p>
    <w:p>
      <w:pPr>
        <w:pStyle w:val="BodyText"/>
        <w:spacing w:line="302" w:lineRule="auto" w:before="44"/>
        <w:ind w:left="293" w:right="1036" w:firstLine="360"/>
        <w:jc w:val="left"/>
      </w:pPr>
      <w:r>
        <w:rPr/>
        <w:t>本集团将根据原金融工具准则计量的</w:t>
      </w:r>
      <w:r>
        <w:rPr>
          <w:rFonts w:ascii="Arial" w:hAnsi="Arial" w:cs="Arial" w:eastAsia="Arial" w:hint="default"/>
        </w:rPr>
        <w:t>2018</w:t>
      </w:r>
      <w:r>
        <w:rPr/>
        <w:t>年年末损失准备与根据新金融工具准则确定的</w:t>
      </w:r>
      <w:r>
        <w:rPr>
          <w:rFonts w:ascii="Arial" w:hAnsi="Arial" w:cs="Arial" w:eastAsia="Arial" w:hint="default"/>
        </w:rPr>
        <w:t>2019</w:t>
      </w:r>
      <w:r>
        <w:rPr/>
        <w:t>年年初损失准备之间的调 节表列示如下：</w:t>
      </w:r>
    </w:p>
    <w:p>
      <w:pPr>
        <w:spacing w:line="240" w:lineRule="auto" w:before="10"/>
        <w:rPr>
          <w:rFonts w:ascii="宋体" w:hAnsi="宋体" w:cs="宋体" w:eastAsia="宋体" w:hint="default"/>
          <w:sz w:val="18"/>
          <w:szCs w:val="18"/>
        </w:rPr>
      </w:pPr>
    </w:p>
    <w:p>
      <w:pPr>
        <w:pStyle w:val="BodyText"/>
        <w:spacing w:line="240" w:lineRule="auto"/>
        <w:ind w:left="0" w:right="1311"/>
        <w:jc w:val="right"/>
      </w:pPr>
      <w:r>
        <w:rPr/>
        <w:t>单位：元</w:t>
      </w:r>
    </w:p>
    <w:p>
      <w:pPr>
        <w:spacing w:line="240" w:lineRule="auto" w:before="7"/>
        <w:rPr>
          <w:rFonts w:ascii="宋体" w:hAnsi="宋体" w:cs="宋体" w:eastAsia="宋体" w:hint="default"/>
          <w:sz w:val="21"/>
          <w:szCs w:val="21"/>
        </w:rPr>
      </w:pPr>
    </w:p>
    <w:tbl>
      <w:tblPr>
        <w:tblW w:w="0" w:type="auto"/>
        <w:jc w:val="left"/>
        <w:tblInd w:w="404" w:type="dxa"/>
        <w:tblLayout w:type="fixed"/>
        <w:tblCellMar>
          <w:top w:w="0" w:type="dxa"/>
          <w:left w:w="0" w:type="dxa"/>
          <w:bottom w:w="0" w:type="dxa"/>
          <w:right w:w="0" w:type="dxa"/>
        </w:tblCellMar>
        <w:tblLook w:val="01E0"/>
      </w:tblPr>
      <w:tblGrid>
        <w:gridCol w:w="2412"/>
        <w:gridCol w:w="1985"/>
        <w:gridCol w:w="1702"/>
        <w:gridCol w:w="1272"/>
        <w:gridCol w:w="2034"/>
      </w:tblGrid>
      <w:tr>
        <w:trPr>
          <w:trHeight w:val="654" w:hRule="exact"/>
        </w:trPr>
        <w:tc>
          <w:tcPr>
            <w:tcW w:w="241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调整前账面金额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（2018年12月31日）</w:t>
            </w:r>
          </w:p>
        </w:tc>
        <w:tc>
          <w:tcPr>
            <w:tcW w:w="170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重分类</w:t>
            </w:r>
          </w:p>
        </w:tc>
        <w:tc>
          <w:tcPr>
            <w:tcW w:w="12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20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0"/>
              <w:ind w:left="384" w:right="0"/>
              <w:jc w:val="left"/>
              <w:rPr>
                <w:rFonts w:ascii="宋体" w:hAnsi="宋体" w:cs="宋体" w:eastAsia="宋体" w:hint="default"/>
                <w:sz w:val="18"/>
                <w:szCs w:val="18"/>
              </w:rPr>
            </w:pPr>
            <w:r>
              <w:rPr>
                <w:rFonts w:ascii="宋体" w:hAnsi="宋体" w:cs="宋体" w:eastAsia="宋体" w:hint="default"/>
                <w:sz w:val="18"/>
                <w:szCs w:val="18"/>
              </w:rPr>
              <w:t>调整后账面金额</w:t>
            </w:r>
          </w:p>
          <w:p>
            <w:pPr>
              <w:pStyle w:val="TableParagraph"/>
              <w:spacing w:line="240" w:lineRule="auto" w:before="76"/>
              <w:ind w:left="294" w:right="0"/>
              <w:jc w:val="left"/>
              <w:rPr>
                <w:rFonts w:ascii="宋体" w:hAnsi="宋体" w:cs="宋体" w:eastAsia="宋体" w:hint="default"/>
                <w:sz w:val="18"/>
                <w:szCs w:val="18"/>
              </w:rPr>
            </w:pPr>
            <w:r>
              <w:rPr>
                <w:rFonts w:ascii="宋体" w:hAnsi="宋体" w:cs="宋体" w:eastAsia="宋体" w:hint="default"/>
                <w:sz w:val="18"/>
                <w:szCs w:val="18"/>
              </w:rPr>
              <w:t>（2019年1月1日）</w:t>
            </w:r>
          </w:p>
        </w:tc>
      </w:tr>
    </w:tbl>
    <w:p>
      <w:pPr>
        <w:spacing w:after="0" w:line="240" w:lineRule="auto"/>
        <w:jc w:val="left"/>
        <w:rPr>
          <w:rFonts w:ascii="宋体" w:hAnsi="宋体" w:cs="宋体" w:eastAsia="宋体" w:hint="default"/>
          <w:sz w:val="18"/>
          <w:szCs w:val="18"/>
        </w:rPr>
        <w:sectPr>
          <w:pgSz w:w="11910" w:h="16840"/>
          <w:pgMar w:header="747" w:footer="982" w:top="1060" w:bottom="1180" w:left="840" w:right="0"/>
        </w:sectPr>
      </w:pPr>
    </w:p>
    <w:p>
      <w:pPr>
        <w:spacing w:line="240" w:lineRule="auto" w:before="6"/>
        <w:rPr>
          <w:rFonts w:ascii="宋体" w:hAnsi="宋体" w:cs="宋体" w:eastAsia="宋体" w:hint="default"/>
          <w:sz w:val="28"/>
          <w:szCs w:val="28"/>
        </w:rPr>
      </w:pPr>
    </w:p>
    <w:tbl>
      <w:tblPr>
        <w:tblW w:w="0" w:type="auto"/>
        <w:jc w:val="left"/>
        <w:tblInd w:w="264" w:type="dxa"/>
        <w:tblLayout w:type="fixed"/>
        <w:tblCellMar>
          <w:top w:w="0" w:type="dxa"/>
          <w:left w:w="0" w:type="dxa"/>
          <w:bottom w:w="0" w:type="dxa"/>
          <w:right w:w="0" w:type="dxa"/>
        </w:tblCellMar>
        <w:tblLook w:val="01E0"/>
      </w:tblPr>
      <w:tblGrid>
        <w:gridCol w:w="2412"/>
        <w:gridCol w:w="1985"/>
        <w:gridCol w:w="1702"/>
        <w:gridCol w:w="1272"/>
        <w:gridCol w:w="2036"/>
      </w:tblGrid>
      <w:tr>
        <w:trPr>
          <w:trHeight w:val="34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应收账款减值准备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23,520,896.64</w:t>
            </w:r>
            <w:r>
              <w:rPr>
                <w:rFonts w:ascii="Arial"/>
                <w:sz w:val="18"/>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23,520,896.64</w:t>
            </w:r>
            <w:r>
              <w:rPr>
                <w:rFonts w:ascii="Arial"/>
                <w:sz w:val="18"/>
              </w:rPr>
            </w:r>
          </w:p>
        </w:tc>
      </w:tr>
      <w:tr>
        <w:trPr>
          <w:trHeight w:val="342" w:hRule="exact"/>
        </w:trPr>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其他应收款减值准备</w:t>
            </w:r>
          </w:p>
        </w:tc>
        <w:tc>
          <w:tcPr>
            <w:tcW w:w="1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11,771,209.01</w:t>
            </w:r>
            <w:r>
              <w:rPr>
                <w:rFonts w:ascii="Arial"/>
                <w:sz w:val="18"/>
              </w:rPr>
            </w:r>
          </w:p>
        </w:tc>
        <w:tc>
          <w:tcPr>
            <w:tcW w:w="1702" w:type="dxa"/>
            <w:tcBorders>
              <w:top w:val="single" w:sz="4" w:space="0" w:color="000000"/>
              <w:left w:val="single" w:sz="4" w:space="0" w:color="000000"/>
              <w:bottom w:val="single" w:sz="4" w:space="0" w:color="000000"/>
              <w:right w:val="single" w:sz="4" w:space="0" w:color="000000"/>
            </w:tcBorders>
          </w:tcPr>
          <w:p>
            <w:pPr/>
          </w:p>
        </w:tc>
        <w:tc>
          <w:tcPr>
            <w:tcW w:w="1272" w:type="dxa"/>
            <w:tcBorders>
              <w:top w:val="single" w:sz="4" w:space="0" w:color="000000"/>
              <w:left w:val="single" w:sz="4" w:space="0" w:color="000000"/>
              <w:bottom w:val="single" w:sz="4" w:space="0" w:color="000000"/>
              <w:right w:val="single" w:sz="4" w:space="0" w:color="000000"/>
            </w:tcBorders>
          </w:tcPr>
          <w:p>
            <w:pPr/>
          </w:p>
        </w:tc>
        <w:tc>
          <w:tcPr>
            <w:tcW w:w="20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11,771,209.01</w:t>
            </w:r>
            <w:r>
              <w:rPr>
                <w:rFonts w:ascii="Arial"/>
                <w:sz w:val="18"/>
              </w:rPr>
            </w:r>
          </w:p>
        </w:tc>
      </w:tr>
    </w:tbl>
    <w:p>
      <w:pPr>
        <w:spacing w:line="240" w:lineRule="auto" w:before="1"/>
        <w:rPr>
          <w:rFonts w:ascii="宋体" w:hAnsi="宋体" w:cs="宋体" w:eastAsia="宋体" w:hint="default"/>
          <w:sz w:val="7"/>
          <w:szCs w:val="7"/>
        </w:rPr>
      </w:pPr>
    </w:p>
    <w:p>
      <w:pPr>
        <w:pStyle w:val="BodyText"/>
        <w:spacing w:line="302" w:lineRule="exact"/>
        <w:ind w:left="514" w:right="2239"/>
        <w:jc w:val="left"/>
      </w:pPr>
      <w:r>
        <w:rPr>
          <w:rFonts w:ascii="微软雅黑" w:hAnsi="微软雅黑" w:cs="微软雅黑" w:eastAsia="微软雅黑" w:hint="default"/>
        </w:rPr>
        <w:t>②</w:t>
      </w:r>
      <w:r>
        <w:rPr/>
        <w:t>新债务重组准则</w:t>
      </w:r>
    </w:p>
    <w:p>
      <w:pPr>
        <w:spacing w:line="240" w:lineRule="auto" w:before="3"/>
        <w:rPr>
          <w:rFonts w:ascii="宋体" w:hAnsi="宋体" w:cs="宋体" w:eastAsia="宋体" w:hint="default"/>
          <w:sz w:val="20"/>
          <w:szCs w:val="20"/>
        </w:rPr>
      </w:pPr>
    </w:p>
    <w:p>
      <w:pPr>
        <w:pStyle w:val="BodyText"/>
        <w:spacing w:line="302" w:lineRule="auto"/>
        <w:ind w:right="1129" w:firstLine="360"/>
        <w:jc w:val="both"/>
      </w:pPr>
      <w:r>
        <w:rPr/>
        <w:t>财政部于</w:t>
      </w:r>
      <w:r>
        <w:rPr>
          <w:rFonts w:ascii="Arial" w:hAnsi="Arial" w:cs="Arial" w:eastAsia="Arial" w:hint="default"/>
        </w:rPr>
        <w:t>2019</w:t>
      </w:r>
      <w:r>
        <w:rPr/>
        <w:t>年</w:t>
      </w:r>
      <w:r>
        <w:rPr>
          <w:rFonts w:ascii="Arial" w:hAnsi="Arial" w:cs="Arial" w:eastAsia="Arial" w:hint="default"/>
        </w:rPr>
        <w:t>5</w:t>
      </w:r>
      <w:r>
        <w:rPr/>
        <w:t>月</w:t>
      </w:r>
      <w:r>
        <w:rPr>
          <w:rFonts w:ascii="Arial" w:hAnsi="Arial" w:cs="Arial" w:eastAsia="Arial" w:hint="default"/>
        </w:rPr>
        <w:t>16</w:t>
      </w:r>
      <w:r>
        <w:rPr/>
        <w:t>日发布了《企业会计准则第</w:t>
      </w:r>
      <w:r>
        <w:rPr>
          <w:rFonts w:ascii="Arial" w:hAnsi="Arial" w:cs="Arial" w:eastAsia="Arial" w:hint="default"/>
        </w:rPr>
        <w:t>12</w:t>
      </w:r>
      <w:r>
        <w:rPr/>
        <w:t>号</w:t>
      </w:r>
      <w:r>
        <w:rPr>
          <w:rFonts w:ascii="Arial" w:hAnsi="Arial" w:cs="Arial" w:eastAsia="Arial" w:hint="default"/>
        </w:rPr>
        <w:t>——</w:t>
      </w:r>
      <w:r>
        <w:rPr/>
        <w:t>债务重组》（以下简称</w:t>
      </w:r>
      <w:r>
        <w:rPr>
          <w:rFonts w:ascii="Arial" w:hAnsi="Arial" w:cs="Arial" w:eastAsia="Arial" w:hint="default"/>
        </w:rPr>
        <w:t>”</w:t>
      </w:r>
      <w:r>
        <w:rPr>
          <w:rFonts w:ascii="Arial" w:hAnsi="Arial" w:cs="Arial" w:eastAsia="Arial" w:hint="default"/>
          <w:spacing w:val="41"/>
        </w:rPr>
        <w:t> </w:t>
      </w:r>
      <w:r>
        <w:rPr/>
        <w:t>新债务重组准则</w:t>
      </w:r>
      <w:r>
        <w:rPr>
          <w:rFonts w:ascii="Arial" w:hAnsi="Arial" w:cs="Arial" w:eastAsia="Arial" w:hint="default"/>
        </w:rPr>
        <w:t>”)</w:t>
      </w:r>
      <w:r>
        <w:rPr/>
        <w:t>，修改了债务重 组的定义，明确了债务重组中涉及金融工具的适用《企业会计准则第</w:t>
      </w:r>
      <w:r>
        <w:rPr>
          <w:spacing w:val="29"/>
        </w:rPr>
        <w:t> </w:t>
      </w:r>
      <w:r>
        <w:rPr>
          <w:rFonts w:ascii="Arial" w:hAnsi="Arial" w:cs="Arial" w:eastAsia="Arial" w:hint="default"/>
        </w:rPr>
        <w:t>22</w:t>
      </w:r>
      <w:r>
        <w:rPr>
          <w:rFonts w:ascii="Arial" w:hAnsi="Arial" w:cs="Arial" w:eastAsia="Arial" w:hint="default"/>
          <w:spacing w:val="17"/>
        </w:rPr>
        <w:t> </w:t>
      </w:r>
      <w:r>
        <w:rPr/>
        <w:t>号</w:t>
      </w:r>
      <w:r>
        <w:rPr>
          <w:rFonts w:ascii="Arial" w:hAnsi="Arial" w:cs="Arial" w:eastAsia="Arial" w:hint="default"/>
        </w:rPr>
        <w:t>——</w:t>
      </w:r>
      <w:r>
        <w:rPr/>
        <w:t>金融工具确认和计量》等准则，明确了债</w:t>
      </w:r>
      <w:r>
        <w:rPr>
          <w:spacing w:val="-84"/>
        </w:rPr>
        <w:t> </w:t>
      </w:r>
      <w:r>
        <w:rPr>
          <w:spacing w:val="-84"/>
        </w:rPr>
      </w:r>
      <w:r>
        <w:rPr/>
        <w:t>权人受让金融资产以外的资产初始按成本计量，明确债务人以资产清偿债务时不再区分资产处置损益与债务重组损益。</w:t>
      </w:r>
    </w:p>
    <w:p>
      <w:pPr>
        <w:spacing w:line="240" w:lineRule="auto" w:before="10"/>
        <w:rPr>
          <w:rFonts w:ascii="宋体" w:hAnsi="宋体" w:cs="宋体" w:eastAsia="宋体" w:hint="default"/>
          <w:sz w:val="18"/>
          <w:szCs w:val="18"/>
        </w:rPr>
      </w:pPr>
    </w:p>
    <w:p>
      <w:pPr>
        <w:pStyle w:val="BodyText"/>
        <w:spacing w:line="302" w:lineRule="auto"/>
        <w:ind w:left="153" w:right="1131" w:firstLine="360"/>
        <w:jc w:val="both"/>
      </w:pPr>
      <w:r>
        <w:rPr>
          <w:spacing w:val="-1"/>
        </w:rPr>
        <w:t>根据财会</w:t>
      </w:r>
      <w:r>
        <w:rPr>
          <w:rFonts w:ascii="Arial" w:hAnsi="Arial" w:cs="Arial" w:eastAsia="Arial" w:hint="default"/>
          <w:spacing w:val="-1"/>
        </w:rPr>
        <w:t>[2019]6</w:t>
      </w:r>
      <w:r>
        <w:rPr>
          <w:spacing w:val="-1"/>
        </w:rPr>
        <w:t>号文件的规定，</w:t>
      </w:r>
      <w:r>
        <w:rPr>
          <w:rFonts w:ascii="Arial" w:hAnsi="Arial" w:cs="Arial" w:eastAsia="Arial" w:hint="default"/>
          <w:spacing w:val="-1"/>
        </w:rPr>
        <w:t>“</w:t>
      </w:r>
      <w:r>
        <w:rPr>
          <w:spacing w:val="-1"/>
        </w:rPr>
        <w:t>营业外收入</w:t>
      </w:r>
      <w:r>
        <w:rPr>
          <w:rFonts w:ascii="Arial" w:hAnsi="Arial" w:cs="Arial" w:eastAsia="Arial" w:hint="default"/>
          <w:spacing w:val="-1"/>
        </w:rPr>
        <w:t>”</w:t>
      </w:r>
      <w:r>
        <w:rPr>
          <w:spacing w:val="-1"/>
        </w:rPr>
        <w:t>和</w:t>
      </w:r>
      <w:r>
        <w:rPr>
          <w:rFonts w:ascii="Arial" w:hAnsi="Arial" w:cs="Arial" w:eastAsia="Arial" w:hint="default"/>
          <w:spacing w:val="-1"/>
        </w:rPr>
        <w:t>“</w:t>
      </w:r>
      <w:r>
        <w:rPr>
          <w:spacing w:val="-1"/>
        </w:rPr>
        <w:t>营业外支出</w:t>
      </w:r>
      <w:r>
        <w:rPr>
          <w:rFonts w:ascii="Arial" w:hAnsi="Arial" w:cs="Arial" w:eastAsia="Arial" w:hint="default"/>
          <w:spacing w:val="-1"/>
        </w:rPr>
        <w:t>”</w:t>
      </w:r>
      <w:r>
        <w:rPr>
          <w:spacing w:val="-1"/>
        </w:rPr>
        <w:t>项目不再包含债务重组中因处置非流动资产产生的利得或</w:t>
      </w:r>
      <w:r>
        <w:rPr/>
        <w:t> 损失。</w:t>
      </w:r>
    </w:p>
    <w:p>
      <w:pPr>
        <w:spacing w:line="240" w:lineRule="auto" w:before="5"/>
        <w:rPr>
          <w:rFonts w:ascii="宋体" w:hAnsi="宋体" w:cs="宋体" w:eastAsia="宋体" w:hint="default"/>
          <w:sz w:val="15"/>
          <w:szCs w:val="15"/>
        </w:rPr>
      </w:pPr>
    </w:p>
    <w:p>
      <w:pPr>
        <w:pStyle w:val="BodyText"/>
        <w:spacing w:line="240" w:lineRule="auto" w:before="44"/>
        <w:ind w:left="513" w:right="0"/>
        <w:jc w:val="left"/>
      </w:pPr>
      <w:r>
        <w:rPr>
          <w:spacing w:val="2"/>
        </w:rPr>
        <w:t>本集团对</w:t>
      </w:r>
      <w:r>
        <w:rPr>
          <w:rFonts w:ascii="Arial" w:hAnsi="Arial" w:cs="Arial" w:eastAsia="Arial" w:hint="default"/>
          <w:spacing w:val="2"/>
        </w:rPr>
        <w:t>2019</w:t>
      </w:r>
      <w:r>
        <w:rPr>
          <w:spacing w:val="2"/>
        </w:rPr>
        <w:t>年</w:t>
      </w:r>
      <w:r>
        <w:rPr>
          <w:rFonts w:ascii="Arial" w:hAnsi="Arial" w:cs="Arial" w:eastAsia="Arial" w:hint="default"/>
          <w:spacing w:val="2"/>
        </w:rPr>
        <w:t>1</w:t>
      </w:r>
      <w:r>
        <w:rPr>
          <w:spacing w:val="2"/>
        </w:rPr>
        <w:t>月</w:t>
      </w:r>
      <w:r>
        <w:rPr>
          <w:rFonts w:ascii="Arial" w:hAnsi="Arial" w:cs="Arial" w:eastAsia="Arial" w:hint="default"/>
          <w:spacing w:val="2"/>
        </w:rPr>
        <w:t>1</w:t>
      </w:r>
      <w:r>
        <w:rPr>
          <w:spacing w:val="2"/>
        </w:rPr>
        <w:t>日新发生的债务重组采用未来适用法处理，对</w:t>
      </w:r>
      <w:r>
        <w:rPr>
          <w:rFonts w:ascii="Arial" w:hAnsi="Arial" w:cs="Arial" w:eastAsia="Arial" w:hint="default"/>
          <w:spacing w:val="2"/>
        </w:rPr>
        <w:t>2019</w:t>
      </w:r>
      <w:r>
        <w:rPr>
          <w:spacing w:val="2"/>
        </w:rPr>
        <w:t>年</w:t>
      </w:r>
      <w:r>
        <w:rPr>
          <w:rFonts w:ascii="Arial" w:hAnsi="Arial" w:cs="Arial" w:eastAsia="Arial" w:hint="default"/>
          <w:spacing w:val="2"/>
        </w:rPr>
        <w:t>1</w:t>
      </w:r>
      <w:r>
        <w:rPr>
          <w:spacing w:val="2"/>
        </w:rPr>
        <w:t>月</w:t>
      </w:r>
      <w:r>
        <w:rPr>
          <w:rFonts w:ascii="Arial" w:hAnsi="Arial" w:cs="Arial" w:eastAsia="Arial" w:hint="default"/>
          <w:spacing w:val="2"/>
        </w:rPr>
        <w:t>1</w:t>
      </w:r>
      <w:r>
        <w:rPr>
          <w:spacing w:val="2"/>
        </w:rPr>
        <w:t>日以前发生的债务重组不进行追溯调</w:t>
      </w:r>
    </w:p>
    <w:p>
      <w:pPr>
        <w:pStyle w:val="BodyText"/>
        <w:spacing w:line="240" w:lineRule="auto" w:before="63"/>
        <w:ind w:left="153" w:right="2239"/>
        <w:jc w:val="left"/>
      </w:pPr>
      <w:r>
        <w:rPr/>
        <w:t>整。</w:t>
      </w:r>
    </w:p>
    <w:p>
      <w:pPr>
        <w:spacing w:line="240" w:lineRule="auto" w:before="12"/>
        <w:rPr>
          <w:rFonts w:ascii="宋体" w:hAnsi="宋体" w:cs="宋体" w:eastAsia="宋体" w:hint="default"/>
          <w:sz w:val="18"/>
          <w:szCs w:val="18"/>
        </w:rPr>
      </w:pPr>
    </w:p>
    <w:p>
      <w:pPr>
        <w:pStyle w:val="BodyText"/>
        <w:spacing w:line="240" w:lineRule="auto" w:before="44"/>
        <w:ind w:left="513" w:right="2239"/>
        <w:jc w:val="left"/>
      </w:pPr>
      <w:r>
        <w:rPr/>
        <w:t>③新非货币性交换准则</w:t>
      </w:r>
    </w:p>
    <w:p>
      <w:pPr>
        <w:spacing w:line="240" w:lineRule="auto" w:before="5"/>
        <w:rPr>
          <w:rFonts w:ascii="宋体" w:hAnsi="宋体" w:cs="宋体" w:eastAsia="宋体" w:hint="default"/>
          <w:sz w:val="22"/>
          <w:szCs w:val="22"/>
        </w:rPr>
      </w:pPr>
    </w:p>
    <w:p>
      <w:pPr>
        <w:pStyle w:val="BodyText"/>
        <w:spacing w:line="307" w:lineRule="auto"/>
        <w:ind w:left="153" w:right="1127" w:firstLine="360"/>
        <w:jc w:val="both"/>
      </w:pPr>
      <w:r>
        <w:rPr/>
        <w:t>财政部于</w:t>
      </w:r>
      <w:r>
        <w:rPr>
          <w:rFonts w:ascii="Arial" w:hAnsi="Arial" w:cs="Arial" w:eastAsia="Arial" w:hint="default"/>
        </w:rPr>
        <w:t>2019</w:t>
      </w:r>
      <w:r>
        <w:rPr/>
        <w:t>年</w:t>
      </w:r>
      <w:r>
        <w:rPr>
          <w:rFonts w:ascii="Arial" w:hAnsi="Arial" w:cs="Arial" w:eastAsia="Arial" w:hint="default"/>
        </w:rPr>
        <w:t>5</w:t>
      </w:r>
      <w:r>
        <w:rPr/>
        <w:t>月</w:t>
      </w:r>
      <w:r>
        <w:rPr>
          <w:rFonts w:ascii="Arial" w:hAnsi="Arial" w:cs="Arial" w:eastAsia="Arial" w:hint="default"/>
        </w:rPr>
        <w:t>9</w:t>
      </w:r>
      <w:r>
        <w:rPr/>
        <w:t>日发布了《企业会计准则第</w:t>
      </w:r>
      <w:r>
        <w:rPr>
          <w:rFonts w:ascii="Arial" w:hAnsi="Arial" w:cs="Arial" w:eastAsia="Arial" w:hint="default"/>
        </w:rPr>
        <w:t>7</w:t>
      </w:r>
      <w:r>
        <w:rPr/>
        <w:t>号</w:t>
      </w:r>
      <w:r>
        <w:rPr>
          <w:rFonts w:ascii="Arial" w:hAnsi="Arial" w:cs="Arial" w:eastAsia="Arial" w:hint="default"/>
        </w:rPr>
        <w:t>——</w:t>
      </w:r>
      <w:r>
        <w:rPr/>
        <w:t>非货币性资产交换》（以下简称</w:t>
      </w:r>
      <w:r>
        <w:rPr>
          <w:rFonts w:ascii="Arial" w:hAnsi="Arial" w:cs="Arial" w:eastAsia="Arial" w:hint="default"/>
        </w:rPr>
        <w:t>“</w:t>
      </w:r>
      <w:r>
        <w:rPr/>
        <w:t>新非货币性交换准则</w:t>
      </w:r>
      <w:r>
        <w:rPr>
          <w:rFonts w:ascii="Arial" w:hAnsi="Arial" w:cs="Arial" w:eastAsia="Arial" w:hint="default"/>
        </w:rPr>
        <w:t>”</w:t>
      </w:r>
      <w:r>
        <w:rPr/>
        <w:t>），明 </w:t>
      </w:r>
      <w:r>
        <w:rPr>
          <w:spacing w:val="-2"/>
        </w:rPr>
        <w:t>确了货币性资产和非货币性资产的概念和准则的适用范围，明确了非货币性资产交换的确认时点，明确了不同条件下非货币</w:t>
      </w:r>
      <w:r>
        <w:rPr>
          <w:spacing w:val="-64"/>
        </w:rPr>
        <w:t> </w:t>
      </w:r>
      <w:r>
        <w:rPr>
          <w:spacing w:val="-64"/>
        </w:rPr>
      </w:r>
      <w:r>
        <w:rPr/>
        <w:t>性资产交换的价值计量基础和核算方法及同时完善了相关信息披露要求。本集团对</w:t>
      </w:r>
      <w:r>
        <w:rPr>
          <w:rFonts w:ascii="Arial" w:hAnsi="Arial" w:cs="Arial" w:eastAsia="Arial" w:hint="default"/>
        </w:rPr>
        <w:t>2019</w:t>
      </w:r>
      <w:r>
        <w:rPr/>
        <w:t>年</w:t>
      </w:r>
      <w:r>
        <w:rPr>
          <w:rFonts w:ascii="Arial" w:hAnsi="Arial" w:cs="Arial" w:eastAsia="Arial" w:hint="default"/>
        </w:rPr>
        <w:t>1</w:t>
      </w:r>
      <w:r>
        <w:rPr/>
        <w:t>月</w:t>
      </w:r>
      <w:r>
        <w:rPr>
          <w:rFonts w:ascii="Arial" w:hAnsi="Arial" w:cs="Arial" w:eastAsia="Arial" w:hint="default"/>
        </w:rPr>
        <w:t>1</w:t>
      </w:r>
      <w:r>
        <w:rPr/>
        <w:t>日以后新发生的非货币性资</w:t>
      </w:r>
      <w:r>
        <w:rPr>
          <w:spacing w:val="-61"/>
        </w:rPr>
        <w:t> </w:t>
      </w:r>
      <w:r>
        <w:rPr>
          <w:spacing w:val="-61"/>
        </w:rPr>
      </w:r>
      <w:r>
        <w:rPr/>
        <w:t>产交换交易采用未来适用法处理，对</w:t>
      </w:r>
      <w:r>
        <w:rPr>
          <w:rFonts w:ascii="Arial" w:hAnsi="Arial" w:cs="Arial" w:eastAsia="Arial" w:hint="default"/>
        </w:rPr>
        <w:t>2019</w:t>
      </w:r>
      <w:r>
        <w:rPr/>
        <w:t>年</w:t>
      </w:r>
      <w:r>
        <w:rPr>
          <w:rFonts w:ascii="Arial" w:hAnsi="Arial" w:cs="Arial" w:eastAsia="Arial" w:hint="default"/>
        </w:rPr>
        <w:t>1</w:t>
      </w:r>
      <w:r>
        <w:rPr/>
        <w:t>月</w:t>
      </w:r>
      <w:r>
        <w:rPr>
          <w:rFonts w:ascii="Arial" w:hAnsi="Arial" w:cs="Arial" w:eastAsia="Arial" w:hint="default"/>
        </w:rPr>
        <w:t>1</w:t>
      </w:r>
      <w:r>
        <w:rPr/>
        <w:t>日以前发生的非货币性资产交换交易不进行追溯调整。</w:t>
      </w:r>
    </w:p>
    <w:p>
      <w:pPr>
        <w:pStyle w:val="BodyText"/>
        <w:spacing w:line="528" w:lineRule="exact" w:before="11"/>
        <w:ind w:left="513" w:right="0"/>
        <w:jc w:val="left"/>
        <w:rPr>
          <w:rFonts w:ascii="Arial" w:hAnsi="Arial" w:cs="Arial" w:eastAsia="Arial" w:hint="default"/>
        </w:rPr>
      </w:pPr>
      <w:r>
        <w:rPr/>
        <w:t>④财务报表格式 </w:t>
      </w:r>
      <w:r>
        <w:rPr>
          <w:spacing w:val="-1"/>
        </w:rPr>
        <w:t>财政部于</w:t>
      </w:r>
      <w:r>
        <w:rPr>
          <w:rFonts w:ascii="Arial" w:hAnsi="Arial" w:cs="Arial" w:eastAsia="Arial" w:hint="default"/>
          <w:spacing w:val="-1"/>
        </w:rPr>
        <w:t>2019</w:t>
      </w:r>
      <w:r>
        <w:rPr>
          <w:spacing w:val="-1"/>
        </w:rPr>
        <w:t>年</w:t>
      </w:r>
      <w:r>
        <w:rPr>
          <w:rFonts w:ascii="Arial" w:hAnsi="Arial" w:cs="Arial" w:eastAsia="Arial" w:hint="default"/>
          <w:spacing w:val="-1"/>
        </w:rPr>
        <w:t>4</w:t>
      </w:r>
      <w:r>
        <w:rPr>
          <w:spacing w:val="-1"/>
        </w:rPr>
        <w:t>月发布了《财政部关于修订印发</w:t>
      </w:r>
      <w:r>
        <w:rPr>
          <w:rFonts w:ascii="Arial" w:hAnsi="Arial" w:cs="Arial" w:eastAsia="Arial" w:hint="default"/>
          <w:spacing w:val="-1"/>
        </w:rPr>
        <w:t>2019</w:t>
      </w:r>
      <w:r>
        <w:rPr>
          <w:spacing w:val="-1"/>
        </w:rPr>
        <w:t>年度一般企业财务报表格式的通知》（财会</w:t>
      </w:r>
      <w:r>
        <w:rPr>
          <w:rFonts w:ascii="Arial" w:hAnsi="Arial" w:cs="Arial" w:eastAsia="Arial" w:hint="default"/>
          <w:spacing w:val="-1"/>
        </w:rPr>
        <w:t>[2019]6</w:t>
      </w:r>
      <w:r>
        <w:rPr>
          <w:spacing w:val="-1"/>
        </w:rPr>
        <w:t>号），</w:t>
      </w:r>
      <w:r>
        <w:rPr>
          <w:rFonts w:ascii="Arial" w:hAnsi="Arial" w:cs="Arial" w:eastAsia="Arial" w:hint="default"/>
          <w:spacing w:val="-1"/>
        </w:rPr>
        <w:t>2018</w:t>
      </w:r>
      <w:r>
        <w:rPr>
          <w:rFonts w:ascii="Arial" w:hAnsi="Arial" w:cs="Arial" w:eastAsia="Arial" w:hint="default"/>
        </w:rPr>
      </w:r>
    </w:p>
    <w:p>
      <w:pPr>
        <w:pStyle w:val="BodyText"/>
        <w:spacing w:line="302" w:lineRule="auto"/>
        <w:ind w:left="153" w:right="1122" w:hanging="1"/>
        <w:jc w:val="both"/>
      </w:pPr>
      <w:r>
        <w:rPr>
          <w:spacing w:val="-2"/>
        </w:rPr>
        <w:t>年</w:t>
      </w:r>
      <w:r>
        <w:rPr>
          <w:rFonts w:ascii="Arial" w:hAnsi="Arial" w:cs="Arial" w:eastAsia="Arial" w:hint="default"/>
          <w:spacing w:val="-2"/>
        </w:rPr>
        <w:t>6</w:t>
      </w:r>
      <w:r>
        <w:rPr>
          <w:spacing w:val="-2"/>
        </w:rPr>
        <w:t>月发布的《财政部关于修订印发</w:t>
      </w:r>
      <w:r>
        <w:rPr>
          <w:rFonts w:ascii="Arial" w:hAnsi="Arial" w:cs="Arial" w:eastAsia="Arial" w:hint="default"/>
          <w:spacing w:val="-2"/>
        </w:rPr>
        <w:t>2018</w:t>
      </w:r>
      <w:r>
        <w:rPr>
          <w:spacing w:val="-2"/>
        </w:rPr>
        <w:t>年度一般企业财务报表格式的通知》（财会</w:t>
      </w:r>
      <w:r>
        <w:rPr>
          <w:rFonts w:ascii="Arial" w:hAnsi="Arial" w:cs="Arial" w:eastAsia="Arial" w:hint="default"/>
          <w:spacing w:val="-2"/>
        </w:rPr>
        <w:t>[2018]15</w:t>
      </w:r>
      <w:r>
        <w:rPr>
          <w:spacing w:val="-2"/>
        </w:rPr>
        <w:t>号）同时废止，本公司于</w:t>
      </w:r>
      <w:r>
        <w:rPr>
          <w:rFonts w:ascii="Arial" w:hAnsi="Arial" w:cs="Arial" w:eastAsia="Arial" w:hint="default"/>
          <w:spacing w:val="-2"/>
        </w:rPr>
        <w:t>2019</w:t>
      </w:r>
      <w:r>
        <w:rPr>
          <w:rFonts w:ascii="Arial" w:hAnsi="Arial" w:cs="Arial" w:eastAsia="Arial" w:hint="default"/>
          <w:spacing w:val="-4"/>
        </w:rPr>
        <w:t> </w:t>
      </w:r>
      <w:r>
        <w:rPr>
          <w:rFonts w:ascii="Arial" w:hAnsi="Arial" w:cs="Arial" w:eastAsia="Arial" w:hint="default"/>
          <w:spacing w:val="-4"/>
        </w:rPr>
      </w:r>
      <w:r>
        <w:rPr/>
        <w:t>年</w:t>
      </w:r>
      <w:r>
        <w:rPr>
          <w:rFonts w:ascii="Arial" w:hAnsi="Arial" w:cs="Arial" w:eastAsia="Arial" w:hint="default"/>
        </w:rPr>
        <w:t>8</w:t>
      </w:r>
      <w:r>
        <w:rPr/>
        <w:t>月</w:t>
      </w:r>
      <w:r>
        <w:rPr>
          <w:rFonts w:ascii="Arial" w:hAnsi="Arial" w:cs="Arial" w:eastAsia="Arial" w:hint="default"/>
        </w:rPr>
        <w:t>22</w:t>
      </w:r>
      <w:r>
        <w:rPr/>
        <w:t>日召开的第四届董事会第十八次会议通过了以上变更；财政部于</w:t>
      </w:r>
      <w:r>
        <w:rPr>
          <w:rFonts w:ascii="Arial" w:hAnsi="Arial" w:cs="Arial" w:eastAsia="Arial" w:hint="default"/>
        </w:rPr>
        <w:t>2019</w:t>
      </w:r>
      <w:r>
        <w:rPr/>
        <w:t>年</w:t>
      </w:r>
      <w:r>
        <w:rPr>
          <w:rFonts w:ascii="Arial" w:hAnsi="Arial" w:cs="Arial" w:eastAsia="Arial" w:hint="default"/>
        </w:rPr>
        <w:t>9</w:t>
      </w:r>
      <w:r>
        <w:rPr/>
        <w:t>月发布了《财政部关于修订印发合并财务</w:t>
      </w:r>
      <w:r>
        <w:rPr>
          <w:spacing w:val="-84"/>
        </w:rPr>
        <w:t> </w:t>
      </w:r>
      <w:r>
        <w:rPr>
          <w:spacing w:val="-84"/>
        </w:rPr>
      </w:r>
      <w:r>
        <w:rPr>
          <w:spacing w:val="-7"/>
        </w:rPr>
        <w:t>报表格式（</w:t>
      </w:r>
      <w:r>
        <w:rPr>
          <w:rFonts w:ascii="Arial" w:hAnsi="Arial" w:cs="Arial" w:eastAsia="Arial" w:hint="default"/>
          <w:spacing w:val="-7"/>
        </w:rPr>
        <w:t>2019</w:t>
      </w:r>
      <w:r>
        <w:rPr>
          <w:spacing w:val="-7"/>
        </w:rPr>
        <w:t>版）的通知》（财会</w:t>
      </w:r>
      <w:r>
        <w:rPr>
          <w:rFonts w:ascii="Arial" w:hAnsi="Arial" w:cs="Arial" w:eastAsia="Arial" w:hint="default"/>
          <w:spacing w:val="-7"/>
        </w:rPr>
        <w:t>[2019]16</w:t>
      </w:r>
      <w:r>
        <w:rPr>
          <w:spacing w:val="-7"/>
        </w:rPr>
        <w:t>号），《财政部关于修订印发</w:t>
      </w:r>
      <w:r>
        <w:rPr>
          <w:rFonts w:ascii="Arial" w:hAnsi="Arial" w:cs="Arial" w:eastAsia="Arial" w:hint="default"/>
          <w:spacing w:val="-7"/>
        </w:rPr>
        <w:t>2018</w:t>
      </w:r>
      <w:r>
        <w:rPr>
          <w:spacing w:val="-7"/>
        </w:rPr>
        <w:t>年度合并财务报表格式的通知》（财会</w:t>
      </w:r>
      <w:r>
        <w:rPr>
          <w:rFonts w:ascii="Arial" w:hAnsi="Arial" w:cs="Arial" w:eastAsia="Arial" w:hint="default"/>
          <w:spacing w:val="-7"/>
        </w:rPr>
        <w:t>[2019]1</w:t>
      </w:r>
      <w:r>
        <w:rPr>
          <w:rFonts w:ascii="Arial" w:hAnsi="Arial" w:cs="Arial" w:eastAsia="Arial" w:hint="default"/>
          <w:spacing w:val="14"/>
        </w:rPr>
        <w:t> </w:t>
      </w:r>
      <w:r>
        <w:rPr>
          <w:rFonts w:ascii="Arial" w:hAnsi="Arial" w:cs="Arial" w:eastAsia="Arial" w:hint="default"/>
          <w:spacing w:val="14"/>
        </w:rPr>
      </w:r>
      <w:r>
        <w:rPr>
          <w:spacing w:val="6"/>
        </w:rPr>
        <w:t>号）同时废止，本公司于</w:t>
      </w:r>
      <w:r>
        <w:rPr>
          <w:rFonts w:ascii="Arial" w:hAnsi="Arial" w:cs="Arial" w:eastAsia="Arial" w:hint="default"/>
          <w:spacing w:val="6"/>
        </w:rPr>
        <w:t>2020</w:t>
      </w:r>
      <w:r>
        <w:rPr>
          <w:spacing w:val="6"/>
        </w:rPr>
        <w:t>年</w:t>
      </w:r>
      <w:r>
        <w:rPr>
          <w:rFonts w:ascii="Arial" w:hAnsi="Arial" w:cs="Arial" w:eastAsia="Arial" w:hint="default"/>
          <w:spacing w:val="6"/>
        </w:rPr>
        <w:t>4</w:t>
      </w:r>
      <w:r>
        <w:rPr>
          <w:spacing w:val="6"/>
        </w:rPr>
        <w:t>月</w:t>
      </w:r>
      <w:r>
        <w:rPr>
          <w:rFonts w:ascii="Arial" w:hAnsi="Arial" w:cs="Arial" w:eastAsia="Arial" w:hint="default"/>
          <w:spacing w:val="6"/>
        </w:rPr>
        <w:t>27</w:t>
      </w:r>
      <w:r>
        <w:rPr>
          <w:spacing w:val="6"/>
        </w:rPr>
        <w:t>日召开的第五届董事会第二次会议通过了以上变更。根据财会</w:t>
      </w:r>
      <w:r>
        <w:rPr>
          <w:rFonts w:ascii="Arial" w:hAnsi="Arial" w:cs="Arial" w:eastAsia="Arial" w:hint="default"/>
          <w:spacing w:val="6"/>
        </w:rPr>
        <w:t>[2019]6</w:t>
      </w:r>
      <w:r>
        <w:rPr>
          <w:spacing w:val="6"/>
        </w:rPr>
        <w:t>号和财会</w:t>
      </w:r>
      <w:r>
        <w:rPr>
          <w:spacing w:val="-44"/>
        </w:rPr>
        <w:t> </w:t>
      </w:r>
      <w:r>
        <w:rPr>
          <w:spacing w:val="-44"/>
        </w:rPr>
      </w:r>
      <w:r>
        <w:rPr>
          <w:rFonts w:ascii="Arial" w:hAnsi="Arial" w:cs="Arial" w:eastAsia="Arial" w:hint="default"/>
        </w:rPr>
        <w:t>[2019]16</w:t>
      </w:r>
      <w:r>
        <w:rPr/>
        <w:t>号，本公司对财务报表格式进行了以下修订：</w:t>
      </w:r>
    </w:p>
    <w:p>
      <w:pPr>
        <w:spacing w:line="240" w:lineRule="auto" w:before="5"/>
        <w:rPr>
          <w:rFonts w:ascii="宋体" w:hAnsi="宋体" w:cs="宋体" w:eastAsia="宋体" w:hint="default"/>
          <w:sz w:val="17"/>
          <w:szCs w:val="17"/>
        </w:rPr>
      </w:pPr>
    </w:p>
    <w:p>
      <w:pPr>
        <w:pStyle w:val="BodyText"/>
        <w:spacing w:line="302" w:lineRule="auto"/>
        <w:ind w:left="153" w:right="1130" w:firstLine="360"/>
        <w:jc w:val="both"/>
      </w:pPr>
      <w:r>
        <w:rPr>
          <w:spacing w:val="-2"/>
        </w:rPr>
        <w:t>资产负债表，将</w:t>
      </w:r>
      <w:r>
        <w:rPr>
          <w:rFonts w:ascii="Arial" w:hAnsi="Arial" w:cs="Arial" w:eastAsia="Arial" w:hint="default"/>
          <w:spacing w:val="-2"/>
        </w:rPr>
        <w:t>“</w:t>
      </w:r>
      <w:r>
        <w:rPr>
          <w:spacing w:val="-2"/>
        </w:rPr>
        <w:t>应收票据及应收账款</w:t>
      </w:r>
      <w:r>
        <w:rPr>
          <w:rFonts w:ascii="Arial" w:hAnsi="Arial" w:cs="Arial" w:eastAsia="Arial" w:hint="default"/>
          <w:spacing w:val="-2"/>
        </w:rPr>
        <w:t>”</w:t>
      </w:r>
      <w:r>
        <w:rPr>
          <w:spacing w:val="-2"/>
        </w:rPr>
        <w:t>行项目拆分为</w:t>
      </w:r>
      <w:r>
        <w:rPr>
          <w:rFonts w:ascii="Arial" w:hAnsi="Arial" w:cs="Arial" w:eastAsia="Arial" w:hint="default"/>
          <w:spacing w:val="-2"/>
        </w:rPr>
        <w:t>“</w:t>
      </w:r>
      <w:r>
        <w:rPr>
          <w:spacing w:val="-2"/>
        </w:rPr>
        <w:t>应收票据</w:t>
      </w:r>
      <w:r>
        <w:rPr>
          <w:rFonts w:ascii="Arial" w:hAnsi="Arial" w:cs="Arial" w:eastAsia="Arial" w:hint="default"/>
          <w:spacing w:val="-2"/>
        </w:rPr>
        <w:t>”</w:t>
      </w:r>
      <w:r>
        <w:rPr>
          <w:spacing w:val="-2"/>
        </w:rPr>
        <w:t>及</w:t>
      </w:r>
      <w:r>
        <w:rPr>
          <w:rFonts w:ascii="Arial" w:hAnsi="Arial" w:cs="Arial" w:eastAsia="Arial" w:hint="default"/>
          <w:spacing w:val="-2"/>
        </w:rPr>
        <w:t>“</w:t>
      </w:r>
      <w:r>
        <w:rPr>
          <w:spacing w:val="-2"/>
        </w:rPr>
        <w:t>应收账款</w:t>
      </w:r>
      <w:r>
        <w:rPr>
          <w:rFonts w:ascii="Arial" w:hAnsi="Arial" w:cs="Arial" w:eastAsia="Arial" w:hint="default"/>
          <w:spacing w:val="-2"/>
        </w:rPr>
        <w:t>”</w:t>
      </w:r>
      <w:r>
        <w:rPr>
          <w:spacing w:val="-2"/>
        </w:rPr>
        <w:t>；将</w:t>
      </w:r>
      <w:r>
        <w:rPr>
          <w:rFonts w:ascii="Arial" w:hAnsi="Arial" w:cs="Arial" w:eastAsia="Arial" w:hint="default"/>
          <w:spacing w:val="-2"/>
        </w:rPr>
        <w:t>“</w:t>
      </w:r>
      <w:r>
        <w:rPr>
          <w:spacing w:val="-2"/>
        </w:rPr>
        <w:t>应付票据及应付账款</w:t>
      </w:r>
      <w:r>
        <w:rPr>
          <w:rFonts w:ascii="Arial" w:hAnsi="Arial" w:cs="Arial" w:eastAsia="Arial" w:hint="default"/>
          <w:spacing w:val="-2"/>
        </w:rPr>
        <w:t>”</w:t>
      </w:r>
      <w:r>
        <w:rPr>
          <w:spacing w:val="-2"/>
        </w:rPr>
        <w:t>行项目拆分为</w:t>
      </w:r>
      <w:r>
        <w:rPr>
          <w:rFonts w:ascii="Arial" w:hAnsi="Arial" w:cs="Arial" w:eastAsia="Arial" w:hint="default"/>
          <w:spacing w:val="-2"/>
        </w:rPr>
        <w:t>“</w:t>
      </w:r>
      <w:r>
        <w:rPr>
          <w:spacing w:val="-2"/>
        </w:rPr>
        <w:t>应</w:t>
      </w:r>
      <w:r>
        <w:rPr/>
        <w:t> 付票据</w:t>
      </w:r>
      <w:r>
        <w:rPr>
          <w:rFonts w:ascii="Arial" w:hAnsi="Arial" w:cs="Arial" w:eastAsia="Arial" w:hint="default"/>
        </w:rPr>
        <w:t>”</w:t>
      </w:r>
      <w:r>
        <w:rPr/>
        <w:t>及</w:t>
      </w:r>
      <w:r>
        <w:rPr>
          <w:rFonts w:ascii="Arial" w:hAnsi="Arial" w:cs="Arial" w:eastAsia="Arial" w:hint="default"/>
        </w:rPr>
        <w:t>“</w:t>
      </w:r>
      <w:r>
        <w:rPr/>
        <w:t>应付账款</w:t>
      </w:r>
      <w:r>
        <w:rPr>
          <w:rFonts w:ascii="Arial" w:hAnsi="Arial" w:cs="Arial" w:eastAsia="Arial" w:hint="default"/>
        </w:rPr>
        <w:t>”</w:t>
      </w:r>
      <w:r>
        <w:rPr/>
        <w:t>。</w:t>
      </w:r>
    </w:p>
    <w:p>
      <w:pPr>
        <w:spacing w:line="240" w:lineRule="auto" w:before="5"/>
        <w:rPr>
          <w:rFonts w:ascii="宋体" w:hAnsi="宋体" w:cs="宋体" w:eastAsia="宋体" w:hint="default"/>
          <w:sz w:val="17"/>
          <w:szCs w:val="17"/>
        </w:rPr>
      </w:pPr>
    </w:p>
    <w:p>
      <w:pPr>
        <w:pStyle w:val="BodyText"/>
        <w:spacing w:line="302" w:lineRule="auto"/>
        <w:ind w:left="153" w:right="1130" w:firstLine="360"/>
        <w:jc w:val="both"/>
      </w:pPr>
      <w:r>
        <w:rPr>
          <w:spacing w:val="-1"/>
        </w:rPr>
        <w:t>利润表，</w:t>
      </w:r>
      <w:r>
        <w:rPr>
          <w:rFonts w:ascii="Arial" w:hAnsi="Arial" w:cs="Arial" w:eastAsia="Arial" w:hint="default"/>
          <w:spacing w:val="-1"/>
        </w:rPr>
        <w:t>“</w:t>
      </w:r>
      <w:r>
        <w:rPr>
          <w:spacing w:val="-1"/>
        </w:rPr>
        <w:t>研发费用</w:t>
      </w:r>
      <w:r>
        <w:rPr>
          <w:rFonts w:ascii="Arial" w:hAnsi="Arial" w:cs="Arial" w:eastAsia="Arial" w:hint="default"/>
          <w:spacing w:val="-1"/>
        </w:rPr>
        <w:t>”</w:t>
      </w:r>
      <w:r>
        <w:rPr>
          <w:spacing w:val="-1"/>
        </w:rPr>
        <w:t>项目，反映企业进行研究与开发过程中发生的费用化支出，以及计入管理费用的自行开发无形资产</w:t>
      </w:r>
      <w:r>
        <w:rPr/>
        <w:t> 的摊销；将</w:t>
      </w:r>
      <w:r>
        <w:rPr>
          <w:rFonts w:ascii="Arial" w:hAnsi="Arial" w:cs="Arial" w:eastAsia="Arial" w:hint="default"/>
        </w:rPr>
        <w:t>“</w:t>
      </w:r>
      <w:r>
        <w:rPr/>
        <w:t>资产减值损失</w:t>
      </w:r>
      <w:r>
        <w:rPr>
          <w:rFonts w:ascii="Arial" w:hAnsi="Arial" w:cs="Arial" w:eastAsia="Arial" w:hint="default"/>
        </w:rPr>
        <w:t>”</w:t>
      </w:r>
      <w:r>
        <w:rPr/>
        <w:t>、</w:t>
      </w:r>
      <w:r>
        <w:rPr>
          <w:rFonts w:ascii="Arial" w:hAnsi="Arial" w:cs="Arial" w:eastAsia="Arial" w:hint="default"/>
        </w:rPr>
        <w:t>“</w:t>
      </w:r>
      <w:r>
        <w:rPr/>
        <w:t>信用减值损失</w:t>
      </w:r>
      <w:r>
        <w:rPr>
          <w:rFonts w:ascii="Arial" w:hAnsi="Arial" w:cs="Arial" w:eastAsia="Arial" w:hint="default"/>
        </w:rPr>
        <w:t>”</w:t>
      </w:r>
      <w:r>
        <w:rPr/>
        <w:t>行项目的列报行次进行了调整。</w:t>
      </w:r>
    </w:p>
    <w:p>
      <w:pPr>
        <w:spacing w:line="240" w:lineRule="auto" w:before="5"/>
        <w:rPr>
          <w:rFonts w:ascii="宋体" w:hAnsi="宋体" w:cs="宋体" w:eastAsia="宋体" w:hint="default"/>
          <w:sz w:val="17"/>
          <w:szCs w:val="17"/>
        </w:rPr>
      </w:pPr>
    </w:p>
    <w:p>
      <w:pPr>
        <w:pStyle w:val="BodyText"/>
        <w:spacing w:line="523" w:lineRule="auto"/>
        <w:ind w:left="513" w:right="3371"/>
        <w:jc w:val="left"/>
      </w:pPr>
      <w:r>
        <w:rPr/>
        <w:t>本公司对可比期间的比较数据按照财会</w:t>
      </w:r>
      <w:r>
        <w:rPr>
          <w:rFonts w:ascii="Arial" w:hAnsi="Arial" w:cs="Arial" w:eastAsia="Arial" w:hint="default"/>
        </w:rPr>
        <w:t>[2019]6</w:t>
      </w:r>
      <w:r>
        <w:rPr/>
        <w:t>号文进行调整。 财务报表格式的修订对本公司的资产总额、负债总额、净利润、其他综合收益等无影响。 受影响的报表科目如下：</w:t>
      </w:r>
    </w:p>
    <w:p>
      <w:pPr>
        <w:pStyle w:val="BodyText"/>
        <w:spacing w:line="240" w:lineRule="auto" w:before="80"/>
        <w:ind w:left="0" w:right="1490"/>
        <w:jc w:val="right"/>
      </w:pPr>
      <w:r>
        <w:rPr/>
        <w:t>单位：元</w:t>
      </w:r>
    </w:p>
    <w:p>
      <w:pPr>
        <w:spacing w:line="240" w:lineRule="auto" w:before="7"/>
        <w:rPr>
          <w:rFonts w:ascii="宋体" w:hAnsi="宋体" w:cs="宋体" w:eastAsia="宋体" w:hint="default"/>
          <w:sz w:val="21"/>
          <w:szCs w:val="21"/>
        </w:rPr>
      </w:pPr>
    </w:p>
    <w:tbl>
      <w:tblPr>
        <w:tblW w:w="0" w:type="auto"/>
        <w:jc w:val="left"/>
        <w:tblInd w:w="432" w:type="dxa"/>
        <w:tblLayout w:type="fixed"/>
        <w:tblCellMar>
          <w:top w:w="0" w:type="dxa"/>
          <w:left w:w="0" w:type="dxa"/>
          <w:bottom w:w="0" w:type="dxa"/>
          <w:right w:w="0" w:type="dxa"/>
        </w:tblCellMar>
        <w:tblLook w:val="01E0"/>
      </w:tblPr>
      <w:tblGrid>
        <w:gridCol w:w="2268"/>
        <w:gridCol w:w="2552"/>
        <w:gridCol w:w="2388"/>
        <w:gridCol w:w="1864"/>
      </w:tblGrid>
      <w:tr>
        <w:trPr>
          <w:trHeight w:val="342" w:hRule="exact"/>
        </w:trPr>
        <w:tc>
          <w:tcPr>
            <w:tcW w:w="2268" w:type="dxa"/>
            <w:vMerge w:val="restart"/>
            <w:tcBorders>
              <w:top w:val="single" w:sz="4" w:space="0" w:color="000000"/>
              <w:left w:val="single" w:sz="4" w:space="0" w:color="000000"/>
              <w:right w:val="single" w:sz="4" w:space="0" w:color="000000"/>
            </w:tcBorders>
            <w:shd w:val="clear" w:color="auto" w:fill="D9D9D9"/>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科目名称</w:t>
            </w:r>
          </w:p>
        </w:tc>
        <w:tc>
          <w:tcPr>
            <w:tcW w:w="6804" w:type="dxa"/>
            <w:gridSpan w:val="3"/>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342" w:hRule="exact"/>
        </w:trPr>
        <w:tc>
          <w:tcPr>
            <w:tcW w:w="2268" w:type="dxa"/>
            <w:vMerge/>
            <w:tcBorders>
              <w:left w:val="single" w:sz="4" w:space="0" w:color="000000"/>
              <w:bottom w:val="single" w:sz="4" w:space="0" w:color="000000"/>
              <w:right w:val="single" w:sz="4" w:space="0" w:color="000000"/>
            </w:tcBorders>
            <w:shd w:val="clear" w:color="auto" w:fill="D9D9D9"/>
          </w:tcPr>
          <w:p>
            <w:pPr/>
          </w:p>
        </w:tc>
        <w:tc>
          <w:tcPr>
            <w:tcW w:w="255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调整前</w:t>
            </w:r>
          </w:p>
        </w:tc>
        <w:tc>
          <w:tcPr>
            <w:tcW w:w="238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调整数</w:t>
            </w:r>
          </w:p>
        </w:tc>
        <w:tc>
          <w:tcPr>
            <w:tcW w:w="18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34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286" w:right="0"/>
              <w:jc w:val="left"/>
              <w:rPr>
                <w:rFonts w:ascii="Arial" w:hAnsi="Arial" w:cs="Arial" w:eastAsia="Arial" w:hint="default"/>
                <w:sz w:val="18"/>
                <w:szCs w:val="18"/>
              </w:rPr>
            </w:pPr>
            <w:r>
              <w:rPr>
                <w:rFonts w:ascii="Arial"/>
                <w:sz w:val="18"/>
              </w:rPr>
              <w:t>178,425,721.05</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1061" w:right="0"/>
              <w:jc w:val="left"/>
              <w:rPr>
                <w:rFonts w:ascii="Arial" w:hAnsi="Arial" w:cs="Arial" w:eastAsia="Arial" w:hint="default"/>
                <w:sz w:val="18"/>
                <w:szCs w:val="18"/>
              </w:rPr>
            </w:pPr>
            <w:r>
              <w:rPr>
                <w:rFonts w:ascii="Arial"/>
                <w:sz w:val="18"/>
              </w:rPr>
              <w:t>-178,425,721.05</w:t>
            </w:r>
          </w:p>
        </w:tc>
        <w:tc>
          <w:tcPr>
            <w:tcW w:w="1864"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552" w:type="dxa"/>
            <w:tcBorders>
              <w:top w:val="single" w:sz="4" w:space="0" w:color="000000"/>
              <w:left w:val="single" w:sz="4" w:space="0" w:color="000000"/>
              <w:bottom w:val="single" w:sz="4" w:space="0" w:color="000000"/>
              <w:right w:val="single" w:sz="4" w:space="0" w:color="000000"/>
            </w:tcBorders>
          </w:tcPr>
          <w:p>
            <w:pPr/>
          </w:p>
        </w:tc>
        <w:tc>
          <w:tcPr>
            <w:tcW w:w="2388"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432" w:type="dxa"/>
        <w:tblLayout w:type="fixed"/>
        <w:tblCellMar>
          <w:top w:w="0" w:type="dxa"/>
          <w:left w:w="0" w:type="dxa"/>
          <w:bottom w:w="0" w:type="dxa"/>
          <w:right w:w="0" w:type="dxa"/>
        </w:tblCellMar>
        <w:tblLook w:val="01E0"/>
      </w:tblPr>
      <w:tblGrid>
        <w:gridCol w:w="2268"/>
        <w:gridCol w:w="2552"/>
        <w:gridCol w:w="2388"/>
        <w:gridCol w:w="1864"/>
      </w:tblGrid>
      <w:tr>
        <w:trPr>
          <w:trHeight w:val="34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52" w:type="dxa"/>
            <w:tcBorders>
              <w:top w:val="single" w:sz="4" w:space="0" w:color="000000"/>
              <w:left w:val="single" w:sz="4" w:space="0" w:color="000000"/>
              <w:bottom w:val="single" w:sz="4" w:space="0" w:color="000000"/>
              <w:right w:val="single" w:sz="4" w:space="0" w:color="000000"/>
            </w:tcBorders>
          </w:tcPr>
          <w:p>
            <w:pP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178,425,721.05</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178,425,721.05</w:t>
            </w:r>
          </w:p>
        </w:tc>
      </w:tr>
      <w:tr>
        <w:trPr>
          <w:trHeight w:val="34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268,438,691.19</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-268,438,691.19</w:t>
            </w:r>
          </w:p>
        </w:tc>
        <w:tc>
          <w:tcPr>
            <w:tcW w:w="1864"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552" w:type="dxa"/>
            <w:tcBorders>
              <w:top w:val="single" w:sz="4" w:space="0" w:color="000000"/>
              <w:left w:val="single" w:sz="4" w:space="0" w:color="000000"/>
              <w:bottom w:val="single" w:sz="4" w:space="0" w:color="000000"/>
              <w:right w:val="single" w:sz="4" w:space="0" w:color="000000"/>
            </w:tcBorders>
          </w:tcPr>
          <w:p>
            <w:pP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9,189,850.00</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9,189,850.00</w:t>
            </w:r>
          </w:p>
        </w:tc>
      </w:tr>
      <w:tr>
        <w:trPr>
          <w:trHeight w:val="34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52" w:type="dxa"/>
            <w:tcBorders>
              <w:top w:val="single" w:sz="4" w:space="0" w:color="000000"/>
              <w:left w:val="single" w:sz="4" w:space="0" w:color="000000"/>
              <w:bottom w:val="single" w:sz="4" w:space="0" w:color="000000"/>
              <w:right w:val="single" w:sz="4" w:space="0" w:color="000000"/>
            </w:tcBorders>
          </w:tcPr>
          <w:p>
            <w:pP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259,248,841.19</w:t>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259,248,841.19</w:t>
            </w:r>
          </w:p>
        </w:tc>
      </w:tr>
      <w:tr>
        <w:trPr>
          <w:trHeight w:val="342"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124,961,024.91</w:t>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Arial" w:hAnsi="Arial" w:cs="Arial" w:eastAsia="Arial" w:hint="default"/>
                <w:sz w:val="18"/>
                <w:szCs w:val="18"/>
              </w:rPr>
            </w:pPr>
            <w:r>
              <w:rPr>
                <w:rFonts w:ascii="Arial"/>
                <w:spacing w:val="-1"/>
                <w:sz w:val="18"/>
              </w:rPr>
              <w:t>-28,372,432.48</w:t>
            </w:r>
            <w:r>
              <w:rPr>
                <w:rFonts w:ascii="Arial"/>
                <w:sz w:val="18"/>
              </w:rPr>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96,588,592.43</w:t>
            </w:r>
            <w:r>
              <w:rPr>
                <w:rFonts w:ascii="Arial"/>
                <w:sz w:val="18"/>
              </w:rPr>
            </w:r>
          </w:p>
        </w:tc>
      </w:tr>
      <w:tr>
        <w:trPr>
          <w:trHeight w:val="342" w:hRule="exact"/>
        </w:trPr>
        <w:tc>
          <w:tcPr>
            <w:tcW w:w="2268" w:type="dxa"/>
            <w:tcBorders>
              <w:top w:val="single" w:sz="4" w:space="0" w:color="000000"/>
              <w:left w:val="single" w:sz="4" w:space="0" w:color="000000"/>
              <w:bottom w:val="single" w:sz="8" w:space="0" w:color="D9D9D9"/>
              <w:right w:val="single" w:sz="4" w:space="0" w:color="000000"/>
            </w:tcBorders>
          </w:tcPr>
          <w:p>
            <w:pPr>
              <w:pStyle w:val="TableParagraph"/>
              <w:spacing w:line="240" w:lineRule="auto" w:before="21"/>
              <w:ind w:left="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Arial" w:hAnsi="Arial" w:cs="Arial" w:eastAsia="Arial" w:hint="default"/>
                <w:sz w:val="18"/>
                <w:szCs w:val="18"/>
              </w:rPr>
            </w:pPr>
            <w:r>
              <w:rPr>
                <w:rFonts w:ascii="Arial"/>
                <w:spacing w:val="-1"/>
                <w:sz w:val="18"/>
              </w:rPr>
              <w:t>77,634,034.60</w:t>
            </w:r>
            <w:r>
              <w:rPr>
                <w:rFonts w:ascii="Arial"/>
                <w:sz w:val="18"/>
              </w:rPr>
            </w:r>
          </w:p>
        </w:tc>
        <w:tc>
          <w:tcPr>
            <w:tcW w:w="23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Arial" w:hAnsi="Arial" w:cs="Arial" w:eastAsia="Arial" w:hint="default"/>
                <w:sz w:val="18"/>
                <w:szCs w:val="18"/>
              </w:rPr>
            </w:pPr>
            <w:r>
              <w:rPr>
                <w:rFonts w:ascii="Arial"/>
                <w:spacing w:val="-1"/>
                <w:sz w:val="18"/>
              </w:rPr>
              <w:t>28,372,432.48</w:t>
            </w:r>
            <w:r>
              <w:rPr>
                <w:rFonts w:ascii="Arial"/>
                <w:sz w:val="18"/>
              </w:rPr>
            </w: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106,006,467.08</w:t>
            </w:r>
          </w:p>
        </w:tc>
      </w:tr>
      <w:tr>
        <w:trPr>
          <w:trHeight w:val="342" w:hRule="exact"/>
        </w:trPr>
        <w:tc>
          <w:tcPr>
            <w:tcW w:w="2268"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649,459,471.75</w:t>
            </w:r>
          </w:p>
        </w:tc>
        <w:tc>
          <w:tcPr>
            <w:tcW w:w="2388" w:type="dxa"/>
            <w:tcBorders>
              <w:top w:val="single" w:sz="4" w:space="0" w:color="000000"/>
              <w:left w:val="single" w:sz="4" w:space="0" w:color="000000"/>
              <w:bottom w:val="single" w:sz="4" w:space="0" w:color="000000"/>
              <w:right w:val="single" w:sz="4" w:space="0" w:color="000000"/>
            </w:tcBorders>
          </w:tcPr>
          <w:p>
            <w:pPr/>
          </w:p>
        </w:tc>
        <w:tc>
          <w:tcPr>
            <w:tcW w:w="1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649,459,471.75</w:t>
            </w:r>
          </w:p>
        </w:tc>
      </w:tr>
    </w:tbl>
    <w:p>
      <w:pPr>
        <w:spacing w:line="240" w:lineRule="auto" w:before="8"/>
        <w:rPr>
          <w:rFonts w:ascii="宋体" w:hAnsi="宋体" w:cs="宋体" w:eastAsia="宋体" w:hint="default"/>
          <w:sz w:val="6"/>
          <w:szCs w:val="6"/>
        </w:rPr>
      </w:pPr>
    </w:p>
    <w:p>
      <w:pPr>
        <w:pStyle w:val="BodyText"/>
        <w:spacing w:line="511" w:lineRule="auto" w:before="44"/>
        <w:ind w:left="153" w:right="8231"/>
        <w:jc w:val="left"/>
      </w:pPr>
      <w:r>
        <w:rPr/>
        <w:t>（</w:t>
      </w:r>
      <w:r>
        <w:rPr>
          <w:rFonts w:ascii="Arial" w:hAnsi="Arial" w:cs="Arial" w:eastAsia="Arial" w:hint="default"/>
        </w:rPr>
        <w:t>2</w:t>
      </w:r>
      <w:r>
        <w:rPr/>
        <w:t>）重要会计估计变更 本报告期无重要会计估计变更。</w:t>
      </w:r>
    </w:p>
    <w:p>
      <w:pPr>
        <w:pStyle w:val="BodyText"/>
        <w:spacing w:line="240" w:lineRule="auto" w:before="89"/>
        <w:ind w:left="153" w:right="2239"/>
        <w:jc w:val="left"/>
      </w:pPr>
      <w:r>
        <w:rPr/>
        <w:t>（</w:t>
      </w:r>
      <w:r>
        <w:rPr>
          <w:rFonts w:ascii="Arial" w:hAnsi="Arial" w:cs="Arial" w:eastAsia="Arial" w:hint="default"/>
        </w:rPr>
        <w:t>3</w:t>
      </w:r>
      <w:r>
        <w:rPr/>
        <w:t>）首次执行新金融工具准则调整首次执行当年年初财务报表相关项目情况</w:t>
      </w:r>
    </w:p>
    <w:p>
      <w:pPr>
        <w:spacing w:line="240" w:lineRule="auto" w:before="13"/>
        <w:rPr>
          <w:rFonts w:ascii="宋体" w:hAnsi="宋体" w:cs="宋体" w:eastAsia="宋体" w:hint="default"/>
          <w:sz w:val="17"/>
          <w:szCs w:val="17"/>
        </w:rPr>
      </w:pPr>
    </w:p>
    <w:p>
      <w:pPr>
        <w:pStyle w:val="BodyText"/>
        <w:spacing w:line="240" w:lineRule="auto" w:before="44"/>
        <w:ind w:left="1641" w:right="2617"/>
        <w:jc w:val="center"/>
      </w:pPr>
      <w:r>
        <w:rPr/>
        <w:t>合并资产负债表</w:t>
      </w:r>
    </w:p>
    <w:p>
      <w:pPr>
        <w:pStyle w:val="BodyText"/>
        <w:spacing w:line="240" w:lineRule="auto" w:before="76"/>
        <w:ind w:left="0" w:right="1130"/>
        <w:jc w:val="right"/>
      </w:pPr>
      <w:r>
        <w:rPr/>
        <w:t>单位：元</w:t>
      </w:r>
    </w:p>
    <w:p>
      <w:pPr>
        <w:spacing w:line="240" w:lineRule="auto" w:before="3"/>
        <w:rPr>
          <w:rFonts w:ascii="宋体" w:hAnsi="宋体" w:cs="宋体" w:eastAsia="宋体" w:hint="default"/>
          <w:sz w:val="6"/>
          <w:szCs w:val="6"/>
        </w:rPr>
      </w:pPr>
    </w:p>
    <w:tbl>
      <w:tblPr>
        <w:tblW w:w="0" w:type="auto"/>
        <w:jc w:val="left"/>
        <w:tblInd w:w="332" w:type="dxa"/>
        <w:tblLayout w:type="fixed"/>
        <w:tblCellMar>
          <w:top w:w="0" w:type="dxa"/>
          <w:left w:w="0" w:type="dxa"/>
          <w:bottom w:w="0" w:type="dxa"/>
          <w:right w:w="0" w:type="dxa"/>
        </w:tblCellMar>
        <w:tblLook w:val="01E0"/>
      </w:tblPr>
      <w:tblGrid>
        <w:gridCol w:w="3269"/>
        <w:gridCol w:w="1942"/>
        <w:gridCol w:w="2410"/>
        <w:gridCol w:w="1650"/>
      </w:tblGrid>
      <w:tr>
        <w:trPr>
          <w:trHeight w:val="326" w:hRule="exact"/>
        </w:trPr>
        <w:tc>
          <w:tcPr>
            <w:tcW w:w="32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94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left="514" w:right="0"/>
              <w:jc w:val="left"/>
              <w:rPr>
                <w:rFonts w:ascii="Arial" w:hAnsi="Arial" w:cs="Arial" w:eastAsia="Arial" w:hint="default"/>
                <w:sz w:val="18"/>
                <w:szCs w:val="18"/>
              </w:rPr>
            </w:pPr>
            <w:r>
              <w:rPr>
                <w:rFonts w:ascii="Arial"/>
                <w:sz w:val="18"/>
              </w:rPr>
              <w:t>2018.12.31</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6"/>
              <w:ind w:left="748" w:right="0"/>
              <w:jc w:val="left"/>
              <w:rPr>
                <w:rFonts w:ascii="Arial" w:hAnsi="Arial" w:cs="Arial" w:eastAsia="Arial" w:hint="default"/>
                <w:sz w:val="18"/>
                <w:szCs w:val="18"/>
              </w:rPr>
            </w:pPr>
            <w:r>
              <w:rPr>
                <w:rFonts w:ascii="Arial"/>
                <w:sz w:val="18"/>
              </w:rPr>
              <w:t>2019.01.01</w:t>
            </w:r>
          </w:p>
        </w:tc>
        <w:tc>
          <w:tcPr>
            <w:tcW w:w="16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4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330,503,276.34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331,107,179.16</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603,902.82</w:t>
            </w: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94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408,340,000.00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408,340,000.00</w:t>
            </w:r>
          </w:p>
        </w:tc>
      </w:tr>
      <w:tr>
        <w:trPr>
          <w:trHeight w:val="654"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15" w:right="-8"/>
              <w:jc w:val="left"/>
              <w:rPr>
                <w:rFonts w:ascii="宋体" w:hAnsi="宋体" w:cs="宋体" w:eastAsia="宋体" w:hint="default"/>
                <w:sz w:val="18"/>
                <w:szCs w:val="18"/>
              </w:rPr>
            </w:pPr>
            <w:r>
              <w:rPr>
                <w:rFonts w:ascii="宋体" w:hAnsi="宋体" w:cs="宋体" w:eastAsia="宋体" w:hint="default"/>
                <w:spacing w:val="9"/>
                <w:sz w:val="18"/>
                <w:szCs w:val="18"/>
              </w:rPr>
              <w:t>以公允价值计量且其变动计入当期损</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益的金融资产</w:t>
            </w:r>
          </w:p>
        </w:tc>
        <w:tc>
          <w:tcPr>
            <w:tcW w:w="194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94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4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178,425,721.05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178,425,721.05</w:t>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94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Arial" w:hAnsi="Arial" w:cs="Arial" w:eastAsia="Arial" w:hint="default"/>
                <w:sz w:val="18"/>
                <w:szCs w:val="18"/>
              </w:rPr>
            </w:pPr>
            <w:r>
              <w:rPr>
                <w:rFonts w:ascii="Arial"/>
                <w:spacing w:val="-1"/>
                <w:sz w:val="18"/>
              </w:rPr>
              <w:t>18,545,860.03</w:t>
            </w:r>
            <w:r>
              <w:rPr>
                <w:rFonts w:ascii="Arial"/>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18,545,860.03</w:t>
            </w:r>
            <w:r>
              <w:rPr>
                <w:rFonts w:ascii="Arial"/>
                <w:sz w:val="18"/>
              </w:rPr>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55,049,415.52</w:t>
            </w:r>
            <w:r>
              <w:rPr>
                <w:rFonts w:ascii="Arial"/>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54,445,512.70</w:t>
            </w:r>
            <w:r>
              <w:rPr>
                <w:rFonts w:ascii="Arial"/>
                <w:sz w:val="18"/>
              </w:rPr>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-603,902.82</w:t>
            </w: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603,902.82</w:t>
            </w: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-603,902.82</w:t>
            </w: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966"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9,605,000.00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9,605,000.00</w:t>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814,215,427.15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814,215,427.15</w:t>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94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94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450,928,507.17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42,588,507.17</w:t>
            </w:r>
            <w:r>
              <w:rPr>
                <w:rFonts w:ascii="Arial"/>
                <w:sz w:val="18"/>
              </w:rPr>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-408,340,000.00</w:t>
            </w: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85"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1,847,668,207.26</w:t>
            </w:r>
            <w:r>
              <w:rPr>
                <w:rFonts w:ascii="Arial"/>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1,847,668,207.26</w:t>
            </w:r>
            <w:r>
              <w:rPr>
                <w:rFonts w:ascii="Arial"/>
                <w:sz w:val="18"/>
              </w:rPr>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4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194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47,900,000.00</w:t>
            </w:r>
            <w:r>
              <w:rPr>
                <w:rFonts w:ascii="Arial"/>
                <w:sz w:val="18"/>
              </w:rPr>
            </w: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-47,900,000.00</w:t>
            </w:r>
            <w:r>
              <w:rPr>
                <w:rFonts w:ascii="Arial"/>
                <w:sz w:val="18"/>
              </w:rPr>
            </w: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194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94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94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设定受益计划净资产</w:t>
            </w:r>
          </w:p>
        </w:tc>
        <w:tc>
          <w:tcPr>
            <w:tcW w:w="194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117,136,960.65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117,136,960.65</w:t>
            </w:r>
          </w:p>
        </w:tc>
        <w:tc>
          <w:tcPr>
            <w:tcW w:w="165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332" w:type="dxa"/>
        <w:tblLayout w:type="fixed"/>
        <w:tblCellMar>
          <w:top w:w="0" w:type="dxa"/>
          <w:left w:w="0" w:type="dxa"/>
          <w:bottom w:w="0" w:type="dxa"/>
          <w:right w:w="0" w:type="dxa"/>
        </w:tblCellMar>
        <w:tblLook w:val="01E0"/>
      </w:tblPr>
      <w:tblGrid>
        <w:gridCol w:w="3269"/>
        <w:gridCol w:w="1942"/>
        <w:gridCol w:w="2410"/>
        <w:gridCol w:w="1650"/>
      </w:tblGrid>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6"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94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78,722,530.86</w:t>
            </w:r>
            <w:r>
              <w:rPr>
                <w:rFonts w:ascii="Arial"/>
                <w:sz w:val="18"/>
              </w:rPr>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78,722,530.86</w:t>
            </w:r>
            <w:r>
              <w:rPr>
                <w:rFonts w:ascii="Arial"/>
                <w:sz w:val="18"/>
              </w:rPr>
            </w: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94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Arial" w:hAnsi="Arial" w:cs="Arial" w:eastAsia="Arial" w:hint="default"/>
                <w:sz w:val="18"/>
                <w:szCs w:val="18"/>
              </w:rPr>
            </w:pPr>
            <w:r>
              <w:rPr>
                <w:rFonts w:ascii="Arial"/>
                <w:spacing w:val="-1"/>
                <w:sz w:val="18"/>
              </w:rPr>
              <w:t>74,816,244.95</w:t>
            </w:r>
            <w:r>
              <w:rPr>
                <w:rFonts w:ascii="Arial"/>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74,816,244.95</w:t>
            </w:r>
            <w:r>
              <w:rPr>
                <w:rFonts w:ascii="Arial"/>
                <w:sz w:val="18"/>
              </w:rPr>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Arial" w:hAnsi="Arial" w:cs="Arial" w:eastAsia="Arial" w:hint="default"/>
                <w:sz w:val="18"/>
                <w:szCs w:val="18"/>
              </w:rPr>
            </w:pPr>
            <w:r>
              <w:rPr>
                <w:rFonts w:ascii="Arial"/>
                <w:spacing w:val="-1"/>
                <w:sz w:val="18"/>
              </w:rPr>
              <w:t>23,448,537.09</w:t>
            </w:r>
            <w:r>
              <w:rPr>
                <w:rFonts w:ascii="Arial"/>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23,448,537.09</w:t>
            </w:r>
            <w:r>
              <w:rPr>
                <w:rFonts w:ascii="Arial"/>
                <w:sz w:val="18"/>
              </w:rPr>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206,642,453.30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206,642,453.30</w:t>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94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94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140,734,710.13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140,734,710.13</w:t>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Arial" w:hAnsi="Arial" w:cs="Arial" w:eastAsia="Arial" w:hint="default"/>
                <w:sz w:val="18"/>
                <w:szCs w:val="18"/>
              </w:rPr>
            </w:pPr>
            <w:r>
              <w:rPr>
                <w:rFonts w:ascii="Arial"/>
                <w:spacing w:val="-1"/>
                <w:sz w:val="18"/>
              </w:rPr>
              <w:t>37,558,697.72</w:t>
            </w:r>
            <w:r>
              <w:rPr>
                <w:rFonts w:ascii="Arial"/>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37,558,697.72</w:t>
            </w:r>
            <w:r>
              <w:rPr>
                <w:rFonts w:ascii="Arial"/>
                <w:sz w:val="18"/>
              </w:rPr>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94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4,268,278.06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4,268,278.06</w:t>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Arial" w:hAnsi="Arial" w:cs="Arial" w:eastAsia="Arial" w:hint="default"/>
                <w:sz w:val="18"/>
                <w:szCs w:val="18"/>
              </w:rPr>
            </w:pPr>
            <w:r>
              <w:rPr>
                <w:rFonts w:ascii="Arial"/>
                <w:spacing w:val="-1"/>
                <w:sz w:val="18"/>
              </w:rPr>
              <w:t>22,889,269.55</w:t>
            </w:r>
            <w:r>
              <w:rPr>
                <w:rFonts w:ascii="Arial"/>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22,889,269.55</w:t>
            </w:r>
            <w:r>
              <w:rPr>
                <w:rFonts w:ascii="Arial"/>
                <w:sz w:val="18"/>
              </w:rPr>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2,756,000.00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2,756,000.00</w:t>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85"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678,151,151.45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708,973,682.31</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30,822,530.86</w:t>
            </w:r>
            <w:r>
              <w:rPr>
                <w:rFonts w:ascii="Arial"/>
                <w:sz w:val="18"/>
              </w:rPr>
            </w: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28"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2,525,819,358.71</w:t>
            </w:r>
            <w:r>
              <w:rPr>
                <w:rFonts w:ascii="Arial"/>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2,556,641,889.57</w:t>
            </w:r>
            <w:r>
              <w:rPr>
                <w:rFonts w:ascii="Arial"/>
                <w:sz w:val="18"/>
              </w:rPr>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6"/>
              <w:jc w:val="right"/>
              <w:rPr>
                <w:rFonts w:ascii="Arial" w:hAnsi="Arial" w:cs="Arial" w:eastAsia="Arial" w:hint="default"/>
                <w:sz w:val="18"/>
                <w:szCs w:val="18"/>
              </w:rPr>
            </w:pPr>
            <w:r>
              <w:rPr>
                <w:rFonts w:ascii="Arial"/>
                <w:spacing w:val="-1"/>
                <w:sz w:val="18"/>
              </w:rPr>
              <w:t>30,822,530.86</w:t>
            </w:r>
            <w:r>
              <w:rPr>
                <w:rFonts w:ascii="Arial"/>
                <w:sz w:val="18"/>
              </w:rPr>
            </w: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4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430,000,000.00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430,502,012.50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502,012.50</w:t>
            </w: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94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15" w:right="-8"/>
              <w:jc w:val="left"/>
              <w:rPr>
                <w:rFonts w:ascii="宋体" w:hAnsi="宋体" w:cs="宋体" w:eastAsia="宋体" w:hint="default"/>
                <w:sz w:val="18"/>
                <w:szCs w:val="18"/>
              </w:rPr>
            </w:pPr>
            <w:r>
              <w:rPr>
                <w:rFonts w:ascii="宋体" w:hAnsi="宋体" w:cs="宋体" w:eastAsia="宋体" w:hint="default"/>
                <w:spacing w:val="9"/>
                <w:sz w:val="18"/>
                <w:szCs w:val="18"/>
              </w:rPr>
              <w:t>以公允价值计量且其变动计入当期损</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益的金融负债</w:t>
            </w:r>
          </w:p>
        </w:tc>
        <w:tc>
          <w:tcPr>
            <w:tcW w:w="194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94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9,189,850.00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9,189,850.00</w:t>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259,248,841.19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259,248,841.19</w:t>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151,235,748.51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151,235,748.51</w:t>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Arial" w:hAnsi="Arial" w:cs="Arial" w:eastAsia="Arial" w:hint="default"/>
                <w:sz w:val="18"/>
                <w:szCs w:val="18"/>
              </w:rPr>
            </w:pPr>
            <w:r>
              <w:rPr>
                <w:rFonts w:ascii="Arial"/>
                <w:spacing w:val="-1"/>
                <w:sz w:val="18"/>
              </w:rPr>
              <w:t>23,695,144.04</w:t>
            </w:r>
            <w:r>
              <w:rPr>
                <w:rFonts w:ascii="Arial"/>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23,695,144.04</w:t>
            </w:r>
            <w:r>
              <w:rPr>
                <w:rFonts w:ascii="Arial"/>
                <w:sz w:val="18"/>
              </w:rPr>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Arial" w:hAnsi="Arial" w:cs="Arial" w:eastAsia="Arial" w:hint="default"/>
                <w:sz w:val="18"/>
                <w:szCs w:val="18"/>
              </w:rPr>
            </w:pPr>
            <w:r>
              <w:rPr>
                <w:rFonts w:ascii="Arial"/>
                <w:spacing w:val="-1"/>
                <w:sz w:val="18"/>
              </w:rPr>
              <w:t>10,418,355.87</w:t>
            </w:r>
            <w:r>
              <w:rPr>
                <w:rFonts w:ascii="Arial"/>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10,418,355.87</w:t>
            </w:r>
            <w:r>
              <w:rPr>
                <w:rFonts w:ascii="Arial"/>
                <w:sz w:val="18"/>
              </w:rPr>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91,575,101.42</w:t>
            </w:r>
            <w:r>
              <w:rPr>
                <w:rFonts w:ascii="Arial"/>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91,073,088.92</w:t>
            </w:r>
            <w:r>
              <w:rPr>
                <w:rFonts w:ascii="Arial"/>
                <w:sz w:val="18"/>
              </w:rPr>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-502,012.50</w:t>
            </w: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502,012.50</w:t>
            </w: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-502,012.50</w:t>
            </w: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966"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94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194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94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Arial" w:hAnsi="Arial" w:cs="Arial" w:eastAsia="Arial" w:hint="default"/>
                <w:sz w:val="18"/>
                <w:szCs w:val="18"/>
              </w:rPr>
            </w:pPr>
            <w:r>
              <w:rPr>
                <w:rFonts w:ascii="Arial"/>
                <w:spacing w:val="-1"/>
                <w:sz w:val="18"/>
              </w:rPr>
              <w:t>19,903,840.08</w:t>
            </w:r>
            <w:r>
              <w:rPr>
                <w:rFonts w:ascii="Arial"/>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19,903,840.08</w:t>
            </w:r>
            <w:r>
              <w:rPr>
                <w:rFonts w:ascii="Arial"/>
                <w:sz w:val="18"/>
              </w:rPr>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85"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995,266,881.11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995,266,881.11</w:t>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4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94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94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94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7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94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94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94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332" w:type="dxa"/>
        <w:tblLayout w:type="fixed"/>
        <w:tblCellMar>
          <w:top w:w="0" w:type="dxa"/>
          <w:left w:w="0" w:type="dxa"/>
          <w:bottom w:w="0" w:type="dxa"/>
          <w:right w:w="0" w:type="dxa"/>
        </w:tblCellMar>
        <w:tblLook w:val="01E0"/>
      </w:tblPr>
      <w:tblGrid>
        <w:gridCol w:w="3269"/>
        <w:gridCol w:w="1942"/>
        <w:gridCol w:w="2410"/>
        <w:gridCol w:w="1650"/>
      </w:tblGrid>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6"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4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Arial" w:hAnsi="Arial" w:cs="Arial" w:eastAsia="Arial" w:hint="default"/>
                <w:sz w:val="18"/>
                <w:szCs w:val="18"/>
              </w:rPr>
            </w:pPr>
            <w:r>
              <w:rPr>
                <w:rFonts w:ascii="Arial"/>
                <w:spacing w:val="-1"/>
                <w:sz w:val="18"/>
              </w:rPr>
              <w:t>68,467,959.69</w:t>
            </w:r>
            <w:r>
              <w:rPr>
                <w:rFonts w:ascii="Arial"/>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68,467,959.69</w:t>
            </w:r>
            <w:r>
              <w:rPr>
                <w:rFonts w:ascii="Arial"/>
                <w:sz w:val="18"/>
              </w:rPr>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4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3,082,253.09</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3,082,253.09</w:t>
            </w: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94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85"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68,467,959.69</w:t>
            </w:r>
            <w:r>
              <w:rPr>
                <w:rFonts w:ascii="Arial"/>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71,550,212.78</w:t>
            </w:r>
            <w:r>
              <w:rPr>
                <w:rFonts w:ascii="Arial"/>
                <w:sz w:val="18"/>
              </w:rPr>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3,082,253.09</w:t>
            </w: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28"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1,063,734,840.80</w:t>
            </w:r>
            <w:r>
              <w:rPr>
                <w:rFonts w:ascii="Arial"/>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1,066,817,093.89</w:t>
            </w:r>
            <w:r>
              <w:rPr>
                <w:rFonts w:ascii="Arial"/>
                <w:sz w:val="18"/>
              </w:rPr>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3,082,253.09</w:t>
            </w: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194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622,200,000.00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622,200,000.00</w:t>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94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94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7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94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369,358,612.29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369,358,612.29</w:t>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94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7,403,655.99</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35,143,933.76</w:t>
            </w:r>
            <w:r>
              <w:rPr>
                <w:rFonts w:ascii="Arial"/>
                <w:sz w:val="18"/>
              </w:rPr>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27,740,277.77</w:t>
            </w:r>
            <w:r>
              <w:rPr>
                <w:rFonts w:ascii="Arial"/>
                <w:sz w:val="18"/>
              </w:rPr>
            </w: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942"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Arial" w:hAnsi="Arial" w:cs="Arial" w:eastAsia="Arial" w:hint="default"/>
                <w:sz w:val="18"/>
                <w:szCs w:val="18"/>
              </w:rPr>
            </w:pPr>
            <w:r>
              <w:rPr>
                <w:rFonts w:ascii="Arial"/>
                <w:spacing w:val="-1"/>
                <w:sz w:val="18"/>
              </w:rPr>
              <w:t>67,571,711.68</w:t>
            </w:r>
            <w:r>
              <w:rPr>
                <w:rFonts w:ascii="Arial"/>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67,571,711.68</w:t>
            </w:r>
            <w:r>
              <w:rPr>
                <w:rFonts w:ascii="Arial"/>
                <w:sz w:val="18"/>
              </w:rPr>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388,870,542.81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388,870,542.81</w:t>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1,455,404,522.77</w:t>
            </w:r>
            <w:r>
              <w:rPr>
                <w:rFonts w:ascii="Arial"/>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1,483,144,800.54</w:t>
            </w:r>
            <w:r>
              <w:rPr>
                <w:rFonts w:ascii="Arial"/>
                <w:sz w:val="18"/>
              </w:rPr>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6"/>
              <w:jc w:val="right"/>
              <w:rPr>
                <w:rFonts w:ascii="Arial" w:hAnsi="Arial" w:cs="Arial" w:eastAsia="Arial" w:hint="default"/>
                <w:sz w:val="18"/>
                <w:szCs w:val="18"/>
              </w:rPr>
            </w:pPr>
            <w:r>
              <w:rPr>
                <w:rFonts w:ascii="Arial"/>
                <w:spacing w:val="-1"/>
                <w:sz w:val="18"/>
              </w:rPr>
              <w:t>27,740,277.77</w:t>
            </w:r>
            <w:r>
              <w:rPr>
                <w:rFonts w:ascii="Arial"/>
                <w:sz w:val="18"/>
              </w:rPr>
            </w: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6,679,995.14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6,679,995.14</w:t>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股东权益合计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1,462,084,517.91</w:t>
            </w:r>
            <w:r>
              <w:rPr>
                <w:rFonts w:ascii="Arial"/>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1,489,824,795.68</w:t>
            </w:r>
            <w:r>
              <w:rPr>
                <w:rFonts w:ascii="Arial"/>
                <w:sz w:val="18"/>
              </w:rPr>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27,740,277.77</w:t>
            </w:r>
            <w:r>
              <w:rPr>
                <w:rFonts w:ascii="Arial"/>
                <w:sz w:val="18"/>
              </w:rPr>
            </w:r>
          </w:p>
        </w:tc>
      </w:tr>
      <w:tr>
        <w:trPr>
          <w:trHeight w:val="342" w:hRule="exact"/>
        </w:trPr>
        <w:tc>
          <w:tcPr>
            <w:tcW w:w="3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19" w:right="0"/>
              <w:jc w:val="left"/>
              <w:rPr>
                <w:rFonts w:ascii="宋体" w:hAnsi="宋体" w:cs="宋体" w:eastAsia="宋体" w:hint="default"/>
                <w:sz w:val="18"/>
                <w:szCs w:val="18"/>
              </w:rPr>
            </w:pPr>
            <w:r>
              <w:rPr>
                <w:rFonts w:ascii="宋体" w:hAnsi="宋体" w:cs="宋体" w:eastAsia="宋体" w:hint="default"/>
                <w:sz w:val="18"/>
                <w:szCs w:val="18"/>
              </w:rPr>
              <w:t>负债和股东权益总计</w:t>
            </w:r>
          </w:p>
        </w:tc>
        <w:tc>
          <w:tcPr>
            <w:tcW w:w="1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2,525,819,358.71</w:t>
            </w:r>
            <w:r>
              <w:rPr>
                <w:rFonts w:ascii="Arial"/>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2,556,641,889.57</w:t>
            </w:r>
            <w:r>
              <w:rPr>
                <w:rFonts w:ascii="Arial"/>
                <w:sz w:val="18"/>
              </w:rPr>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30,822,530.86</w:t>
            </w:r>
            <w:r>
              <w:rPr>
                <w:rFonts w:ascii="Arial"/>
                <w:sz w:val="18"/>
              </w:rPr>
            </w:r>
          </w:p>
        </w:tc>
      </w:tr>
    </w:tbl>
    <w:p>
      <w:pPr>
        <w:spacing w:line="240" w:lineRule="auto" w:before="2"/>
        <w:rPr>
          <w:rFonts w:ascii="Times New Roman" w:hAnsi="Times New Roman" w:cs="Times New Roman" w:eastAsia="Times New Roman" w:hint="default"/>
          <w:sz w:val="24"/>
          <w:szCs w:val="24"/>
        </w:rPr>
      </w:pPr>
    </w:p>
    <w:p>
      <w:pPr>
        <w:pStyle w:val="BodyText"/>
        <w:spacing w:line="240" w:lineRule="auto" w:before="44"/>
        <w:ind w:left="1640" w:right="2617"/>
        <w:jc w:val="center"/>
      </w:pPr>
      <w:r>
        <w:rPr/>
        <w:t>母公司资产负债表</w:t>
      </w:r>
    </w:p>
    <w:p>
      <w:pPr>
        <w:pStyle w:val="BodyText"/>
        <w:spacing w:line="240" w:lineRule="auto" w:before="76"/>
        <w:ind w:left="0" w:right="1130"/>
        <w:jc w:val="right"/>
      </w:pPr>
      <w:r>
        <w:rPr/>
        <w:t>单位：元</w:t>
      </w:r>
    </w:p>
    <w:p>
      <w:pPr>
        <w:spacing w:line="240" w:lineRule="auto" w:before="0"/>
        <w:rPr>
          <w:rFonts w:ascii="宋体" w:hAnsi="宋体" w:cs="宋体" w:eastAsia="宋体" w:hint="default"/>
          <w:sz w:val="5"/>
          <w:szCs w:val="5"/>
        </w:rPr>
      </w:pPr>
    </w:p>
    <w:tbl>
      <w:tblPr>
        <w:tblW w:w="0" w:type="auto"/>
        <w:jc w:val="left"/>
        <w:tblInd w:w="332" w:type="dxa"/>
        <w:tblLayout w:type="fixed"/>
        <w:tblCellMar>
          <w:top w:w="0" w:type="dxa"/>
          <w:left w:w="0" w:type="dxa"/>
          <w:bottom w:w="0" w:type="dxa"/>
          <w:right w:w="0" w:type="dxa"/>
        </w:tblCellMar>
        <w:tblLook w:val="01E0"/>
      </w:tblPr>
      <w:tblGrid>
        <w:gridCol w:w="3270"/>
        <w:gridCol w:w="1940"/>
        <w:gridCol w:w="2410"/>
        <w:gridCol w:w="1650"/>
      </w:tblGrid>
      <w:tr>
        <w:trPr>
          <w:trHeight w:val="342" w:hRule="exact"/>
        </w:trPr>
        <w:tc>
          <w:tcPr>
            <w:tcW w:w="327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19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514" w:right="0"/>
              <w:jc w:val="left"/>
              <w:rPr>
                <w:rFonts w:ascii="Arial" w:hAnsi="Arial" w:cs="Arial" w:eastAsia="Arial" w:hint="default"/>
                <w:sz w:val="18"/>
                <w:szCs w:val="18"/>
              </w:rPr>
            </w:pPr>
            <w:r>
              <w:rPr>
                <w:rFonts w:ascii="Arial"/>
                <w:sz w:val="18"/>
              </w:rPr>
              <w:t>2018.12.31</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61"/>
              <w:ind w:left="748" w:right="0"/>
              <w:jc w:val="left"/>
              <w:rPr>
                <w:rFonts w:ascii="Arial" w:hAnsi="Arial" w:cs="Arial" w:eastAsia="Arial" w:hint="default"/>
                <w:sz w:val="18"/>
                <w:szCs w:val="18"/>
              </w:rPr>
            </w:pPr>
            <w:r>
              <w:rPr>
                <w:rFonts w:ascii="Arial"/>
                <w:sz w:val="18"/>
              </w:rPr>
              <w:t>2019.01.01</w:t>
            </w:r>
          </w:p>
        </w:tc>
        <w:tc>
          <w:tcPr>
            <w:tcW w:w="165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160,172,932.62</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160,221,148.11</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48,215.49</w:t>
            </w:r>
            <w:r>
              <w:rPr>
                <w:rFonts w:ascii="Arial"/>
                <w:sz w:val="18"/>
              </w:rPr>
            </w: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317,000,000.00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317,000,000.00</w:t>
            </w:r>
          </w:p>
        </w:tc>
      </w:tr>
      <w:tr>
        <w:trPr>
          <w:trHeight w:val="654"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15" w:right="-6"/>
              <w:jc w:val="left"/>
              <w:rPr>
                <w:rFonts w:ascii="宋体" w:hAnsi="宋体" w:cs="宋体" w:eastAsia="宋体" w:hint="default"/>
                <w:sz w:val="18"/>
                <w:szCs w:val="18"/>
              </w:rPr>
            </w:pPr>
            <w:r>
              <w:rPr>
                <w:rFonts w:ascii="宋体" w:hAnsi="宋体" w:cs="宋体" w:eastAsia="宋体" w:hint="default"/>
                <w:spacing w:val="9"/>
                <w:sz w:val="18"/>
                <w:szCs w:val="18"/>
              </w:rPr>
              <w:t>以公允价值计量且其变动计入当期损</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益的金融资产</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164,739,644.24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164,739,644.24</w:t>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Arial" w:hAnsi="Arial" w:cs="Arial" w:eastAsia="Arial" w:hint="default"/>
                <w:sz w:val="18"/>
                <w:szCs w:val="18"/>
              </w:rPr>
            </w:pPr>
            <w:r>
              <w:rPr>
                <w:rFonts w:ascii="Arial"/>
                <w:spacing w:val="-1"/>
                <w:sz w:val="18"/>
              </w:rPr>
              <w:t>40,722,122.77</w:t>
            </w:r>
            <w:r>
              <w:rPr>
                <w:rFonts w:ascii="Arial"/>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40,722,122.77</w:t>
            </w:r>
            <w:r>
              <w:rPr>
                <w:rFonts w:ascii="Arial"/>
                <w:sz w:val="18"/>
              </w:rPr>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1,015,266,047.43</w:t>
            </w:r>
            <w:r>
              <w:rPr>
                <w:rFonts w:ascii="Arial"/>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1,015,217,831.94</w:t>
            </w:r>
            <w:r>
              <w:rPr>
                <w:rFonts w:ascii="Arial"/>
                <w:sz w:val="18"/>
              </w:rPr>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-48,215.49</w:t>
            </w:r>
            <w:r>
              <w:rPr>
                <w:rFonts w:ascii="Arial"/>
                <w:sz w:val="18"/>
              </w:rPr>
            </w: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48,215.49</w:t>
            </w:r>
            <w:r>
              <w:rPr>
                <w:rFonts w:ascii="Arial"/>
                <w:sz w:val="18"/>
              </w:rPr>
            </w: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-48,215.49</w:t>
            </w:r>
            <w:r>
              <w:rPr>
                <w:rFonts w:ascii="Arial"/>
                <w:sz w:val="18"/>
              </w:rPr>
            </w: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966"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141,620,030.24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141,620,030.24</w:t>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3"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332" w:type="dxa"/>
        <w:tblLayout w:type="fixed"/>
        <w:tblCellMar>
          <w:top w:w="0" w:type="dxa"/>
          <w:left w:w="0" w:type="dxa"/>
          <w:bottom w:w="0" w:type="dxa"/>
          <w:right w:w="0" w:type="dxa"/>
        </w:tblCellMar>
        <w:tblLook w:val="01E0"/>
      </w:tblPr>
      <w:tblGrid>
        <w:gridCol w:w="3270"/>
        <w:gridCol w:w="1940"/>
        <w:gridCol w:w="2410"/>
        <w:gridCol w:w="1650"/>
      </w:tblGrid>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6"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336,560,742.86</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19,560,742.86</w:t>
            </w:r>
            <w:r>
              <w:rPr>
                <w:rFonts w:ascii="Arial"/>
                <w:sz w:val="18"/>
              </w:rPr>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-317,000,000.00</w:t>
            </w: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85"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1,859,081,520.16</w:t>
            </w:r>
            <w:r>
              <w:rPr>
                <w:rFonts w:ascii="Arial"/>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1,859,081,520.16</w:t>
            </w:r>
            <w:r>
              <w:rPr>
                <w:rFonts w:ascii="Arial"/>
                <w:sz w:val="18"/>
              </w:rPr>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43,400,000.00</w:t>
            </w:r>
            <w:r>
              <w:rPr>
                <w:rFonts w:ascii="Arial"/>
                <w:sz w:val="18"/>
              </w:rPr>
            </w: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-43,400,000.00</w:t>
            </w:r>
            <w:r>
              <w:rPr>
                <w:rFonts w:ascii="Arial"/>
                <w:sz w:val="18"/>
              </w:rPr>
            </w: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392"/>
              <w:jc w:val="right"/>
              <w:rPr>
                <w:rFonts w:ascii="宋体" w:hAnsi="宋体" w:cs="宋体" w:eastAsia="宋体" w:hint="default"/>
                <w:sz w:val="18"/>
                <w:szCs w:val="18"/>
              </w:rPr>
            </w:pPr>
            <w:r>
              <w:rPr>
                <w:rFonts w:ascii="宋体" w:hAnsi="宋体" w:cs="宋体" w:eastAsia="宋体" w:hint="default"/>
                <w:sz w:val="18"/>
                <w:szCs w:val="18"/>
              </w:rPr>
              <w:t>设定受益计划净资产</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691,760,404.11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691,760,404.11</w:t>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74,222,530.86</w:t>
            </w:r>
            <w:r>
              <w:rPr>
                <w:rFonts w:ascii="Arial"/>
                <w:sz w:val="18"/>
              </w:rPr>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74,222,530.86</w:t>
            </w:r>
            <w:r>
              <w:rPr>
                <w:rFonts w:ascii="Arial"/>
                <w:sz w:val="18"/>
              </w:rPr>
            </w: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392"/>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Arial" w:hAnsi="Arial" w:cs="Arial" w:eastAsia="Arial" w:hint="default"/>
                <w:sz w:val="18"/>
                <w:szCs w:val="18"/>
              </w:rPr>
            </w:pPr>
            <w:r>
              <w:rPr>
                <w:rFonts w:ascii="Arial"/>
                <w:spacing w:val="-1"/>
                <w:sz w:val="18"/>
              </w:rPr>
              <w:t>12,918,264.27</w:t>
            </w:r>
            <w:r>
              <w:rPr>
                <w:rFonts w:ascii="Arial"/>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12,918,264.27</w:t>
            </w:r>
            <w:r>
              <w:rPr>
                <w:rFonts w:ascii="Arial"/>
                <w:sz w:val="18"/>
              </w:rPr>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Arial" w:hAnsi="Arial" w:cs="Arial" w:eastAsia="Arial" w:hint="default"/>
                <w:sz w:val="18"/>
                <w:szCs w:val="18"/>
              </w:rPr>
            </w:pPr>
            <w:r>
              <w:rPr>
                <w:rFonts w:ascii="Arial"/>
                <w:spacing w:val="-1"/>
                <w:sz w:val="18"/>
              </w:rPr>
              <w:t>37,897,557.11</w:t>
            </w:r>
            <w:r>
              <w:rPr>
                <w:rFonts w:ascii="Arial"/>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37,897,557.11</w:t>
            </w:r>
            <w:r>
              <w:rPr>
                <w:rFonts w:ascii="Arial"/>
                <w:sz w:val="18"/>
              </w:rPr>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8,969,539.01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8,969,539.01</w:t>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4,202,108.13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4,202,108.13</w:t>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2,678,762.48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2,678,762.48</w:t>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85"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801,826,635.11</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832,649,165.97</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30,822,530.86</w:t>
            </w:r>
            <w:r>
              <w:rPr>
                <w:rFonts w:ascii="Arial"/>
                <w:sz w:val="18"/>
              </w:rPr>
            </w: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28"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2,660,908,155.27</w:t>
            </w:r>
            <w:r>
              <w:rPr>
                <w:rFonts w:ascii="Arial"/>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2,691,730,686.13</w:t>
            </w:r>
            <w:r>
              <w:rPr>
                <w:rFonts w:ascii="Arial"/>
                <w:sz w:val="18"/>
              </w:rPr>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6"/>
              <w:jc w:val="right"/>
              <w:rPr>
                <w:rFonts w:ascii="Arial" w:hAnsi="Arial" w:cs="Arial" w:eastAsia="Arial" w:hint="default"/>
                <w:sz w:val="18"/>
                <w:szCs w:val="18"/>
              </w:rPr>
            </w:pPr>
            <w:r>
              <w:rPr>
                <w:rFonts w:ascii="Arial"/>
                <w:spacing w:val="-1"/>
                <w:sz w:val="18"/>
              </w:rPr>
              <w:t>30,822,530.86</w:t>
            </w:r>
            <w:r>
              <w:rPr>
                <w:rFonts w:ascii="Arial"/>
                <w:sz w:val="18"/>
              </w:rPr>
            </w: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430,000,000.00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430,502,012.50</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502,012.50</w:t>
            </w: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654"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21"/>
              <w:ind w:left="215" w:right="-6"/>
              <w:jc w:val="left"/>
              <w:rPr>
                <w:rFonts w:ascii="宋体" w:hAnsi="宋体" w:cs="宋体" w:eastAsia="宋体" w:hint="default"/>
                <w:sz w:val="18"/>
                <w:szCs w:val="18"/>
              </w:rPr>
            </w:pPr>
            <w:r>
              <w:rPr>
                <w:rFonts w:ascii="宋体" w:hAnsi="宋体" w:cs="宋体" w:eastAsia="宋体" w:hint="default"/>
                <w:spacing w:val="9"/>
                <w:sz w:val="18"/>
                <w:szCs w:val="18"/>
              </w:rPr>
              <w:t>以公允价值计量且其变动计入当期损</w:t>
            </w:r>
            <w:r>
              <w:rPr>
                <w:rFonts w:ascii="宋体" w:hAnsi="宋体" w:cs="宋体" w:eastAsia="宋体" w:hint="default"/>
                <w:spacing w:val="-77"/>
                <w:sz w:val="18"/>
                <w:szCs w:val="18"/>
              </w:rPr>
              <w:t> </w:t>
            </w:r>
            <w:r>
              <w:rPr>
                <w:rFonts w:ascii="宋体" w:hAnsi="宋体" w:cs="宋体" w:eastAsia="宋体" w:hint="default"/>
                <w:spacing w:val="-77"/>
                <w:sz w:val="18"/>
                <w:szCs w:val="18"/>
              </w:rPr>
            </w:r>
            <w:r>
              <w:rPr>
                <w:rFonts w:ascii="宋体" w:hAnsi="宋体" w:cs="宋体" w:eastAsia="宋体" w:hint="default"/>
                <w:sz w:val="18"/>
                <w:szCs w:val="18"/>
              </w:rPr>
              <w:t>益的金融负债</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15"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15"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6,961,650.00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6,961,650.00</w:t>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237,303,029.20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237,303,029.20</w:t>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115,195,422.00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115,195,422.00</w:t>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Arial" w:hAnsi="Arial" w:cs="Arial" w:eastAsia="Arial" w:hint="default"/>
                <w:sz w:val="18"/>
                <w:szCs w:val="18"/>
              </w:rPr>
            </w:pPr>
            <w:r>
              <w:rPr>
                <w:rFonts w:ascii="Arial"/>
                <w:spacing w:val="-1"/>
                <w:sz w:val="18"/>
              </w:rPr>
              <w:t>10,082,456.22</w:t>
            </w:r>
            <w:r>
              <w:rPr>
                <w:rFonts w:ascii="Arial"/>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10,082,456.22</w:t>
            </w:r>
            <w:r>
              <w:rPr>
                <w:rFonts w:ascii="Arial"/>
                <w:sz w:val="18"/>
              </w:rPr>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5,399,464.04</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5,399,464.04</w:t>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340,483,288.98</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339,981,276.48</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-502,012.50</w:t>
            </w: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502,012.50</w:t>
            </w: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-502,012.50</w:t>
            </w: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966"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332" w:type="dxa"/>
        <w:tblLayout w:type="fixed"/>
        <w:tblCellMar>
          <w:top w:w="0" w:type="dxa"/>
          <w:left w:w="0" w:type="dxa"/>
          <w:bottom w:w="0" w:type="dxa"/>
          <w:right w:w="0" w:type="dxa"/>
        </w:tblCellMar>
        <w:tblLook w:val="01E0"/>
      </w:tblPr>
      <w:tblGrid>
        <w:gridCol w:w="3270"/>
        <w:gridCol w:w="1940"/>
        <w:gridCol w:w="2410"/>
        <w:gridCol w:w="1650"/>
      </w:tblGrid>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6"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Arial" w:hAnsi="Arial" w:cs="Arial" w:eastAsia="Arial" w:hint="default"/>
                <w:sz w:val="18"/>
                <w:szCs w:val="18"/>
              </w:rPr>
            </w:pPr>
            <w:r>
              <w:rPr>
                <w:rFonts w:ascii="Arial"/>
                <w:spacing w:val="-1"/>
                <w:sz w:val="18"/>
              </w:rPr>
              <w:t>12,791,565.70</w:t>
            </w:r>
            <w:r>
              <w:rPr>
                <w:rFonts w:ascii="Arial"/>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12,791,565.70</w:t>
            </w:r>
            <w:r>
              <w:rPr>
                <w:rFonts w:ascii="Arial"/>
                <w:sz w:val="18"/>
              </w:rPr>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85"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1,158,216,876.14</w:t>
            </w:r>
            <w:r>
              <w:rPr>
                <w:rFonts w:ascii="Arial"/>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1,158,216,876.14</w:t>
            </w:r>
            <w:r>
              <w:rPr>
                <w:rFonts w:ascii="Arial"/>
                <w:sz w:val="18"/>
              </w:rPr>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7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888,333.33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888,333.33</w:t>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3,082,253.09</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3,082,253.09</w:t>
            </w: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485"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888,333.33</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3,970,586.42</w:t>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3,082,253.09</w:t>
            </w: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728"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1,159,105,209.47</w:t>
            </w:r>
            <w:r>
              <w:rPr>
                <w:rFonts w:ascii="Arial"/>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1,162,187,462.56</w:t>
            </w:r>
            <w:r>
              <w:rPr>
                <w:rFonts w:ascii="Arial"/>
                <w:sz w:val="18"/>
              </w:rPr>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3,082,253.09</w:t>
            </w: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5"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622,200,000.00</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622,200,000.00</w:t>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7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364,193,237.65</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364,193,237.65</w:t>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27,740,277.77</w:t>
            </w:r>
            <w:r>
              <w:rPr>
                <w:rFonts w:ascii="Arial"/>
                <w:sz w:val="18"/>
              </w:rPr>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27,740,277.77</w:t>
            </w:r>
            <w:r>
              <w:rPr>
                <w:rFonts w:ascii="Arial"/>
                <w:sz w:val="18"/>
              </w:rPr>
            </w: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5"/>
              <w:jc w:val="right"/>
              <w:rPr>
                <w:rFonts w:ascii="Arial" w:hAnsi="Arial" w:cs="Arial" w:eastAsia="Arial" w:hint="default"/>
                <w:sz w:val="18"/>
                <w:szCs w:val="18"/>
              </w:rPr>
            </w:pPr>
            <w:r>
              <w:rPr>
                <w:rFonts w:ascii="Arial"/>
                <w:spacing w:val="-1"/>
                <w:sz w:val="18"/>
              </w:rPr>
              <w:t>67,571,711.68</w:t>
            </w:r>
            <w:r>
              <w:rPr>
                <w:rFonts w:ascii="Arial"/>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67,571,711.68</w:t>
            </w:r>
            <w:r>
              <w:rPr>
                <w:rFonts w:ascii="Arial"/>
                <w:sz w:val="18"/>
              </w:rPr>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447,837,996.47</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2"/>
              <w:jc w:val="right"/>
              <w:rPr>
                <w:rFonts w:ascii="Arial" w:hAnsi="Arial" w:cs="Arial" w:eastAsia="Arial" w:hint="default"/>
                <w:sz w:val="18"/>
                <w:szCs w:val="18"/>
              </w:rPr>
            </w:pPr>
            <w:r>
              <w:rPr>
                <w:rFonts w:ascii="Arial"/>
                <w:spacing w:val="-1"/>
                <w:sz w:val="18"/>
              </w:rPr>
              <w:t>447,837,996.47</w:t>
            </w: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1,501,802,945.80</w:t>
            </w:r>
            <w:r>
              <w:rPr>
                <w:rFonts w:ascii="Arial"/>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1,529,543,223.57</w:t>
            </w:r>
            <w:r>
              <w:rPr>
                <w:rFonts w:ascii="Arial"/>
                <w:sz w:val="18"/>
              </w:rPr>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6"/>
              <w:jc w:val="right"/>
              <w:rPr>
                <w:rFonts w:ascii="Arial" w:hAnsi="Arial" w:cs="Arial" w:eastAsia="Arial" w:hint="default"/>
                <w:sz w:val="18"/>
                <w:szCs w:val="18"/>
              </w:rPr>
            </w:pPr>
            <w:r>
              <w:rPr>
                <w:rFonts w:ascii="Arial"/>
                <w:spacing w:val="-1"/>
                <w:sz w:val="18"/>
              </w:rPr>
              <w:t>27,740,277.77</w:t>
            </w:r>
            <w:r>
              <w:rPr>
                <w:rFonts w:ascii="Arial"/>
                <w:sz w:val="18"/>
              </w:rPr>
            </w: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245"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940" w:type="dxa"/>
            <w:tcBorders>
              <w:top w:val="single" w:sz="4" w:space="0" w:color="000000"/>
              <w:left w:val="single" w:sz="4" w:space="0" w:color="000000"/>
              <w:bottom w:val="single" w:sz="4" w:space="0" w:color="000000"/>
              <w:right w:val="single" w:sz="4" w:space="0" w:color="000000"/>
            </w:tcBorders>
          </w:tcPr>
          <w:p>
            <w:pPr/>
          </w:p>
        </w:tc>
        <w:tc>
          <w:tcPr>
            <w:tcW w:w="2410" w:type="dxa"/>
            <w:tcBorders>
              <w:top w:val="single" w:sz="4" w:space="0" w:color="000000"/>
              <w:left w:val="single" w:sz="4" w:space="0" w:color="000000"/>
              <w:bottom w:val="single" w:sz="4" w:space="0" w:color="000000"/>
              <w:right w:val="single" w:sz="4" w:space="0" w:color="000000"/>
            </w:tcBorders>
          </w:tcPr>
          <w:p>
            <w:pPr/>
          </w:p>
        </w:tc>
        <w:tc>
          <w:tcPr>
            <w:tcW w:w="1650" w:type="dxa"/>
            <w:tcBorders>
              <w:top w:val="single" w:sz="4" w:space="0" w:color="000000"/>
              <w:left w:val="single" w:sz="4" w:space="0" w:color="000000"/>
              <w:bottom w:val="single" w:sz="4" w:space="0" w:color="000000"/>
              <w:right w:val="single" w:sz="4" w:space="0" w:color="000000"/>
            </w:tcBorders>
          </w:tcPr>
          <w:p>
            <w:pP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股东权益合计</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1,501,802,945.80</w:t>
            </w:r>
            <w:r>
              <w:rPr>
                <w:rFonts w:ascii="Arial"/>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1,529,543,223.57</w:t>
            </w:r>
            <w:r>
              <w:rPr>
                <w:rFonts w:ascii="Arial"/>
                <w:sz w:val="18"/>
              </w:rPr>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27,740,277.77</w:t>
            </w:r>
            <w:r>
              <w:rPr>
                <w:rFonts w:ascii="Arial"/>
                <w:sz w:val="18"/>
              </w:rPr>
            </w:r>
          </w:p>
        </w:tc>
      </w:tr>
      <w:tr>
        <w:trPr>
          <w:trHeight w:val="342" w:hRule="exact"/>
        </w:trPr>
        <w:tc>
          <w:tcPr>
            <w:tcW w:w="3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1"/>
              <w:ind w:left="819" w:right="0"/>
              <w:jc w:val="left"/>
              <w:rPr>
                <w:rFonts w:ascii="宋体" w:hAnsi="宋体" w:cs="宋体" w:eastAsia="宋体" w:hint="default"/>
                <w:sz w:val="18"/>
                <w:szCs w:val="18"/>
              </w:rPr>
            </w:pPr>
            <w:r>
              <w:rPr>
                <w:rFonts w:ascii="宋体" w:hAnsi="宋体" w:cs="宋体" w:eastAsia="宋体" w:hint="default"/>
                <w:sz w:val="18"/>
                <w:szCs w:val="18"/>
              </w:rPr>
              <w:t>负债和股东权益总计</w:t>
            </w:r>
          </w:p>
        </w:tc>
        <w:tc>
          <w:tcPr>
            <w:tcW w:w="19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2,660,908,155.27</w:t>
            </w:r>
            <w:r>
              <w:rPr>
                <w:rFonts w:ascii="Arial"/>
                <w:sz w:val="18"/>
              </w:rPr>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3"/>
              <w:jc w:val="right"/>
              <w:rPr>
                <w:rFonts w:ascii="Arial" w:hAnsi="Arial" w:cs="Arial" w:eastAsia="Arial" w:hint="default"/>
                <w:sz w:val="18"/>
                <w:szCs w:val="18"/>
              </w:rPr>
            </w:pPr>
            <w:r>
              <w:rPr>
                <w:rFonts w:ascii="Arial"/>
                <w:spacing w:val="-1"/>
                <w:sz w:val="18"/>
              </w:rPr>
              <w:t>2,691,730,686.13</w:t>
            </w:r>
            <w:r>
              <w:rPr>
                <w:rFonts w:ascii="Arial"/>
                <w:sz w:val="18"/>
              </w:rPr>
            </w:r>
          </w:p>
        </w:tc>
        <w:tc>
          <w:tcPr>
            <w:tcW w:w="1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4"/>
              <w:jc w:val="right"/>
              <w:rPr>
                <w:rFonts w:ascii="Arial" w:hAnsi="Arial" w:cs="Arial" w:eastAsia="Arial" w:hint="default"/>
                <w:sz w:val="18"/>
                <w:szCs w:val="18"/>
              </w:rPr>
            </w:pPr>
            <w:r>
              <w:rPr>
                <w:rFonts w:ascii="Arial"/>
                <w:spacing w:val="-1"/>
                <w:sz w:val="18"/>
              </w:rPr>
              <w:t>30,822,530.86</w:t>
            </w:r>
            <w:r>
              <w:rPr>
                <w:rFonts w:ascii="Arial"/>
                <w:sz w:val="18"/>
              </w:rPr>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2239"/>
        <w:jc w:val="left"/>
        <w:rPr>
          <w:b w:val="0"/>
          <w:bCs w:val="0"/>
        </w:rPr>
      </w:pPr>
      <w:r>
        <w:rPr/>
        <w:t>七、报告期内发生重大会计差错更正需追溯重述的情况说明</w:t>
      </w:r>
      <w:r>
        <w:rPr>
          <w:b w:val="0"/>
          <w:bCs w:val="0"/>
        </w:rPr>
      </w:r>
    </w:p>
    <w:p>
      <w:pPr>
        <w:spacing w:line="240" w:lineRule="auto" w:before="7"/>
        <w:rPr>
          <w:rFonts w:ascii="宋体" w:hAnsi="宋体" w:cs="宋体" w:eastAsia="宋体" w:hint="default"/>
          <w:b/>
          <w:bCs/>
          <w:sz w:val="26"/>
          <w:szCs w:val="26"/>
        </w:rPr>
      </w:pPr>
    </w:p>
    <w:p>
      <w:pPr>
        <w:pStyle w:val="BodyText"/>
        <w:spacing w:line="340" w:lineRule="auto"/>
        <w:ind w:right="661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公司报告期无重大会计差错更正需追溯重述的情况。</w:t>
      </w:r>
    </w:p>
    <w:p>
      <w:pPr>
        <w:spacing w:line="240" w:lineRule="auto" w:before="3"/>
        <w:rPr>
          <w:rFonts w:ascii="宋体" w:hAnsi="宋体" w:cs="宋体" w:eastAsia="宋体" w:hint="default"/>
          <w:sz w:val="19"/>
          <w:szCs w:val="19"/>
        </w:rPr>
      </w:pPr>
    </w:p>
    <w:p>
      <w:pPr>
        <w:pStyle w:val="Heading2"/>
        <w:spacing w:line="240" w:lineRule="auto"/>
        <w:ind w:right="2239"/>
        <w:jc w:val="left"/>
        <w:rPr>
          <w:b w:val="0"/>
          <w:bCs w:val="0"/>
        </w:rPr>
      </w:pPr>
      <w:r>
        <w:rPr/>
        <w:t>八、与上年度财务报告相比，合并报表范围发生变化的情况说明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pStyle w:val="BodyText"/>
        <w:spacing w:line="240" w:lineRule="auto" w:before="102"/>
        <w:ind w:right="0"/>
        <w:jc w:val="left"/>
      </w:pPr>
      <w:r>
        <w:rPr/>
        <w:t>本集团</w:t>
      </w:r>
      <w:r>
        <w:rPr>
          <w:spacing w:val="-46"/>
        </w:rPr>
        <w:t> </w:t>
      </w:r>
      <w:r>
        <w:rPr>
          <w:rFonts w:ascii="Arial" w:hAnsi="Arial" w:cs="Arial" w:eastAsia="Arial" w:hint="default"/>
        </w:rPr>
        <w:t>2019</w:t>
      </w:r>
      <w:r>
        <w:rPr>
          <w:rFonts w:ascii="Arial" w:hAnsi="Arial" w:cs="Arial" w:eastAsia="Arial" w:hint="default"/>
          <w:spacing w:val="-7"/>
        </w:rPr>
        <w:t> </w:t>
      </w:r>
      <w:r>
        <w:rPr/>
        <w:t>年度纳入合并范围的子公司</w:t>
      </w:r>
      <w:r>
        <w:rPr>
          <w:spacing w:val="-46"/>
        </w:rPr>
        <w:t> </w:t>
      </w:r>
      <w:r>
        <w:rPr>
          <w:rFonts w:ascii="Arial" w:hAnsi="Arial" w:cs="Arial" w:eastAsia="Arial" w:hint="default"/>
        </w:rPr>
        <w:t>15</w:t>
      </w:r>
      <w:r>
        <w:rPr>
          <w:rFonts w:ascii="Arial" w:hAnsi="Arial" w:cs="Arial" w:eastAsia="Arial" w:hint="default"/>
          <w:spacing w:val="-5"/>
        </w:rPr>
        <w:t> </w:t>
      </w:r>
      <w:r>
        <w:rPr/>
        <w:t>家、孙公司</w:t>
      </w:r>
      <w:r>
        <w:rPr>
          <w:spacing w:val="-46"/>
        </w:rPr>
        <w:t> </w:t>
      </w:r>
      <w:r>
        <w:rPr>
          <w:rFonts w:ascii="Arial" w:hAnsi="Arial" w:cs="Arial" w:eastAsia="Arial" w:hint="default"/>
        </w:rPr>
        <w:t>3</w:t>
      </w:r>
      <w:r>
        <w:rPr>
          <w:rFonts w:ascii="Arial" w:hAnsi="Arial" w:cs="Arial" w:eastAsia="Arial" w:hint="default"/>
          <w:spacing w:val="-5"/>
        </w:rPr>
        <w:t> </w:t>
      </w:r>
      <w:r>
        <w:rPr/>
        <w:t>家，各家子、孙公司情况详见附注</w:t>
      </w:r>
      <w:r>
        <w:rPr>
          <w:rFonts w:ascii="Arial" w:hAnsi="Arial" w:cs="Arial" w:eastAsia="Arial" w:hint="default"/>
        </w:rPr>
        <w:t>“</w:t>
      </w:r>
      <w:r>
        <w:rPr/>
        <w:t>七、在其他主体中的权益</w:t>
      </w:r>
      <w:r>
        <w:rPr>
          <w:rFonts w:ascii="Arial" w:hAnsi="Arial" w:cs="Arial" w:eastAsia="Arial" w:hint="default"/>
        </w:rPr>
        <w:t>”</w:t>
      </w:r>
      <w:r>
        <w:rPr/>
        <w:t>。</w:t>
      </w:r>
    </w:p>
    <w:p>
      <w:pPr>
        <w:spacing w:after="0" w:line="240"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left"/>
      </w:pPr>
      <w:r>
        <w:rPr/>
        <w:t>本集团本年度合并范围较上年度减少</w:t>
      </w:r>
      <w:r>
        <w:rPr>
          <w:spacing w:val="-46"/>
        </w:rPr>
        <w:t> </w:t>
      </w:r>
      <w:r>
        <w:rPr>
          <w:rFonts w:ascii="Arial" w:hAnsi="Arial" w:cs="Arial" w:eastAsia="Arial" w:hint="default"/>
        </w:rPr>
        <w:t>2</w:t>
      </w:r>
      <w:r>
        <w:rPr>
          <w:rFonts w:ascii="Arial" w:hAnsi="Arial" w:cs="Arial" w:eastAsia="Arial" w:hint="default"/>
          <w:spacing w:val="-7"/>
        </w:rPr>
        <w:t> </w:t>
      </w:r>
      <w:r>
        <w:rPr/>
        <w:t>家，系</w:t>
      </w:r>
      <w:r>
        <w:rPr>
          <w:spacing w:val="-46"/>
        </w:rPr>
        <w:t> </w:t>
      </w:r>
      <w:r>
        <w:rPr>
          <w:rFonts w:ascii="Arial" w:hAnsi="Arial" w:cs="Arial" w:eastAsia="Arial" w:hint="default"/>
        </w:rPr>
        <w:t>2</w:t>
      </w:r>
      <w:r>
        <w:rPr>
          <w:rFonts w:ascii="Arial" w:hAnsi="Arial" w:cs="Arial" w:eastAsia="Arial" w:hint="default"/>
          <w:spacing w:val="-7"/>
        </w:rPr>
        <w:t> </w:t>
      </w:r>
      <w:r>
        <w:rPr/>
        <w:t>家孙公司浙江检榕网络科技有限公司及榕基国计（北京）信息技术有限公</w:t>
      </w:r>
    </w:p>
    <w:p>
      <w:pPr>
        <w:pStyle w:val="BodyText"/>
        <w:spacing w:line="240" w:lineRule="auto" w:before="65"/>
        <w:ind w:left="153" w:right="2239"/>
        <w:jc w:val="left"/>
      </w:pPr>
      <w:r>
        <w:rPr/>
        <w:t>司于</w:t>
      </w:r>
      <w:r>
        <w:rPr>
          <w:spacing w:val="-46"/>
        </w:rPr>
        <w:t> </w:t>
      </w:r>
      <w:r>
        <w:rPr>
          <w:rFonts w:ascii="Arial" w:hAnsi="Arial" w:cs="Arial" w:eastAsia="Arial" w:hint="default"/>
        </w:rPr>
        <w:t>2019</w:t>
      </w:r>
      <w:r>
        <w:rPr>
          <w:rFonts w:ascii="Arial" w:hAnsi="Arial" w:cs="Arial" w:eastAsia="Arial" w:hint="default"/>
          <w:spacing w:val="-7"/>
        </w:rPr>
        <w:t> </w:t>
      </w:r>
      <w:r>
        <w:rPr/>
        <w:t>年度注销，详见附注</w:t>
      </w:r>
      <w:r>
        <w:rPr>
          <w:rFonts w:ascii="Arial" w:hAnsi="Arial" w:cs="Arial" w:eastAsia="Arial" w:hint="default"/>
        </w:rPr>
        <w:t>“</w:t>
      </w:r>
      <w:r>
        <w:rPr/>
        <w:t>六、合并范围的变动</w:t>
      </w:r>
      <w:r>
        <w:rPr>
          <w:rFonts w:ascii="Arial" w:hAnsi="Arial" w:cs="Arial" w:eastAsia="Arial" w:hint="default"/>
        </w:rPr>
        <w:t>”</w:t>
      </w:r>
      <w:r>
        <w:rPr/>
        <w:t>。</w:t>
      </w:r>
    </w:p>
    <w:p>
      <w:pPr>
        <w:spacing w:line="240" w:lineRule="auto" w:before="13"/>
        <w:rPr>
          <w:rFonts w:ascii="宋体" w:hAnsi="宋体" w:cs="宋体" w:eastAsia="宋体" w:hint="default"/>
          <w:sz w:val="23"/>
          <w:szCs w:val="23"/>
        </w:rPr>
      </w:pPr>
    </w:p>
    <w:p>
      <w:pPr>
        <w:pStyle w:val="Heading2"/>
        <w:spacing w:line="240" w:lineRule="auto"/>
        <w:ind w:right="2239"/>
        <w:jc w:val="left"/>
        <w:rPr>
          <w:b w:val="0"/>
          <w:bCs w:val="0"/>
        </w:rPr>
      </w:pPr>
      <w:r>
        <w:rPr/>
        <w:t>九、聘任、解聘会计师事务所情况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2239"/>
        <w:jc w:val="left"/>
      </w:pPr>
      <w:r>
        <w:rPr/>
        <w:t>现聘任的会计师事务所</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91"/>
        <w:gridCol w:w="4777"/>
      </w:tblGrid>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w w:val="95"/>
                <w:sz w:val="18"/>
              </w:rPr>
              <w:t>84.8</w:t>
            </w:r>
            <w:r>
              <w:rPr>
                <w:rFonts w:ascii="Arial"/>
                <w:w w:val="95"/>
                <w:sz w:val="18"/>
              </w:rPr>
            </w:r>
          </w:p>
        </w:tc>
      </w:tr>
      <w:tr>
        <w:trPr>
          <w:trHeight w:val="714" w:hRule="exact"/>
        </w:trPr>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23" w:right="0"/>
              <w:jc w:val="left"/>
              <w:rPr>
                <w:rFonts w:ascii="Arial" w:hAnsi="Arial" w:cs="Arial" w:eastAsia="Arial" w:hint="default"/>
                <w:sz w:val="18"/>
                <w:szCs w:val="18"/>
              </w:rPr>
            </w:pPr>
            <w:r>
              <w:rPr>
                <w:rFonts w:ascii="Arial"/>
                <w:sz w:val="18"/>
              </w:rPr>
              <w:t>14</w:t>
            </w:r>
          </w:p>
        </w:tc>
      </w:tr>
      <w:tr>
        <w:trPr>
          <w:trHeight w:val="714" w:hRule="exact"/>
        </w:trPr>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林庆瑜、杨莹</w:t>
            </w:r>
          </w:p>
        </w:tc>
      </w:tr>
      <w:tr>
        <w:trPr>
          <w:trHeight w:val="715" w:hRule="exact"/>
        </w:trPr>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境内会计师事务所注册会计师审计服务的连续年限</w:t>
            </w:r>
          </w:p>
        </w:tc>
        <w:tc>
          <w:tcPr>
            <w:tcW w:w="47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Arial" w:hAnsi="Arial" w:cs="Arial" w:eastAsia="Arial" w:hint="default"/>
                <w:sz w:val="18"/>
                <w:szCs w:val="18"/>
              </w:rPr>
              <w:t>5 </w:t>
            </w:r>
            <w:r>
              <w:rPr>
                <w:rFonts w:ascii="宋体" w:hAnsi="宋体" w:cs="宋体" w:eastAsia="宋体" w:hint="default"/>
                <w:sz w:val="18"/>
                <w:szCs w:val="18"/>
              </w:rPr>
              <w:t>年、</w:t>
            </w:r>
            <w:r>
              <w:rPr>
                <w:rFonts w:ascii="Arial" w:hAnsi="Arial" w:cs="Arial" w:eastAsia="Arial" w:hint="default"/>
                <w:sz w:val="18"/>
                <w:szCs w:val="18"/>
              </w:rPr>
              <w:t>4</w:t>
            </w:r>
            <w:r>
              <w:rPr>
                <w:rFonts w:ascii="Arial" w:hAnsi="Arial" w:cs="Arial" w:eastAsia="Arial" w:hint="default"/>
                <w:spacing w:val="-13"/>
                <w:sz w:val="18"/>
                <w:szCs w:val="18"/>
              </w:rPr>
              <w:t> </w:t>
            </w:r>
            <w:r>
              <w:rPr>
                <w:rFonts w:ascii="宋体" w:hAnsi="宋体" w:cs="宋体" w:eastAsia="宋体" w:hint="default"/>
                <w:sz w:val="18"/>
                <w:szCs w:val="18"/>
              </w:rPr>
              <w:t>年</w:t>
            </w:r>
          </w:p>
        </w:tc>
      </w:tr>
    </w:tbl>
    <w:p>
      <w:pPr>
        <w:pStyle w:val="BodyText"/>
        <w:spacing w:line="240" w:lineRule="auto" w:before="51"/>
        <w:ind w:right="2239"/>
        <w:jc w:val="left"/>
      </w:pPr>
      <w:r>
        <w:rPr/>
        <w:t>当期是否改聘会计师事务所</w:t>
      </w:r>
    </w:p>
    <w:p>
      <w:pPr>
        <w:pStyle w:val="BodyText"/>
        <w:spacing w:line="340" w:lineRule="auto" w:before="116"/>
        <w:ind w:right="6250"/>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29"/>
        </w:rPr>
        <w:t> </w:t>
      </w:r>
      <w:r>
        <w:rPr/>
        <w:t>否 聘请内部控制审计会计师事务所、财务顾问或保荐人情况</w:t>
      </w:r>
    </w:p>
    <w:p>
      <w:pPr>
        <w:pStyle w:val="BodyText"/>
        <w:spacing w:line="240" w:lineRule="auto" w:before="40"/>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2239"/>
        <w:jc w:val="left"/>
        <w:rPr>
          <w:b w:val="0"/>
          <w:bCs w:val="0"/>
        </w:rPr>
      </w:pPr>
      <w:r>
        <w:rPr/>
        <w:t>十、年度报告披露后面临暂停上市和终止上市情况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2239"/>
        <w:jc w:val="left"/>
        <w:rPr>
          <w:b w:val="0"/>
          <w:bCs w:val="0"/>
        </w:rPr>
      </w:pPr>
      <w:r>
        <w:rPr/>
        <w:t>十一、破产重整相关事项</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69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公司报告期未发生破产重整相关事项。</w:t>
      </w:r>
    </w:p>
    <w:p>
      <w:pPr>
        <w:spacing w:line="240" w:lineRule="auto" w:before="3"/>
        <w:rPr>
          <w:rFonts w:ascii="宋体" w:hAnsi="宋体" w:cs="宋体" w:eastAsia="宋体" w:hint="default"/>
          <w:sz w:val="19"/>
          <w:szCs w:val="19"/>
        </w:rPr>
      </w:pPr>
    </w:p>
    <w:p>
      <w:pPr>
        <w:pStyle w:val="Heading2"/>
        <w:spacing w:line="240" w:lineRule="auto"/>
        <w:ind w:right="2239"/>
        <w:jc w:val="left"/>
        <w:rPr>
          <w:b w:val="0"/>
          <w:bCs w:val="0"/>
        </w:rPr>
      </w:pPr>
      <w:r>
        <w:rPr/>
        <w:t>十二、重大诉讼、仲裁事项</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69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本报告期公司无重大诉讼、仲裁事项。</w:t>
      </w:r>
    </w:p>
    <w:p>
      <w:pPr>
        <w:spacing w:line="240" w:lineRule="auto" w:before="3"/>
        <w:rPr>
          <w:rFonts w:ascii="宋体" w:hAnsi="宋体" w:cs="宋体" w:eastAsia="宋体" w:hint="default"/>
          <w:sz w:val="19"/>
          <w:szCs w:val="19"/>
        </w:rPr>
      </w:pPr>
    </w:p>
    <w:p>
      <w:pPr>
        <w:pStyle w:val="Heading2"/>
        <w:spacing w:line="240" w:lineRule="auto"/>
        <w:ind w:right="2239"/>
        <w:jc w:val="left"/>
        <w:rPr>
          <w:b w:val="0"/>
          <w:bCs w:val="0"/>
        </w:rPr>
      </w:pPr>
      <w:r>
        <w:rPr/>
        <w:t>十三、处罚及整改情况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787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公司报告期不存在处罚及整改情况。</w:t>
      </w:r>
    </w:p>
    <w:p>
      <w:pPr>
        <w:spacing w:line="240" w:lineRule="auto" w:before="4"/>
        <w:rPr>
          <w:rFonts w:ascii="宋体" w:hAnsi="宋体" w:cs="宋体" w:eastAsia="宋体" w:hint="default"/>
          <w:sz w:val="19"/>
          <w:szCs w:val="19"/>
        </w:rPr>
      </w:pPr>
    </w:p>
    <w:p>
      <w:pPr>
        <w:pStyle w:val="Heading2"/>
        <w:spacing w:line="240" w:lineRule="auto"/>
        <w:ind w:right="2239"/>
        <w:jc w:val="left"/>
        <w:rPr>
          <w:b w:val="0"/>
          <w:bCs w:val="0"/>
        </w:rPr>
      </w:pPr>
      <w:r>
        <w:rPr/>
        <w:t>十四、公司及其控股股东、实际控制人的诚信状况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after="0" w:line="240" w:lineRule="auto"/>
        <w:jc w:val="left"/>
        <w:sectPr>
          <w:pgSz w:w="11910" w:h="16840"/>
          <w:pgMar w:header="747" w:footer="982" w:top="1060" w:bottom="118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2239"/>
        <w:jc w:val="left"/>
        <w:rPr>
          <w:b w:val="0"/>
          <w:bCs w:val="0"/>
        </w:rPr>
      </w:pPr>
      <w:r>
        <w:rPr/>
        <w:t>十五、公司股权激励计划、员工持股计划或其他员工激励措施的实施情况</w:t>
      </w:r>
      <w:r>
        <w:rPr>
          <w:b w:val="0"/>
          <w:bCs w:val="0"/>
        </w:rPr>
      </w:r>
    </w:p>
    <w:p>
      <w:pPr>
        <w:spacing w:line="240" w:lineRule="auto" w:before="9"/>
        <w:rPr>
          <w:rFonts w:ascii="宋体" w:hAnsi="宋体" w:cs="宋体" w:eastAsia="宋体" w:hint="default"/>
          <w:b/>
          <w:bCs/>
          <w:sz w:val="26"/>
          <w:szCs w:val="26"/>
        </w:rPr>
      </w:pPr>
    </w:p>
    <w:p>
      <w:pPr>
        <w:pStyle w:val="BodyText"/>
        <w:spacing w:line="345" w:lineRule="auto"/>
        <w:ind w:left="514" w:right="3910" w:hanging="36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截至本报告披露日，公司共有三期员工持股计划已全部完成购买，具体情况如下：</w:t>
      </w:r>
    </w:p>
    <w:p>
      <w:pPr>
        <w:pStyle w:val="BodyText"/>
        <w:spacing w:line="240" w:lineRule="auto" w:before="45"/>
        <w:ind w:left="514" w:right="0"/>
        <w:jc w:val="left"/>
        <w:rPr>
          <w:rFonts w:ascii="Arial" w:hAnsi="Arial" w:cs="Arial" w:eastAsia="Arial" w:hint="default"/>
        </w:rPr>
      </w:pPr>
      <w:r>
        <w:rPr>
          <w:rFonts w:ascii="Arial" w:hAnsi="Arial" w:cs="Arial" w:eastAsia="Arial" w:hint="default"/>
        </w:rPr>
        <w:t>2017</w:t>
      </w:r>
      <w:r>
        <w:rPr/>
        <w:t>年</w:t>
      </w:r>
      <w:r>
        <w:rPr>
          <w:rFonts w:ascii="Arial" w:hAnsi="Arial" w:cs="Arial" w:eastAsia="Arial" w:hint="default"/>
        </w:rPr>
        <w:t>5</w:t>
      </w:r>
      <w:r>
        <w:rPr/>
        <w:t>月</w:t>
      </w:r>
      <w:r>
        <w:rPr>
          <w:rFonts w:ascii="Arial" w:hAnsi="Arial" w:cs="Arial" w:eastAsia="Arial" w:hint="default"/>
        </w:rPr>
        <w:t>12</w:t>
      </w:r>
      <w:r>
        <w:rPr/>
        <w:t>日，</w:t>
      </w:r>
      <w:r>
        <w:rPr>
          <w:rFonts w:ascii="Arial" w:hAnsi="Arial" w:cs="Arial" w:eastAsia="Arial" w:hint="default"/>
        </w:rPr>
        <w:t>“</w:t>
      </w:r>
      <w:r>
        <w:rPr/>
        <w:t>华融榕基软件员工持股</w:t>
      </w:r>
      <w:r>
        <w:rPr>
          <w:rFonts w:ascii="Arial" w:hAnsi="Arial" w:cs="Arial" w:eastAsia="Arial" w:hint="default"/>
        </w:rPr>
        <w:t>1</w:t>
      </w:r>
      <w:r>
        <w:rPr/>
        <w:t>号定向资产管理计划</w:t>
      </w:r>
      <w:r>
        <w:rPr>
          <w:rFonts w:ascii="Arial" w:hAnsi="Arial" w:cs="Arial" w:eastAsia="Arial" w:hint="default"/>
        </w:rPr>
        <w:t>”</w:t>
      </w:r>
      <w:r>
        <w:rPr/>
        <w:t>通过二级市场购入的方式累计购买公司股票</w:t>
      </w:r>
      <w:r>
        <w:rPr>
          <w:rFonts w:ascii="Arial" w:hAnsi="Arial" w:cs="Arial" w:eastAsia="Arial" w:hint="default"/>
        </w:rPr>
        <w:t>1,867,900</w:t>
      </w:r>
    </w:p>
    <w:p>
      <w:pPr>
        <w:pStyle w:val="BodyText"/>
        <w:spacing w:line="240" w:lineRule="auto" w:before="63"/>
        <w:ind w:left="153" w:right="2239"/>
        <w:jc w:val="left"/>
      </w:pPr>
      <w:r>
        <w:rPr/>
        <w:t>股，占公司总股本约为</w:t>
      </w:r>
      <w:r>
        <w:rPr>
          <w:rFonts w:ascii="Arial" w:hAnsi="Arial" w:cs="Arial" w:eastAsia="Arial" w:hint="default"/>
        </w:rPr>
        <w:t>0.30%</w:t>
      </w:r>
      <w:r>
        <w:rPr/>
        <w:t>。</w:t>
      </w:r>
    </w:p>
    <w:p>
      <w:pPr>
        <w:pStyle w:val="BodyText"/>
        <w:spacing w:line="302" w:lineRule="auto" w:before="111"/>
        <w:ind w:left="153" w:right="0" w:firstLine="360"/>
        <w:jc w:val="left"/>
      </w:pPr>
      <w:r>
        <w:rPr>
          <w:rFonts w:ascii="Arial" w:hAnsi="Arial" w:cs="Arial" w:eastAsia="Arial" w:hint="default"/>
          <w:spacing w:val="-2"/>
        </w:rPr>
        <w:t>2017</w:t>
      </w:r>
      <w:r>
        <w:rPr>
          <w:spacing w:val="-2"/>
        </w:rPr>
        <w:t>年</w:t>
      </w:r>
      <w:r>
        <w:rPr>
          <w:rFonts w:ascii="Arial" w:hAnsi="Arial" w:cs="Arial" w:eastAsia="Arial" w:hint="default"/>
          <w:spacing w:val="-2"/>
        </w:rPr>
        <w:t>11</w:t>
      </w:r>
      <w:r>
        <w:rPr>
          <w:spacing w:val="-2"/>
        </w:rPr>
        <w:t>月</w:t>
      </w:r>
      <w:r>
        <w:rPr>
          <w:rFonts w:ascii="Arial" w:hAnsi="Arial" w:cs="Arial" w:eastAsia="Arial" w:hint="default"/>
          <w:spacing w:val="-2"/>
        </w:rPr>
        <w:t>21</w:t>
      </w:r>
      <w:r>
        <w:rPr>
          <w:spacing w:val="-2"/>
        </w:rPr>
        <w:t>日，华融榕基软件员工持股</w:t>
      </w:r>
      <w:r>
        <w:rPr>
          <w:rFonts w:ascii="Arial" w:hAnsi="Arial" w:cs="Arial" w:eastAsia="Arial" w:hint="default"/>
          <w:spacing w:val="-2"/>
        </w:rPr>
        <w:t>2</w:t>
      </w:r>
      <w:r>
        <w:rPr>
          <w:spacing w:val="-2"/>
        </w:rPr>
        <w:t>号定向资产管理计划（第二期）已通过二级市场购入的方式累计购买公司股</w:t>
      </w:r>
      <w:r>
        <w:rPr/>
        <w:t> 票</w:t>
      </w:r>
      <w:r>
        <w:rPr>
          <w:rFonts w:ascii="Arial" w:hAnsi="Arial" w:cs="Arial" w:eastAsia="Arial" w:hint="default"/>
        </w:rPr>
        <w:t>2,629,101</w:t>
      </w:r>
      <w:r>
        <w:rPr/>
        <w:t>股，占公司总股本约为</w:t>
      </w:r>
      <w:r>
        <w:rPr>
          <w:rFonts w:ascii="Arial" w:hAnsi="Arial" w:cs="Arial" w:eastAsia="Arial" w:hint="default"/>
        </w:rPr>
        <w:t>0.42%</w:t>
      </w:r>
      <w:r>
        <w:rPr/>
        <w:t>。</w:t>
      </w:r>
    </w:p>
    <w:p>
      <w:pPr>
        <w:pStyle w:val="BodyText"/>
        <w:spacing w:line="302" w:lineRule="auto" w:before="59"/>
        <w:ind w:left="153" w:right="1130" w:firstLine="360"/>
        <w:jc w:val="left"/>
      </w:pPr>
      <w:r>
        <w:rPr>
          <w:rFonts w:ascii="Arial" w:hAnsi="Arial" w:cs="Arial" w:eastAsia="Arial" w:hint="default"/>
        </w:rPr>
        <w:t>2018</w:t>
      </w:r>
      <w:r>
        <w:rPr/>
        <w:t>年</w:t>
      </w:r>
      <w:r>
        <w:rPr>
          <w:rFonts w:ascii="Arial" w:hAnsi="Arial" w:cs="Arial" w:eastAsia="Arial" w:hint="default"/>
        </w:rPr>
        <w:t>2</w:t>
      </w:r>
      <w:r>
        <w:rPr/>
        <w:t>月</w:t>
      </w:r>
      <w:r>
        <w:rPr>
          <w:rFonts w:ascii="Arial" w:hAnsi="Arial" w:cs="Arial" w:eastAsia="Arial" w:hint="default"/>
        </w:rPr>
        <w:t>12</w:t>
      </w:r>
      <w:r>
        <w:rPr/>
        <w:t>日，华融榕基软件员工持股</w:t>
      </w:r>
      <w:r>
        <w:rPr>
          <w:rFonts w:ascii="Arial" w:hAnsi="Arial" w:cs="Arial" w:eastAsia="Arial" w:hint="default"/>
        </w:rPr>
        <w:t>3</w:t>
      </w:r>
      <w:r>
        <w:rPr/>
        <w:t>号定向资产管理计划（第三期）已通过二级市场购入的方式累计购买公司股 票</w:t>
      </w:r>
      <w:r>
        <w:rPr>
          <w:rFonts w:ascii="Arial" w:hAnsi="Arial" w:cs="Arial" w:eastAsia="Arial" w:hint="default"/>
        </w:rPr>
        <w:t>7,856,200</w:t>
      </w:r>
      <w:r>
        <w:rPr/>
        <w:t>股，占公司总股本约为</w:t>
      </w:r>
      <w:r>
        <w:rPr>
          <w:rFonts w:ascii="Arial" w:hAnsi="Arial" w:cs="Arial" w:eastAsia="Arial" w:hint="default"/>
        </w:rPr>
        <w:t>1.26%</w:t>
      </w:r>
      <w:r>
        <w:rPr/>
        <w:t>。</w:t>
      </w:r>
    </w:p>
    <w:p>
      <w:pPr>
        <w:pStyle w:val="BodyText"/>
        <w:spacing w:line="326" w:lineRule="auto" w:before="59"/>
        <w:ind w:left="153" w:right="1155" w:firstLine="360"/>
        <w:jc w:val="left"/>
      </w:pPr>
      <w:r>
        <w:rPr/>
        <w:t>榕基软件员工持股</w:t>
      </w:r>
      <w:r>
        <w:rPr>
          <w:rFonts w:ascii="Arial" w:hAnsi="Arial" w:cs="Arial" w:eastAsia="Arial" w:hint="default"/>
        </w:rPr>
        <w:t>3</w:t>
      </w:r>
      <w:r>
        <w:rPr/>
        <w:t>期共计购买</w:t>
      </w:r>
      <w:r>
        <w:rPr>
          <w:rFonts w:ascii="Arial" w:hAnsi="Arial" w:cs="Arial" w:eastAsia="Arial" w:hint="default"/>
        </w:rPr>
        <w:t>12,353,201</w:t>
      </w:r>
      <w:r>
        <w:rPr/>
        <w:t>股，占公司总股本约为</w:t>
      </w:r>
      <w:r>
        <w:rPr>
          <w:rFonts w:ascii="Arial" w:hAnsi="Arial" w:cs="Arial" w:eastAsia="Arial" w:hint="default"/>
        </w:rPr>
        <w:t>1.99%</w:t>
      </w:r>
      <w:r>
        <w:rPr/>
        <w:t>。 具体的审批程序及其相关实施情况已刊登在中国证监会指定信息披露媒体巨潮资讯网</w:t>
      </w:r>
      <w:hyperlink r:id="rId13">
        <w:r>
          <w:rPr>
            <w:rFonts w:ascii="Arial" w:hAnsi="Arial" w:cs="Arial" w:eastAsia="Arial" w:hint="default"/>
          </w:rPr>
          <w:t>http://www.cninfo.com.cn</w:t>
        </w:r>
      </w:hyperlink>
      <w:r>
        <w:rPr/>
        <w:t>，公告情况</w:t>
      </w:r>
      <w:r>
        <w:rPr>
          <w:spacing w:val="-30"/>
        </w:rPr>
        <w:t> </w:t>
      </w:r>
      <w:r>
        <w:rPr>
          <w:spacing w:val="-30"/>
        </w:rPr>
      </w:r>
      <w:r>
        <w:rPr/>
        <w:t>如下：</w:t>
      </w:r>
    </w:p>
    <w:p>
      <w:pPr>
        <w:spacing w:line="240" w:lineRule="auto" w:before="0"/>
        <w:rPr>
          <w:rFonts w:ascii="宋体" w:hAnsi="宋体" w:cs="宋体" w:eastAsia="宋体" w:hint="default"/>
          <w:sz w:val="4"/>
          <w:szCs w:val="4"/>
        </w:rPr>
      </w:pPr>
    </w:p>
    <w:tbl>
      <w:tblPr>
        <w:tblW w:w="0" w:type="auto"/>
        <w:jc w:val="left"/>
        <w:tblInd w:w="146" w:type="dxa"/>
        <w:tblLayout w:type="fixed"/>
        <w:tblCellMar>
          <w:top w:w="0" w:type="dxa"/>
          <w:left w:w="0" w:type="dxa"/>
          <w:bottom w:w="0" w:type="dxa"/>
          <w:right w:w="0" w:type="dxa"/>
        </w:tblCellMar>
        <w:tblLook w:val="01E0"/>
      </w:tblPr>
      <w:tblGrid>
        <w:gridCol w:w="2660"/>
        <w:gridCol w:w="1700"/>
        <w:gridCol w:w="5494"/>
      </w:tblGrid>
      <w:tr>
        <w:trPr>
          <w:trHeight w:val="327" w:hRule="exact"/>
        </w:trPr>
        <w:tc>
          <w:tcPr>
            <w:tcW w:w="266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8"/>
              <w:ind w:right="1"/>
              <w:jc w:val="center"/>
              <w:rPr>
                <w:rFonts w:ascii="宋体" w:hAnsi="宋体" w:cs="宋体" w:eastAsia="宋体" w:hint="default"/>
                <w:sz w:val="18"/>
                <w:szCs w:val="18"/>
              </w:rPr>
            </w:pPr>
            <w:r>
              <w:rPr>
                <w:rFonts w:ascii="宋体" w:hAnsi="宋体" w:cs="宋体" w:eastAsia="宋体" w:hint="default"/>
                <w:sz w:val="18"/>
                <w:szCs w:val="18"/>
              </w:rPr>
              <w:t>公告名称</w:t>
            </w:r>
          </w:p>
        </w:tc>
        <w:tc>
          <w:tcPr>
            <w:tcW w:w="1700"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8"/>
              <w:ind w:left="482" w:right="0"/>
              <w:jc w:val="left"/>
              <w:rPr>
                <w:rFonts w:ascii="宋体" w:hAnsi="宋体" w:cs="宋体" w:eastAsia="宋体" w:hint="default"/>
                <w:sz w:val="18"/>
                <w:szCs w:val="18"/>
              </w:rPr>
            </w:pPr>
            <w:r>
              <w:rPr>
                <w:rFonts w:ascii="宋体" w:hAnsi="宋体" w:cs="宋体" w:eastAsia="宋体" w:hint="default"/>
                <w:sz w:val="18"/>
                <w:szCs w:val="18"/>
              </w:rPr>
              <w:t>公告日期</w:t>
            </w:r>
          </w:p>
        </w:tc>
        <w:tc>
          <w:tcPr>
            <w:tcW w:w="5494" w:type="dxa"/>
            <w:tcBorders>
              <w:top w:val="single" w:sz="6" w:space="0" w:color="000000"/>
              <w:left w:val="single" w:sz="6" w:space="0" w:color="000000"/>
              <w:bottom w:val="single" w:sz="6" w:space="0" w:color="000000"/>
              <w:right w:val="single" w:sz="6" w:space="0" w:color="000000"/>
            </w:tcBorders>
            <w:shd w:val="clear" w:color="auto" w:fill="BFBFBF"/>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公告索引</w:t>
            </w:r>
          </w:p>
        </w:tc>
      </w:tr>
      <w:tr>
        <w:trPr>
          <w:trHeight w:val="667" w:hRule="exact"/>
        </w:trPr>
        <w:tc>
          <w:tcPr>
            <w:tcW w:w="2660" w:type="dxa"/>
            <w:tcBorders>
              <w:top w:val="single" w:sz="10" w:space="0" w:color="000000"/>
              <w:left w:val="single" w:sz="6" w:space="0" w:color="000000"/>
              <w:bottom w:val="single" w:sz="6" w:space="0" w:color="000000"/>
              <w:right w:val="single" w:sz="6" w:space="0" w:color="000000"/>
            </w:tcBorders>
          </w:tcPr>
          <w:p>
            <w:pPr>
              <w:pStyle w:val="TableParagraph"/>
              <w:spacing w:line="316" w:lineRule="auto" w:before="22"/>
              <w:ind w:left="2" w:right="1"/>
              <w:jc w:val="left"/>
              <w:rPr>
                <w:rFonts w:ascii="宋体" w:hAnsi="宋体" w:cs="宋体" w:eastAsia="宋体" w:hint="default"/>
                <w:sz w:val="18"/>
                <w:szCs w:val="18"/>
              </w:rPr>
            </w:pPr>
            <w:r>
              <w:rPr>
                <w:rFonts w:ascii="宋体" w:hAnsi="宋体" w:cs="宋体" w:eastAsia="宋体" w:hint="default"/>
                <w:spacing w:val="-4"/>
                <w:sz w:val="18"/>
                <w:szCs w:val="18"/>
              </w:rPr>
              <w:t>榕基软件：关于公司第一期员工持</w:t>
            </w:r>
            <w:r>
              <w:rPr>
                <w:rFonts w:ascii="宋体" w:hAnsi="宋体" w:cs="宋体" w:eastAsia="宋体" w:hint="default"/>
                <w:sz w:val="18"/>
                <w:szCs w:val="18"/>
              </w:rPr>
              <w:t> 股计划的进展公告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8"/>
              <w:ind w:right="1"/>
              <w:jc w:val="right"/>
              <w:rPr>
                <w:rFonts w:ascii="Arial" w:hAnsi="Arial" w:cs="Arial" w:eastAsia="Arial" w:hint="default"/>
                <w:sz w:val="18"/>
                <w:szCs w:val="18"/>
              </w:rPr>
            </w:pPr>
            <w:r>
              <w:rPr>
                <w:rFonts w:ascii="Arial"/>
                <w:spacing w:val="-1"/>
                <w:sz w:val="18"/>
              </w:rPr>
              <w:t>2017-05-13</w:t>
            </w:r>
            <w:r>
              <w:rPr>
                <w:rFonts w:ascii="Arial"/>
                <w:sz w:val="18"/>
              </w:rPr>
            </w:r>
          </w:p>
        </w:tc>
        <w:tc>
          <w:tcPr>
            <w:tcW w:w="5494" w:type="dxa"/>
            <w:tcBorders>
              <w:top w:val="single" w:sz="10" w:space="0" w:color="000000"/>
              <w:left w:val="single" w:sz="6" w:space="0" w:color="000000"/>
              <w:bottom w:val="single" w:sz="6" w:space="0" w:color="000000"/>
              <w:right w:val="single" w:sz="6" w:space="0" w:color="000000"/>
            </w:tcBorders>
          </w:tcPr>
          <w:p>
            <w:pPr>
              <w:pStyle w:val="TableParagraph"/>
              <w:spacing w:line="362" w:lineRule="auto" w:before="63"/>
              <w:ind w:left="3" w:right="12" w:firstLine="1"/>
              <w:jc w:val="left"/>
              <w:rPr>
                <w:rFonts w:ascii="Arial" w:hAnsi="Arial" w:cs="Arial" w:eastAsia="Arial" w:hint="default"/>
                <w:sz w:val="18"/>
                <w:szCs w:val="18"/>
              </w:rPr>
            </w:pPr>
            <w:hyperlink r:id="rId15">
              <w:r>
                <w:rPr>
                  <w:rFonts w:ascii="Arial"/>
                  <w:spacing w:val="-1"/>
                  <w:sz w:val="18"/>
                </w:rPr>
                <w:t>http://www.cninfo.com.cn/cninfo-new/disclosure/szse_sme/bulletin_d</w:t>
              </w:r>
            </w:hyperlink>
            <w:r>
              <w:rPr>
                <w:rFonts w:ascii="Arial"/>
                <w:spacing w:val="-37"/>
                <w:sz w:val="18"/>
              </w:rPr>
              <w:t> </w:t>
            </w:r>
            <w:r>
              <w:rPr>
                <w:rFonts w:ascii="Arial"/>
                <w:spacing w:val="-37"/>
                <w:sz w:val="18"/>
              </w:rPr>
            </w:r>
            <w:r>
              <w:rPr>
                <w:rFonts w:ascii="Arial"/>
                <w:sz w:val="18"/>
              </w:rPr>
              <w:t>etail/true/1203514217?announceTime=2017-05-13</w:t>
            </w:r>
          </w:p>
        </w:tc>
      </w:tr>
      <w:tr>
        <w:trPr>
          <w:trHeight w:val="659"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4"/>
                <w:sz w:val="18"/>
                <w:szCs w:val="18"/>
              </w:rPr>
              <w:t>榕基软件：关于公司第二期员工持</w:t>
            </w:r>
            <w:r>
              <w:rPr>
                <w:rFonts w:ascii="宋体" w:hAnsi="宋体" w:cs="宋体" w:eastAsia="宋体" w:hint="default"/>
                <w:sz w:val="18"/>
                <w:szCs w:val="18"/>
              </w:rPr>
              <w:t> 股计划完成股票购买的公告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Arial" w:hAnsi="Arial" w:cs="Arial" w:eastAsia="Arial" w:hint="default"/>
                <w:sz w:val="18"/>
                <w:szCs w:val="18"/>
              </w:rPr>
            </w:pPr>
            <w:r>
              <w:rPr>
                <w:rFonts w:ascii="Arial"/>
                <w:spacing w:val="-1"/>
                <w:sz w:val="18"/>
              </w:rPr>
              <w:t>2017-11-22</w:t>
            </w:r>
            <w:r>
              <w:rPr>
                <w:rFonts w:ascii="Arial"/>
                <w:sz w:val="18"/>
              </w:rPr>
            </w:r>
          </w:p>
        </w:tc>
        <w:tc>
          <w:tcPr>
            <w:tcW w:w="5494"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1"/>
              <w:ind w:left="3" w:right="12" w:firstLine="1"/>
              <w:jc w:val="left"/>
              <w:rPr>
                <w:rFonts w:ascii="Arial" w:hAnsi="Arial" w:cs="Arial" w:eastAsia="Arial" w:hint="default"/>
                <w:sz w:val="18"/>
                <w:szCs w:val="18"/>
              </w:rPr>
            </w:pPr>
            <w:hyperlink r:id="rId15">
              <w:r>
                <w:rPr>
                  <w:rFonts w:ascii="Arial"/>
                  <w:spacing w:val="-1"/>
                  <w:sz w:val="18"/>
                </w:rPr>
                <w:t>http://www.cninfo.com.cn/cninfo-new/disclosure/szse_sme/bulletin_d</w:t>
              </w:r>
            </w:hyperlink>
            <w:r>
              <w:rPr>
                <w:rFonts w:ascii="Arial"/>
                <w:spacing w:val="-37"/>
                <w:sz w:val="18"/>
              </w:rPr>
              <w:t> </w:t>
            </w:r>
            <w:r>
              <w:rPr>
                <w:rFonts w:ascii="Arial"/>
                <w:spacing w:val="-37"/>
                <w:sz w:val="18"/>
              </w:rPr>
            </w:r>
            <w:r>
              <w:rPr>
                <w:rFonts w:ascii="Arial"/>
                <w:sz w:val="18"/>
              </w:rPr>
              <w:t>etail/true/1204155139?announceTime=2017-11-22</w:t>
            </w:r>
          </w:p>
        </w:tc>
      </w:tr>
      <w:tr>
        <w:trPr>
          <w:trHeight w:val="660" w:hRule="exact"/>
        </w:trPr>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4"/>
                <w:sz w:val="18"/>
                <w:szCs w:val="18"/>
              </w:rPr>
              <w:t>榕基软件：关于公司第三期员工持</w:t>
            </w:r>
            <w:r>
              <w:rPr>
                <w:rFonts w:ascii="宋体" w:hAnsi="宋体" w:cs="宋体" w:eastAsia="宋体" w:hint="default"/>
                <w:sz w:val="18"/>
                <w:szCs w:val="18"/>
              </w:rPr>
              <w:t> 股计划完成股票购买的公告</w:t>
            </w:r>
          </w:p>
        </w:tc>
        <w:tc>
          <w:tcPr>
            <w:tcW w:w="17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right="1"/>
              <w:jc w:val="right"/>
              <w:rPr>
                <w:rFonts w:ascii="Arial" w:hAnsi="Arial" w:cs="Arial" w:eastAsia="Arial" w:hint="default"/>
                <w:sz w:val="18"/>
                <w:szCs w:val="18"/>
              </w:rPr>
            </w:pPr>
            <w:r>
              <w:rPr>
                <w:rFonts w:ascii="Arial"/>
                <w:spacing w:val="-1"/>
                <w:sz w:val="18"/>
              </w:rPr>
              <w:t>2018-02-13</w:t>
            </w:r>
            <w:r>
              <w:rPr>
                <w:rFonts w:ascii="Arial"/>
                <w:sz w:val="18"/>
              </w:rPr>
            </w:r>
          </w:p>
        </w:tc>
        <w:tc>
          <w:tcPr>
            <w:tcW w:w="5494" w:type="dxa"/>
            <w:tcBorders>
              <w:top w:val="single" w:sz="6" w:space="0" w:color="000000"/>
              <w:left w:val="single" w:sz="6" w:space="0" w:color="000000"/>
              <w:bottom w:val="single" w:sz="6" w:space="0" w:color="000000"/>
              <w:right w:val="single" w:sz="6" w:space="0" w:color="000000"/>
            </w:tcBorders>
          </w:tcPr>
          <w:p>
            <w:pPr>
              <w:pStyle w:val="TableParagraph"/>
              <w:spacing w:line="362" w:lineRule="auto" w:before="61"/>
              <w:ind w:left="3" w:right="12" w:firstLine="1"/>
              <w:jc w:val="left"/>
              <w:rPr>
                <w:rFonts w:ascii="Arial" w:hAnsi="Arial" w:cs="Arial" w:eastAsia="Arial" w:hint="default"/>
                <w:sz w:val="18"/>
                <w:szCs w:val="18"/>
              </w:rPr>
            </w:pPr>
            <w:hyperlink r:id="rId15">
              <w:r>
                <w:rPr>
                  <w:rFonts w:ascii="Arial"/>
                  <w:spacing w:val="-1"/>
                  <w:sz w:val="18"/>
                </w:rPr>
                <w:t>http://www.cninfo.com.cn/cninfo-new/disclosure/szse_sme/bulletin_d</w:t>
              </w:r>
            </w:hyperlink>
            <w:r>
              <w:rPr>
                <w:rFonts w:ascii="Arial"/>
                <w:spacing w:val="-37"/>
                <w:sz w:val="18"/>
              </w:rPr>
              <w:t> </w:t>
            </w:r>
            <w:r>
              <w:rPr>
                <w:rFonts w:ascii="Arial"/>
                <w:spacing w:val="-37"/>
                <w:sz w:val="18"/>
              </w:rPr>
            </w:r>
            <w:r>
              <w:rPr>
                <w:rFonts w:ascii="Arial"/>
                <w:sz w:val="18"/>
              </w:rPr>
              <w:t>etail/true/1204417137?announceTime=2018-02-13</w:t>
            </w:r>
          </w:p>
        </w:tc>
      </w:tr>
    </w:tbl>
    <w:p>
      <w:pPr>
        <w:pStyle w:val="BodyText"/>
        <w:spacing w:line="240" w:lineRule="auto" w:before="51"/>
        <w:ind w:right="0"/>
        <w:jc w:val="left"/>
      </w:pPr>
      <w:r>
        <w:rPr/>
        <w:t>公司需遵守《深圳证券交易所行业信息披露指引第</w:t>
      </w:r>
      <w:r>
        <w:rPr>
          <w:spacing w:val="-46"/>
        </w:rPr>
        <w:t> </w:t>
      </w:r>
      <w:r>
        <w:rPr>
          <w:rFonts w:ascii="Arial" w:hAnsi="Arial" w:cs="Arial" w:eastAsia="Arial" w:hint="default"/>
        </w:rPr>
        <w:t>12</w:t>
      </w:r>
      <w:r>
        <w:rPr>
          <w:rFonts w:ascii="Arial" w:hAnsi="Arial" w:cs="Arial" w:eastAsia="Arial" w:hint="default"/>
          <w:spacing w:val="-7"/>
        </w:rPr>
        <w:t> </w:t>
      </w:r>
      <w:r>
        <w:rPr/>
        <w:t>号</w:t>
      </w:r>
      <w:r>
        <w:rPr>
          <w:rFonts w:ascii="Arial" w:hAnsi="Arial" w:cs="Arial" w:eastAsia="Arial" w:hint="default"/>
        </w:rPr>
        <w:t>——</w:t>
      </w:r>
      <w:r>
        <w:rPr/>
        <w:t>上市公司从事软件与信息技术服务业务》的披露要求</w:t>
      </w:r>
    </w:p>
    <w:p>
      <w:pPr>
        <w:spacing w:line="240" w:lineRule="auto" w:before="13"/>
        <w:rPr>
          <w:rFonts w:ascii="宋体" w:hAnsi="宋体" w:cs="宋体" w:eastAsia="宋体" w:hint="default"/>
          <w:sz w:val="23"/>
          <w:szCs w:val="23"/>
        </w:rPr>
      </w:pPr>
    </w:p>
    <w:p>
      <w:pPr>
        <w:pStyle w:val="Heading2"/>
        <w:spacing w:line="240" w:lineRule="auto"/>
        <w:ind w:right="2239"/>
        <w:jc w:val="left"/>
        <w:rPr>
          <w:b w:val="0"/>
          <w:bCs w:val="0"/>
        </w:rPr>
      </w:pPr>
      <w:r>
        <w:rPr/>
        <w:t>十六、重大关联交易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1</w:t>
      </w:r>
      <w:r>
        <w:rPr/>
        <w:t>、与日常经营相关的关联交易</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679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公司报告期未发生与日常经营相关的关联交易。</w:t>
      </w:r>
    </w:p>
    <w:p>
      <w:pPr>
        <w:spacing w:line="240" w:lineRule="auto" w:before="1"/>
        <w:rPr>
          <w:rFonts w:ascii="宋体" w:hAnsi="宋体" w:cs="宋体" w:eastAsia="宋体" w:hint="default"/>
          <w:sz w:val="21"/>
          <w:szCs w:val="21"/>
        </w:rPr>
      </w:pPr>
    </w:p>
    <w:p>
      <w:pPr>
        <w:pStyle w:val="Heading4"/>
        <w:spacing w:line="240" w:lineRule="auto"/>
        <w:ind w:right="2239"/>
        <w:jc w:val="left"/>
        <w:rPr>
          <w:b w:val="0"/>
          <w:bCs w:val="0"/>
        </w:rPr>
      </w:pPr>
      <w:r>
        <w:rPr>
          <w:rFonts w:ascii="Arial" w:hAnsi="Arial" w:cs="Arial" w:eastAsia="Arial" w:hint="default"/>
        </w:rPr>
        <w:t>2</w:t>
      </w:r>
      <w:r>
        <w:rPr/>
        <w:t>、资产或股权收购、出售发生的关联交易</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643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公司报告期未发生资产或股权收购、出售的关联交易。</w:t>
      </w:r>
    </w:p>
    <w:p>
      <w:pPr>
        <w:spacing w:line="240" w:lineRule="auto" w:before="12"/>
        <w:rPr>
          <w:rFonts w:ascii="宋体" w:hAnsi="宋体" w:cs="宋体" w:eastAsia="宋体" w:hint="default"/>
          <w:sz w:val="20"/>
          <w:szCs w:val="20"/>
        </w:rPr>
      </w:pPr>
    </w:p>
    <w:p>
      <w:pPr>
        <w:pStyle w:val="Heading4"/>
        <w:spacing w:line="240" w:lineRule="auto"/>
        <w:ind w:right="2239"/>
        <w:jc w:val="left"/>
        <w:rPr>
          <w:b w:val="0"/>
          <w:bCs w:val="0"/>
        </w:rPr>
      </w:pPr>
      <w:r>
        <w:rPr>
          <w:rFonts w:ascii="Arial" w:hAnsi="Arial" w:cs="Arial" w:eastAsia="Arial" w:hint="default"/>
        </w:rPr>
        <w:t>3</w:t>
      </w:r>
      <w:r>
        <w:rPr/>
        <w:t>、共同对外投资的关联交易</w:t>
      </w:r>
      <w:r>
        <w:rPr>
          <w:b w:val="0"/>
          <w:bCs w:val="0"/>
        </w:rPr>
      </w:r>
    </w:p>
    <w:p>
      <w:pPr>
        <w:spacing w:line="240" w:lineRule="auto" w:before="10"/>
        <w:rPr>
          <w:rFonts w:ascii="宋体" w:hAnsi="宋体" w:cs="宋体" w:eastAsia="宋体" w:hint="default"/>
          <w:b/>
          <w:bCs/>
          <w:sz w:val="26"/>
          <w:szCs w:val="26"/>
        </w:rPr>
      </w:pPr>
    </w:p>
    <w:p>
      <w:pPr>
        <w:pStyle w:val="BodyText"/>
        <w:spacing w:line="340" w:lineRule="auto"/>
        <w:ind w:right="715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公司报告期未发生共同对外投资的关联交易。</w:t>
      </w:r>
    </w:p>
    <w:p>
      <w:pPr>
        <w:spacing w:line="240" w:lineRule="auto" w:before="13"/>
        <w:rPr>
          <w:rFonts w:ascii="宋体" w:hAnsi="宋体" w:cs="宋体" w:eastAsia="宋体" w:hint="default"/>
          <w:sz w:val="20"/>
          <w:szCs w:val="20"/>
        </w:rPr>
      </w:pPr>
    </w:p>
    <w:p>
      <w:pPr>
        <w:pStyle w:val="Heading4"/>
        <w:spacing w:line="240" w:lineRule="auto"/>
        <w:ind w:right="2239"/>
        <w:jc w:val="left"/>
        <w:rPr>
          <w:b w:val="0"/>
          <w:bCs w:val="0"/>
        </w:rPr>
      </w:pPr>
      <w:r>
        <w:rPr>
          <w:rFonts w:ascii="Arial" w:hAnsi="Arial" w:cs="Arial" w:eastAsia="Arial" w:hint="default"/>
        </w:rPr>
        <w:t>4</w:t>
      </w:r>
      <w:r>
        <w:rPr/>
        <w:t>、关联债权债务往来</w:t>
      </w:r>
      <w:r>
        <w:rPr>
          <w:b w:val="0"/>
          <w:bCs w:val="0"/>
        </w:rPr>
      </w:r>
    </w:p>
    <w:p>
      <w:pPr>
        <w:spacing w:line="240" w:lineRule="auto" w:before="10"/>
        <w:rPr>
          <w:rFonts w:ascii="宋体" w:hAnsi="宋体" w:cs="宋体" w:eastAsia="宋体" w:hint="default"/>
          <w:b/>
          <w:bCs/>
          <w:sz w:val="26"/>
          <w:szCs w:val="26"/>
        </w:rPr>
      </w:pPr>
    </w:p>
    <w:p>
      <w:pPr>
        <w:pStyle w:val="BodyText"/>
        <w:spacing w:line="340" w:lineRule="auto"/>
        <w:ind w:right="769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公司报告期不存在关联债权债务往来。</w:t>
      </w:r>
    </w:p>
    <w:p>
      <w:pPr>
        <w:spacing w:after="0" w:line="340" w:lineRule="auto"/>
        <w:jc w:val="left"/>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2239"/>
        <w:jc w:val="left"/>
        <w:rPr>
          <w:b w:val="0"/>
          <w:bCs w:val="0"/>
        </w:rPr>
      </w:pPr>
      <w:r>
        <w:rPr>
          <w:rFonts w:ascii="Arial" w:hAnsi="Arial" w:cs="Arial" w:eastAsia="Arial" w:hint="default"/>
        </w:rPr>
        <w:t>5</w:t>
      </w:r>
      <w:r>
        <w:rPr/>
        <w:t>、其他重大关联交易</w:t>
      </w:r>
      <w:r>
        <w:rPr>
          <w:b w:val="0"/>
          <w:bCs w:val="0"/>
        </w:rPr>
      </w:r>
    </w:p>
    <w:p>
      <w:pPr>
        <w:spacing w:line="240" w:lineRule="auto" w:before="10"/>
        <w:rPr>
          <w:rFonts w:ascii="宋体" w:hAnsi="宋体" w:cs="宋体" w:eastAsia="宋体" w:hint="default"/>
          <w:b/>
          <w:bCs/>
          <w:sz w:val="26"/>
          <w:szCs w:val="26"/>
        </w:rPr>
      </w:pPr>
    </w:p>
    <w:p>
      <w:pPr>
        <w:pStyle w:val="BodyText"/>
        <w:spacing w:line="340" w:lineRule="auto"/>
        <w:ind w:right="805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公司报告期无其他重大关联交易。</w:t>
      </w:r>
    </w:p>
    <w:p>
      <w:pPr>
        <w:spacing w:line="240" w:lineRule="auto" w:before="4"/>
        <w:rPr>
          <w:rFonts w:ascii="宋体" w:hAnsi="宋体" w:cs="宋体" w:eastAsia="宋体" w:hint="default"/>
          <w:sz w:val="19"/>
          <w:szCs w:val="19"/>
        </w:rPr>
      </w:pPr>
    </w:p>
    <w:p>
      <w:pPr>
        <w:pStyle w:val="Heading2"/>
        <w:spacing w:line="240" w:lineRule="auto"/>
        <w:ind w:right="2239"/>
        <w:jc w:val="left"/>
        <w:rPr>
          <w:b w:val="0"/>
          <w:bCs w:val="0"/>
        </w:rPr>
      </w:pPr>
      <w:r>
        <w:rPr/>
        <w:t>十七、重大合同及其履行情况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1</w:t>
      </w:r>
      <w:r>
        <w:rPr/>
        <w:t>、托管、承包、租赁事项情况</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left="153" w:right="2239"/>
        <w:jc w:val="left"/>
        <w:rPr>
          <w:b w:val="0"/>
          <w:bCs w:val="0"/>
        </w:rPr>
      </w:pPr>
      <w:r>
        <w:rPr/>
        <w:t>（</w:t>
      </w:r>
      <w:r>
        <w:rPr>
          <w:rFonts w:ascii="Arial" w:hAnsi="Arial" w:cs="Arial" w:eastAsia="Arial" w:hint="default"/>
        </w:rPr>
        <w:t>1</w:t>
      </w:r>
      <w:r>
        <w:rPr/>
        <w:t>）托管情况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841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公司报告期不存在托管情况。</w:t>
      </w:r>
    </w:p>
    <w:p>
      <w:pPr>
        <w:spacing w:line="240" w:lineRule="auto" w:before="13"/>
        <w:rPr>
          <w:rFonts w:ascii="宋体" w:hAnsi="宋体" w:cs="宋体" w:eastAsia="宋体" w:hint="default"/>
          <w:sz w:val="20"/>
          <w:szCs w:val="20"/>
        </w:rPr>
      </w:pPr>
    </w:p>
    <w:p>
      <w:pPr>
        <w:pStyle w:val="Heading4"/>
        <w:spacing w:line="240" w:lineRule="auto"/>
        <w:ind w:right="2239"/>
        <w:jc w:val="left"/>
        <w:rPr>
          <w:b w:val="0"/>
          <w:bCs w:val="0"/>
        </w:rPr>
      </w:pPr>
      <w:r>
        <w:rPr/>
        <w:t>（</w:t>
      </w:r>
      <w:r>
        <w:rPr>
          <w:rFonts w:ascii="Arial" w:hAnsi="Arial" w:cs="Arial" w:eastAsia="Arial" w:hint="default"/>
        </w:rPr>
        <w:t>2</w:t>
      </w:r>
      <w:r>
        <w:rPr/>
        <w:t>）承包情况</w:t>
      </w:r>
      <w:r>
        <w:rPr>
          <w:b w:val="0"/>
          <w:bCs w:val="0"/>
        </w:rPr>
      </w:r>
    </w:p>
    <w:p>
      <w:pPr>
        <w:spacing w:line="240" w:lineRule="auto" w:before="10"/>
        <w:rPr>
          <w:rFonts w:ascii="宋体" w:hAnsi="宋体" w:cs="宋体" w:eastAsia="宋体" w:hint="default"/>
          <w:b/>
          <w:bCs/>
          <w:sz w:val="26"/>
          <w:szCs w:val="26"/>
        </w:rPr>
      </w:pPr>
    </w:p>
    <w:p>
      <w:pPr>
        <w:pStyle w:val="BodyText"/>
        <w:spacing w:line="340" w:lineRule="auto"/>
        <w:ind w:right="841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公司报告期不存在承包情况。</w:t>
      </w:r>
    </w:p>
    <w:p>
      <w:pPr>
        <w:spacing w:line="240" w:lineRule="auto" w:before="1"/>
        <w:rPr>
          <w:rFonts w:ascii="宋体" w:hAnsi="宋体" w:cs="宋体" w:eastAsia="宋体" w:hint="default"/>
          <w:sz w:val="21"/>
          <w:szCs w:val="21"/>
        </w:rPr>
      </w:pPr>
    </w:p>
    <w:p>
      <w:pPr>
        <w:pStyle w:val="Heading4"/>
        <w:spacing w:line="240" w:lineRule="auto"/>
        <w:ind w:right="2239"/>
        <w:jc w:val="left"/>
        <w:rPr>
          <w:b w:val="0"/>
          <w:bCs w:val="0"/>
        </w:rPr>
      </w:pPr>
      <w:r>
        <w:rPr/>
        <w:t>（</w:t>
      </w:r>
      <w:r>
        <w:rPr>
          <w:rFonts w:ascii="Arial" w:hAnsi="Arial" w:cs="Arial" w:eastAsia="Arial" w:hint="default"/>
        </w:rPr>
        <w:t>3</w:t>
      </w:r>
      <w:r>
        <w:rPr/>
        <w:t>）租赁情况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841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公司报告期不存在租赁情况。</w:t>
      </w:r>
    </w:p>
    <w:p>
      <w:pPr>
        <w:spacing w:line="240" w:lineRule="auto" w:before="12"/>
        <w:rPr>
          <w:rFonts w:ascii="宋体" w:hAnsi="宋体" w:cs="宋体" w:eastAsia="宋体" w:hint="default"/>
          <w:sz w:val="20"/>
          <w:szCs w:val="20"/>
        </w:rPr>
      </w:pPr>
    </w:p>
    <w:p>
      <w:pPr>
        <w:pStyle w:val="Heading4"/>
        <w:spacing w:line="240" w:lineRule="auto"/>
        <w:ind w:right="2239"/>
        <w:jc w:val="left"/>
        <w:rPr>
          <w:b w:val="0"/>
          <w:bCs w:val="0"/>
        </w:rPr>
      </w:pPr>
      <w:r>
        <w:rPr>
          <w:rFonts w:ascii="Arial" w:hAnsi="Arial" w:cs="Arial" w:eastAsia="Arial" w:hint="default"/>
        </w:rPr>
        <w:t>2</w:t>
      </w:r>
      <w:r>
        <w:rPr/>
        <w:t>、重大担保</w:t>
      </w:r>
      <w:r>
        <w:rPr>
          <w:b w:val="0"/>
          <w:bCs w:val="0"/>
        </w:rPr>
      </w:r>
    </w:p>
    <w:p>
      <w:pPr>
        <w:spacing w:line="240" w:lineRule="auto" w:before="10"/>
        <w:rPr>
          <w:rFonts w:ascii="宋体" w:hAnsi="宋体" w:cs="宋体" w:eastAsia="宋体" w:hint="default"/>
          <w:b/>
          <w:bCs/>
          <w:sz w:val="26"/>
          <w:szCs w:val="26"/>
        </w:rPr>
      </w:pPr>
    </w:p>
    <w:p>
      <w:pPr>
        <w:pStyle w:val="BodyText"/>
        <w:spacing w:line="340" w:lineRule="auto"/>
        <w:ind w:right="733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公司报告期不存在担保情况。</w:t>
      </w:r>
    </w:p>
    <w:p>
      <w:pPr>
        <w:spacing w:line="240" w:lineRule="auto" w:before="1"/>
        <w:rPr>
          <w:rFonts w:ascii="宋体" w:hAnsi="宋体" w:cs="宋体" w:eastAsia="宋体" w:hint="default"/>
          <w:sz w:val="21"/>
          <w:szCs w:val="21"/>
        </w:rPr>
      </w:pPr>
    </w:p>
    <w:p>
      <w:pPr>
        <w:pStyle w:val="Heading4"/>
        <w:spacing w:line="240" w:lineRule="auto"/>
        <w:ind w:right="2239"/>
        <w:jc w:val="left"/>
        <w:rPr>
          <w:b w:val="0"/>
          <w:bCs w:val="0"/>
        </w:rPr>
      </w:pPr>
      <w:r>
        <w:rPr>
          <w:rFonts w:ascii="Arial" w:hAnsi="Arial" w:cs="Arial" w:eastAsia="Arial" w:hint="default"/>
        </w:rPr>
        <w:t>3</w:t>
      </w:r>
      <w:r>
        <w:rPr/>
        <w:t>、委托他人进行现金资产管理情况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2239"/>
        <w:jc w:val="left"/>
        <w:rPr>
          <w:b w:val="0"/>
          <w:bCs w:val="0"/>
        </w:rPr>
      </w:pPr>
      <w:r>
        <w:rPr/>
        <w:t>（</w:t>
      </w:r>
      <w:r>
        <w:rPr>
          <w:rFonts w:ascii="Arial" w:hAnsi="Arial" w:cs="Arial" w:eastAsia="Arial" w:hint="default"/>
        </w:rPr>
        <w:t>1</w:t>
      </w:r>
      <w:r>
        <w:rPr/>
        <w:t>）委托理财情况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0"/>
        </w:sectPr>
      </w:pPr>
    </w:p>
    <w:p>
      <w:pPr>
        <w:pStyle w:val="BodyText"/>
        <w:spacing w:line="340" w:lineRule="auto" w:before="44"/>
        <w:ind w:right="-2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报告期内委托理财概况</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单位：万元</w:t>
      </w:r>
    </w:p>
    <w:p>
      <w:pPr>
        <w:spacing w:after="0" w:line="240" w:lineRule="auto"/>
        <w:jc w:val="left"/>
        <w:sectPr>
          <w:type w:val="continuous"/>
          <w:pgSz w:w="11910" w:h="16840"/>
          <w:pgMar w:top="1060" w:bottom="1180" w:left="980" w:right="0"/>
          <w:cols w:num="2" w:equalWidth="0">
            <w:col w:w="1955" w:space="6784"/>
            <w:col w:w="219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68"/>
        <w:gridCol w:w="1962"/>
        <w:gridCol w:w="1981"/>
        <w:gridCol w:w="1908"/>
        <w:gridCol w:w="1848"/>
      </w:tblGrid>
      <w:tr>
        <w:trPr>
          <w:trHeight w:val="401" w:hRule="exact"/>
        </w:trPr>
        <w:tc>
          <w:tcPr>
            <w:tcW w:w="18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68" w:right="0"/>
              <w:jc w:val="left"/>
              <w:rPr>
                <w:rFonts w:ascii="宋体" w:hAnsi="宋体" w:cs="宋体" w:eastAsia="宋体" w:hint="default"/>
                <w:sz w:val="18"/>
                <w:szCs w:val="18"/>
              </w:rPr>
            </w:pPr>
            <w:r>
              <w:rPr>
                <w:rFonts w:ascii="宋体" w:hAnsi="宋体" w:cs="宋体" w:eastAsia="宋体" w:hint="default"/>
                <w:sz w:val="18"/>
                <w:szCs w:val="18"/>
              </w:rPr>
              <w:t>具体类型</w:t>
            </w:r>
          </w:p>
        </w:tc>
        <w:tc>
          <w:tcPr>
            <w:tcW w:w="19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5" w:right="0"/>
              <w:jc w:val="left"/>
              <w:rPr>
                <w:rFonts w:ascii="宋体" w:hAnsi="宋体" w:cs="宋体" w:eastAsia="宋体" w:hint="default"/>
                <w:sz w:val="18"/>
                <w:szCs w:val="18"/>
              </w:rPr>
            </w:pPr>
            <w:r>
              <w:rPr>
                <w:rFonts w:ascii="宋体" w:hAnsi="宋体" w:cs="宋体" w:eastAsia="宋体" w:hint="default"/>
                <w:sz w:val="18"/>
                <w:szCs w:val="18"/>
              </w:rPr>
              <w:t>委托理财的资金来源</w:t>
            </w:r>
          </w:p>
        </w:tc>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55" w:right="0"/>
              <w:jc w:val="left"/>
              <w:rPr>
                <w:rFonts w:ascii="宋体" w:hAnsi="宋体" w:cs="宋体" w:eastAsia="宋体" w:hint="default"/>
                <w:sz w:val="18"/>
                <w:szCs w:val="18"/>
              </w:rPr>
            </w:pPr>
            <w:r>
              <w:rPr>
                <w:rFonts w:ascii="宋体" w:hAnsi="宋体" w:cs="宋体" w:eastAsia="宋体" w:hint="default"/>
                <w:sz w:val="18"/>
                <w:szCs w:val="18"/>
              </w:rPr>
              <w:t>委托理财发生额</w:t>
            </w:r>
          </w:p>
        </w:tc>
        <w:tc>
          <w:tcPr>
            <w:tcW w:w="19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9" w:right="0"/>
              <w:jc w:val="left"/>
              <w:rPr>
                <w:rFonts w:ascii="宋体" w:hAnsi="宋体" w:cs="宋体" w:eastAsia="宋体" w:hint="default"/>
                <w:sz w:val="18"/>
                <w:szCs w:val="18"/>
              </w:rPr>
            </w:pPr>
            <w:r>
              <w:rPr>
                <w:rFonts w:ascii="宋体" w:hAnsi="宋体" w:cs="宋体" w:eastAsia="宋体" w:hint="default"/>
                <w:sz w:val="18"/>
                <w:szCs w:val="18"/>
              </w:rPr>
              <w:t>未到期余额</w:t>
            </w:r>
          </w:p>
        </w:tc>
        <w:tc>
          <w:tcPr>
            <w:tcW w:w="18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99" w:right="0"/>
              <w:jc w:val="left"/>
              <w:rPr>
                <w:rFonts w:ascii="宋体" w:hAnsi="宋体" w:cs="宋体" w:eastAsia="宋体" w:hint="default"/>
                <w:sz w:val="18"/>
                <w:szCs w:val="18"/>
              </w:rPr>
            </w:pPr>
            <w:r>
              <w:rPr>
                <w:rFonts w:ascii="宋体" w:hAnsi="宋体" w:cs="宋体" w:eastAsia="宋体" w:hint="default"/>
                <w:sz w:val="18"/>
                <w:szCs w:val="18"/>
              </w:rPr>
              <w:t>逾期未收回的金额</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自有资金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24,310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19,552</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z w:val="18"/>
              </w:rPr>
              <w:t>0</w:t>
            </w:r>
          </w:p>
        </w:tc>
      </w:tr>
      <w:tr>
        <w:trPr>
          <w:trHeight w:val="402" w:hRule="exact"/>
        </w:trPr>
        <w:tc>
          <w:tcPr>
            <w:tcW w:w="18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19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募集资金</w:t>
            </w:r>
          </w:p>
        </w:tc>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26,690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12,530</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z w:val="18"/>
              </w:rPr>
              <w:t>0</w:t>
            </w:r>
          </w:p>
        </w:tc>
      </w:tr>
      <w:tr>
        <w:trPr>
          <w:trHeight w:val="403" w:hRule="exact"/>
        </w:trPr>
        <w:tc>
          <w:tcPr>
            <w:tcW w:w="38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8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51,000</w:t>
            </w:r>
          </w:p>
        </w:tc>
        <w:tc>
          <w:tcPr>
            <w:tcW w:w="1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32,082</w:t>
            </w:r>
          </w:p>
        </w:tc>
        <w:tc>
          <w:tcPr>
            <w:tcW w:w="18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z w:val="18"/>
              </w:rPr>
              <w:t>0</w:t>
            </w:r>
          </w:p>
        </w:tc>
      </w:tr>
    </w:tbl>
    <w:p>
      <w:pPr>
        <w:pStyle w:val="BodyText"/>
        <w:spacing w:line="240" w:lineRule="auto" w:before="51"/>
        <w:ind w:right="0"/>
        <w:jc w:val="left"/>
      </w:pPr>
      <w:r>
        <w:rPr/>
        <w:t>单项金额重大或安全性较低、流动性较差、不保本的高风险委托理财具体情况（单笔金额超过</w:t>
      </w:r>
      <w:r>
        <w:rPr>
          <w:spacing w:val="-46"/>
        </w:rPr>
        <w:t> </w:t>
      </w:r>
      <w:r>
        <w:rPr>
          <w:rFonts w:ascii="Times New Roman" w:hAnsi="Times New Roman" w:cs="Times New Roman" w:eastAsia="Times New Roman" w:hint="default"/>
        </w:rPr>
        <w:t>1,000</w:t>
      </w:r>
      <w:r>
        <w:rPr>
          <w:rFonts w:ascii="Times New Roman" w:hAnsi="Times New Roman" w:cs="Times New Roman" w:eastAsia="Times New Roman" w:hint="default"/>
          <w:spacing w:val="-1"/>
        </w:rPr>
        <w:t> </w:t>
      </w:r>
      <w:r>
        <w:rPr/>
        <w:t>万元的委托理财）</w:t>
      </w:r>
    </w:p>
    <w:p>
      <w:pPr>
        <w:pStyle w:val="BodyText"/>
        <w:spacing w:line="240" w:lineRule="auto" w:before="102"/>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after="0" w:line="240" w:lineRule="auto"/>
        <w:jc w:val="left"/>
        <w:sectPr>
          <w:type w:val="continuous"/>
          <w:pgSz w:w="11910" w:h="16840"/>
          <w:pgMar w:top="1060" w:bottom="118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71"/>
        <w:gridCol w:w="590"/>
        <w:gridCol w:w="606"/>
        <w:gridCol w:w="575"/>
        <w:gridCol w:w="560"/>
        <w:gridCol w:w="562"/>
        <w:gridCol w:w="560"/>
        <w:gridCol w:w="562"/>
        <w:gridCol w:w="560"/>
        <w:gridCol w:w="562"/>
        <w:gridCol w:w="560"/>
        <w:gridCol w:w="562"/>
        <w:gridCol w:w="560"/>
        <w:gridCol w:w="550"/>
        <w:gridCol w:w="547"/>
        <w:gridCol w:w="546"/>
        <w:gridCol w:w="539"/>
      </w:tblGrid>
      <w:tr>
        <w:trPr>
          <w:trHeight w:val="2274" w:hRule="exact"/>
        </w:trPr>
        <w:tc>
          <w:tcPr>
            <w:tcW w:w="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99" w:right="101"/>
              <w:jc w:val="both"/>
              <w:rPr>
                <w:rFonts w:ascii="宋体" w:hAnsi="宋体" w:cs="宋体" w:eastAsia="宋体" w:hint="default"/>
                <w:sz w:val="18"/>
                <w:szCs w:val="18"/>
              </w:rPr>
            </w:pPr>
            <w:r>
              <w:rPr>
                <w:rFonts w:ascii="宋体" w:hAnsi="宋体" w:cs="宋体" w:eastAsia="宋体" w:hint="default"/>
                <w:sz w:val="18"/>
                <w:szCs w:val="18"/>
              </w:rPr>
              <w:t>受托 机构 名称</w:t>
            </w:r>
          </w:p>
          <w:p>
            <w:pPr>
              <w:pStyle w:val="TableParagraph"/>
              <w:spacing w:line="319" w:lineRule="auto" w:before="19"/>
              <w:ind w:left="99" w:right="101"/>
              <w:jc w:val="both"/>
              <w:rPr>
                <w:rFonts w:ascii="宋体" w:hAnsi="宋体" w:cs="宋体" w:eastAsia="宋体" w:hint="default"/>
                <w:sz w:val="18"/>
                <w:szCs w:val="18"/>
              </w:rPr>
            </w:pPr>
            <w:r>
              <w:rPr>
                <w:rFonts w:ascii="宋体" w:hAnsi="宋体" w:cs="宋体" w:eastAsia="宋体" w:hint="default"/>
                <w:sz w:val="18"/>
                <w:szCs w:val="18"/>
              </w:rPr>
              <w:t>（或 受托 人姓 名）</w:t>
            </w:r>
          </w:p>
        </w:tc>
        <w:tc>
          <w:tcPr>
            <w:tcW w:w="5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109" w:right="109"/>
              <w:jc w:val="center"/>
              <w:rPr>
                <w:rFonts w:ascii="宋体" w:hAnsi="宋体" w:cs="宋体" w:eastAsia="宋体" w:hint="default"/>
                <w:sz w:val="18"/>
                <w:szCs w:val="18"/>
              </w:rPr>
            </w:pPr>
            <w:r>
              <w:rPr>
                <w:rFonts w:ascii="宋体" w:hAnsi="宋体" w:cs="宋体" w:eastAsia="宋体" w:hint="default"/>
                <w:sz w:val="18"/>
                <w:szCs w:val="18"/>
              </w:rPr>
              <w:t>受托 机构</w:t>
            </w:r>
          </w:p>
          <w:p>
            <w:pPr>
              <w:pStyle w:val="TableParagraph"/>
              <w:spacing w:line="319" w:lineRule="auto" w:before="19"/>
              <w:ind w:left="22" w:right="23" w:hanging="2"/>
              <w:jc w:val="center"/>
              <w:rPr>
                <w:rFonts w:ascii="宋体" w:hAnsi="宋体" w:cs="宋体" w:eastAsia="宋体" w:hint="default"/>
                <w:sz w:val="18"/>
                <w:szCs w:val="18"/>
              </w:rPr>
            </w:pPr>
            <w:r>
              <w:rPr>
                <w:rFonts w:ascii="宋体" w:hAnsi="宋体" w:cs="宋体" w:eastAsia="宋体" w:hint="default"/>
                <w:sz w:val="18"/>
                <w:szCs w:val="18"/>
              </w:rPr>
              <w:t>（或 受托 </w:t>
            </w:r>
            <w:r>
              <w:rPr>
                <w:rFonts w:ascii="宋体" w:hAnsi="宋体" w:cs="宋体" w:eastAsia="宋体" w:hint="default"/>
                <w:spacing w:val="-2"/>
                <w:sz w:val="18"/>
                <w:szCs w:val="18"/>
              </w:rPr>
              <w:t>人）类</w:t>
            </w:r>
            <w:r>
              <w:rPr>
                <w:rFonts w:ascii="宋体" w:hAnsi="宋体" w:cs="宋体" w:eastAsia="宋体" w:hint="default"/>
                <w:sz w:val="18"/>
                <w:szCs w:val="18"/>
              </w:rPr>
              <w:t> 型</w:t>
            </w:r>
          </w:p>
        </w:tc>
        <w:tc>
          <w:tcPr>
            <w:tcW w:w="6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7" w:right="26" w:hanging="180"/>
              <w:jc w:val="left"/>
              <w:rPr>
                <w:rFonts w:ascii="宋体" w:hAnsi="宋体" w:cs="宋体" w:eastAsia="宋体" w:hint="default"/>
                <w:sz w:val="18"/>
                <w:szCs w:val="18"/>
              </w:rPr>
            </w:pPr>
            <w:r>
              <w:rPr>
                <w:rFonts w:ascii="宋体" w:hAnsi="宋体" w:cs="宋体" w:eastAsia="宋体" w:hint="default"/>
                <w:sz w:val="18"/>
                <w:szCs w:val="18"/>
              </w:rPr>
              <w:t>产品类 型</w:t>
            </w:r>
          </w:p>
        </w:tc>
        <w:tc>
          <w:tcPr>
            <w:tcW w:w="5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5"/>
              <w:jc w:val="left"/>
              <w:rPr>
                <w:rFonts w:ascii="宋体" w:hAnsi="宋体" w:cs="宋体" w:eastAsia="宋体" w:hint="default"/>
                <w:sz w:val="18"/>
                <w:szCs w:val="18"/>
              </w:rPr>
            </w:pPr>
            <w:r>
              <w:rPr>
                <w:rFonts w:ascii="宋体" w:hAnsi="宋体" w:cs="宋体" w:eastAsia="宋体" w:hint="default"/>
                <w:sz w:val="18"/>
                <w:szCs w:val="18"/>
              </w:rPr>
              <w:t>资金 来源</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5"/>
              <w:jc w:val="left"/>
              <w:rPr>
                <w:rFonts w:ascii="宋体" w:hAnsi="宋体" w:cs="宋体" w:eastAsia="宋体" w:hint="default"/>
                <w:sz w:val="18"/>
                <w:szCs w:val="18"/>
              </w:rPr>
            </w:pPr>
            <w:r>
              <w:rPr>
                <w:rFonts w:ascii="宋体" w:hAnsi="宋体" w:cs="宋体" w:eastAsia="宋体" w:hint="default"/>
                <w:sz w:val="18"/>
                <w:szCs w:val="18"/>
              </w:rPr>
              <w:t>起始 日期</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5"/>
              <w:jc w:val="left"/>
              <w:rPr>
                <w:rFonts w:ascii="宋体" w:hAnsi="宋体" w:cs="宋体" w:eastAsia="宋体" w:hint="default"/>
                <w:sz w:val="18"/>
                <w:szCs w:val="18"/>
              </w:rPr>
            </w:pPr>
            <w:r>
              <w:rPr>
                <w:rFonts w:ascii="宋体" w:hAnsi="宋体" w:cs="宋体" w:eastAsia="宋体" w:hint="default"/>
                <w:sz w:val="18"/>
                <w:szCs w:val="18"/>
              </w:rPr>
              <w:t>终止 日期</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4" w:right="95"/>
              <w:jc w:val="left"/>
              <w:rPr>
                <w:rFonts w:ascii="宋体" w:hAnsi="宋体" w:cs="宋体" w:eastAsia="宋体" w:hint="default"/>
                <w:sz w:val="18"/>
                <w:szCs w:val="18"/>
              </w:rPr>
            </w:pPr>
            <w:r>
              <w:rPr>
                <w:rFonts w:ascii="宋体" w:hAnsi="宋体" w:cs="宋体" w:eastAsia="宋体" w:hint="default"/>
                <w:sz w:val="18"/>
                <w:szCs w:val="18"/>
              </w:rPr>
              <w:t>资金 投向</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报酬 确定 方式</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参考 年化 收益 率</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94" w:right="95"/>
              <w:jc w:val="left"/>
              <w:rPr>
                <w:rFonts w:ascii="宋体" w:hAnsi="宋体" w:cs="宋体" w:eastAsia="宋体" w:hint="default"/>
                <w:sz w:val="18"/>
                <w:szCs w:val="18"/>
              </w:rPr>
            </w:pPr>
            <w:r>
              <w:rPr>
                <w:rFonts w:ascii="宋体" w:hAnsi="宋体" w:cs="宋体" w:eastAsia="宋体" w:hint="default"/>
                <w:sz w:val="18"/>
                <w:szCs w:val="18"/>
              </w:rPr>
              <w:t>预期 收益</w:t>
            </w:r>
          </w:p>
          <w:p>
            <w:pPr>
              <w:pStyle w:val="TableParagraph"/>
              <w:spacing w:line="319" w:lineRule="auto" w:before="19"/>
              <w:ind w:left="184" w:right="95" w:hanging="90"/>
              <w:jc w:val="left"/>
              <w:rPr>
                <w:rFonts w:ascii="宋体" w:hAnsi="宋体" w:cs="宋体" w:eastAsia="宋体" w:hint="default"/>
                <w:sz w:val="18"/>
                <w:szCs w:val="18"/>
              </w:rPr>
            </w:pPr>
            <w:r>
              <w:rPr>
                <w:rFonts w:ascii="宋体" w:hAnsi="宋体" w:cs="宋体" w:eastAsia="宋体" w:hint="default"/>
                <w:sz w:val="18"/>
                <w:szCs w:val="18"/>
              </w:rPr>
              <w:t>（如 有</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4" w:right="95"/>
              <w:jc w:val="both"/>
              <w:rPr>
                <w:rFonts w:ascii="宋体" w:hAnsi="宋体" w:cs="宋体" w:eastAsia="宋体" w:hint="default"/>
                <w:sz w:val="18"/>
                <w:szCs w:val="18"/>
              </w:rPr>
            </w:pPr>
            <w:r>
              <w:rPr>
                <w:rFonts w:ascii="宋体" w:hAnsi="宋体" w:cs="宋体" w:eastAsia="宋体" w:hint="default"/>
                <w:sz w:val="18"/>
                <w:szCs w:val="18"/>
              </w:rPr>
              <w:t>报告 期实 际损 益金 额</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94" w:right="95"/>
              <w:jc w:val="both"/>
              <w:rPr>
                <w:rFonts w:ascii="宋体" w:hAnsi="宋体" w:cs="宋体" w:eastAsia="宋体" w:hint="default"/>
                <w:sz w:val="18"/>
                <w:szCs w:val="18"/>
              </w:rPr>
            </w:pPr>
            <w:r>
              <w:rPr>
                <w:rFonts w:ascii="宋体" w:hAnsi="宋体" w:cs="宋体" w:eastAsia="宋体" w:hint="default"/>
                <w:sz w:val="18"/>
                <w:szCs w:val="18"/>
              </w:rPr>
              <w:t>报告 期损 益实 际收 回情 况</w:t>
            </w:r>
          </w:p>
        </w:tc>
        <w:tc>
          <w:tcPr>
            <w:tcW w:w="5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8" w:right="89"/>
              <w:jc w:val="both"/>
              <w:rPr>
                <w:rFonts w:ascii="宋体" w:hAnsi="宋体" w:cs="宋体" w:eastAsia="宋体" w:hint="default"/>
                <w:sz w:val="18"/>
                <w:szCs w:val="18"/>
              </w:rPr>
            </w:pPr>
            <w:r>
              <w:rPr>
                <w:rFonts w:ascii="宋体" w:hAnsi="宋体" w:cs="宋体" w:eastAsia="宋体" w:hint="default"/>
                <w:sz w:val="18"/>
                <w:szCs w:val="18"/>
              </w:rPr>
              <w:t>计提 减值 准备 金额</w:t>
            </w:r>
          </w:p>
          <w:p>
            <w:pPr>
              <w:pStyle w:val="TableParagraph"/>
              <w:spacing w:line="319" w:lineRule="auto" w:before="19"/>
              <w:ind w:left="88" w:right="89"/>
              <w:jc w:val="both"/>
              <w:rPr>
                <w:rFonts w:ascii="宋体" w:hAnsi="宋体" w:cs="宋体" w:eastAsia="宋体" w:hint="default"/>
                <w:sz w:val="18"/>
                <w:szCs w:val="18"/>
              </w:rPr>
            </w:pPr>
            <w:r>
              <w:rPr>
                <w:rFonts w:ascii="宋体" w:hAnsi="宋体" w:cs="宋体" w:eastAsia="宋体" w:hint="default"/>
                <w:sz w:val="18"/>
                <w:szCs w:val="18"/>
              </w:rPr>
              <w:t>（如 有）</w:t>
            </w:r>
          </w:p>
        </w:tc>
        <w:tc>
          <w:tcPr>
            <w:tcW w:w="5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87" w:right="89"/>
              <w:jc w:val="both"/>
              <w:rPr>
                <w:rFonts w:ascii="宋体" w:hAnsi="宋体" w:cs="宋体" w:eastAsia="宋体" w:hint="default"/>
                <w:sz w:val="18"/>
                <w:szCs w:val="18"/>
              </w:rPr>
            </w:pPr>
            <w:r>
              <w:rPr>
                <w:rFonts w:ascii="宋体" w:hAnsi="宋体" w:cs="宋体" w:eastAsia="宋体" w:hint="default"/>
                <w:sz w:val="18"/>
                <w:szCs w:val="18"/>
              </w:rPr>
              <w:t>是否 经过 法定 程序</w:t>
            </w:r>
          </w:p>
        </w:tc>
        <w:tc>
          <w:tcPr>
            <w:tcW w:w="5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87" w:right="86"/>
              <w:jc w:val="both"/>
              <w:rPr>
                <w:rFonts w:ascii="宋体" w:hAnsi="宋体" w:cs="宋体" w:eastAsia="宋体" w:hint="default"/>
                <w:sz w:val="18"/>
                <w:szCs w:val="18"/>
              </w:rPr>
            </w:pPr>
            <w:r>
              <w:rPr>
                <w:rFonts w:ascii="宋体" w:hAnsi="宋体" w:cs="宋体" w:eastAsia="宋体" w:hint="default"/>
                <w:sz w:val="18"/>
                <w:szCs w:val="18"/>
              </w:rPr>
              <w:t>未来 是否 还有 委托 理财 计划</w:t>
            </w:r>
          </w:p>
        </w:tc>
        <w:tc>
          <w:tcPr>
            <w:tcW w:w="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3" w:right="20"/>
              <w:jc w:val="center"/>
              <w:rPr>
                <w:rFonts w:ascii="宋体" w:hAnsi="宋体" w:cs="宋体" w:eastAsia="宋体" w:hint="default"/>
                <w:sz w:val="18"/>
                <w:szCs w:val="18"/>
              </w:rPr>
            </w:pPr>
            <w:r>
              <w:rPr>
                <w:rFonts w:ascii="宋体" w:hAnsi="宋体" w:cs="宋体" w:eastAsia="宋体" w:hint="default"/>
                <w:sz w:val="18"/>
                <w:szCs w:val="18"/>
              </w:rPr>
              <w:t>事项 概述 及相 关查 询索 </w:t>
            </w:r>
            <w:r>
              <w:rPr>
                <w:rFonts w:ascii="宋体" w:hAnsi="宋体" w:cs="宋体" w:eastAsia="宋体" w:hint="default"/>
                <w:spacing w:val="-20"/>
                <w:sz w:val="18"/>
                <w:szCs w:val="18"/>
              </w:rPr>
              <w:t>引（如</w:t>
            </w:r>
            <w:r>
              <w:rPr>
                <w:rFonts w:ascii="宋体" w:hAnsi="宋体" w:cs="宋体" w:eastAsia="宋体" w:hint="default"/>
                <w:sz w:val="18"/>
                <w:szCs w:val="18"/>
              </w:rPr>
              <w:t> 有）</w:t>
            </w:r>
          </w:p>
        </w:tc>
      </w:tr>
      <w:tr>
        <w:trPr>
          <w:trHeight w:val="165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6"/>
              <w:jc w:val="both"/>
              <w:rPr>
                <w:rFonts w:ascii="宋体" w:hAnsi="宋体" w:cs="宋体" w:eastAsia="宋体" w:hint="default"/>
                <w:sz w:val="18"/>
                <w:szCs w:val="18"/>
              </w:rPr>
            </w:pPr>
            <w:r>
              <w:rPr>
                <w:rFonts w:ascii="宋体" w:hAnsi="宋体" w:cs="宋体" w:eastAsia="宋体" w:hint="default"/>
                <w:sz w:val="18"/>
                <w:szCs w:val="18"/>
              </w:rPr>
              <w:t>农业 银行 福州 冶山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1,600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3.15%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12.43</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12.43</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358" w:hRule="exact"/>
        </w:trPr>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vMerge w:val="restart"/>
            <w:tcBorders>
              <w:top w:val="single" w:sz="4" w:space="0" w:color="000000"/>
              <w:left w:val="single" w:sz="4" w:space="0" w:color="000000"/>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vMerge w:val="restart"/>
            <w:tcBorders>
              <w:top w:val="single" w:sz="4" w:space="0" w:color="000000"/>
              <w:left w:val="single" w:sz="4" w:space="0" w:color="000000"/>
              <w:right w:val="single" w:sz="4" w:space="0" w:color="000000"/>
            </w:tcBorders>
          </w:tcPr>
          <w:p>
            <w:pPr/>
          </w:p>
        </w:tc>
      </w:tr>
      <w:tr>
        <w:trPr>
          <w:trHeight w:val="1249"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76"/>
              <w:jc w:val="both"/>
              <w:rPr>
                <w:rFonts w:ascii="宋体" w:hAnsi="宋体" w:cs="宋体" w:eastAsia="宋体" w:hint="default"/>
                <w:sz w:val="18"/>
                <w:szCs w:val="18"/>
              </w:rPr>
            </w:pPr>
            <w:r>
              <w:rPr>
                <w:rFonts w:ascii="宋体" w:hAnsi="宋体" w:cs="宋体" w:eastAsia="宋体" w:hint="default"/>
                <w:sz w:val="18"/>
                <w:szCs w:val="18"/>
              </w:rPr>
              <w:t>国际 银行 福州 鼓楼</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2,000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4.15%</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9.45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9.45</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9.45</w:t>
            </w:r>
          </w:p>
        </w:tc>
        <w:tc>
          <w:tcPr>
            <w:tcW w:w="550"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vMerge/>
            <w:tcBorders>
              <w:left w:val="single" w:sz="4" w:space="0" w:color="000000"/>
              <w:right w:val="single" w:sz="4" w:space="0" w:color="000000"/>
            </w:tcBorders>
          </w:tcPr>
          <w:p>
            <w:pPr/>
          </w:p>
        </w:tc>
      </w:tr>
      <w:tr>
        <w:trPr>
          <w:trHeight w:val="355" w:hRule="exact"/>
        </w:trPr>
        <w:tc>
          <w:tcPr>
            <w:tcW w:w="5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vMerge/>
            <w:tcBorders>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vMerge/>
            <w:tcBorders>
              <w:left w:val="single" w:sz="4" w:space="0" w:color="000000"/>
              <w:bottom w:val="single" w:sz="4" w:space="0" w:color="000000"/>
              <w:right w:val="single" w:sz="4" w:space="0" w:color="000000"/>
            </w:tcBorders>
          </w:tcPr>
          <w:p>
            <w:pPr/>
          </w:p>
        </w:tc>
      </w:tr>
      <w:tr>
        <w:trPr>
          <w:trHeight w:val="358" w:hRule="exact"/>
        </w:trPr>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vMerge w:val="restart"/>
            <w:tcBorders>
              <w:top w:val="single" w:sz="4" w:space="0" w:color="000000"/>
              <w:left w:val="single" w:sz="4" w:space="0" w:color="000000"/>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vMerge w:val="restart"/>
            <w:tcBorders>
              <w:top w:val="single" w:sz="4" w:space="0" w:color="000000"/>
              <w:left w:val="single" w:sz="4" w:space="0" w:color="000000"/>
              <w:right w:val="single" w:sz="4" w:space="0" w:color="000000"/>
            </w:tcBorders>
          </w:tcPr>
          <w:p>
            <w:pPr/>
          </w:p>
        </w:tc>
      </w:tr>
      <w:tr>
        <w:trPr>
          <w:trHeight w:val="1249"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76"/>
              <w:jc w:val="both"/>
              <w:rPr>
                <w:rFonts w:ascii="宋体" w:hAnsi="宋体" w:cs="宋体" w:eastAsia="宋体" w:hint="default"/>
                <w:sz w:val="18"/>
                <w:szCs w:val="18"/>
              </w:rPr>
            </w:pPr>
            <w:r>
              <w:rPr>
                <w:rFonts w:ascii="宋体" w:hAnsi="宋体" w:cs="宋体" w:eastAsia="宋体" w:hint="default"/>
                <w:sz w:val="18"/>
                <w:szCs w:val="18"/>
              </w:rPr>
              <w:t>国际 银行 福州 鼓楼</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2,000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9"/>
              <w:ind w:right="0"/>
              <w:jc w:val="left"/>
              <w:rPr>
                <w:rFonts w:ascii="宋体" w:hAnsi="宋体" w:cs="宋体" w:eastAsia="宋体" w:hint="default"/>
                <w:sz w:val="24"/>
                <w:szCs w:val="24"/>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3.50%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7.63</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7.63</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7.63</w:t>
            </w:r>
          </w:p>
        </w:tc>
        <w:tc>
          <w:tcPr>
            <w:tcW w:w="550"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vMerge/>
            <w:tcBorders>
              <w:left w:val="single" w:sz="4" w:space="0" w:color="000000"/>
              <w:right w:val="single" w:sz="4" w:space="0" w:color="000000"/>
            </w:tcBorders>
          </w:tcPr>
          <w:p>
            <w:pPr/>
          </w:p>
        </w:tc>
      </w:tr>
      <w:tr>
        <w:trPr>
          <w:trHeight w:val="355" w:hRule="exact"/>
        </w:trPr>
        <w:tc>
          <w:tcPr>
            <w:tcW w:w="5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vMerge/>
            <w:tcBorders>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vMerge/>
            <w:tcBorders>
              <w:left w:val="single" w:sz="4" w:space="0" w:color="000000"/>
              <w:bottom w:val="single" w:sz="4" w:space="0" w:color="000000"/>
              <w:right w:val="single" w:sz="4" w:space="0" w:color="000000"/>
            </w:tcBorders>
          </w:tcPr>
          <w:p>
            <w:pPr/>
          </w:p>
        </w:tc>
      </w:tr>
      <w:tr>
        <w:trPr>
          <w:trHeight w:val="1338"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6"/>
              <w:jc w:val="both"/>
              <w:rPr>
                <w:rFonts w:ascii="宋体" w:hAnsi="宋体" w:cs="宋体" w:eastAsia="宋体" w:hint="default"/>
                <w:sz w:val="18"/>
                <w:szCs w:val="18"/>
              </w:rPr>
            </w:pPr>
            <w:r>
              <w:rPr>
                <w:rFonts w:ascii="宋体" w:hAnsi="宋体" w:cs="宋体" w:eastAsia="宋体" w:hint="default"/>
                <w:sz w:val="18"/>
                <w:szCs w:val="18"/>
              </w:rPr>
              <w:t>招商 银行 屏山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2,100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3.43%</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17.76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17.76</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17.76</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6"/>
              <w:jc w:val="both"/>
              <w:rPr>
                <w:rFonts w:ascii="宋体" w:hAnsi="宋体" w:cs="宋体" w:eastAsia="宋体" w:hint="default"/>
                <w:sz w:val="18"/>
                <w:szCs w:val="18"/>
              </w:rPr>
            </w:pPr>
            <w:r>
              <w:rPr>
                <w:rFonts w:ascii="宋体" w:hAnsi="宋体" w:cs="宋体" w:eastAsia="宋体" w:hint="default"/>
                <w:sz w:val="18"/>
                <w:szCs w:val="18"/>
              </w:rPr>
              <w:t>交通 银行 福州 三山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4,000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2016</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297.01</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297.01</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297.01</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76"/>
              <w:jc w:val="both"/>
              <w:rPr>
                <w:rFonts w:ascii="宋体" w:hAnsi="宋体" w:cs="宋体" w:eastAsia="宋体" w:hint="default"/>
                <w:sz w:val="18"/>
                <w:szCs w:val="18"/>
              </w:rPr>
            </w:pPr>
            <w:r>
              <w:rPr>
                <w:rFonts w:ascii="宋体" w:hAnsi="宋体" w:cs="宋体" w:eastAsia="宋体" w:hint="default"/>
                <w:sz w:val="18"/>
                <w:szCs w:val="18"/>
              </w:rPr>
              <w:t>民生 银行 东街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8,000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4.63%</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120.62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120.62</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120.62</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76"/>
              <w:jc w:val="both"/>
              <w:rPr>
                <w:rFonts w:ascii="宋体" w:hAnsi="宋体" w:cs="宋体" w:eastAsia="宋体" w:hint="default"/>
                <w:sz w:val="18"/>
                <w:szCs w:val="18"/>
              </w:rPr>
            </w:pPr>
            <w:r>
              <w:rPr>
                <w:rFonts w:ascii="宋体" w:hAnsi="宋体" w:cs="宋体" w:eastAsia="宋体" w:hint="default"/>
                <w:sz w:val="18"/>
                <w:szCs w:val="18"/>
              </w:rPr>
              <w:t>农业 银行 福州 冶山</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137" w:right="0"/>
              <w:jc w:val="left"/>
              <w:rPr>
                <w:rFonts w:ascii="Times New Roman" w:hAnsi="Times New Roman" w:cs="Times New Roman" w:eastAsia="Times New Roman" w:hint="default"/>
                <w:sz w:val="18"/>
                <w:szCs w:val="18"/>
              </w:rPr>
            </w:pPr>
            <w:r>
              <w:rPr>
                <w:rFonts w:ascii="Times New Roman"/>
                <w:sz w:val="18"/>
              </w:rPr>
              <w:t>1,600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3.15%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12.43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12.43</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4"/>
                <w:szCs w:val="24"/>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12.43</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1"/>
        <w:gridCol w:w="590"/>
        <w:gridCol w:w="606"/>
        <w:gridCol w:w="575"/>
        <w:gridCol w:w="560"/>
        <w:gridCol w:w="562"/>
        <w:gridCol w:w="560"/>
        <w:gridCol w:w="562"/>
        <w:gridCol w:w="560"/>
        <w:gridCol w:w="562"/>
        <w:gridCol w:w="560"/>
        <w:gridCol w:w="562"/>
        <w:gridCol w:w="560"/>
        <w:gridCol w:w="550"/>
        <w:gridCol w:w="547"/>
        <w:gridCol w:w="546"/>
        <w:gridCol w:w="539"/>
      </w:tblGrid>
      <w:tr>
        <w:trPr>
          <w:trHeight w:val="362"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民生 银行 东街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8,800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3.70%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2" w:right="0"/>
              <w:jc w:val="center"/>
              <w:rPr>
                <w:rFonts w:ascii="Times New Roman" w:hAnsi="Times New Roman" w:cs="Times New Roman" w:eastAsia="Times New Roman" w:hint="default"/>
                <w:sz w:val="18"/>
                <w:szCs w:val="18"/>
              </w:rPr>
            </w:pPr>
            <w:r>
              <w:rPr>
                <w:rFonts w:ascii="Times New Roman"/>
                <w:sz w:val="18"/>
              </w:rPr>
              <w:t>35.68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0" w:right="0"/>
              <w:jc w:val="center"/>
              <w:rPr>
                <w:rFonts w:ascii="Times New Roman" w:hAnsi="Times New Roman" w:cs="Times New Roman" w:eastAsia="Times New Roman" w:hint="default"/>
                <w:sz w:val="18"/>
                <w:szCs w:val="18"/>
              </w:rPr>
            </w:pPr>
            <w:r>
              <w:rPr>
                <w:rFonts w:ascii="Times New Roman"/>
                <w:sz w:val="18"/>
              </w:rPr>
              <w:t>35.68</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35.68</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交通 银行 福州 三山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3.85%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02" w:right="0"/>
              <w:jc w:val="center"/>
              <w:rPr>
                <w:rFonts w:ascii="Times New Roman" w:hAnsi="Times New Roman" w:cs="Times New Roman" w:eastAsia="Times New Roman" w:hint="default"/>
                <w:sz w:val="18"/>
                <w:szCs w:val="18"/>
              </w:rPr>
            </w:pPr>
            <w:r>
              <w:rPr>
                <w:rFonts w:ascii="Times New Roman"/>
                <w:sz w:val="18"/>
              </w:rPr>
              <w:t>42.72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42.72</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42.72</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招商 银行 屏山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2,200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3.28%</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2" w:right="0"/>
              <w:jc w:val="center"/>
              <w:rPr>
                <w:rFonts w:ascii="Times New Roman" w:hAnsi="Times New Roman" w:cs="Times New Roman" w:eastAsia="Times New Roman" w:hint="default"/>
                <w:sz w:val="18"/>
                <w:szCs w:val="18"/>
              </w:rPr>
            </w:pPr>
            <w:r>
              <w:rPr>
                <w:rFonts w:ascii="Times New Roman"/>
                <w:sz w:val="18"/>
              </w:rPr>
              <w:t>18.58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0" w:right="0"/>
              <w:jc w:val="center"/>
              <w:rPr>
                <w:rFonts w:ascii="Times New Roman" w:hAnsi="Times New Roman" w:cs="Times New Roman" w:eastAsia="Times New Roman" w:hint="default"/>
                <w:sz w:val="18"/>
                <w:szCs w:val="18"/>
              </w:rPr>
            </w:pPr>
            <w:r>
              <w:rPr>
                <w:rFonts w:ascii="Times New Roman"/>
                <w:sz w:val="18"/>
              </w:rPr>
              <w:t>18.58</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18.58</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vMerge w:val="restart"/>
            <w:tcBorders>
              <w:top w:val="single" w:sz="4" w:space="0" w:color="000000"/>
              <w:left w:val="single" w:sz="4" w:space="0" w:color="000000"/>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vMerge w:val="restart"/>
            <w:tcBorders>
              <w:top w:val="single" w:sz="4" w:space="0" w:color="000000"/>
              <w:left w:val="single" w:sz="4" w:space="0" w:color="000000"/>
              <w:right w:val="single" w:sz="4" w:space="0" w:color="000000"/>
            </w:tcBorders>
          </w:tcPr>
          <w:p>
            <w:pPr/>
          </w:p>
        </w:tc>
      </w:tr>
      <w:tr>
        <w:trPr>
          <w:trHeight w:val="1249"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76"/>
              <w:jc w:val="both"/>
              <w:rPr>
                <w:rFonts w:ascii="宋体" w:hAnsi="宋体" w:cs="宋体" w:eastAsia="宋体" w:hint="default"/>
                <w:sz w:val="18"/>
                <w:szCs w:val="18"/>
              </w:rPr>
            </w:pPr>
            <w:r>
              <w:rPr>
                <w:rFonts w:ascii="宋体" w:hAnsi="宋体" w:cs="宋体" w:eastAsia="宋体" w:hint="default"/>
                <w:sz w:val="18"/>
                <w:szCs w:val="18"/>
              </w:rPr>
              <w:t>国际 银行 福州 鼓楼</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2,400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63" w:right="0"/>
              <w:jc w:val="left"/>
              <w:rPr>
                <w:rFonts w:ascii="Times New Roman" w:hAnsi="Times New Roman" w:cs="Times New Roman" w:eastAsia="Times New Roman" w:hint="default"/>
                <w:sz w:val="18"/>
                <w:szCs w:val="18"/>
              </w:rPr>
            </w:pPr>
            <w:r>
              <w:rPr>
                <w:rFonts w:ascii="Times New Roman"/>
                <w:sz w:val="18"/>
              </w:rPr>
              <w:t>3.90%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2" w:right="0"/>
              <w:jc w:val="center"/>
              <w:rPr>
                <w:rFonts w:ascii="Times New Roman" w:hAnsi="Times New Roman" w:cs="Times New Roman" w:eastAsia="Times New Roman" w:hint="default"/>
                <w:sz w:val="18"/>
                <w:szCs w:val="18"/>
              </w:rPr>
            </w:pPr>
            <w:r>
              <w:rPr>
                <w:rFonts w:ascii="Times New Roman"/>
                <w:sz w:val="18"/>
              </w:rPr>
              <w:t>23.92</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100" w:right="0"/>
              <w:jc w:val="center"/>
              <w:rPr>
                <w:rFonts w:ascii="Times New Roman" w:hAnsi="Times New Roman" w:cs="Times New Roman" w:eastAsia="Times New Roman" w:hint="default"/>
                <w:sz w:val="18"/>
                <w:szCs w:val="18"/>
              </w:rPr>
            </w:pPr>
            <w:r>
              <w:rPr>
                <w:rFonts w:ascii="Times New Roman"/>
                <w:sz w:val="18"/>
              </w:rPr>
              <w:t>23.92</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23.92</w:t>
            </w:r>
          </w:p>
        </w:tc>
        <w:tc>
          <w:tcPr>
            <w:tcW w:w="550"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vMerge/>
            <w:tcBorders>
              <w:left w:val="single" w:sz="4" w:space="0" w:color="000000"/>
              <w:right w:val="single" w:sz="4" w:space="0" w:color="000000"/>
            </w:tcBorders>
          </w:tcPr>
          <w:p>
            <w:pPr/>
          </w:p>
        </w:tc>
      </w:tr>
      <w:tr>
        <w:trPr>
          <w:trHeight w:val="356" w:hRule="exact"/>
        </w:trPr>
        <w:tc>
          <w:tcPr>
            <w:tcW w:w="5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vMerge/>
            <w:tcBorders>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vMerge/>
            <w:tcBorders>
              <w:left w:val="single" w:sz="4" w:space="0" w:color="000000"/>
              <w:bottom w:val="single" w:sz="4" w:space="0" w:color="000000"/>
              <w:right w:val="single" w:sz="4" w:space="0" w:color="000000"/>
            </w:tcBorders>
          </w:tcPr>
          <w:p>
            <w:pPr/>
          </w:p>
        </w:tc>
      </w:tr>
      <w:tr>
        <w:trPr>
          <w:trHeight w:val="165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农业 银行 福州 冶山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1,600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3.10%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91" w:right="0"/>
              <w:jc w:val="center"/>
              <w:rPr>
                <w:rFonts w:ascii="Times New Roman" w:hAnsi="Times New Roman" w:cs="Times New Roman" w:eastAsia="Times New Roman" w:hint="default"/>
                <w:sz w:val="18"/>
                <w:szCs w:val="18"/>
              </w:rPr>
            </w:pPr>
            <w:r>
              <w:rPr>
                <w:rFonts w:ascii="Times New Roman"/>
                <w:sz w:val="18"/>
              </w:rPr>
              <w:t>8.43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8.43</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8.43</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民生 银行 东街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8,800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4.35%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92" w:right="0"/>
              <w:jc w:val="center"/>
              <w:rPr>
                <w:rFonts w:ascii="Times New Roman" w:hAnsi="Times New Roman" w:cs="Times New Roman" w:eastAsia="Times New Roman" w:hint="default"/>
                <w:sz w:val="18"/>
                <w:szCs w:val="18"/>
              </w:rPr>
            </w:pPr>
            <w:r>
              <w:rPr>
                <w:rFonts w:ascii="Times New Roman"/>
                <w:sz w:val="18"/>
              </w:rPr>
              <w:t>63.8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90" w:right="0"/>
              <w:jc w:val="center"/>
              <w:rPr>
                <w:rFonts w:ascii="Times New Roman" w:hAnsi="Times New Roman" w:cs="Times New Roman" w:eastAsia="Times New Roman" w:hint="default"/>
                <w:sz w:val="18"/>
                <w:szCs w:val="18"/>
              </w:rPr>
            </w:pPr>
            <w:r>
              <w:rPr>
                <w:rFonts w:ascii="Times New Roman"/>
                <w:sz w:val="18"/>
              </w:rPr>
              <w:t>63.8</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63.8</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农业 银行 福州 冶山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3.10%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91" w:right="0"/>
              <w:jc w:val="center"/>
              <w:rPr>
                <w:rFonts w:ascii="Times New Roman" w:hAnsi="Times New Roman" w:cs="Times New Roman" w:eastAsia="Times New Roman" w:hint="default"/>
                <w:sz w:val="18"/>
                <w:szCs w:val="18"/>
              </w:rPr>
            </w:pPr>
            <w:r>
              <w:rPr>
                <w:rFonts w:ascii="Times New Roman"/>
                <w:sz w:val="18"/>
              </w:rPr>
              <w:t>9.48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9.48</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9.48</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交通 银行 福州 三山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3.60%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92" w:right="0"/>
              <w:jc w:val="center"/>
              <w:rPr>
                <w:rFonts w:ascii="Times New Roman" w:hAnsi="Times New Roman" w:cs="Times New Roman" w:eastAsia="Times New Roman" w:hint="default"/>
                <w:sz w:val="18"/>
                <w:szCs w:val="18"/>
              </w:rPr>
            </w:pPr>
            <w:r>
              <w:rPr>
                <w:rFonts w:ascii="Times New Roman"/>
                <w:sz w:val="18"/>
              </w:rPr>
              <w:t>35.9</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190" w:right="0"/>
              <w:jc w:val="center"/>
              <w:rPr>
                <w:rFonts w:ascii="Times New Roman" w:hAnsi="Times New Roman" w:cs="Times New Roman" w:eastAsia="Times New Roman" w:hint="default"/>
                <w:sz w:val="18"/>
                <w:szCs w:val="18"/>
              </w:rPr>
            </w:pPr>
            <w:r>
              <w:rPr>
                <w:rFonts w:ascii="Times New Roman"/>
                <w:sz w:val="18"/>
              </w:rPr>
              <w:t>35.9</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35.9</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986"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招商 银行 屏山</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2,100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到期 收回</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3.55%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102" w:right="0"/>
              <w:jc w:val="center"/>
              <w:rPr>
                <w:rFonts w:ascii="Times New Roman" w:hAnsi="Times New Roman" w:cs="Times New Roman" w:eastAsia="Times New Roman" w:hint="default"/>
                <w:sz w:val="18"/>
                <w:szCs w:val="18"/>
              </w:rPr>
            </w:pPr>
            <w:r>
              <w:rPr>
                <w:rFonts w:ascii="Times New Roman"/>
                <w:sz w:val="18"/>
              </w:rPr>
              <w:t>20.38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100" w:right="0"/>
              <w:jc w:val="center"/>
              <w:rPr>
                <w:rFonts w:ascii="Times New Roman" w:hAnsi="Times New Roman" w:cs="Times New Roman" w:eastAsia="Times New Roman" w:hint="default"/>
                <w:sz w:val="18"/>
                <w:szCs w:val="18"/>
              </w:rPr>
            </w:pPr>
            <w:r>
              <w:rPr>
                <w:rFonts w:ascii="Times New Roman"/>
                <w:sz w:val="18"/>
              </w:rPr>
              <w:t>20.38</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20.38</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1"/>
        <w:gridCol w:w="590"/>
        <w:gridCol w:w="606"/>
        <w:gridCol w:w="575"/>
        <w:gridCol w:w="560"/>
        <w:gridCol w:w="562"/>
        <w:gridCol w:w="560"/>
        <w:gridCol w:w="562"/>
        <w:gridCol w:w="560"/>
        <w:gridCol w:w="562"/>
        <w:gridCol w:w="560"/>
        <w:gridCol w:w="562"/>
        <w:gridCol w:w="560"/>
        <w:gridCol w:w="550"/>
        <w:gridCol w:w="547"/>
        <w:gridCol w:w="546"/>
        <w:gridCol w:w="539"/>
      </w:tblGrid>
      <w:tr>
        <w:trPr>
          <w:trHeight w:val="362"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本息</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vMerge w:val="restart"/>
            <w:tcBorders>
              <w:top w:val="single" w:sz="4" w:space="0" w:color="000000"/>
              <w:left w:val="single" w:sz="4" w:space="0" w:color="000000"/>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vMerge w:val="restart"/>
            <w:tcBorders>
              <w:top w:val="single" w:sz="4" w:space="0" w:color="000000"/>
              <w:left w:val="single" w:sz="4" w:space="0" w:color="000000"/>
              <w:right w:val="single" w:sz="4" w:space="0" w:color="000000"/>
            </w:tcBorders>
          </w:tcPr>
          <w:p>
            <w:pPr/>
          </w:p>
        </w:tc>
      </w:tr>
      <w:tr>
        <w:trPr>
          <w:trHeight w:val="1249"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76"/>
              <w:jc w:val="both"/>
              <w:rPr>
                <w:rFonts w:ascii="宋体" w:hAnsi="宋体" w:cs="宋体" w:eastAsia="宋体" w:hint="default"/>
                <w:sz w:val="18"/>
                <w:szCs w:val="18"/>
              </w:rPr>
            </w:pPr>
            <w:r>
              <w:rPr>
                <w:rFonts w:ascii="宋体" w:hAnsi="宋体" w:cs="宋体" w:eastAsia="宋体" w:hint="default"/>
                <w:sz w:val="18"/>
                <w:szCs w:val="18"/>
              </w:rPr>
              <w:t>国际 银行 福州 鼓楼</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2,400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14"/>
                <w:szCs w:val="14"/>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63" w:right="0"/>
              <w:jc w:val="left"/>
              <w:rPr>
                <w:rFonts w:ascii="Times New Roman" w:hAnsi="Times New Roman" w:cs="Times New Roman" w:eastAsia="Times New Roman" w:hint="default"/>
                <w:sz w:val="18"/>
                <w:szCs w:val="18"/>
              </w:rPr>
            </w:pPr>
            <w:r>
              <w:rPr>
                <w:rFonts w:ascii="Times New Roman"/>
                <w:sz w:val="18"/>
              </w:rPr>
              <w:t>3.90%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23.66</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23.66</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23.66</w:t>
            </w:r>
          </w:p>
        </w:tc>
        <w:tc>
          <w:tcPr>
            <w:tcW w:w="550"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vMerge/>
            <w:tcBorders>
              <w:left w:val="single" w:sz="4" w:space="0" w:color="000000"/>
              <w:right w:val="single" w:sz="4" w:space="0" w:color="000000"/>
            </w:tcBorders>
          </w:tcPr>
          <w:p>
            <w:pPr/>
          </w:p>
        </w:tc>
      </w:tr>
      <w:tr>
        <w:trPr>
          <w:trHeight w:val="356" w:hRule="exact"/>
        </w:trPr>
        <w:tc>
          <w:tcPr>
            <w:tcW w:w="5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vMerge/>
            <w:tcBorders>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vMerge/>
            <w:tcBorders>
              <w:left w:val="single" w:sz="4" w:space="0" w:color="000000"/>
              <w:bottom w:val="single" w:sz="4" w:space="0" w:color="000000"/>
              <w:right w:val="single" w:sz="4" w:space="0" w:color="000000"/>
            </w:tcBorders>
          </w:tcPr>
          <w:p>
            <w:pPr/>
          </w:p>
        </w:tc>
      </w:tr>
      <w:tr>
        <w:trPr>
          <w:trHeight w:val="165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农业 银行 福州 冶山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3.05%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9.33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9.33</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9.33</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民生 银行 东街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3.50%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3.84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3.84</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3.84</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民生 银行 东街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8,000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4.35%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87.72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88.92</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88.92</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招商 银行 屏山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2,200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3.55%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18.37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18.37</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18.37</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交通 银行 福州 三山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3.65%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35.4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35.4</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35.4</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民生 银行 东街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9,000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4.35%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pacing w:val="-2"/>
                <w:sz w:val="18"/>
              </w:rPr>
              <w:t>116.36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农业 银行 福州 冶山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1,800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3.05%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27.22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298"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厦门 国际 银行 股份</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5,500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36"/>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319"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63" w:right="0"/>
              <w:jc w:val="left"/>
              <w:rPr>
                <w:rFonts w:ascii="Times New Roman" w:hAnsi="Times New Roman" w:cs="Times New Roman" w:eastAsia="Times New Roman" w:hint="default"/>
                <w:sz w:val="18"/>
                <w:szCs w:val="18"/>
              </w:rPr>
            </w:pPr>
            <w:r>
              <w:rPr>
                <w:rFonts w:ascii="Times New Roman"/>
                <w:sz w:val="18"/>
              </w:rPr>
              <w:t>4.73%</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19"/>
              <w:jc w:val="right"/>
              <w:rPr>
                <w:rFonts w:ascii="Times New Roman" w:hAnsi="Times New Roman" w:cs="Times New Roman" w:eastAsia="Times New Roman" w:hint="default"/>
                <w:sz w:val="18"/>
                <w:szCs w:val="18"/>
              </w:rPr>
            </w:pPr>
            <w:r>
              <w:rPr>
                <w:rFonts w:ascii="Times New Roman"/>
                <w:sz w:val="18"/>
              </w:rPr>
              <w:t>89.76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right="20"/>
              <w:jc w:val="right"/>
              <w:rPr>
                <w:rFonts w:ascii="Times New Roman" w:hAnsi="Times New Roman" w:cs="Times New Roman" w:eastAsia="Times New Roman" w:hint="default"/>
                <w:sz w:val="18"/>
                <w:szCs w:val="18"/>
              </w:rPr>
            </w:pPr>
            <w:r>
              <w:rPr>
                <w:rFonts w:ascii="Times New Roman"/>
                <w:sz w:val="18"/>
              </w:rPr>
              <w:t>89.76</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4"/>
              <w:ind w:left="22" w:right="0"/>
              <w:jc w:val="left"/>
              <w:rPr>
                <w:rFonts w:ascii="Times New Roman" w:hAnsi="Times New Roman" w:cs="Times New Roman" w:eastAsia="Times New Roman" w:hint="default"/>
                <w:sz w:val="18"/>
                <w:szCs w:val="18"/>
              </w:rPr>
            </w:pPr>
            <w:r>
              <w:rPr>
                <w:rFonts w:ascii="Times New Roman"/>
                <w:sz w:val="18"/>
              </w:rPr>
              <w:t>89.76</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1"/>
        <w:gridCol w:w="590"/>
        <w:gridCol w:w="606"/>
        <w:gridCol w:w="575"/>
        <w:gridCol w:w="560"/>
        <w:gridCol w:w="562"/>
        <w:gridCol w:w="560"/>
        <w:gridCol w:w="562"/>
        <w:gridCol w:w="560"/>
        <w:gridCol w:w="562"/>
        <w:gridCol w:w="560"/>
        <w:gridCol w:w="562"/>
        <w:gridCol w:w="560"/>
        <w:gridCol w:w="550"/>
        <w:gridCol w:w="547"/>
        <w:gridCol w:w="546"/>
        <w:gridCol w:w="539"/>
      </w:tblGrid>
      <w:tr>
        <w:trPr>
          <w:trHeight w:val="318" w:hRule="exact"/>
        </w:trPr>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有限</w:t>
            </w:r>
          </w:p>
        </w:tc>
        <w:tc>
          <w:tcPr>
            <w:tcW w:w="590" w:type="dxa"/>
            <w:vMerge w:val="restart"/>
            <w:tcBorders>
              <w:top w:val="single" w:sz="4" w:space="0" w:color="000000"/>
              <w:left w:val="single" w:sz="4" w:space="0" w:color="000000"/>
              <w:right w:val="single" w:sz="4" w:space="0" w:color="000000"/>
            </w:tcBorders>
          </w:tcPr>
          <w:p>
            <w:pPr/>
          </w:p>
        </w:tc>
        <w:tc>
          <w:tcPr>
            <w:tcW w:w="606" w:type="dxa"/>
            <w:vMerge w:val="restart"/>
            <w:tcBorders>
              <w:top w:val="single" w:sz="4" w:space="0" w:color="000000"/>
              <w:left w:val="single" w:sz="4" w:space="0" w:color="000000"/>
              <w:right w:val="single" w:sz="4" w:space="0" w:color="000000"/>
            </w:tcBorders>
          </w:tcPr>
          <w:p>
            <w:pPr/>
          </w:p>
        </w:tc>
        <w:tc>
          <w:tcPr>
            <w:tcW w:w="575" w:type="dxa"/>
            <w:vMerge w:val="restart"/>
            <w:tcBorders>
              <w:top w:val="single" w:sz="4" w:space="0" w:color="000000"/>
              <w:left w:val="single" w:sz="4" w:space="0" w:color="000000"/>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vMerge w:val="restart"/>
            <w:tcBorders>
              <w:top w:val="single" w:sz="4" w:space="0" w:color="000000"/>
              <w:left w:val="single" w:sz="4" w:space="0" w:color="000000"/>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62" w:type="dxa"/>
            <w:vMerge w:val="restart"/>
            <w:tcBorders>
              <w:top w:val="single" w:sz="4" w:space="0" w:color="000000"/>
              <w:left w:val="single" w:sz="4" w:space="0" w:color="000000"/>
              <w:right w:val="single" w:sz="4" w:space="0" w:color="000000"/>
            </w:tcBorders>
          </w:tcPr>
          <w:p>
            <w:pPr/>
          </w:p>
        </w:tc>
        <w:tc>
          <w:tcPr>
            <w:tcW w:w="560" w:type="dxa"/>
            <w:vMerge w:val="restart"/>
            <w:tcBorders>
              <w:top w:val="single" w:sz="4" w:space="0" w:color="000000"/>
              <w:left w:val="single" w:sz="4" w:space="0" w:color="000000"/>
              <w:right w:val="single" w:sz="4" w:space="0" w:color="000000"/>
            </w:tcBorders>
          </w:tcPr>
          <w:p>
            <w:pPr/>
          </w:p>
        </w:tc>
        <w:tc>
          <w:tcPr>
            <w:tcW w:w="550" w:type="dxa"/>
            <w:vMerge w:val="restart"/>
            <w:tcBorders>
              <w:top w:val="single" w:sz="4" w:space="0" w:color="000000"/>
              <w:left w:val="single" w:sz="4" w:space="0" w:color="000000"/>
              <w:right w:val="single" w:sz="4" w:space="0" w:color="000000"/>
            </w:tcBorders>
          </w:tcPr>
          <w:p>
            <w:pPr/>
          </w:p>
        </w:tc>
        <w:tc>
          <w:tcPr>
            <w:tcW w:w="547" w:type="dxa"/>
            <w:vMerge w:val="restart"/>
            <w:tcBorders>
              <w:top w:val="single" w:sz="4" w:space="0" w:color="000000"/>
              <w:left w:val="single" w:sz="4" w:space="0" w:color="000000"/>
              <w:right w:val="single" w:sz="4" w:space="0" w:color="000000"/>
            </w:tcBorders>
          </w:tcPr>
          <w:p>
            <w:pPr/>
          </w:p>
        </w:tc>
        <w:tc>
          <w:tcPr>
            <w:tcW w:w="546" w:type="dxa"/>
            <w:vMerge w:val="restart"/>
            <w:tcBorders>
              <w:top w:val="single" w:sz="4" w:space="0" w:color="000000"/>
              <w:left w:val="single" w:sz="4" w:space="0" w:color="000000"/>
              <w:right w:val="single" w:sz="4" w:space="0" w:color="000000"/>
            </w:tcBorders>
          </w:tcPr>
          <w:p>
            <w:pPr/>
          </w:p>
        </w:tc>
        <w:tc>
          <w:tcPr>
            <w:tcW w:w="539" w:type="dxa"/>
            <w:vMerge w:val="restart"/>
            <w:tcBorders>
              <w:top w:val="single" w:sz="4" w:space="0" w:color="000000"/>
              <w:left w:val="single" w:sz="4" w:space="0" w:color="000000"/>
              <w:right w:val="single" w:sz="4" w:space="0" w:color="000000"/>
            </w:tcBorders>
          </w:tcPr>
          <w:p>
            <w:pPr/>
          </w:p>
        </w:tc>
      </w:tr>
      <w:tr>
        <w:trPr>
          <w:trHeight w:val="311"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中关</w:t>
            </w: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13"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575"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62" w:type="dxa"/>
            <w:vMerge/>
            <w:tcBorders>
              <w:left w:val="single" w:sz="4" w:space="0" w:color="000000"/>
              <w:right w:val="single" w:sz="4" w:space="0" w:color="000000"/>
            </w:tcBorders>
          </w:tcPr>
          <w:p>
            <w:pPr/>
          </w:p>
        </w:tc>
        <w:tc>
          <w:tcPr>
            <w:tcW w:w="560" w:type="dxa"/>
            <w:vMerge/>
            <w:tcBorders>
              <w:left w:val="single" w:sz="4" w:space="0" w:color="000000"/>
              <w:right w:val="single" w:sz="4" w:space="0" w:color="000000"/>
            </w:tcBorders>
          </w:tcPr>
          <w:p>
            <w:pPr/>
          </w:p>
        </w:tc>
        <w:tc>
          <w:tcPr>
            <w:tcW w:w="550" w:type="dxa"/>
            <w:vMerge/>
            <w:tcBorders>
              <w:left w:val="single" w:sz="4" w:space="0" w:color="000000"/>
              <w:right w:val="single" w:sz="4" w:space="0" w:color="000000"/>
            </w:tcBorders>
          </w:tcPr>
          <w:p>
            <w:pPr/>
          </w:p>
        </w:tc>
        <w:tc>
          <w:tcPr>
            <w:tcW w:w="547" w:type="dxa"/>
            <w:vMerge/>
            <w:tcBorders>
              <w:left w:val="single" w:sz="4" w:space="0" w:color="000000"/>
              <w:right w:val="single" w:sz="4" w:space="0" w:color="000000"/>
            </w:tcBorders>
          </w:tcPr>
          <w:p>
            <w:pPr/>
          </w:p>
        </w:tc>
        <w:tc>
          <w:tcPr>
            <w:tcW w:w="546" w:type="dxa"/>
            <w:vMerge/>
            <w:tcBorders>
              <w:left w:val="single" w:sz="4" w:space="0" w:color="000000"/>
              <w:right w:val="single" w:sz="4" w:space="0" w:color="000000"/>
            </w:tcBorders>
          </w:tcPr>
          <w:p>
            <w:pPr/>
          </w:p>
        </w:tc>
        <w:tc>
          <w:tcPr>
            <w:tcW w:w="539" w:type="dxa"/>
            <w:vMerge/>
            <w:tcBorders>
              <w:left w:val="single" w:sz="4" w:space="0" w:color="000000"/>
              <w:right w:val="single" w:sz="4" w:space="0" w:color="000000"/>
            </w:tcBorders>
          </w:tcPr>
          <w:p>
            <w:pPr/>
          </w:p>
        </w:tc>
      </w:tr>
      <w:tr>
        <w:trPr>
          <w:trHeight w:val="357" w:hRule="exact"/>
        </w:trPr>
        <w:tc>
          <w:tcPr>
            <w:tcW w:w="5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vMerge/>
            <w:tcBorders>
              <w:left w:val="single" w:sz="4" w:space="0" w:color="000000"/>
              <w:bottom w:val="single" w:sz="4" w:space="0" w:color="000000"/>
              <w:right w:val="single" w:sz="4" w:space="0" w:color="000000"/>
            </w:tcBorders>
          </w:tcPr>
          <w:p>
            <w:pPr/>
          </w:p>
        </w:tc>
        <w:tc>
          <w:tcPr>
            <w:tcW w:w="606" w:type="dxa"/>
            <w:vMerge/>
            <w:tcBorders>
              <w:left w:val="single" w:sz="4" w:space="0" w:color="000000"/>
              <w:bottom w:val="single" w:sz="4" w:space="0" w:color="000000"/>
              <w:right w:val="single" w:sz="4" w:space="0" w:color="000000"/>
            </w:tcBorders>
          </w:tcPr>
          <w:p>
            <w:pPr/>
          </w:p>
        </w:tc>
        <w:tc>
          <w:tcPr>
            <w:tcW w:w="575" w:type="dxa"/>
            <w:vMerge/>
            <w:tcBorders>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62" w:type="dxa"/>
            <w:vMerge/>
            <w:tcBorders>
              <w:left w:val="single" w:sz="4" w:space="0" w:color="000000"/>
              <w:bottom w:val="single" w:sz="4" w:space="0" w:color="000000"/>
              <w:right w:val="single" w:sz="4" w:space="0" w:color="000000"/>
            </w:tcBorders>
          </w:tcPr>
          <w:p>
            <w:pPr/>
          </w:p>
        </w:tc>
        <w:tc>
          <w:tcPr>
            <w:tcW w:w="560" w:type="dxa"/>
            <w:vMerge/>
            <w:tcBorders>
              <w:left w:val="single" w:sz="4" w:space="0" w:color="000000"/>
              <w:bottom w:val="single" w:sz="4" w:space="0" w:color="000000"/>
              <w:right w:val="single" w:sz="4" w:space="0" w:color="000000"/>
            </w:tcBorders>
          </w:tcPr>
          <w:p>
            <w:pPr/>
          </w:p>
        </w:tc>
        <w:tc>
          <w:tcPr>
            <w:tcW w:w="550" w:type="dxa"/>
            <w:vMerge/>
            <w:tcBorders>
              <w:left w:val="single" w:sz="4" w:space="0" w:color="000000"/>
              <w:bottom w:val="single" w:sz="4" w:space="0" w:color="000000"/>
              <w:right w:val="single" w:sz="4" w:space="0" w:color="000000"/>
            </w:tcBorders>
          </w:tcPr>
          <w:p>
            <w:pPr/>
          </w:p>
        </w:tc>
        <w:tc>
          <w:tcPr>
            <w:tcW w:w="547" w:type="dxa"/>
            <w:vMerge/>
            <w:tcBorders>
              <w:left w:val="single" w:sz="4" w:space="0" w:color="000000"/>
              <w:bottom w:val="single" w:sz="4" w:space="0" w:color="000000"/>
              <w:right w:val="single" w:sz="4" w:space="0" w:color="000000"/>
            </w:tcBorders>
          </w:tcPr>
          <w:p>
            <w:pPr/>
          </w:p>
        </w:tc>
        <w:tc>
          <w:tcPr>
            <w:tcW w:w="546" w:type="dxa"/>
            <w:vMerge/>
            <w:tcBorders>
              <w:left w:val="single" w:sz="4" w:space="0" w:color="000000"/>
              <w:bottom w:val="single" w:sz="4" w:space="0" w:color="000000"/>
              <w:right w:val="single" w:sz="4" w:space="0" w:color="000000"/>
            </w:tcBorders>
          </w:tcPr>
          <w:p>
            <w:pPr/>
          </w:p>
        </w:tc>
        <w:tc>
          <w:tcPr>
            <w:tcW w:w="539" w:type="dxa"/>
            <w:vMerge/>
            <w:tcBorders>
              <w:left w:val="single" w:sz="4" w:space="0" w:color="000000"/>
              <w:bottom w:val="single" w:sz="4" w:space="0" w:color="000000"/>
              <w:right w:val="single" w:sz="4" w:space="0" w:color="000000"/>
            </w:tcBorders>
          </w:tcPr>
          <w:p>
            <w:pPr/>
          </w:p>
        </w:tc>
      </w:tr>
      <w:tr>
        <w:trPr>
          <w:trHeight w:val="357" w:hRule="exact"/>
        </w:trPr>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vMerge w:val="restart"/>
            <w:tcBorders>
              <w:top w:val="single" w:sz="4" w:space="0" w:color="000000"/>
              <w:left w:val="single" w:sz="4" w:space="0" w:color="000000"/>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vMerge w:val="restart"/>
            <w:tcBorders>
              <w:top w:val="single" w:sz="4" w:space="0" w:color="000000"/>
              <w:left w:val="single" w:sz="4" w:space="0" w:color="000000"/>
              <w:right w:val="single" w:sz="4" w:space="0" w:color="000000"/>
            </w:tcBorders>
          </w:tcPr>
          <w:p>
            <w:pPr/>
          </w:p>
        </w:tc>
      </w:tr>
      <w:tr>
        <w:trPr>
          <w:trHeight w:val="311"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539" w:type="dxa"/>
            <w:vMerge/>
            <w:tcBorders>
              <w:left w:val="single" w:sz="4" w:space="0" w:color="000000"/>
              <w:right w:val="single" w:sz="4" w:space="0" w:color="000000"/>
            </w:tcBorders>
          </w:tcPr>
          <w:p>
            <w:pPr/>
          </w:p>
        </w:tc>
      </w:tr>
      <w:tr>
        <w:trPr>
          <w:trHeight w:val="1560"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76"/>
              <w:jc w:val="both"/>
              <w:rPr>
                <w:rFonts w:ascii="宋体" w:hAnsi="宋体" w:cs="宋体" w:eastAsia="宋体" w:hint="default"/>
                <w:sz w:val="18"/>
                <w:szCs w:val="18"/>
              </w:rPr>
            </w:pPr>
            <w:r>
              <w:rPr>
                <w:rFonts w:ascii="宋体" w:hAnsi="宋体" w:cs="宋体" w:eastAsia="宋体" w:hint="default"/>
                <w:sz w:val="18"/>
                <w:szCs w:val="18"/>
              </w:rPr>
              <w:t>银行 股份 有限 公司 中关</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5.36%</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25.06</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25.06</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25.06</w:t>
            </w:r>
          </w:p>
        </w:tc>
        <w:tc>
          <w:tcPr>
            <w:tcW w:w="550"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vMerge/>
            <w:tcBorders>
              <w:left w:val="single" w:sz="4" w:space="0" w:color="000000"/>
              <w:right w:val="single" w:sz="4" w:space="0" w:color="000000"/>
            </w:tcBorders>
          </w:tcPr>
          <w:p>
            <w:pPr/>
          </w:p>
        </w:tc>
      </w:tr>
      <w:tr>
        <w:trPr>
          <w:trHeight w:val="313"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nil" w:sz="6" w:space="0" w:color="auto"/>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539" w:type="dxa"/>
            <w:vMerge/>
            <w:tcBorders>
              <w:left w:val="single" w:sz="4" w:space="0" w:color="000000"/>
              <w:right w:val="single" w:sz="4" w:space="0" w:color="000000"/>
            </w:tcBorders>
          </w:tcPr>
          <w:p>
            <w:pPr/>
          </w:p>
        </w:tc>
      </w:tr>
      <w:tr>
        <w:trPr>
          <w:trHeight w:val="357" w:hRule="exact"/>
        </w:trPr>
        <w:tc>
          <w:tcPr>
            <w:tcW w:w="5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vMerge/>
            <w:tcBorders>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vMerge/>
            <w:tcBorders>
              <w:left w:val="single" w:sz="4" w:space="0" w:color="000000"/>
              <w:bottom w:val="single" w:sz="4" w:space="0" w:color="000000"/>
              <w:right w:val="single" w:sz="4" w:space="0" w:color="000000"/>
            </w:tcBorders>
          </w:tcPr>
          <w:p>
            <w:pPr/>
          </w:p>
        </w:tc>
      </w:tr>
      <w:tr>
        <w:trPr>
          <w:trHeight w:val="357" w:hRule="exact"/>
        </w:trPr>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vMerge w:val="restart"/>
            <w:tcBorders>
              <w:top w:val="single" w:sz="4" w:space="0" w:color="000000"/>
              <w:left w:val="single" w:sz="4" w:space="0" w:color="000000"/>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vMerge w:val="restart"/>
            <w:tcBorders>
              <w:top w:val="single" w:sz="4" w:space="0" w:color="000000"/>
              <w:left w:val="single" w:sz="4" w:space="0" w:color="000000"/>
              <w:right w:val="single" w:sz="4" w:space="0" w:color="000000"/>
            </w:tcBorders>
          </w:tcPr>
          <w:p>
            <w:pPr/>
          </w:p>
        </w:tc>
      </w:tr>
      <w:tr>
        <w:trPr>
          <w:trHeight w:val="311"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539" w:type="dxa"/>
            <w:vMerge/>
            <w:tcBorders>
              <w:left w:val="single" w:sz="4" w:space="0" w:color="000000"/>
              <w:right w:val="single" w:sz="4" w:space="0" w:color="000000"/>
            </w:tcBorders>
          </w:tcPr>
          <w:p>
            <w:pPr/>
          </w:p>
        </w:tc>
      </w:tr>
      <w:tr>
        <w:trPr>
          <w:trHeight w:val="1560"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76"/>
              <w:jc w:val="both"/>
              <w:rPr>
                <w:rFonts w:ascii="宋体" w:hAnsi="宋体" w:cs="宋体" w:eastAsia="宋体" w:hint="default"/>
                <w:sz w:val="18"/>
                <w:szCs w:val="18"/>
              </w:rPr>
            </w:pPr>
            <w:r>
              <w:rPr>
                <w:rFonts w:ascii="宋体" w:hAnsi="宋体" w:cs="宋体" w:eastAsia="宋体" w:hint="default"/>
                <w:sz w:val="18"/>
                <w:szCs w:val="18"/>
              </w:rPr>
              <w:t>银行 股份 有限 公司 中关</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3.79%</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52.01</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52.01</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52.01</w:t>
            </w:r>
          </w:p>
        </w:tc>
        <w:tc>
          <w:tcPr>
            <w:tcW w:w="550"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vMerge/>
            <w:tcBorders>
              <w:left w:val="single" w:sz="4" w:space="0" w:color="000000"/>
              <w:right w:val="single" w:sz="4" w:space="0" w:color="000000"/>
            </w:tcBorders>
          </w:tcPr>
          <w:p>
            <w:pPr/>
          </w:p>
        </w:tc>
      </w:tr>
      <w:tr>
        <w:trPr>
          <w:trHeight w:val="313"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nil" w:sz="6" w:space="0" w:color="auto"/>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539" w:type="dxa"/>
            <w:vMerge/>
            <w:tcBorders>
              <w:left w:val="single" w:sz="4" w:space="0" w:color="000000"/>
              <w:right w:val="single" w:sz="4" w:space="0" w:color="000000"/>
            </w:tcBorders>
          </w:tcPr>
          <w:p>
            <w:pPr/>
          </w:p>
        </w:tc>
      </w:tr>
      <w:tr>
        <w:trPr>
          <w:trHeight w:val="357" w:hRule="exact"/>
        </w:trPr>
        <w:tc>
          <w:tcPr>
            <w:tcW w:w="5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vMerge/>
            <w:tcBorders>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vMerge/>
            <w:tcBorders>
              <w:left w:val="single" w:sz="4" w:space="0" w:color="000000"/>
              <w:bottom w:val="single" w:sz="4" w:space="0" w:color="000000"/>
              <w:right w:val="single" w:sz="4" w:space="0" w:color="000000"/>
            </w:tcBorders>
          </w:tcPr>
          <w:p>
            <w:pPr/>
          </w:p>
        </w:tc>
      </w:tr>
      <w:tr>
        <w:trPr>
          <w:trHeight w:val="357" w:hRule="exact"/>
        </w:trPr>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vMerge w:val="restart"/>
            <w:tcBorders>
              <w:top w:val="single" w:sz="4" w:space="0" w:color="000000"/>
              <w:left w:val="single" w:sz="4" w:space="0" w:color="000000"/>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vMerge w:val="restart"/>
            <w:tcBorders>
              <w:top w:val="single" w:sz="4" w:space="0" w:color="000000"/>
              <w:left w:val="single" w:sz="4" w:space="0" w:color="000000"/>
              <w:right w:val="single" w:sz="4" w:space="0" w:color="000000"/>
            </w:tcBorders>
          </w:tcPr>
          <w:p>
            <w:pPr/>
          </w:p>
        </w:tc>
      </w:tr>
      <w:tr>
        <w:trPr>
          <w:trHeight w:val="311"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539" w:type="dxa"/>
            <w:vMerge/>
            <w:tcBorders>
              <w:left w:val="single" w:sz="4" w:space="0" w:color="000000"/>
              <w:right w:val="single" w:sz="4" w:space="0" w:color="000000"/>
            </w:tcBorders>
          </w:tcPr>
          <w:p>
            <w:pPr/>
          </w:p>
        </w:tc>
      </w:tr>
      <w:tr>
        <w:trPr>
          <w:trHeight w:val="1560"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76"/>
              <w:jc w:val="both"/>
              <w:rPr>
                <w:rFonts w:ascii="宋体" w:hAnsi="宋体" w:cs="宋体" w:eastAsia="宋体" w:hint="default"/>
                <w:sz w:val="18"/>
                <w:szCs w:val="18"/>
              </w:rPr>
            </w:pPr>
            <w:r>
              <w:rPr>
                <w:rFonts w:ascii="宋体" w:hAnsi="宋体" w:cs="宋体" w:eastAsia="宋体" w:hint="default"/>
                <w:sz w:val="18"/>
                <w:szCs w:val="18"/>
              </w:rPr>
              <w:t>银行 股份 有限 公司 中关</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3.95%</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54.22</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54.22</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54.22</w:t>
            </w:r>
          </w:p>
        </w:tc>
        <w:tc>
          <w:tcPr>
            <w:tcW w:w="550"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vMerge/>
            <w:tcBorders>
              <w:left w:val="single" w:sz="4" w:space="0" w:color="000000"/>
              <w:right w:val="single" w:sz="4" w:space="0" w:color="000000"/>
            </w:tcBorders>
          </w:tcPr>
          <w:p>
            <w:pPr/>
          </w:p>
        </w:tc>
      </w:tr>
      <w:tr>
        <w:trPr>
          <w:trHeight w:val="313"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nil" w:sz="6" w:space="0" w:color="auto"/>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539" w:type="dxa"/>
            <w:vMerge/>
            <w:tcBorders>
              <w:left w:val="single" w:sz="4" w:space="0" w:color="000000"/>
              <w:right w:val="single" w:sz="4" w:space="0" w:color="000000"/>
            </w:tcBorders>
          </w:tcPr>
          <w:p>
            <w:pPr/>
          </w:p>
        </w:tc>
      </w:tr>
      <w:tr>
        <w:trPr>
          <w:trHeight w:val="357" w:hRule="exact"/>
        </w:trPr>
        <w:tc>
          <w:tcPr>
            <w:tcW w:w="5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vMerge/>
            <w:tcBorders>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vMerge/>
            <w:tcBorders>
              <w:left w:val="single" w:sz="4" w:space="0" w:color="000000"/>
              <w:bottom w:val="single" w:sz="4" w:space="0" w:color="000000"/>
              <w:right w:val="single" w:sz="4" w:space="0" w:color="000000"/>
            </w:tcBorders>
          </w:tcPr>
          <w:p>
            <w:pPr/>
          </w:p>
        </w:tc>
      </w:tr>
      <w:tr>
        <w:trPr>
          <w:trHeight w:val="357" w:hRule="exact"/>
        </w:trPr>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厦门</w:t>
            </w: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vMerge w:val="restart"/>
            <w:tcBorders>
              <w:top w:val="single" w:sz="4" w:space="0" w:color="000000"/>
              <w:left w:val="single" w:sz="4" w:space="0" w:color="000000"/>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vMerge w:val="restart"/>
            <w:tcBorders>
              <w:top w:val="single" w:sz="4" w:space="0" w:color="000000"/>
              <w:left w:val="single" w:sz="4" w:space="0" w:color="000000"/>
              <w:right w:val="single" w:sz="4" w:space="0" w:color="000000"/>
            </w:tcBorders>
          </w:tcPr>
          <w:p>
            <w:pPr/>
          </w:p>
        </w:tc>
      </w:tr>
      <w:tr>
        <w:trPr>
          <w:trHeight w:val="311"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国际</w:t>
            </w:r>
          </w:p>
        </w:tc>
        <w:tc>
          <w:tcPr>
            <w:tcW w:w="590" w:type="dxa"/>
            <w:tcBorders>
              <w:top w:val="nil" w:sz="6" w:space="0" w:color="auto"/>
              <w:left w:val="single" w:sz="4" w:space="0" w:color="000000"/>
              <w:bottom w:val="nil" w:sz="6" w:space="0" w:color="auto"/>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539" w:type="dxa"/>
            <w:vMerge/>
            <w:tcBorders>
              <w:left w:val="single" w:sz="4" w:space="0" w:color="000000"/>
              <w:right w:val="single" w:sz="4" w:space="0" w:color="000000"/>
            </w:tcBorders>
          </w:tcPr>
          <w:p>
            <w:pPr/>
          </w:p>
        </w:tc>
      </w:tr>
      <w:tr>
        <w:trPr>
          <w:trHeight w:val="1560"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76"/>
              <w:jc w:val="both"/>
              <w:rPr>
                <w:rFonts w:ascii="宋体" w:hAnsi="宋体" w:cs="宋体" w:eastAsia="宋体" w:hint="default"/>
                <w:sz w:val="18"/>
                <w:szCs w:val="18"/>
              </w:rPr>
            </w:pPr>
            <w:r>
              <w:rPr>
                <w:rFonts w:ascii="宋体" w:hAnsi="宋体" w:cs="宋体" w:eastAsia="宋体" w:hint="default"/>
                <w:sz w:val="18"/>
                <w:szCs w:val="18"/>
              </w:rPr>
              <w:t>银行 股份 有限 公司 中关</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5,500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募集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3.80%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52.14</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52.14</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52.14</w:t>
            </w:r>
          </w:p>
        </w:tc>
        <w:tc>
          <w:tcPr>
            <w:tcW w:w="550"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vMerge/>
            <w:tcBorders>
              <w:left w:val="single" w:sz="4" w:space="0" w:color="000000"/>
              <w:right w:val="single" w:sz="4" w:space="0" w:color="000000"/>
            </w:tcBorders>
          </w:tcPr>
          <w:p>
            <w:pPr/>
          </w:p>
        </w:tc>
      </w:tr>
      <w:tr>
        <w:trPr>
          <w:trHeight w:val="313"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村支</w:t>
            </w:r>
          </w:p>
        </w:tc>
        <w:tc>
          <w:tcPr>
            <w:tcW w:w="590" w:type="dxa"/>
            <w:tcBorders>
              <w:top w:val="nil" w:sz="6" w:space="0" w:color="auto"/>
              <w:left w:val="single" w:sz="4" w:space="0" w:color="000000"/>
              <w:bottom w:val="nil" w:sz="6" w:space="0" w:color="auto"/>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539" w:type="dxa"/>
            <w:vMerge/>
            <w:tcBorders>
              <w:left w:val="single" w:sz="4" w:space="0" w:color="000000"/>
              <w:right w:val="single" w:sz="4" w:space="0" w:color="000000"/>
            </w:tcBorders>
          </w:tcPr>
          <w:p>
            <w:pPr/>
          </w:p>
        </w:tc>
      </w:tr>
      <w:tr>
        <w:trPr>
          <w:trHeight w:val="357" w:hRule="exact"/>
        </w:trPr>
        <w:tc>
          <w:tcPr>
            <w:tcW w:w="5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行</w:t>
            </w: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vMerge/>
            <w:tcBorders>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vMerge/>
            <w:tcBorders>
              <w:left w:val="single" w:sz="4" w:space="0" w:color="000000"/>
              <w:bottom w:val="single" w:sz="4" w:space="0" w:color="000000"/>
              <w:right w:val="single" w:sz="4" w:space="0" w:color="000000"/>
            </w:tcBorders>
          </w:tcPr>
          <w:p>
            <w:pPr/>
          </w:p>
        </w:tc>
      </w:tr>
      <w:tr>
        <w:trPr>
          <w:trHeight w:val="714"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76"/>
              <w:jc w:val="left"/>
              <w:rPr>
                <w:rFonts w:ascii="宋体" w:hAnsi="宋体" w:cs="宋体" w:eastAsia="宋体" w:hint="default"/>
                <w:sz w:val="18"/>
                <w:szCs w:val="18"/>
              </w:rPr>
            </w:pPr>
            <w:r>
              <w:rPr>
                <w:rFonts w:ascii="宋体" w:hAnsi="宋体" w:cs="宋体" w:eastAsia="宋体" w:hint="default"/>
                <w:sz w:val="18"/>
                <w:szCs w:val="18"/>
              </w:rPr>
              <w:t>民生 银行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67"/>
              <w:jc w:val="left"/>
              <w:rPr>
                <w:rFonts w:ascii="宋体" w:hAnsi="宋体" w:cs="宋体" w:eastAsia="宋体" w:hint="default"/>
                <w:sz w:val="18"/>
                <w:szCs w:val="18"/>
              </w:rPr>
            </w:pPr>
            <w:r>
              <w:rPr>
                <w:rFonts w:ascii="宋体" w:hAnsi="宋体" w:cs="宋体" w:eastAsia="宋体" w:hint="default"/>
                <w:sz w:val="18"/>
                <w:szCs w:val="18"/>
              </w:rPr>
              <w:t>到期 收回</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4.78%</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199.24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199.24</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199.24</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1"/>
        <w:gridCol w:w="590"/>
        <w:gridCol w:w="606"/>
        <w:gridCol w:w="575"/>
        <w:gridCol w:w="560"/>
        <w:gridCol w:w="562"/>
        <w:gridCol w:w="560"/>
        <w:gridCol w:w="562"/>
        <w:gridCol w:w="560"/>
        <w:gridCol w:w="562"/>
        <w:gridCol w:w="560"/>
        <w:gridCol w:w="562"/>
        <w:gridCol w:w="560"/>
        <w:gridCol w:w="550"/>
        <w:gridCol w:w="547"/>
        <w:gridCol w:w="546"/>
        <w:gridCol w:w="539"/>
      </w:tblGrid>
      <w:tr>
        <w:trPr>
          <w:trHeight w:val="674"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6"/>
              <w:jc w:val="left"/>
              <w:rPr>
                <w:rFonts w:ascii="宋体" w:hAnsi="宋体" w:cs="宋体" w:eastAsia="宋体" w:hint="default"/>
                <w:sz w:val="18"/>
                <w:szCs w:val="18"/>
              </w:rPr>
            </w:pPr>
            <w:r>
              <w:rPr>
                <w:rFonts w:ascii="宋体" w:hAnsi="宋体" w:cs="宋体" w:eastAsia="宋体" w:hint="default"/>
                <w:sz w:val="18"/>
                <w:szCs w:val="18"/>
              </w:rPr>
              <w:t>福州 分行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本息</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民生 银行 福州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4,000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5.60%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189.16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189.16</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189.16</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民生 银行 福州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10,000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4.43%</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74.56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74.56</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74.56</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交通 银行 福州 三山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4.30%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36.76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36.76</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36.76</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65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交通 银行 福州 三山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4.50%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2"/>
                <w:sz w:val="18"/>
              </w:rPr>
              <w:t>110.96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sz w:val="18"/>
              </w:rPr>
              <w:t>110.96</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110.96</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民生 银行 福州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3,000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4.40%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55.37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民生 银行 福州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4.40%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75.17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民生 银行 福州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4,000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4.60%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163.84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民生 银行 福州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5,000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22</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63" w:right="0"/>
              <w:jc w:val="left"/>
              <w:rPr>
                <w:rFonts w:ascii="Times New Roman" w:hAnsi="Times New Roman" w:cs="Times New Roman" w:eastAsia="Times New Roman" w:hint="default"/>
                <w:sz w:val="18"/>
                <w:szCs w:val="18"/>
              </w:rPr>
            </w:pPr>
            <w:r>
              <w:rPr>
                <w:rFonts w:ascii="Times New Roman"/>
                <w:sz w:val="18"/>
              </w:rPr>
              <w:t>4.50%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229.32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Times New Roman" w:hAnsi="Times New Roman" w:cs="Times New Roman" w:eastAsia="Times New Roman" w:hint="default"/>
                <w:sz w:val="18"/>
                <w:szCs w:val="18"/>
              </w:rPr>
            </w:pPr>
            <w:r>
              <w:rPr>
                <w:rFonts w:ascii="Times New Roman"/>
                <w:sz w:val="18"/>
              </w:rPr>
              <w:t>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351" w:hRule="exact"/>
        </w:trPr>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兴业</w:t>
            </w: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vMerge w:val="restart"/>
            <w:tcBorders>
              <w:top w:val="single" w:sz="4" w:space="0" w:color="000000"/>
              <w:left w:val="single" w:sz="4" w:space="0" w:color="000000"/>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vMerge w:val="restart"/>
            <w:tcBorders>
              <w:top w:val="single" w:sz="4" w:space="0" w:color="000000"/>
              <w:left w:val="single" w:sz="4" w:space="0" w:color="000000"/>
              <w:right w:val="single" w:sz="4" w:space="0" w:color="000000"/>
            </w:tcBorders>
          </w:tcPr>
          <w:p>
            <w:pPr/>
          </w:p>
        </w:tc>
      </w:tr>
      <w:tr>
        <w:trPr>
          <w:trHeight w:val="1253"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316" w:lineRule="auto" w:before="15"/>
              <w:ind w:left="22" w:right="176"/>
              <w:jc w:val="both"/>
              <w:rPr>
                <w:rFonts w:ascii="宋体" w:hAnsi="宋体" w:cs="宋体" w:eastAsia="宋体" w:hint="default"/>
                <w:sz w:val="18"/>
                <w:szCs w:val="18"/>
              </w:rPr>
            </w:pPr>
            <w:r>
              <w:rPr>
                <w:rFonts w:ascii="宋体" w:hAnsi="宋体" w:cs="宋体" w:eastAsia="宋体" w:hint="default"/>
                <w:sz w:val="18"/>
                <w:szCs w:val="18"/>
              </w:rPr>
              <w:t>银行 股份 有限 公司</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319" w:lineRule="auto"/>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2,500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26"/>
                <w:szCs w:val="26"/>
              </w:rPr>
            </w:pPr>
          </w:p>
          <w:p>
            <w:pPr>
              <w:pStyle w:val="TableParagraph"/>
              <w:spacing w:line="319"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18"/>
                <w:szCs w:val="18"/>
              </w:rPr>
            </w:pPr>
            <w:r>
              <w:rPr>
                <w:rFonts w:ascii="Times New Roman"/>
                <w:sz w:val="18"/>
              </w:rPr>
              <w:t>2018</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36"/>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5"/>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319" w:lineRule="auto" w:before="152"/>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3.80%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3.65</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3.65</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3.65</w:t>
            </w:r>
          </w:p>
        </w:tc>
        <w:tc>
          <w:tcPr>
            <w:tcW w:w="550"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vMerge/>
            <w:tcBorders>
              <w:left w:val="single" w:sz="4" w:space="0" w:color="000000"/>
              <w:right w:val="single" w:sz="4" w:space="0" w:color="000000"/>
            </w:tcBorders>
          </w:tcPr>
          <w:p>
            <w:pPr/>
          </w:p>
        </w:tc>
      </w:tr>
      <w:tr>
        <w:trPr>
          <w:trHeight w:val="318" w:hRule="exact"/>
        </w:trPr>
        <w:tc>
          <w:tcPr>
            <w:tcW w:w="5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福州</w:t>
            </w: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vMerge/>
            <w:tcBorders>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vMerge/>
            <w:tcBorders>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1"/>
        <w:gridCol w:w="590"/>
        <w:gridCol w:w="606"/>
        <w:gridCol w:w="575"/>
        <w:gridCol w:w="560"/>
        <w:gridCol w:w="562"/>
        <w:gridCol w:w="560"/>
        <w:gridCol w:w="562"/>
        <w:gridCol w:w="560"/>
        <w:gridCol w:w="562"/>
        <w:gridCol w:w="560"/>
        <w:gridCol w:w="562"/>
        <w:gridCol w:w="560"/>
        <w:gridCol w:w="550"/>
        <w:gridCol w:w="547"/>
        <w:gridCol w:w="546"/>
        <w:gridCol w:w="539"/>
      </w:tblGrid>
      <w:tr>
        <w:trPr>
          <w:trHeight w:val="674"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6"/>
              <w:jc w:val="left"/>
              <w:rPr>
                <w:rFonts w:ascii="宋体" w:hAnsi="宋体" w:cs="宋体" w:eastAsia="宋体" w:hint="default"/>
                <w:sz w:val="18"/>
                <w:szCs w:val="18"/>
              </w:rPr>
            </w:pPr>
            <w:r>
              <w:rPr>
                <w:rFonts w:ascii="宋体" w:hAnsi="宋体" w:cs="宋体" w:eastAsia="宋体" w:hint="default"/>
                <w:sz w:val="18"/>
                <w:szCs w:val="18"/>
              </w:rPr>
              <w:t>湖东 支行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兴业</w:t>
            </w: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vMerge w:val="restart"/>
            <w:tcBorders>
              <w:top w:val="single" w:sz="4" w:space="0" w:color="000000"/>
              <w:left w:val="single" w:sz="4" w:space="0" w:color="000000"/>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vMerge w:val="restart"/>
            <w:tcBorders>
              <w:top w:val="single" w:sz="4" w:space="0" w:color="000000"/>
              <w:left w:val="single" w:sz="4" w:space="0" w:color="000000"/>
              <w:right w:val="single" w:sz="4" w:space="0" w:color="000000"/>
            </w:tcBorders>
          </w:tcPr>
          <w:p>
            <w:pPr/>
          </w:p>
        </w:tc>
      </w:tr>
      <w:tr>
        <w:trPr>
          <w:trHeight w:val="311"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539" w:type="dxa"/>
            <w:vMerge/>
            <w:tcBorders>
              <w:left w:val="single" w:sz="4" w:space="0" w:color="000000"/>
              <w:right w:val="single" w:sz="4" w:space="0" w:color="000000"/>
            </w:tcBorders>
          </w:tcPr>
          <w:p>
            <w:pPr/>
          </w:p>
        </w:tc>
      </w:tr>
      <w:tr>
        <w:trPr>
          <w:trHeight w:val="1249"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76"/>
              <w:jc w:val="both"/>
              <w:rPr>
                <w:rFonts w:ascii="宋体" w:hAnsi="宋体" w:cs="宋体" w:eastAsia="宋体" w:hint="default"/>
                <w:sz w:val="18"/>
                <w:szCs w:val="18"/>
              </w:rPr>
            </w:pPr>
            <w:r>
              <w:rPr>
                <w:rFonts w:ascii="宋体" w:hAnsi="宋体" w:cs="宋体" w:eastAsia="宋体" w:hint="default"/>
                <w:sz w:val="18"/>
                <w:szCs w:val="18"/>
              </w:rPr>
              <w:t>股份 有限 公司 福州</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1,000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63" w:right="0"/>
              <w:jc w:val="left"/>
              <w:rPr>
                <w:rFonts w:ascii="Times New Roman" w:hAnsi="Times New Roman" w:cs="Times New Roman" w:eastAsia="Times New Roman" w:hint="default"/>
                <w:sz w:val="18"/>
                <w:szCs w:val="18"/>
              </w:rPr>
            </w:pPr>
            <w:r>
              <w:rPr>
                <w:rFonts w:ascii="Times New Roman"/>
                <w:sz w:val="18"/>
              </w:rPr>
              <w:t>3.70%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3.14</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3.14</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3.14</w:t>
            </w:r>
          </w:p>
        </w:tc>
        <w:tc>
          <w:tcPr>
            <w:tcW w:w="550"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湖东</w:t>
            </w:r>
          </w:p>
        </w:tc>
        <w:tc>
          <w:tcPr>
            <w:tcW w:w="590" w:type="dxa"/>
            <w:tcBorders>
              <w:top w:val="nil" w:sz="6" w:space="0" w:color="auto"/>
              <w:left w:val="single" w:sz="4" w:space="0" w:color="000000"/>
              <w:bottom w:val="nil" w:sz="6" w:space="0" w:color="auto"/>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539" w:type="dxa"/>
            <w:vMerge/>
            <w:tcBorders>
              <w:left w:val="single" w:sz="4" w:space="0" w:color="000000"/>
              <w:right w:val="single" w:sz="4" w:space="0" w:color="000000"/>
            </w:tcBorders>
          </w:tcPr>
          <w:p>
            <w:pPr/>
          </w:p>
        </w:tc>
      </w:tr>
      <w:tr>
        <w:trPr>
          <w:trHeight w:val="357" w:hRule="exact"/>
        </w:trPr>
        <w:tc>
          <w:tcPr>
            <w:tcW w:w="5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vMerge/>
            <w:tcBorders>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vMerge/>
            <w:tcBorders>
              <w:left w:val="single" w:sz="4" w:space="0" w:color="000000"/>
              <w:bottom w:val="single" w:sz="4" w:space="0" w:color="000000"/>
              <w:right w:val="single" w:sz="4" w:space="0" w:color="000000"/>
            </w:tcBorders>
          </w:tcPr>
          <w:p>
            <w:pPr/>
          </w:p>
        </w:tc>
      </w:tr>
      <w:tr>
        <w:trPr>
          <w:trHeight w:val="357" w:hRule="exact"/>
        </w:trPr>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兴业</w:t>
            </w: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vMerge w:val="restart"/>
            <w:tcBorders>
              <w:top w:val="single" w:sz="4" w:space="0" w:color="000000"/>
              <w:left w:val="single" w:sz="4" w:space="0" w:color="000000"/>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vMerge w:val="restart"/>
            <w:tcBorders>
              <w:top w:val="single" w:sz="4" w:space="0" w:color="000000"/>
              <w:left w:val="single" w:sz="4" w:space="0" w:color="000000"/>
              <w:right w:val="single" w:sz="4" w:space="0" w:color="000000"/>
            </w:tcBorders>
          </w:tcPr>
          <w:p>
            <w:pPr/>
          </w:p>
        </w:tc>
      </w:tr>
      <w:tr>
        <w:trPr>
          <w:trHeight w:val="311"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539" w:type="dxa"/>
            <w:vMerge/>
            <w:tcBorders>
              <w:left w:val="single" w:sz="4" w:space="0" w:color="000000"/>
              <w:right w:val="single" w:sz="4" w:space="0" w:color="000000"/>
            </w:tcBorders>
          </w:tcPr>
          <w:p>
            <w:pPr/>
          </w:p>
        </w:tc>
      </w:tr>
      <w:tr>
        <w:trPr>
          <w:trHeight w:val="1249"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76"/>
              <w:jc w:val="both"/>
              <w:rPr>
                <w:rFonts w:ascii="宋体" w:hAnsi="宋体" w:cs="宋体" w:eastAsia="宋体" w:hint="default"/>
                <w:sz w:val="18"/>
                <w:szCs w:val="18"/>
              </w:rPr>
            </w:pPr>
            <w:r>
              <w:rPr>
                <w:rFonts w:ascii="宋体" w:hAnsi="宋体" w:cs="宋体" w:eastAsia="宋体" w:hint="default"/>
                <w:sz w:val="18"/>
                <w:szCs w:val="18"/>
              </w:rPr>
              <w:t>股份 有限 公司 福州</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63" w:right="0"/>
              <w:jc w:val="left"/>
              <w:rPr>
                <w:rFonts w:ascii="Times New Roman" w:hAnsi="Times New Roman" w:cs="Times New Roman" w:eastAsia="Times New Roman" w:hint="default"/>
                <w:sz w:val="18"/>
                <w:szCs w:val="18"/>
              </w:rPr>
            </w:pPr>
            <w:r>
              <w:rPr>
                <w:rFonts w:ascii="Times New Roman"/>
                <w:sz w:val="18"/>
              </w:rPr>
              <w:t>4.00%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14.8</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14.8</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14.8</w:t>
            </w:r>
          </w:p>
        </w:tc>
        <w:tc>
          <w:tcPr>
            <w:tcW w:w="550"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湖东</w:t>
            </w:r>
          </w:p>
        </w:tc>
        <w:tc>
          <w:tcPr>
            <w:tcW w:w="590" w:type="dxa"/>
            <w:tcBorders>
              <w:top w:val="nil" w:sz="6" w:space="0" w:color="auto"/>
              <w:left w:val="single" w:sz="4" w:space="0" w:color="000000"/>
              <w:bottom w:val="nil" w:sz="6" w:space="0" w:color="auto"/>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539" w:type="dxa"/>
            <w:vMerge/>
            <w:tcBorders>
              <w:left w:val="single" w:sz="4" w:space="0" w:color="000000"/>
              <w:right w:val="single" w:sz="4" w:space="0" w:color="000000"/>
            </w:tcBorders>
          </w:tcPr>
          <w:p>
            <w:pPr/>
          </w:p>
        </w:tc>
      </w:tr>
      <w:tr>
        <w:trPr>
          <w:trHeight w:val="357" w:hRule="exact"/>
        </w:trPr>
        <w:tc>
          <w:tcPr>
            <w:tcW w:w="5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vMerge/>
            <w:tcBorders>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vMerge/>
            <w:tcBorders>
              <w:left w:val="single" w:sz="4" w:space="0" w:color="000000"/>
              <w:bottom w:val="single" w:sz="4" w:space="0" w:color="000000"/>
              <w:right w:val="single" w:sz="4" w:space="0" w:color="000000"/>
            </w:tcBorders>
          </w:tcPr>
          <w:p>
            <w:pPr/>
          </w:p>
        </w:tc>
      </w:tr>
      <w:tr>
        <w:trPr>
          <w:trHeight w:val="165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厦门 国际 银行 福州 分行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5"/>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3.85%</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8.77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8.77</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8.77</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兴业</w:t>
            </w: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vMerge w:val="restart"/>
            <w:tcBorders>
              <w:top w:val="single" w:sz="4" w:space="0" w:color="000000"/>
              <w:left w:val="single" w:sz="4" w:space="0" w:color="000000"/>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vMerge w:val="restart"/>
            <w:tcBorders>
              <w:top w:val="single" w:sz="4" w:space="0" w:color="000000"/>
              <w:left w:val="single" w:sz="4" w:space="0" w:color="000000"/>
              <w:right w:val="single" w:sz="4" w:space="0" w:color="000000"/>
            </w:tcBorders>
          </w:tcPr>
          <w:p>
            <w:pPr/>
          </w:p>
        </w:tc>
      </w:tr>
      <w:tr>
        <w:trPr>
          <w:trHeight w:val="311"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539" w:type="dxa"/>
            <w:vMerge/>
            <w:tcBorders>
              <w:left w:val="single" w:sz="4" w:space="0" w:color="000000"/>
              <w:right w:val="single" w:sz="4" w:space="0" w:color="000000"/>
            </w:tcBorders>
          </w:tcPr>
          <w:p>
            <w:pPr/>
          </w:p>
        </w:tc>
      </w:tr>
      <w:tr>
        <w:trPr>
          <w:trHeight w:val="1249"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76"/>
              <w:jc w:val="both"/>
              <w:rPr>
                <w:rFonts w:ascii="宋体" w:hAnsi="宋体" w:cs="宋体" w:eastAsia="宋体" w:hint="default"/>
                <w:sz w:val="18"/>
                <w:szCs w:val="18"/>
              </w:rPr>
            </w:pPr>
            <w:r>
              <w:rPr>
                <w:rFonts w:ascii="宋体" w:hAnsi="宋体" w:cs="宋体" w:eastAsia="宋体" w:hint="default"/>
                <w:sz w:val="18"/>
                <w:szCs w:val="18"/>
              </w:rPr>
              <w:t>股份 有限 公司 福州</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63" w:right="0"/>
              <w:jc w:val="left"/>
              <w:rPr>
                <w:rFonts w:ascii="Times New Roman" w:hAnsi="Times New Roman" w:cs="Times New Roman" w:eastAsia="Times New Roman" w:hint="default"/>
                <w:sz w:val="18"/>
                <w:szCs w:val="18"/>
              </w:rPr>
            </w:pPr>
            <w:r>
              <w:rPr>
                <w:rFonts w:ascii="Times New Roman"/>
                <w:sz w:val="18"/>
              </w:rPr>
              <w:t>3.60%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4.73</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4.73</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4.73</w:t>
            </w:r>
          </w:p>
        </w:tc>
        <w:tc>
          <w:tcPr>
            <w:tcW w:w="550"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湖东</w:t>
            </w:r>
          </w:p>
        </w:tc>
        <w:tc>
          <w:tcPr>
            <w:tcW w:w="590" w:type="dxa"/>
            <w:tcBorders>
              <w:top w:val="nil" w:sz="6" w:space="0" w:color="auto"/>
              <w:left w:val="single" w:sz="4" w:space="0" w:color="000000"/>
              <w:bottom w:val="nil" w:sz="6" w:space="0" w:color="auto"/>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539" w:type="dxa"/>
            <w:vMerge/>
            <w:tcBorders>
              <w:left w:val="single" w:sz="4" w:space="0" w:color="000000"/>
              <w:right w:val="single" w:sz="4" w:space="0" w:color="000000"/>
            </w:tcBorders>
          </w:tcPr>
          <w:p>
            <w:pPr/>
          </w:p>
        </w:tc>
      </w:tr>
      <w:tr>
        <w:trPr>
          <w:trHeight w:val="357" w:hRule="exact"/>
        </w:trPr>
        <w:tc>
          <w:tcPr>
            <w:tcW w:w="5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vMerge/>
            <w:tcBorders>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vMerge/>
            <w:tcBorders>
              <w:left w:val="single" w:sz="4" w:space="0" w:color="000000"/>
              <w:bottom w:val="single" w:sz="4" w:space="0" w:color="000000"/>
              <w:right w:val="single" w:sz="4" w:space="0" w:color="000000"/>
            </w:tcBorders>
          </w:tcPr>
          <w:p>
            <w:pPr/>
          </w:p>
        </w:tc>
      </w:tr>
      <w:tr>
        <w:trPr>
          <w:trHeight w:val="357" w:hRule="exact"/>
        </w:trPr>
        <w:tc>
          <w:tcPr>
            <w:tcW w:w="57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兴业</w:t>
            </w:r>
          </w:p>
        </w:tc>
        <w:tc>
          <w:tcPr>
            <w:tcW w:w="590" w:type="dxa"/>
            <w:tcBorders>
              <w:top w:val="single" w:sz="4" w:space="0" w:color="000000"/>
              <w:left w:val="single" w:sz="4" w:space="0" w:color="000000"/>
              <w:bottom w:val="nil" w:sz="6" w:space="0" w:color="auto"/>
              <w:right w:val="single" w:sz="4" w:space="0" w:color="000000"/>
            </w:tcBorders>
          </w:tcPr>
          <w:p>
            <w:pPr/>
          </w:p>
        </w:tc>
        <w:tc>
          <w:tcPr>
            <w:tcW w:w="606" w:type="dxa"/>
            <w:tcBorders>
              <w:top w:val="single" w:sz="4" w:space="0" w:color="000000"/>
              <w:left w:val="single" w:sz="4" w:space="0" w:color="000000"/>
              <w:bottom w:val="nil" w:sz="6" w:space="0" w:color="auto"/>
              <w:right w:val="single" w:sz="4" w:space="0" w:color="000000"/>
            </w:tcBorders>
          </w:tcPr>
          <w:p>
            <w:pPr/>
          </w:p>
        </w:tc>
        <w:tc>
          <w:tcPr>
            <w:tcW w:w="575"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62" w:type="dxa"/>
            <w:tcBorders>
              <w:top w:val="single" w:sz="4" w:space="0" w:color="000000"/>
              <w:left w:val="single" w:sz="4" w:space="0" w:color="000000"/>
              <w:bottom w:val="nil" w:sz="6" w:space="0" w:color="auto"/>
              <w:right w:val="single" w:sz="4" w:space="0" w:color="000000"/>
            </w:tcBorders>
          </w:tcPr>
          <w:p>
            <w:pPr/>
          </w:p>
        </w:tc>
        <w:tc>
          <w:tcPr>
            <w:tcW w:w="560" w:type="dxa"/>
            <w:tcBorders>
              <w:top w:val="single" w:sz="4" w:space="0" w:color="000000"/>
              <w:left w:val="single" w:sz="4" w:space="0" w:color="000000"/>
              <w:bottom w:val="nil" w:sz="6" w:space="0" w:color="auto"/>
              <w:right w:val="single" w:sz="4" w:space="0" w:color="000000"/>
            </w:tcBorders>
          </w:tcPr>
          <w:p>
            <w:pPr/>
          </w:p>
        </w:tc>
        <w:tc>
          <w:tcPr>
            <w:tcW w:w="550" w:type="dxa"/>
            <w:vMerge w:val="restart"/>
            <w:tcBorders>
              <w:top w:val="single" w:sz="4" w:space="0" w:color="000000"/>
              <w:left w:val="single" w:sz="4" w:space="0" w:color="000000"/>
              <w:right w:val="single" w:sz="4" w:space="0" w:color="000000"/>
            </w:tcBorders>
          </w:tcPr>
          <w:p>
            <w:pPr/>
          </w:p>
        </w:tc>
        <w:tc>
          <w:tcPr>
            <w:tcW w:w="547" w:type="dxa"/>
            <w:tcBorders>
              <w:top w:val="single" w:sz="4" w:space="0" w:color="000000"/>
              <w:left w:val="single" w:sz="4" w:space="0" w:color="000000"/>
              <w:bottom w:val="nil" w:sz="6" w:space="0" w:color="auto"/>
              <w:right w:val="single" w:sz="4" w:space="0" w:color="000000"/>
            </w:tcBorders>
          </w:tcPr>
          <w:p>
            <w:pPr/>
          </w:p>
        </w:tc>
        <w:tc>
          <w:tcPr>
            <w:tcW w:w="546" w:type="dxa"/>
            <w:tcBorders>
              <w:top w:val="single" w:sz="4" w:space="0" w:color="000000"/>
              <w:left w:val="single" w:sz="4" w:space="0" w:color="000000"/>
              <w:bottom w:val="nil" w:sz="6" w:space="0" w:color="auto"/>
              <w:right w:val="single" w:sz="4" w:space="0" w:color="000000"/>
            </w:tcBorders>
          </w:tcPr>
          <w:p>
            <w:pPr/>
          </w:p>
        </w:tc>
        <w:tc>
          <w:tcPr>
            <w:tcW w:w="539" w:type="dxa"/>
            <w:vMerge w:val="restart"/>
            <w:tcBorders>
              <w:top w:val="single" w:sz="4" w:space="0" w:color="000000"/>
              <w:left w:val="single" w:sz="4" w:space="0" w:color="000000"/>
              <w:right w:val="single" w:sz="4" w:space="0" w:color="000000"/>
            </w:tcBorders>
          </w:tcPr>
          <w:p>
            <w:pPr/>
          </w:p>
        </w:tc>
      </w:tr>
      <w:tr>
        <w:trPr>
          <w:trHeight w:val="311"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590" w:type="dxa"/>
            <w:tcBorders>
              <w:top w:val="nil" w:sz="6" w:space="0" w:color="auto"/>
              <w:left w:val="single" w:sz="4" w:space="0" w:color="000000"/>
              <w:bottom w:val="nil" w:sz="6" w:space="0" w:color="auto"/>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539" w:type="dxa"/>
            <w:vMerge/>
            <w:tcBorders>
              <w:left w:val="single" w:sz="4" w:space="0" w:color="000000"/>
              <w:right w:val="single" w:sz="4" w:space="0" w:color="000000"/>
            </w:tcBorders>
          </w:tcPr>
          <w:p>
            <w:pPr/>
          </w:p>
        </w:tc>
      </w:tr>
      <w:tr>
        <w:trPr>
          <w:trHeight w:val="1249"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76"/>
              <w:jc w:val="both"/>
              <w:rPr>
                <w:rFonts w:ascii="宋体" w:hAnsi="宋体" w:cs="宋体" w:eastAsia="宋体" w:hint="default"/>
                <w:sz w:val="18"/>
                <w:szCs w:val="18"/>
              </w:rPr>
            </w:pPr>
            <w:r>
              <w:rPr>
                <w:rFonts w:ascii="宋体" w:hAnsi="宋体" w:cs="宋体" w:eastAsia="宋体" w:hint="default"/>
                <w:sz w:val="18"/>
                <w:szCs w:val="18"/>
              </w:rPr>
              <w:t>股份 有限 公司 福州</w:t>
            </w:r>
          </w:p>
        </w:tc>
        <w:tc>
          <w:tcPr>
            <w:tcW w:w="59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1,500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0"/>
              <w:jc w:val="left"/>
              <w:rPr>
                <w:rFonts w:ascii="Times New Roman" w:hAnsi="Times New Roman" w:cs="Times New Roman" w:eastAsia="Times New Roman" w:hint="default"/>
                <w:sz w:val="14"/>
                <w:szCs w:val="14"/>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63" w:right="0"/>
              <w:jc w:val="left"/>
              <w:rPr>
                <w:rFonts w:ascii="Times New Roman" w:hAnsi="Times New Roman" w:cs="Times New Roman" w:eastAsia="Times New Roman" w:hint="default"/>
                <w:sz w:val="18"/>
                <w:szCs w:val="18"/>
              </w:rPr>
            </w:pPr>
            <w:r>
              <w:rPr>
                <w:rFonts w:ascii="Times New Roman"/>
                <w:sz w:val="18"/>
              </w:rPr>
              <w:t>3.50%</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4.6</w:t>
            </w:r>
          </w:p>
        </w:tc>
        <w:tc>
          <w:tcPr>
            <w:tcW w:w="562"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4.6</w:t>
            </w:r>
          </w:p>
        </w:tc>
        <w:tc>
          <w:tcPr>
            <w:tcW w:w="56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Times New Roman" w:hAnsi="Times New Roman" w:cs="Times New Roman" w:eastAsia="Times New Roman" w:hint="default"/>
                <w:sz w:val="18"/>
                <w:szCs w:val="18"/>
              </w:rPr>
            </w:pPr>
            <w:r>
              <w:rPr>
                <w:rFonts w:ascii="Times New Roman"/>
                <w:sz w:val="18"/>
              </w:rPr>
              <w:t>4.6</w:t>
            </w:r>
          </w:p>
        </w:tc>
        <w:tc>
          <w:tcPr>
            <w:tcW w:w="550"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vMerge/>
            <w:tcBorders>
              <w:left w:val="single" w:sz="4" w:space="0" w:color="000000"/>
              <w:right w:val="single" w:sz="4" w:space="0" w:color="000000"/>
            </w:tcBorders>
          </w:tcPr>
          <w:p>
            <w:pPr/>
          </w:p>
        </w:tc>
      </w:tr>
      <w:tr>
        <w:trPr>
          <w:trHeight w:val="312" w:hRule="exact"/>
        </w:trPr>
        <w:tc>
          <w:tcPr>
            <w:tcW w:w="571"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湖东</w:t>
            </w:r>
          </w:p>
        </w:tc>
        <w:tc>
          <w:tcPr>
            <w:tcW w:w="590" w:type="dxa"/>
            <w:tcBorders>
              <w:top w:val="nil" w:sz="6" w:space="0" w:color="auto"/>
              <w:left w:val="single" w:sz="4" w:space="0" w:color="000000"/>
              <w:bottom w:val="nil" w:sz="6" w:space="0" w:color="auto"/>
              <w:right w:val="single" w:sz="4" w:space="0" w:color="000000"/>
            </w:tcBorders>
          </w:tcPr>
          <w:p>
            <w:pPr/>
          </w:p>
        </w:tc>
        <w:tc>
          <w:tcPr>
            <w:tcW w:w="606" w:type="dxa"/>
            <w:tcBorders>
              <w:top w:val="nil" w:sz="6" w:space="0" w:color="auto"/>
              <w:left w:val="single" w:sz="4" w:space="0" w:color="000000"/>
              <w:bottom w:val="nil" w:sz="6" w:space="0" w:color="auto"/>
              <w:right w:val="single" w:sz="4" w:space="0" w:color="000000"/>
            </w:tcBorders>
          </w:tcPr>
          <w:p>
            <w:pPr/>
          </w:p>
        </w:tc>
        <w:tc>
          <w:tcPr>
            <w:tcW w:w="575"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62" w:type="dxa"/>
            <w:tcBorders>
              <w:top w:val="nil" w:sz="6" w:space="0" w:color="auto"/>
              <w:left w:val="single" w:sz="4" w:space="0" w:color="000000"/>
              <w:bottom w:val="nil" w:sz="6" w:space="0" w:color="auto"/>
              <w:right w:val="single" w:sz="4" w:space="0" w:color="000000"/>
            </w:tcBorders>
          </w:tcPr>
          <w:p>
            <w:pPr/>
          </w:p>
        </w:tc>
        <w:tc>
          <w:tcPr>
            <w:tcW w:w="560" w:type="dxa"/>
            <w:tcBorders>
              <w:top w:val="nil" w:sz="6" w:space="0" w:color="auto"/>
              <w:left w:val="single" w:sz="4" w:space="0" w:color="000000"/>
              <w:bottom w:val="nil" w:sz="6" w:space="0" w:color="auto"/>
              <w:right w:val="single" w:sz="4" w:space="0" w:color="000000"/>
            </w:tcBorders>
          </w:tcPr>
          <w:p>
            <w:pPr/>
          </w:p>
        </w:tc>
        <w:tc>
          <w:tcPr>
            <w:tcW w:w="550" w:type="dxa"/>
            <w:vMerge/>
            <w:tcBorders>
              <w:left w:val="single" w:sz="4" w:space="0" w:color="000000"/>
              <w:right w:val="single" w:sz="4" w:space="0" w:color="000000"/>
            </w:tcBorders>
          </w:tcPr>
          <w:p>
            <w:pPr/>
          </w:p>
        </w:tc>
        <w:tc>
          <w:tcPr>
            <w:tcW w:w="547" w:type="dxa"/>
            <w:tcBorders>
              <w:top w:val="nil" w:sz="6" w:space="0" w:color="auto"/>
              <w:left w:val="single" w:sz="4" w:space="0" w:color="000000"/>
              <w:bottom w:val="nil" w:sz="6" w:space="0" w:color="auto"/>
              <w:right w:val="single" w:sz="4" w:space="0" w:color="000000"/>
            </w:tcBorders>
          </w:tcPr>
          <w:p>
            <w:pPr/>
          </w:p>
        </w:tc>
        <w:tc>
          <w:tcPr>
            <w:tcW w:w="546" w:type="dxa"/>
            <w:tcBorders>
              <w:top w:val="nil" w:sz="6" w:space="0" w:color="auto"/>
              <w:left w:val="single" w:sz="4" w:space="0" w:color="000000"/>
              <w:bottom w:val="nil" w:sz="6" w:space="0" w:color="auto"/>
              <w:right w:val="single" w:sz="4" w:space="0" w:color="000000"/>
            </w:tcBorders>
          </w:tcPr>
          <w:p>
            <w:pPr/>
          </w:p>
        </w:tc>
        <w:tc>
          <w:tcPr>
            <w:tcW w:w="539" w:type="dxa"/>
            <w:vMerge/>
            <w:tcBorders>
              <w:left w:val="single" w:sz="4" w:space="0" w:color="000000"/>
              <w:right w:val="single" w:sz="4" w:space="0" w:color="000000"/>
            </w:tcBorders>
          </w:tcPr>
          <w:p>
            <w:pPr/>
          </w:p>
        </w:tc>
      </w:tr>
      <w:tr>
        <w:trPr>
          <w:trHeight w:val="357" w:hRule="exact"/>
        </w:trPr>
        <w:tc>
          <w:tcPr>
            <w:tcW w:w="57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支行</w:t>
            </w:r>
          </w:p>
        </w:tc>
        <w:tc>
          <w:tcPr>
            <w:tcW w:w="590" w:type="dxa"/>
            <w:tcBorders>
              <w:top w:val="nil" w:sz="6" w:space="0" w:color="auto"/>
              <w:left w:val="single" w:sz="4" w:space="0" w:color="000000"/>
              <w:bottom w:val="single" w:sz="4" w:space="0" w:color="000000"/>
              <w:right w:val="single" w:sz="4" w:space="0" w:color="000000"/>
            </w:tcBorders>
          </w:tcPr>
          <w:p>
            <w:pPr/>
          </w:p>
        </w:tc>
        <w:tc>
          <w:tcPr>
            <w:tcW w:w="606" w:type="dxa"/>
            <w:tcBorders>
              <w:top w:val="nil" w:sz="6" w:space="0" w:color="auto"/>
              <w:left w:val="single" w:sz="4" w:space="0" w:color="000000"/>
              <w:bottom w:val="single" w:sz="4" w:space="0" w:color="000000"/>
              <w:right w:val="single" w:sz="4" w:space="0" w:color="000000"/>
            </w:tcBorders>
          </w:tcPr>
          <w:p>
            <w:pPr/>
          </w:p>
        </w:tc>
        <w:tc>
          <w:tcPr>
            <w:tcW w:w="575"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62" w:type="dxa"/>
            <w:tcBorders>
              <w:top w:val="nil" w:sz="6" w:space="0" w:color="auto"/>
              <w:left w:val="single" w:sz="4" w:space="0" w:color="000000"/>
              <w:bottom w:val="single" w:sz="4" w:space="0" w:color="000000"/>
              <w:right w:val="single" w:sz="4" w:space="0" w:color="000000"/>
            </w:tcBorders>
          </w:tcPr>
          <w:p>
            <w:pPr/>
          </w:p>
        </w:tc>
        <w:tc>
          <w:tcPr>
            <w:tcW w:w="560" w:type="dxa"/>
            <w:tcBorders>
              <w:top w:val="nil" w:sz="6" w:space="0" w:color="auto"/>
              <w:left w:val="single" w:sz="4" w:space="0" w:color="000000"/>
              <w:bottom w:val="single" w:sz="4" w:space="0" w:color="000000"/>
              <w:right w:val="single" w:sz="4" w:space="0" w:color="000000"/>
            </w:tcBorders>
          </w:tcPr>
          <w:p>
            <w:pPr/>
          </w:p>
        </w:tc>
        <w:tc>
          <w:tcPr>
            <w:tcW w:w="550" w:type="dxa"/>
            <w:vMerge/>
            <w:tcBorders>
              <w:left w:val="single" w:sz="4" w:space="0" w:color="000000"/>
              <w:bottom w:val="single" w:sz="4" w:space="0" w:color="000000"/>
              <w:right w:val="single" w:sz="4" w:space="0" w:color="000000"/>
            </w:tcBorders>
          </w:tcPr>
          <w:p>
            <w:pPr/>
          </w:p>
        </w:tc>
        <w:tc>
          <w:tcPr>
            <w:tcW w:w="547" w:type="dxa"/>
            <w:tcBorders>
              <w:top w:val="nil" w:sz="6" w:space="0" w:color="auto"/>
              <w:left w:val="single" w:sz="4" w:space="0" w:color="000000"/>
              <w:bottom w:val="single" w:sz="4" w:space="0" w:color="000000"/>
              <w:right w:val="single" w:sz="4" w:space="0" w:color="000000"/>
            </w:tcBorders>
          </w:tcPr>
          <w:p>
            <w:pPr/>
          </w:p>
        </w:tc>
        <w:tc>
          <w:tcPr>
            <w:tcW w:w="546" w:type="dxa"/>
            <w:tcBorders>
              <w:top w:val="nil" w:sz="6" w:space="0" w:color="auto"/>
              <w:left w:val="single" w:sz="4" w:space="0" w:color="000000"/>
              <w:bottom w:val="single" w:sz="4" w:space="0" w:color="000000"/>
              <w:right w:val="single" w:sz="4" w:space="0" w:color="000000"/>
            </w:tcBorders>
          </w:tcPr>
          <w:p>
            <w:pPr/>
          </w:p>
        </w:tc>
        <w:tc>
          <w:tcPr>
            <w:tcW w:w="539" w:type="dxa"/>
            <w:vMerge/>
            <w:tcBorders>
              <w:left w:val="single" w:sz="4" w:space="0" w:color="000000"/>
              <w:bottom w:val="single" w:sz="4" w:space="0" w:color="000000"/>
              <w:right w:val="single" w:sz="4" w:space="0" w:color="000000"/>
            </w:tcBorders>
          </w:tcPr>
          <w:p>
            <w:pPr/>
          </w:p>
        </w:tc>
      </w:tr>
      <w:tr>
        <w:trPr>
          <w:trHeight w:val="1026"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71"/>
              <w:ind w:left="22" w:right="176"/>
              <w:jc w:val="both"/>
              <w:rPr>
                <w:rFonts w:ascii="宋体" w:hAnsi="宋体" w:cs="宋体" w:eastAsia="宋体" w:hint="default"/>
                <w:sz w:val="18"/>
                <w:szCs w:val="18"/>
              </w:rPr>
            </w:pPr>
            <w:r>
              <w:rPr>
                <w:rFonts w:ascii="宋体" w:hAnsi="宋体" w:cs="宋体" w:eastAsia="宋体" w:hint="default"/>
                <w:sz w:val="18"/>
                <w:szCs w:val="18"/>
              </w:rPr>
              <w:t>兴业 银行 股份</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63" w:right="0"/>
              <w:jc w:val="left"/>
              <w:rPr>
                <w:rFonts w:ascii="Times New Roman" w:hAnsi="Times New Roman" w:cs="Times New Roman" w:eastAsia="Times New Roman" w:hint="default"/>
                <w:sz w:val="18"/>
                <w:szCs w:val="18"/>
              </w:rPr>
            </w:pPr>
            <w:r>
              <w:rPr>
                <w:rFonts w:ascii="Times New Roman"/>
                <w:sz w:val="18"/>
              </w:rPr>
              <w:t>3.49%</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2.96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2.96</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2.96</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571"/>
        <w:gridCol w:w="590"/>
        <w:gridCol w:w="606"/>
        <w:gridCol w:w="575"/>
        <w:gridCol w:w="560"/>
        <w:gridCol w:w="562"/>
        <w:gridCol w:w="560"/>
        <w:gridCol w:w="562"/>
        <w:gridCol w:w="560"/>
        <w:gridCol w:w="562"/>
        <w:gridCol w:w="560"/>
        <w:gridCol w:w="562"/>
        <w:gridCol w:w="560"/>
        <w:gridCol w:w="550"/>
        <w:gridCol w:w="547"/>
        <w:gridCol w:w="546"/>
        <w:gridCol w:w="539"/>
      </w:tblGrid>
      <w:tr>
        <w:trPr>
          <w:trHeight w:val="1610"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2" w:right="176"/>
              <w:jc w:val="both"/>
              <w:rPr>
                <w:rFonts w:ascii="宋体" w:hAnsi="宋体" w:cs="宋体" w:eastAsia="宋体" w:hint="default"/>
                <w:sz w:val="18"/>
                <w:szCs w:val="18"/>
              </w:rPr>
            </w:pPr>
            <w:r>
              <w:rPr>
                <w:rFonts w:ascii="宋体" w:hAnsi="宋体" w:cs="宋体" w:eastAsia="宋体" w:hint="default"/>
                <w:sz w:val="18"/>
                <w:szCs w:val="18"/>
              </w:rPr>
              <w:t>有限 公司 福州 湖东 支行</w:t>
            </w:r>
          </w:p>
        </w:tc>
        <w:tc>
          <w:tcPr>
            <w:tcW w:w="590"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575"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
        </w:tc>
        <w:tc>
          <w:tcPr>
            <w:tcW w:w="560" w:type="dxa"/>
            <w:tcBorders>
              <w:top w:val="single" w:sz="4" w:space="0" w:color="000000"/>
              <w:left w:val="single" w:sz="4" w:space="0" w:color="000000"/>
              <w:bottom w:val="single" w:sz="4" w:space="0" w:color="000000"/>
              <w:right w:val="single" w:sz="4" w:space="0" w:color="000000"/>
            </w:tcBorders>
          </w:tcPr>
          <w:p>
            <w:pP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
        </w:tc>
        <w:tc>
          <w:tcPr>
            <w:tcW w:w="546" w:type="dxa"/>
            <w:tcBorders>
              <w:top w:val="single" w:sz="4" w:space="0" w:color="000000"/>
              <w:left w:val="single" w:sz="4" w:space="0" w:color="000000"/>
              <w:bottom w:val="single" w:sz="4" w:space="0" w:color="000000"/>
              <w:right w:val="single" w:sz="4" w:space="0" w:color="000000"/>
            </w:tcBorders>
          </w:tcPr>
          <w:p>
            <w:pP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兴业 银行 股份 有限 公司 福州 湖东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1,000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67"/>
              <w:jc w:val="righ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40" w:right="0"/>
              <w:jc w:val="center"/>
              <w:rPr>
                <w:rFonts w:ascii="Times New Roman" w:hAnsi="Times New Roman" w:cs="Times New Roman" w:eastAsia="Times New Roman" w:hint="default"/>
                <w:sz w:val="18"/>
                <w:szCs w:val="18"/>
              </w:rPr>
            </w:pPr>
            <w:r>
              <w:rPr>
                <w:rFonts w:ascii="Times New Roman"/>
                <w:sz w:val="18"/>
              </w:rPr>
              <w:t>3.49%</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91" w:right="0"/>
              <w:jc w:val="center"/>
              <w:rPr>
                <w:rFonts w:ascii="Times New Roman" w:hAnsi="Times New Roman" w:cs="Times New Roman" w:eastAsia="Times New Roman" w:hint="default"/>
                <w:sz w:val="18"/>
                <w:szCs w:val="18"/>
              </w:rPr>
            </w:pPr>
            <w:r>
              <w:rPr>
                <w:rFonts w:ascii="Times New Roman"/>
                <w:sz w:val="18"/>
              </w:rPr>
              <w:t>2.96</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0"/>
              <w:jc w:val="right"/>
              <w:rPr>
                <w:rFonts w:ascii="Times New Roman" w:hAnsi="Times New Roman" w:cs="Times New Roman" w:eastAsia="Times New Roman" w:hint="default"/>
                <w:sz w:val="18"/>
                <w:szCs w:val="18"/>
              </w:rPr>
            </w:pPr>
            <w:r>
              <w:rPr>
                <w:rFonts w:ascii="Times New Roman"/>
                <w:sz w:val="18"/>
              </w:rPr>
              <w:t>2.96</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sz w:val="18"/>
              </w:rPr>
              <w:t>2.96</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2586"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兴业 银行 股份 有限 公司 福州 湖东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9"/>
              <w:jc w:val="right"/>
              <w:rPr>
                <w:rFonts w:ascii="Times New Roman" w:hAnsi="Times New Roman" w:cs="Times New Roman" w:eastAsia="Times New Roman" w:hint="default"/>
                <w:sz w:val="18"/>
                <w:szCs w:val="18"/>
              </w:rPr>
            </w:pPr>
            <w:r>
              <w:rPr>
                <w:rFonts w:ascii="Times New Roman"/>
                <w:sz w:val="18"/>
              </w:rPr>
              <w:t>1,800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9"/>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Times New Roman" w:hAnsi="Times New Roman" w:cs="Times New Roman" w:eastAsia="Times New Roman" w:hint="default"/>
                <w:sz w:val="18"/>
                <w:szCs w:val="18"/>
              </w:rPr>
            </w:pPr>
            <w:r>
              <w:rPr>
                <w:rFonts w:ascii="Times New Roman"/>
                <w:sz w:val="18"/>
              </w:rPr>
              <w:t>2020</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right="167"/>
              <w:jc w:val="righ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3"/>
              <w:jc w:val="left"/>
              <w:rPr>
                <w:rFonts w:ascii="宋体" w:hAnsi="宋体" w:cs="宋体" w:eastAsia="宋体" w:hint="default"/>
                <w:sz w:val="18"/>
                <w:szCs w:val="18"/>
              </w:rPr>
            </w:pPr>
            <w:r>
              <w:rPr>
                <w:rFonts w:ascii="宋体" w:hAnsi="宋体" w:cs="宋体" w:eastAsia="宋体" w:hint="default"/>
                <w:sz w:val="18"/>
                <w:szCs w:val="18"/>
              </w:rPr>
              <w:t>定期 收取 利息， 本金 到期 收回</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40" w:right="0"/>
              <w:jc w:val="center"/>
              <w:rPr>
                <w:rFonts w:ascii="Times New Roman" w:hAnsi="Times New Roman" w:cs="Times New Roman" w:eastAsia="Times New Roman" w:hint="default"/>
                <w:sz w:val="18"/>
                <w:szCs w:val="18"/>
              </w:rPr>
            </w:pPr>
            <w:r>
              <w:rPr>
                <w:rFonts w:ascii="Times New Roman"/>
                <w:sz w:val="18"/>
              </w:rPr>
              <w:t>3.05%</w:t>
            </w:r>
          </w:p>
        </w:tc>
        <w:tc>
          <w:tcPr>
            <w:tcW w:w="560" w:type="dxa"/>
            <w:tcBorders>
              <w:top w:val="single" w:sz="4" w:space="0" w:color="000000"/>
              <w:left w:val="single" w:sz="4" w:space="0" w:color="000000"/>
              <w:bottom w:val="single" w:sz="4" w:space="0" w:color="000000"/>
              <w:right w:val="single" w:sz="4" w:space="0" w:color="000000"/>
            </w:tcBorders>
          </w:tcPr>
          <w:p>
            <w:pP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3"/>
              <w:jc w:val="right"/>
              <w:rPr>
                <w:rFonts w:ascii="Times New Roman" w:hAnsi="Times New Roman" w:cs="Times New Roman" w:eastAsia="Times New Roman" w:hint="default"/>
                <w:sz w:val="18"/>
                <w:szCs w:val="18"/>
              </w:rPr>
            </w:pPr>
            <w:r>
              <w:rPr>
                <w:rFonts w:ascii="Times New Roman"/>
                <w:sz w:val="18"/>
              </w:rPr>
              <w:t>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2" w:right="0"/>
              <w:jc w:val="left"/>
              <w:rPr>
                <w:rFonts w:ascii="Times New Roman" w:hAnsi="Times New Roman" w:cs="Times New Roman" w:eastAsia="Times New Roman" w:hint="default"/>
                <w:sz w:val="18"/>
                <w:szCs w:val="18"/>
              </w:rPr>
            </w:pPr>
            <w:r>
              <w:rPr>
                <w:rFonts w:ascii="Times New Roman"/>
                <w:sz w:val="18"/>
              </w:rPr>
              <w:t>0</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8"/>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57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76"/>
              <w:jc w:val="both"/>
              <w:rPr>
                <w:rFonts w:ascii="宋体" w:hAnsi="宋体" w:cs="宋体" w:eastAsia="宋体" w:hint="default"/>
                <w:sz w:val="18"/>
                <w:szCs w:val="18"/>
              </w:rPr>
            </w:pPr>
            <w:r>
              <w:rPr>
                <w:rFonts w:ascii="宋体" w:hAnsi="宋体" w:cs="宋体" w:eastAsia="宋体" w:hint="default"/>
                <w:sz w:val="18"/>
                <w:szCs w:val="18"/>
              </w:rPr>
              <w:t>交通 银行 三山 支行</w:t>
            </w:r>
          </w:p>
        </w:tc>
        <w:tc>
          <w:tcPr>
            <w:tcW w:w="5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银行</w:t>
            </w:r>
          </w:p>
        </w:tc>
        <w:tc>
          <w:tcPr>
            <w:tcW w:w="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31"/>
              <w:jc w:val="left"/>
              <w:rPr>
                <w:rFonts w:ascii="宋体" w:hAnsi="宋体" w:cs="宋体" w:eastAsia="宋体" w:hint="default"/>
                <w:sz w:val="18"/>
                <w:szCs w:val="18"/>
              </w:rPr>
            </w:pPr>
            <w:r>
              <w:rPr>
                <w:rFonts w:ascii="宋体" w:hAnsi="宋体" w:cs="宋体" w:eastAsia="宋体" w:hint="default"/>
                <w:sz w:val="18"/>
                <w:szCs w:val="18"/>
              </w:rPr>
              <w:t>银行理 财</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z w:val="18"/>
              </w:rPr>
              <w:t>1,700</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167"/>
              <w:jc w:val="left"/>
              <w:rPr>
                <w:rFonts w:ascii="宋体" w:hAnsi="宋体" w:cs="宋体" w:eastAsia="宋体" w:hint="default"/>
                <w:sz w:val="18"/>
                <w:szCs w:val="18"/>
              </w:rPr>
            </w:pPr>
            <w:r>
              <w:rPr>
                <w:rFonts w:ascii="宋体" w:hAnsi="宋体" w:cs="宋体" w:eastAsia="宋体" w:hint="default"/>
                <w:sz w:val="18"/>
                <w:szCs w:val="18"/>
              </w:rPr>
              <w:t>自有 资金</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Times New Roman" w:hAnsi="Times New Roman" w:cs="Times New Roman" w:eastAsia="Times New Roman" w:hint="default"/>
                <w:sz w:val="18"/>
                <w:szCs w:val="18"/>
              </w:rPr>
            </w:pPr>
            <w:r>
              <w:rPr>
                <w:rFonts w:ascii="Times New Roman"/>
                <w:sz w:val="18"/>
              </w:rPr>
              <w:t>2019</w:t>
            </w:r>
          </w:p>
          <w:p>
            <w:pPr>
              <w:pStyle w:val="TableParagraph"/>
              <w:spacing w:line="240" w:lineRule="auto" w:before="64"/>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4"/>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right="167"/>
              <w:jc w:val="right"/>
              <w:rPr>
                <w:rFonts w:ascii="宋体" w:hAnsi="宋体" w:cs="宋体" w:eastAsia="宋体" w:hint="default"/>
                <w:sz w:val="18"/>
                <w:szCs w:val="18"/>
              </w:rPr>
            </w:pPr>
            <w:r>
              <w:rPr>
                <w:rFonts w:ascii="宋体" w:hAnsi="宋体" w:cs="宋体" w:eastAsia="宋体" w:hint="default"/>
                <w:sz w:val="18"/>
                <w:szCs w:val="18"/>
              </w:rPr>
              <w:t>理财</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167"/>
              <w:jc w:val="both"/>
              <w:rPr>
                <w:rFonts w:ascii="宋体" w:hAnsi="宋体" w:cs="宋体" w:eastAsia="宋体" w:hint="default"/>
                <w:sz w:val="18"/>
                <w:szCs w:val="18"/>
              </w:rPr>
            </w:pPr>
            <w:r>
              <w:rPr>
                <w:rFonts w:ascii="宋体" w:hAnsi="宋体" w:cs="宋体" w:eastAsia="宋体" w:hint="default"/>
                <w:sz w:val="18"/>
                <w:szCs w:val="18"/>
              </w:rPr>
              <w:t>到期 收回 本息</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40" w:right="0"/>
              <w:jc w:val="center"/>
              <w:rPr>
                <w:rFonts w:ascii="Times New Roman" w:hAnsi="Times New Roman" w:cs="Times New Roman" w:eastAsia="Times New Roman" w:hint="default"/>
                <w:sz w:val="18"/>
                <w:szCs w:val="18"/>
              </w:rPr>
            </w:pPr>
            <w:r>
              <w:rPr>
                <w:rFonts w:ascii="Times New Roman"/>
                <w:sz w:val="18"/>
              </w:rPr>
              <w:t>3.12%</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102" w:right="0"/>
              <w:jc w:val="center"/>
              <w:rPr>
                <w:rFonts w:ascii="Times New Roman" w:hAnsi="Times New Roman" w:cs="Times New Roman" w:eastAsia="Times New Roman" w:hint="default"/>
                <w:sz w:val="18"/>
                <w:szCs w:val="18"/>
              </w:rPr>
            </w:pPr>
            <w:r>
              <w:rPr>
                <w:rFonts w:ascii="Times New Roman"/>
                <w:sz w:val="18"/>
              </w:rPr>
              <w:t>10.12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10.12</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Times New Roman" w:hAnsi="Times New Roman" w:cs="Times New Roman" w:eastAsia="Times New Roman" w:hint="default"/>
                <w:sz w:val="18"/>
                <w:szCs w:val="18"/>
              </w:rPr>
            </w:pPr>
            <w:r>
              <w:rPr>
                <w:rFonts w:ascii="Times New Roman"/>
                <w:sz w:val="18"/>
              </w:rPr>
              <w:t>10.12</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是</w:t>
            </w:r>
          </w:p>
        </w:tc>
        <w:tc>
          <w:tcPr>
            <w:tcW w:w="539"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7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178,70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5"/>
              <w:jc w:val="right"/>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left"/>
              <w:rPr>
                <w:rFonts w:ascii="Times New Roman" w:hAnsi="Times New Roman" w:cs="Times New Roman" w:eastAsia="Times New Roman" w:hint="default"/>
                <w:sz w:val="18"/>
                <w:szCs w:val="18"/>
              </w:rPr>
            </w:pPr>
            <w:r>
              <w:rPr>
                <w:rFonts w:ascii="Times New Roman"/>
                <w:sz w:val="18"/>
              </w:rPr>
              <w:t>2,521.</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42</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 w:right="0"/>
              <w:jc w:val="left"/>
              <w:rPr>
                <w:rFonts w:ascii="Times New Roman" w:hAnsi="Times New Roman" w:cs="Times New Roman" w:eastAsia="Times New Roman" w:hint="default"/>
                <w:sz w:val="18"/>
                <w:szCs w:val="18"/>
              </w:rPr>
            </w:pPr>
            <w:r>
              <w:rPr>
                <w:rFonts w:ascii="Times New Roman"/>
                <w:sz w:val="18"/>
              </w:rPr>
              <w:t>1,855.</w:t>
            </w:r>
          </w:p>
          <w:p>
            <w:pPr>
              <w:pStyle w:val="TableParagraph"/>
              <w:spacing w:line="240" w:lineRule="auto" w:before="105"/>
              <w:ind w:left="347" w:right="0"/>
              <w:jc w:val="left"/>
              <w:rPr>
                <w:rFonts w:ascii="Times New Roman" w:hAnsi="Times New Roman" w:cs="Times New Roman" w:eastAsia="Times New Roman" w:hint="default"/>
                <w:sz w:val="18"/>
                <w:szCs w:val="18"/>
              </w:rPr>
            </w:pPr>
            <w:r>
              <w:rPr>
                <w:rFonts w:ascii="Times New Roman"/>
                <w:sz w:val="18"/>
              </w:rPr>
              <w:t>34</w:t>
            </w:r>
          </w:p>
        </w:tc>
        <w:tc>
          <w:tcPr>
            <w:tcW w:w="5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50" w:type="dxa"/>
            <w:tcBorders>
              <w:top w:val="single" w:sz="4" w:space="0" w:color="000000"/>
              <w:left w:val="single" w:sz="4" w:space="0" w:color="000000"/>
              <w:bottom w:val="single" w:sz="4" w:space="0" w:color="000000"/>
              <w:right w:val="single" w:sz="4" w:space="0" w:color="000000"/>
            </w:tcBorders>
          </w:tcPr>
          <w:p>
            <w:pPr/>
          </w:p>
        </w:tc>
        <w:tc>
          <w:tcPr>
            <w:tcW w:w="5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5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Times New Roman" w:hAnsi="Times New Roman" w:cs="Times New Roman" w:eastAsia="Times New Roman" w:hint="default"/>
                <w:sz w:val="18"/>
                <w:szCs w:val="18"/>
              </w:rPr>
            </w:pPr>
            <w:r>
              <w:rPr>
                <w:rFonts w:ascii="Times New Roman"/>
                <w:sz w:val="18"/>
              </w:rPr>
              <w:t>--</w:t>
            </w:r>
          </w:p>
        </w:tc>
        <w:tc>
          <w:tcPr>
            <w:tcW w:w="5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51"/>
        <w:ind w:right="2239"/>
        <w:jc w:val="left"/>
      </w:pPr>
      <w:r>
        <w:rPr/>
        <w:t>委托理财出现预期无法收回本金或存在其他可能导致减值的情形</w:t>
      </w:r>
    </w:p>
    <w:p>
      <w:pPr>
        <w:pStyle w:val="BodyText"/>
        <w:spacing w:line="240" w:lineRule="auto" w:before="117"/>
        <w:ind w:left="153"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2239"/>
        <w:jc w:val="left"/>
        <w:rPr>
          <w:b w:val="0"/>
          <w:bCs w:val="0"/>
        </w:rPr>
      </w:pPr>
      <w:r>
        <w:rPr/>
        <w:t>（</w:t>
      </w:r>
      <w:r>
        <w:rPr>
          <w:rFonts w:ascii="Arial" w:hAnsi="Arial" w:cs="Arial" w:eastAsia="Arial" w:hint="default"/>
        </w:rPr>
        <w:t>2</w:t>
      </w:r>
      <w:r>
        <w:rPr/>
        <w:t>）委托贷款情况</w:t>
      </w:r>
      <w:r>
        <w:rPr>
          <w:b w:val="0"/>
          <w:bCs w:val="0"/>
        </w:rPr>
      </w:r>
    </w:p>
    <w:p>
      <w:pPr>
        <w:spacing w:line="240" w:lineRule="auto" w:before="10"/>
        <w:rPr>
          <w:rFonts w:ascii="宋体" w:hAnsi="宋体" w:cs="宋体" w:eastAsia="宋体" w:hint="default"/>
          <w:b/>
          <w:bCs/>
          <w:sz w:val="26"/>
          <w:szCs w:val="26"/>
        </w:rPr>
      </w:pPr>
    </w:p>
    <w:p>
      <w:pPr>
        <w:pStyle w:val="BodyText"/>
        <w:spacing w:line="340" w:lineRule="auto"/>
        <w:ind w:right="841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公司报告期不存在委托贷款。</w:t>
      </w:r>
    </w:p>
    <w:p>
      <w:pPr>
        <w:spacing w:line="240" w:lineRule="auto" w:before="13"/>
        <w:rPr>
          <w:rFonts w:ascii="宋体" w:hAnsi="宋体" w:cs="宋体" w:eastAsia="宋体" w:hint="default"/>
          <w:sz w:val="20"/>
          <w:szCs w:val="20"/>
        </w:rPr>
      </w:pPr>
    </w:p>
    <w:p>
      <w:pPr>
        <w:pStyle w:val="Heading4"/>
        <w:spacing w:line="240" w:lineRule="auto"/>
        <w:ind w:right="2239"/>
        <w:jc w:val="left"/>
        <w:rPr>
          <w:b w:val="0"/>
          <w:bCs w:val="0"/>
        </w:rPr>
      </w:pPr>
      <w:r>
        <w:rPr>
          <w:rFonts w:ascii="Arial" w:hAnsi="Arial" w:cs="Arial" w:eastAsia="Arial" w:hint="default"/>
        </w:rPr>
        <w:t>4</w:t>
      </w:r>
      <w:r>
        <w:rPr/>
        <w:t>、其他重大合同</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636"/>
        <w:gridCol w:w="640"/>
        <w:gridCol w:w="638"/>
        <w:gridCol w:w="640"/>
        <w:gridCol w:w="640"/>
        <w:gridCol w:w="638"/>
        <w:gridCol w:w="640"/>
        <w:gridCol w:w="638"/>
        <w:gridCol w:w="637"/>
        <w:gridCol w:w="638"/>
        <w:gridCol w:w="638"/>
        <w:gridCol w:w="637"/>
        <w:gridCol w:w="638"/>
        <w:gridCol w:w="638"/>
        <w:gridCol w:w="1552"/>
      </w:tblGrid>
      <w:tr>
        <w:trPr>
          <w:trHeight w:val="1338" w:hRule="exact"/>
        </w:trPr>
        <w:tc>
          <w:tcPr>
            <w:tcW w:w="6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1" w:right="42"/>
              <w:jc w:val="both"/>
              <w:rPr>
                <w:rFonts w:ascii="宋体" w:hAnsi="宋体" w:cs="宋体" w:eastAsia="宋体" w:hint="default"/>
                <w:sz w:val="18"/>
                <w:szCs w:val="18"/>
              </w:rPr>
            </w:pPr>
            <w:r>
              <w:rPr>
                <w:rFonts w:ascii="宋体" w:hAnsi="宋体" w:cs="宋体" w:eastAsia="宋体" w:hint="default"/>
                <w:sz w:val="18"/>
                <w:szCs w:val="18"/>
              </w:rPr>
              <w:t>合同订 立公司 方名称</w:t>
            </w:r>
          </w:p>
        </w:tc>
        <w:tc>
          <w:tcPr>
            <w:tcW w:w="6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4" w:right="43"/>
              <w:jc w:val="both"/>
              <w:rPr>
                <w:rFonts w:ascii="宋体" w:hAnsi="宋体" w:cs="宋体" w:eastAsia="宋体" w:hint="default"/>
                <w:sz w:val="18"/>
                <w:szCs w:val="18"/>
              </w:rPr>
            </w:pPr>
            <w:r>
              <w:rPr>
                <w:rFonts w:ascii="宋体" w:hAnsi="宋体" w:cs="宋体" w:eastAsia="宋体" w:hint="default"/>
                <w:sz w:val="18"/>
                <w:szCs w:val="18"/>
              </w:rPr>
              <w:t>合同订 立对方 名称</w:t>
            </w:r>
          </w:p>
        </w:tc>
        <w:tc>
          <w:tcPr>
            <w:tcW w:w="6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4" w:right="42" w:hanging="180"/>
              <w:jc w:val="left"/>
              <w:rPr>
                <w:rFonts w:ascii="宋体" w:hAnsi="宋体" w:cs="宋体" w:eastAsia="宋体" w:hint="default"/>
                <w:sz w:val="18"/>
                <w:szCs w:val="18"/>
              </w:rPr>
            </w:pPr>
            <w:r>
              <w:rPr>
                <w:rFonts w:ascii="宋体" w:hAnsi="宋体" w:cs="宋体" w:eastAsia="宋体" w:hint="default"/>
                <w:sz w:val="18"/>
                <w:szCs w:val="18"/>
              </w:rPr>
              <w:t>合同标 的</w:t>
            </w:r>
          </w:p>
        </w:tc>
        <w:tc>
          <w:tcPr>
            <w:tcW w:w="6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44" w:right="43"/>
              <w:jc w:val="left"/>
              <w:rPr>
                <w:rFonts w:ascii="宋体" w:hAnsi="宋体" w:cs="宋体" w:eastAsia="宋体" w:hint="default"/>
                <w:sz w:val="18"/>
                <w:szCs w:val="18"/>
              </w:rPr>
            </w:pPr>
            <w:r>
              <w:rPr>
                <w:rFonts w:ascii="宋体" w:hAnsi="宋体" w:cs="宋体" w:eastAsia="宋体" w:hint="default"/>
                <w:sz w:val="18"/>
                <w:szCs w:val="18"/>
              </w:rPr>
              <w:t>合同签 订日期</w:t>
            </w:r>
          </w:p>
        </w:tc>
        <w:tc>
          <w:tcPr>
            <w:tcW w:w="6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45" w:right="42"/>
              <w:jc w:val="both"/>
              <w:rPr>
                <w:rFonts w:ascii="宋体" w:hAnsi="宋体" w:cs="宋体" w:eastAsia="宋体" w:hint="default"/>
                <w:sz w:val="18"/>
                <w:szCs w:val="18"/>
              </w:rPr>
            </w:pPr>
            <w:r>
              <w:rPr>
                <w:rFonts w:ascii="宋体" w:hAnsi="宋体" w:cs="宋体" w:eastAsia="宋体" w:hint="default"/>
                <w:sz w:val="18"/>
                <w:szCs w:val="18"/>
              </w:rPr>
              <w:t>合同涉 及资产 的账面 价值</w:t>
            </w:r>
          </w:p>
        </w:tc>
        <w:tc>
          <w:tcPr>
            <w:tcW w:w="6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1"/>
              <w:ind w:left="44" w:right="42"/>
              <w:jc w:val="both"/>
              <w:rPr>
                <w:rFonts w:ascii="宋体" w:hAnsi="宋体" w:cs="宋体" w:eastAsia="宋体" w:hint="default"/>
                <w:sz w:val="18"/>
                <w:szCs w:val="18"/>
              </w:rPr>
            </w:pPr>
            <w:r>
              <w:rPr>
                <w:rFonts w:ascii="宋体" w:hAnsi="宋体" w:cs="宋体" w:eastAsia="宋体" w:hint="default"/>
                <w:sz w:val="18"/>
                <w:szCs w:val="18"/>
              </w:rPr>
              <w:t>合同涉 及资产 的评估 价值</w:t>
            </w:r>
          </w:p>
        </w:tc>
        <w:tc>
          <w:tcPr>
            <w:tcW w:w="6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5" w:right="42"/>
              <w:jc w:val="left"/>
              <w:rPr>
                <w:rFonts w:ascii="宋体" w:hAnsi="宋体" w:cs="宋体" w:eastAsia="宋体" w:hint="default"/>
                <w:sz w:val="18"/>
                <w:szCs w:val="18"/>
              </w:rPr>
            </w:pPr>
            <w:r>
              <w:rPr>
                <w:rFonts w:ascii="宋体" w:hAnsi="宋体" w:cs="宋体" w:eastAsia="宋体" w:hint="default"/>
                <w:sz w:val="18"/>
                <w:szCs w:val="18"/>
              </w:rPr>
              <w:t>评估机 构名称</w:t>
            </w:r>
          </w:p>
          <w:p>
            <w:pPr>
              <w:pStyle w:val="TableParagraph"/>
              <w:spacing w:line="319" w:lineRule="auto" w:before="19"/>
              <w:ind w:left="135" w:right="132"/>
              <w:jc w:val="left"/>
              <w:rPr>
                <w:rFonts w:ascii="宋体" w:hAnsi="宋体" w:cs="宋体" w:eastAsia="宋体" w:hint="default"/>
                <w:sz w:val="18"/>
                <w:szCs w:val="18"/>
              </w:rPr>
            </w:pPr>
            <w:r>
              <w:rPr>
                <w:rFonts w:ascii="宋体" w:hAnsi="宋体" w:cs="宋体" w:eastAsia="宋体" w:hint="default"/>
                <w:sz w:val="18"/>
                <w:szCs w:val="18"/>
              </w:rPr>
              <w:t>（如 有）</w:t>
            </w:r>
          </w:p>
        </w:tc>
        <w:tc>
          <w:tcPr>
            <w:tcW w:w="6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33" w:right="43" w:hanging="90"/>
              <w:jc w:val="left"/>
              <w:rPr>
                <w:rFonts w:ascii="宋体" w:hAnsi="宋体" w:cs="宋体" w:eastAsia="宋体" w:hint="default"/>
                <w:sz w:val="18"/>
                <w:szCs w:val="18"/>
              </w:rPr>
            </w:pPr>
            <w:r>
              <w:rPr>
                <w:rFonts w:ascii="宋体" w:hAnsi="宋体" w:cs="宋体" w:eastAsia="宋体" w:hint="default"/>
                <w:sz w:val="18"/>
                <w:szCs w:val="18"/>
              </w:rPr>
              <w:t>评估基 准日</w:t>
            </w:r>
          </w:p>
          <w:p>
            <w:pPr>
              <w:pStyle w:val="TableParagraph"/>
              <w:spacing w:line="319" w:lineRule="auto" w:before="19"/>
              <w:ind w:left="133" w:right="133"/>
              <w:jc w:val="left"/>
              <w:rPr>
                <w:rFonts w:ascii="宋体" w:hAnsi="宋体" w:cs="宋体" w:eastAsia="宋体" w:hint="default"/>
                <w:sz w:val="18"/>
                <w:szCs w:val="18"/>
              </w:rPr>
            </w:pPr>
            <w:r>
              <w:rPr>
                <w:rFonts w:ascii="宋体" w:hAnsi="宋体" w:cs="宋体" w:eastAsia="宋体" w:hint="default"/>
                <w:sz w:val="18"/>
                <w:szCs w:val="18"/>
              </w:rPr>
              <w:t>（如 有）</w:t>
            </w:r>
          </w:p>
        </w:tc>
        <w:tc>
          <w:tcPr>
            <w:tcW w:w="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3" w:right="42" w:hanging="180"/>
              <w:jc w:val="left"/>
              <w:rPr>
                <w:rFonts w:ascii="宋体" w:hAnsi="宋体" w:cs="宋体" w:eastAsia="宋体" w:hint="default"/>
                <w:sz w:val="18"/>
                <w:szCs w:val="18"/>
              </w:rPr>
            </w:pPr>
            <w:r>
              <w:rPr>
                <w:rFonts w:ascii="宋体" w:hAnsi="宋体" w:cs="宋体" w:eastAsia="宋体" w:hint="default"/>
                <w:sz w:val="18"/>
                <w:szCs w:val="18"/>
              </w:rPr>
              <w:t>定价原 则</w:t>
            </w:r>
          </w:p>
        </w:tc>
        <w:tc>
          <w:tcPr>
            <w:tcW w:w="6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316" w:lineRule="auto"/>
              <w:ind w:left="43" w:right="43"/>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6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43" w:right="43"/>
              <w:jc w:val="left"/>
              <w:rPr>
                <w:rFonts w:ascii="宋体" w:hAnsi="宋体" w:cs="宋体" w:eastAsia="宋体" w:hint="default"/>
                <w:sz w:val="18"/>
                <w:szCs w:val="18"/>
              </w:rPr>
            </w:pPr>
            <w:r>
              <w:rPr>
                <w:rFonts w:ascii="宋体" w:hAnsi="宋体" w:cs="宋体" w:eastAsia="宋体" w:hint="default"/>
                <w:sz w:val="18"/>
                <w:szCs w:val="18"/>
              </w:rPr>
              <w:t>是否关 联交易</w:t>
            </w:r>
          </w:p>
        </w:tc>
        <w:tc>
          <w:tcPr>
            <w:tcW w:w="6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3" w:right="42"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6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3" w:right="43"/>
              <w:jc w:val="both"/>
              <w:rPr>
                <w:rFonts w:ascii="宋体" w:hAnsi="宋体" w:cs="宋体" w:eastAsia="宋体" w:hint="default"/>
                <w:sz w:val="18"/>
                <w:szCs w:val="18"/>
              </w:rPr>
            </w:pPr>
            <w:r>
              <w:rPr>
                <w:rFonts w:ascii="宋体" w:hAnsi="宋体" w:cs="宋体" w:eastAsia="宋体" w:hint="default"/>
                <w:sz w:val="18"/>
                <w:szCs w:val="18"/>
              </w:rPr>
              <w:t>截至报 告期末 的执行 情况</w:t>
            </w:r>
          </w:p>
        </w:tc>
        <w:tc>
          <w:tcPr>
            <w:tcW w:w="6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9"/>
              <w:ind w:left="223" w:right="43" w:hanging="180"/>
              <w:jc w:val="left"/>
              <w:rPr>
                <w:rFonts w:ascii="宋体" w:hAnsi="宋体" w:cs="宋体" w:eastAsia="宋体" w:hint="default"/>
                <w:sz w:val="18"/>
                <w:szCs w:val="18"/>
              </w:rPr>
            </w:pPr>
            <w:r>
              <w:rPr>
                <w:rFonts w:ascii="宋体" w:hAnsi="宋体" w:cs="宋体" w:eastAsia="宋体" w:hint="default"/>
                <w:sz w:val="18"/>
                <w:szCs w:val="18"/>
              </w:rPr>
              <w:t>披露日 期</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1"/>
                <w:szCs w:val="21"/>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披露索引</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36"/>
        <w:gridCol w:w="640"/>
        <w:gridCol w:w="638"/>
        <w:gridCol w:w="640"/>
        <w:gridCol w:w="640"/>
        <w:gridCol w:w="638"/>
        <w:gridCol w:w="640"/>
        <w:gridCol w:w="638"/>
        <w:gridCol w:w="637"/>
        <w:gridCol w:w="638"/>
        <w:gridCol w:w="638"/>
        <w:gridCol w:w="637"/>
        <w:gridCol w:w="638"/>
        <w:gridCol w:w="638"/>
        <w:gridCol w:w="1553"/>
      </w:tblGrid>
      <w:tr>
        <w:trPr>
          <w:trHeight w:val="986" w:hRule="exact"/>
        </w:trPr>
        <w:tc>
          <w:tcPr>
            <w:tcW w:w="63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4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4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3" w:right="20"/>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2" w:right="20"/>
              <w:jc w:val="center"/>
              <w:rPr>
                <w:rFonts w:ascii="宋体" w:hAnsi="宋体" w:cs="宋体" w:eastAsia="宋体" w:hint="default"/>
                <w:sz w:val="18"/>
                <w:szCs w:val="18"/>
              </w:rPr>
            </w:pPr>
            <w:r>
              <w:rPr>
                <w:rFonts w:ascii="宋体" w:hAnsi="宋体" w:cs="宋体" w:eastAsia="宋体" w:hint="default"/>
                <w:sz w:val="18"/>
                <w:szCs w:val="18"/>
              </w:rPr>
              <w:t>（万 </w:t>
            </w:r>
            <w:r>
              <w:rPr>
                <w:rFonts w:ascii="宋体" w:hAnsi="宋体" w:cs="宋体" w:eastAsia="宋体" w:hint="default"/>
                <w:spacing w:val="-35"/>
                <w:sz w:val="18"/>
                <w:szCs w:val="18"/>
              </w:rPr>
              <w:t>元）（如</w:t>
            </w:r>
            <w:r>
              <w:rPr>
                <w:rFonts w:ascii="宋体" w:hAnsi="宋体" w:cs="宋体" w:eastAsia="宋体" w:hint="default"/>
                <w:sz w:val="18"/>
                <w:szCs w:val="18"/>
              </w:rPr>
              <w:t> 有）</w:t>
            </w:r>
          </w:p>
        </w:tc>
        <w:tc>
          <w:tcPr>
            <w:tcW w:w="64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3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3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3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57" w:hRule="exact"/>
        </w:trPr>
        <w:tc>
          <w:tcPr>
            <w:tcW w:w="636"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甲方委</w:t>
            </w:r>
          </w:p>
        </w:tc>
        <w:tc>
          <w:tcPr>
            <w:tcW w:w="640" w:type="dxa"/>
            <w:tcBorders>
              <w:top w:val="single" w:sz="4" w:space="0" w:color="000000"/>
              <w:left w:val="single" w:sz="4" w:space="0" w:color="000000"/>
              <w:bottom w:val="nil" w:sz="6" w:space="0" w:color="auto"/>
              <w:right w:val="single" w:sz="4" w:space="0" w:color="000000"/>
            </w:tcBorders>
          </w:tcPr>
          <w:p>
            <w:pPr/>
          </w:p>
        </w:tc>
        <w:tc>
          <w:tcPr>
            <w:tcW w:w="640"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1553" w:type="dxa"/>
            <w:tcBorders>
              <w:top w:val="single" w:sz="4" w:space="0" w:color="000000"/>
              <w:left w:val="single" w:sz="4" w:space="0" w:color="000000"/>
              <w:bottom w:val="nil" w:sz="6" w:space="0" w:color="auto"/>
              <w:right w:val="single" w:sz="4" w:space="0" w:color="000000"/>
            </w:tcBorders>
          </w:tcPr>
          <w:p>
            <w:pPr/>
          </w:p>
        </w:tc>
      </w:tr>
      <w:tr>
        <w:trPr>
          <w:trHeight w:val="2496" w:hRule="exact"/>
        </w:trPr>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61"/>
              <w:jc w:val="both"/>
              <w:rPr>
                <w:rFonts w:ascii="宋体" w:hAnsi="宋体" w:cs="宋体" w:eastAsia="宋体" w:hint="default"/>
                <w:sz w:val="18"/>
                <w:szCs w:val="18"/>
              </w:rPr>
            </w:pPr>
            <w:r>
              <w:rPr>
                <w:rFonts w:ascii="宋体" w:hAnsi="宋体" w:cs="宋体" w:eastAsia="宋体" w:hint="default"/>
                <w:sz w:val="18"/>
                <w:szCs w:val="18"/>
              </w:rPr>
              <w:t>上海榕 基软件 开发有 限公司</w:t>
            </w:r>
          </w:p>
          <w:p>
            <w:pPr>
              <w:pStyle w:val="TableParagraph"/>
              <w:spacing w:line="319" w:lineRule="auto" w:before="19"/>
              <w:ind w:left="22" w:right="241"/>
              <w:jc w:val="left"/>
              <w:rPr>
                <w:rFonts w:ascii="宋体" w:hAnsi="宋体" w:cs="宋体" w:eastAsia="宋体" w:hint="default"/>
                <w:sz w:val="18"/>
                <w:szCs w:val="18"/>
              </w:rPr>
            </w:pPr>
            <w:r>
              <w:rPr>
                <w:rFonts w:ascii="宋体" w:hAnsi="宋体" w:cs="宋体" w:eastAsia="宋体" w:hint="default"/>
                <w:sz w:val="18"/>
                <w:szCs w:val="18"/>
              </w:rPr>
              <w:t>（甲 方）</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2" w:right="65"/>
              <w:jc w:val="both"/>
              <w:rPr>
                <w:rFonts w:ascii="宋体" w:hAnsi="宋体" w:cs="宋体" w:eastAsia="宋体" w:hint="default"/>
                <w:sz w:val="18"/>
                <w:szCs w:val="18"/>
              </w:rPr>
            </w:pPr>
            <w:r>
              <w:rPr>
                <w:rFonts w:ascii="宋体" w:hAnsi="宋体" w:cs="宋体" w:eastAsia="宋体" w:hint="default"/>
                <w:sz w:val="18"/>
                <w:szCs w:val="18"/>
              </w:rPr>
              <w:t>上海金 洹工程 建设有 限公司</w:t>
            </w:r>
          </w:p>
          <w:p>
            <w:pPr>
              <w:pStyle w:val="TableParagraph"/>
              <w:spacing w:line="319" w:lineRule="auto" w:before="19"/>
              <w:ind w:left="22" w:right="245"/>
              <w:jc w:val="left"/>
              <w:rPr>
                <w:rFonts w:ascii="宋体" w:hAnsi="宋体" w:cs="宋体" w:eastAsia="宋体" w:hint="default"/>
                <w:sz w:val="18"/>
                <w:szCs w:val="18"/>
              </w:rPr>
            </w:pPr>
            <w:r>
              <w:rPr>
                <w:rFonts w:ascii="宋体" w:hAnsi="宋体" w:cs="宋体" w:eastAsia="宋体" w:hint="default"/>
                <w:sz w:val="18"/>
                <w:szCs w:val="18"/>
              </w:rPr>
              <w:t>（乙 方）</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65"/>
              <w:jc w:val="both"/>
              <w:rPr>
                <w:rFonts w:ascii="宋体" w:hAnsi="宋体" w:cs="宋体" w:eastAsia="宋体" w:hint="default"/>
                <w:sz w:val="18"/>
                <w:szCs w:val="18"/>
              </w:rPr>
            </w:pPr>
            <w:r>
              <w:rPr>
                <w:rFonts w:ascii="宋体" w:hAnsi="宋体" w:cs="宋体" w:eastAsia="宋体" w:hint="default"/>
                <w:sz w:val="18"/>
                <w:szCs w:val="18"/>
              </w:rPr>
              <w:t>托乙方 在上海 松江建 设上海 榕基软 件研发 及人才 培训基</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Arial" w:hAnsi="Arial" w:cs="Arial" w:eastAsia="Arial" w:hint="default"/>
                <w:sz w:val="18"/>
                <w:szCs w:val="18"/>
              </w:rPr>
            </w:pPr>
            <w:r>
              <w:rPr>
                <w:rFonts w:ascii="Arial"/>
                <w:sz w:val="18"/>
              </w:rPr>
              <w:t>2017</w:t>
            </w:r>
          </w:p>
          <w:p>
            <w:pPr>
              <w:pStyle w:val="TableParagraph"/>
              <w:spacing w:line="240" w:lineRule="auto" w:before="63"/>
              <w:ind w:left="22" w:right="0"/>
              <w:jc w:val="left"/>
              <w:rPr>
                <w:rFonts w:ascii="Arial" w:hAnsi="Arial" w:cs="Arial" w:eastAsia="Arial"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08</w:t>
            </w:r>
          </w:p>
          <w:p>
            <w:pPr>
              <w:pStyle w:val="TableParagraph"/>
              <w:spacing w:line="240" w:lineRule="auto" w:before="63"/>
              <w:ind w:left="22" w:right="0"/>
              <w:jc w:val="left"/>
              <w:rPr>
                <w:rFonts w:ascii="Arial" w:hAnsi="Arial" w:cs="Arial" w:eastAsia="Arial"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23</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招标</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54" w:right="0"/>
              <w:jc w:val="left"/>
              <w:rPr>
                <w:rFonts w:ascii="Arial" w:hAnsi="Arial" w:cs="Arial" w:eastAsia="Arial" w:hint="default"/>
                <w:sz w:val="18"/>
                <w:szCs w:val="18"/>
              </w:rPr>
            </w:pPr>
            <w:r>
              <w:rPr>
                <w:rFonts w:ascii="Arial"/>
                <w:sz w:val="18"/>
              </w:rPr>
              <w:t>20,155</w:t>
            </w:r>
          </w:p>
          <w:p>
            <w:pPr>
              <w:pStyle w:val="TableParagraph"/>
              <w:spacing w:line="240" w:lineRule="auto" w:before="105"/>
              <w:ind w:left="368" w:right="0"/>
              <w:jc w:val="left"/>
              <w:rPr>
                <w:rFonts w:ascii="Arial" w:hAnsi="Arial" w:cs="Arial" w:eastAsia="Arial" w:hint="default"/>
                <w:sz w:val="18"/>
                <w:szCs w:val="18"/>
              </w:rPr>
            </w:pPr>
            <w:r>
              <w:rPr>
                <w:rFonts w:ascii="Arial"/>
                <w:spacing w:val="-5"/>
                <w:sz w:val="18"/>
              </w:rPr>
              <w:t>.11</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9"/>
              <w:ind w:left="22" w:right="65"/>
              <w:jc w:val="left"/>
              <w:rPr>
                <w:rFonts w:ascii="宋体" w:hAnsi="宋体" w:cs="宋体" w:eastAsia="宋体" w:hint="default"/>
                <w:sz w:val="18"/>
                <w:szCs w:val="18"/>
              </w:rPr>
            </w:pPr>
            <w:r>
              <w:rPr>
                <w:rFonts w:ascii="宋体" w:hAnsi="宋体" w:cs="宋体" w:eastAsia="宋体" w:hint="default"/>
                <w:sz w:val="18"/>
                <w:szCs w:val="18"/>
              </w:rPr>
              <w:t>合同履 行中。</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Arial" w:hAnsi="Arial" w:cs="Arial" w:eastAsia="Arial" w:hint="default"/>
                <w:sz w:val="18"/>
                <w:szCs w:val="18"/>
              </w:rPr>
            </w:pPr>
            <w:r>
              <w:rPr>
                <w:rFonts w:ascii="Arial"/>
                <w:sz w:val="18"/>
              </w:rPr>
              <w:t>2017</w:t>
            </w:r>
          </w:p>
          <w:p>
            <w:pPr>
              <w:pStyle w:val="TableParagraph"/>
              <w:spacing w:line="240" w:lineRule="auto" w:before="63"/>
              <w:ind w:left="22" w:right="0"/>
              <w:jc w:val="left"/>
              <w:rPr>
                <w:rFonts w:ascii="Arial" w:hAnsi="Arial" w:cs="Arial" w:eastAsia="Arial"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08</w:t>
            </w:r>
          </w:p>
          <w:p>
            <w:pPr>
              <w:pStyle w:val="TableParagraph"/>
              <w:spacing w:line="240" w:lineRule="auto" w:before="63"/>
              <w:ind w:left="22" w:right="0"/>
              <w:jc w:val="left"/>
              <w:rPr>
                <w:rFonts w:ascii="Arial" w:hAnsi="Arial" w:cs="Arial" w:eastAsia="Arial"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24</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53"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60" w:lineRule="auto"/>
              <w:ind w:left="22" w:right="107"/>
              <w:jc w:val="both"/>
              <w:rPr>
                <w:rFonts w:ascii="Arial" w:hAnsi="Arial" w:cs="Arial" w:eastAsia="Arial" w:hint="default"/>
                <w:sz w:val="18"/>
                <w:szCs w:val="18"/>
              </w:rPr>
            </w:pPr>
            <w:r>
              <w:rPr>
                <w:rFonts w:ascii="Arial"/>
                <w:spacing w:val="-1"/>
                <w:sz w:val="18"/>
              </w:rPr>
              <w:t>http://www.cninfo.</w:t>
            </w:r>
            <w:r>
              <w:rPr>
                <w:rFonts w:ascii="Arial"/>
                <w:spacing w:val="-46"/>
                <w:sz w:val="18"/>
              </w:rPr>
              <w:t> </w:t>
            </w:r>
            <w:r>
              <w:rPr>
                <w:rFonts w:ascii="Arial"/>
                <w:spacing w:val="-46"/>
                <w:sz w:val="18"/>
              </w:rPr>
            </w:r>
            <w:r>
              <w:rPr>
                <w:rFonts w:ascii="Arial"/>
                <w:sz w:val="18"/>
              </w:rPr>
              <w:t>com.cn/cninfo-ne</w:t>
            </w:r>
            <w:r>
              <w:rPr>
                <w:rFonts w:ascii="Arial"/>
                <w:spacing w:val="-1"/>
                <w:sz w:val="18"/>
              </w:rPr>
              <w:t> </w:t>
            </w:r>
            <w:r>
              <w:rPr>
                <w:rFonts w:ascii="Arial"/>
                <w:sz w:val="18"/>
              </w:rPr>
              <w:t>w/disclosure/szse</w:t>
            </w:r>
          </w:p>
          <w:p>
            <w:pPr>
              <w:pStyle w:val="TableParagraph"/>
              <w:spacing w:line="362" w:lineRule="auto" w:before="4"/>
              <w:ind w:left="22" w:right="29"/>
              <w:jc w:val="left"/>
              <w:rPr>
                <w:rFonts w:ascii="Arial" w:hAnsi="Arial" w:cs="Arial" w:eastAsia="Arial" w:hint="default"/>
                <w:sz w:val="18"/>
                <w:szCs w:val="18"/>
              </w:rPr>
            </w:pPr>
            <w:r>
              <w:rPr>
                <w:rFonts w:ascii="Arial"/>
                <w:sz w:val="18"/>
              </w:rPr>
              <w:t>_sme/bulletin_det</w:t>
            </w:r>
            <w:r>
              <w:rPr>
                <w:rFonts w:ascii="Arial"/>
                <w:spacing w:val="-1"/>
                <w:sz w:val="18"/>
              </w:rPr>
              <w:t> </w:t>
            </w:r>
            <w:r>
              <w:rPr>
                <w:rFonts w:ascii="Arial"/>
                <w:sz w:val="18"/>
              </w:rPr>
              <w:t>ail/true/120385449</w:t>
            </w:r>
            <w:r>
              <w:rPr>
                <w:rFonts w:ascii="Arial"/>
                <w:spacing w:val="-1"/>
                <w:sz w:val="18"/>
              </w:rPr>
              <w:t> </w:t>
            </w:r>
            <w:r>
              <w:rPr>
                <w:rFonts w:ascii="Arial"/>
                <w:spacing w:val="-2"/>
                <w:sz w:val="18"/>
              </w:rPr>
              <w:t>6?announceTime=</w:t>
            </w:r>
            <w:r>
              <w:rPr>
                <w:rFonts w:ascii="Arial"/>
                <w:spacing w:val="-36"/>
                <w:sz w:val="18"/>
              </w:rPr>
              <w:t> </w:t>
            </w:r>
            <w:r>
              <w:rPr>
                <w:rFonts w:ascii="Arial"/>
                <w:spacing w:val="-36"/>
                <w:sz w:val="18"/>
              </w:rPr>
            </w:r>
            <w:r>
              <w:rPr>
                <w:rFonts w:ascii="Arial"/>
                <w:sz w:val="18"/>
              </w:rPr>
              <w:t>2017-08-24</w:t>
            </w:r>
          </w:p>
        </w:tc>
      </w:tr>
      <w:tr>
        <w:trPr>
          <w:trHeight w:val="357" w:hRule="exact"/>
        </w:trPr>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地</w:t>
            </w:r>
          </w:p>
        </w:tc>
        <w:tc>
          <w:tcPr>
            <w:tcW w:w="640" w:type="dxa"/>
            <w:tcBorders>
              <w:top w:val="nil" w:sz="6" w:space="0" w:color="auto"/>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1553" w:type="dxa"/>
            <w:tcBorders>
              <w:top w:val="nil" w:sz="6" w:space="0" w:color="auto"/>
              <w:left w:val="single" w:sz="4" w:space="0" w:color="000000"/>
              <w:bottom w:val="single" w:sz="4" w:space="0" w:color="000000"/>
              <w:right w:val="single" w:sz="4" w:space="0" w:color="000000"/>
            </w:tcBorders>
          </w:tcPr>
          <w:p>
            <w:pPr/>
          </w:p>
        </w:tc>
      </w:tr>
      <w:tr>
        <w:trPr>
          <w:trHeight w:val="2274"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61"/>
              <w:jc w:val="both"/>
              <w:rPr>
                <w:rFonts w:ascii="宋体" w:hAnsi="宋体" w:cs="宋体" w:eastAsia="宋体" w:hint="default"/>
                <w:sz w:val="18"/>
                <w:szCs w:val="18"/>
              </w:rPr>
            </w:pPr>
            <w:r>
              <w:rPr>
                <w:rFonts w:ascii="宋体" w:hAnsi="宋体" w:cs="宋体" w:eastAsia="宋体" w:hint="default"/>
                <w:sz w:val="18"/>
                <w:szCs w:val="18"/>
              </w:rPr>
              <w:t>信阳榕 基信息 技术有 限公司</w:t>
            </w:r>
          </w:p>
          <w:p>
            <w:pPr>
              <w:pStyle w:val="TableParagraph"/>
              <w:spacing w:line="319" w:lineRule="auto" w:before="19"/>
              <w:ind w:left="22" w:right="241"/>
              <w:jc w:val="left"/>
              <w:rPr>
                <w:rFonts w:ascii="宋体" w:hAnsi="宋体" w:cs="宋体" w:eastAsia="宋体" w:hint="default"/>
                <w:sz w:val="18"/>
                <w:szCs w:val="18"/>
              </w:rPr>
            </w:pPr>
            <w:r>
              <w:rPr>
                <w:rFonts w:ascii="宋体" w:hAnsi="宋体" w:cs="宋体" w:eastAsia="宋体" w:hint="default"/>
                <w:sz w:val="18"/>
                <w:szCs w:val="18"/>
              </w:rPr>
              <w:t>（甲 方）</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2" w:right="65"/>
              <w:jc w:val="both"/>
              <w:rPr>
                <w:rFonts w:ascii="宋体" w:hAnsi="宋体" w:cs="宋体" w:eastAsia="宋体" w:hint="default"/>
                <w:sz w:val="18"/>
                <w:szCs w:val="18"/>
              </w:rPr>
            </w:pPr>
            <w:r>
              <w:rPr>
                <w:rFonts w:ascii="宋体" w:hAnsi="宋体" w:cs="宋体" w:eastAsia="宋体" w:hint="default"/>
                <w:sz w:val="18"/>
                <w:szCs w:val="18"/>
              </w:rPr>
              <w:t>中铁建 设集团 有限公 司（乙 方）</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both"/>
              <w:rPr>
                <w:rFonts w:ascii="宋体" w:hAnsi="宋体" w:cs="宋体" w:eastAsia="宋体" w:hint="default"/>
                <w:sz w:val="18"/>
                <w:szCs w:val="18"/>
              </w:rPr>
            </w:pPr>
            <w:r>
              <w:rPr>
                <w:rFonts w:ascii="宋体" w:hAnsi="宋体" w:cs="宋体" w:eastAsia="宋体" w:hint="default"/>
                <w:sz w:val="18"/>
                <w:szCs w:val="18"/>
              </w:rPr>
              <w:t>甲方委 托乙方 在信阳 建设信 阳榕基 软件园 区</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Arial" w:hAnsi="Arial" w:cs="Arial" w:eastAsia="Arial" w:hint="default"/>
                <w:sz w:val="18"/>
                <w:szCs w:val="18"/>
              </w:rPr>
            </w:pPr>
            <w:r>
              <w:rPr>
                <w:rFonts w:ascii="Arial"/>
                <w:sz w:val="18"/>
              </w:rPr>
              <w:t>2016</w:t>
            </w:r>
          </w:p>
          <w:p>
            <w:pPr>
              <w:pStyle w:val="TableParagraph"/>
              <w:spacing w:line="240" w:lineRule="auto" w:before="63"/>
              <w:ind w:left="22" w:right="0"/>
              <w:jc w:val="left"/>
              <w:rPr>
                <w:rFonts w:ascii="Arial" w:hAnsi="Arial" w:cs="Arial" w:eastAsia="Arial"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09</w:t>
            </w:r>
          </w:p>
          <w:p>
            <w:pPr>
              <w:pStyle w:val="TableParagraph"/>
              <w:spacing w:line="240" w:lineRule="auto" w:before="63"/>
              <w:ind w:left="22" w:right="0"/>
              <w:jc w:val="left"/>
              <w:rPr>
                <w:rFonts w:ascii="Arial" w:hAnsi="Arial" w:cs="Arial" w:eastAsia="Arial"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19</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招标</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67" w:right="0"/>
              <w:jc w:val="left"/>
              <w:rPr>
                <w:rFonts w:ascii="Arial" w:hAnsi="Arial" w:cs="Arial" w:eastAsia="Arial" w:hint="default"/>
                <w:sz w:val="18"/>
                <w:szCs w:val="18"/>
              </w:rPr>
            </w:pPr>
            <w:r>
              <w:rPr>
                <w:rFonts w:ascii="Arial"/>
                <w:spacing w:val="-3"/>
                <w:sz w:val="18"/>
              </w:rPr>
              <w:t>28,311</w:t>
            </w:r>
          </w:p>
          <w:p>
            <w:pPr>
              <w:pStyle w:val="TableParagraph"/>
              <w:spacing w:line="240" w:lineRule="auto" w:before="105"/>
              <w:ind w:left="354" w:right="0"/>
              <w:jc w:val="left"/>
              <w:rPr>
                <w:rFonts w:ascii="Arial" w:hAnsi="Arial" w:cs="Arial" w:eastAsia="Arial" w:hint="default"/>
                <w:sz w:val="18"/>
                <w:szCs w:val="18"/>
              </w:rPr>
            </w:pPr>
            <w:r>
              <w:rPr>
                <w:rFonts w:ascii="Arial"/>
                <w:sz w:val="18"/>
              </w:rPr>
              <w:t>.46</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合同履 行中。</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2" w:right="0"/>
              <w:jc w:val="left"/>
              <w:rPr>
                <w:rFonts w:ascii="Arial" w:hAnsi="Arial" w:cs="Arial" w:eastAsia="Arial" w:hint="default"/>
                <w:sz w:val="18"/>
                <w:szCs w:val="18"/>
              </w:rPr>
            </w:pPr>
            <w:r>
              <w:rPr>
                <w:rFonts w:ascii="Arial"/>
                <w:sz w:val="18"/>
              </w:rPr>
              <w:t>2016</w:t>
            </w:r>
          </w:p>
          <w:p>
            <w:pPr>
              <w:pStyle w:val="TableParagraph"/>
              <w:spacing w:line="240" w:lineRule="auto" w:before="63"/>
              <w:ind w:left="22" w:right="0"/>
              <w:jc w:val="left"/>
              <w:rPr>
                <w:rFonts w:ascii="Arial" w:hAnsi="Arial" w:cs="Arial" w:eastAsia="Arial"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09</w:t>
            </w:r>
          </w:p>
          <w:p>
            <w:pPr>
              <w:pStyle w:val="TableParagraph"/>
              <w:spacing w:line="240" w:lineRule="auto" w:before="63"/>
              <w:ind w:left="22" w:right="0"/>
              <w:jc w:val="left"/>
              <w:rPr>
                <w:rFonts w:ascii="Arial" w:hAnsi="Arial" w:cs="Arial" w:eastAsia="Arial"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20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2" w:right="107"/>
              <w:jc w:val="both"/>
              <w:rPr>
                <w:rFonts w:ascii="Arial" w:hAnsi="Arial" w:cs="Arial" w:eastAsia="Arial" w:hint="default"/>
                <w:sz w:val="18"/>
                <w:szCs w:val="18"/>
              </w:rPr>
            </w:pPr>
            <w:r>
              <w:rPr>
                <w:rFonts w:ascii="Arial"/>
                <w:spacing w:val="-1"/>
                <w:sz w:val="18"/>
              </w:rPr>
              <w:t>http://www.cninfo.</w:t>
            </w:r>
            <w:r>
              <w:rPr>
                <w:rFonts w:ascii="Arial"/>
                <w:spacing w:val="-46"/>
                <w:sz w:val="18"/>
              </w:rPr>
              <w:t> </w:t>
            </w:r>
            <w:r>
              <w:rPr>
                <w:rFonts w:ascii="Arial"/>
                <w:spacing w:val="-46"/>
                <w:sz w:val="18"/>
              </w:rPr>
            </w:r>
            <w:r>
              <w:rPr>
                <w:rFonts w:ascii="Arial"/>
                <w:sz w:val="18"/>
              </w:rPr>
              <w:t>com.cn/cninfo-ne</w:t>
            </w:r>
            <w:r>
              <w:rPr>
                <w:rFonts w:ascii="Arial"/>
                <w:spacing w:val="-1"/>
                <w:sz w:val="18"/>
              </w:rPr>
              <w:t> </w:t>
            </w:r>
            <w:r>
              <w:rPr>
                <w:rFonts w:ascii="Arial"/>
                <w:sz w:val="18"/>
              </w:rPr>
              <w:t>w/disclosure/szse</w:t>
            </w:r>
          </w:p>
          <w:p>
            <w:pPr>
              <w:pStyle w:val="TableParagraph"/>
              <w:spacing w:line="362" w:lineRule="auto" w:before="4"/>
              <w:ind w:left="22" w:right="29"/>
              <w:jc w:val="left"/>
              <w:rPr>
                <w:rFonts w:ascii="Arial" w:hAnsi="Arial" w:cs="Arial" w:eastAsia="Arial" w:hint="default"/>
                <w:sz w:val="18"/>
                <w:szCs w:val="18"/>
              </w:rPr>
            </w:pPr>
            <w:r>
              <w:rPr>
                <w:rFonts w:ascii="Arial"/>
                <w:sz w:val="18"/>
              </w:rPr>
              <w:t>_sme/bulletin_det</w:t>
            </w:r>
            <w:r>
              <w:rPr>
                <w:rFonts w:ascii="Arial"/>
                <w:spacing w:val="-1"/>
                <w:sz w:val="18"/>
              </w:rPr>
              <w:t> </w:t>
            </w:r>
            <w:r>
              <w:rPr>
                <w:rFonts w:ascii="Arial"/>
                <w:sz w:val="18"/>
              </w:rPr>
              <w:t>ail/true/120270765</w:t>
            </w:r>
            <w:r>
              <w:rPr>
                <w:rFonts w:ascii="Arial"/>
                <w:spacing w:val="-1"/>
                <w:sz w:val="18"/>
              </w:rPr>
              <w:t> </w:t>
            </w:r>
            <w:r>
              <w:rPr>
                <w:rFonts w:ascii="Arial"/>
                <w:spacing w:val="-2"/>
                <w:sz w:val="18"/>
              </w:rPr>
              <w:t>9?announceTime=</w:t>
            </w:r>
            <w:r>
              <w:rPr>
                <w:rFonts w:ascii="Arial"/>
                <w:spacing w:val="-36"/>
                <w:sz w:val="18"/>
              </w:rPr>
              <w:t> </w:t>
            </w:r>
            <w:r>
              <w:rPr>
                <w:rFonts w:ascii="Arial"/>
                <w:spacing w:val="-36"/>
                <w:sz w:val="18"/>
              </w:rPr>
            </w:r>
            <w:r>
              <w:rPr>
                <w:rFonts w:ascii="Arial"/>
                <w:sz w:val="18"/>
              </w:rPr>
              <w:t>2016-09-20</w:t>
            </w:r>
          </w:p>
        </w:tc>
      </w:tr>
      <w:tr>
        <w:trPr>
          <w:trHeight w:val="2898"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316" w:lineRule="auto"/>
              <w:ind w:left="22" w:right="61"/>
              <w:jc w:val="both"/>
              <w:rPr>
                <w:rFonts w:ascii="宋体" w:hAnsi="宋体" w:cs="宋体" w:eastAsia="宋体" w:hint="default"/>
                <w:sz w:val="18"/>
                <w:szCs w:val="18"/>
              </w:rPr>
            </w:pPr>
            <w:r>
              <w:rPr>
                <w:rFonts w:ascii="宋体" w:hAnsi="宋体" w:cs="宋体" w:eastAsia="宋体" w:hint="default"/>
                <w:sz w:val="18"/>
                <w:szCs w:val="18"/>
              </w:rPr>
              <w:t>福建榕 基软件 股份有 限公司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北京海 圣投资 基金管 理有限 公司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马鞍山 榕基软 件信息 科技有 限公司</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Arial" w:hAnsi="Arial" w:cs="Arial" w:eastAsia="Arial" w:hint="default"/>
                <w:sz w:val="18"/>
                <w:szCs w:val="18"/>
              </w:rPr>
            </w:pPr>
            <w:r>
              <w:rPr>
                <w:rFonts w:ascii="Arial"/>
                <w:sz w:val="18"/>
              </w:rPr>
              <w:t>2018</w:t>
            </w:r>
          </w:p>
          <w:p>
            <w:pPr>
              <w:pStyle w:val="TableParagraph"/>
              <w:spacing w:line="240" w:lineRule="auto" w:before="63"/>
              <w:ind w:left="22" w:right="0"/>
              <w:jc w:val="left"/>
              <w:rPr>
                <w:rFonts w:ascii="Arial" w:hAnsi="Arial" w:cs="Arial" w:eastAsia="Arial"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07</w:t>
            </w:r>
          </w:p>
          <w:p>
            <w:pPr>
              <w:pStyle w:val="TableParagraph"/>
              <w:spacing w:line="240" w:lineRule="auto" w:before="63"/>
              <w:ind w:left="22" w:right="0"/>
              <w:jc w:val="left"/>
              <w:rPr>
                <w:rFonts w:ascii="Arial" w:hAnsi="Arial" w:cs="Arial" w:eastAsia="Arial"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13</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06" w:right="0"/>
              <w:jc w:val="left"/>
              <w:rPr>
                <w:rFonts w:ascii="Arial" w:hAnsi="Arial" w:cs="Arial" w:eastAsia="Arial" w:hint="default"/>
                <w:sz w:val="18"/>
                <w:szCs w:val="18"/>
              </w:rPr>
            </w:pPr>
            <w:r>
              <w:rPr>
                <w:rFonts w:ascii="Arial"/>
                <w:sz w:val="18"/>
              </w:rPr>
              <w:t>3,367.</w:t>
            </w:r>
          </w:p>
          <w:p>
            <w:pPr>
              <w:pStyle w:val="TableParagraph"/>
              <w:spacing w:line="240" w:lineRule="auto" w:before="105"/>
              <w:ind w:left="406" w:right="0"/>
              <w:jc w:val="left"/>
              <w:rPr>
                <w:rFonts w:ascii="Arial" w:hAnsi="Arial" w:cs="Arial" w:eastAsia="Arial" w:hint="default"/>
                <w:sz w:val="18"/>
                <w:szCs w:val="18"/>
              </w:rPr>
            </w:pPr>
            <w:r>
              <w:rPr>
                <w:rFonts w:ascii="Arial"/>
                <w:sz w:val="18"/>
              </w:rPr>
              <w:t>09</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105" w:right="0"/>
              <w:jc w:val="left"/>
              <w:rPr>
                <w:rFonts w:ascii="Arial" w:hAnsi="Arial" w:cs="Arial" w:eastAsia="Arial" w:hint="default"/>
                <w:sz w:val="18"/>
                <w:szCs w:val="18"/>
              </w:rPr>
            </w:pPr>
            <w:r>
              <w:rPr>
                <w:rFonts w:ascii="Arial"/>
                <w:sz w:val="18"/>
              </w:rPr>
              <w:t>9,558.</w:t>
            </w:r>
          </w:p>
          <w:p>
            <w:pPr>
              <w:pStyle w:val="TableParagraph"/>
              <w:spacing w:line="240" w:lineRule="auto" w:before="105"/>
              <w:ind w:left="405" w:right="0"/>
              <w:jc w:val="left"/>
              <w:rPr>
                <w:rFonts w:ascii="Arial" w:hAnsi="Arial" w:cs="Arial" w:eastAsia="Arial" w:hint="default"/>
                <w:sz w:val="18"/>
                <w:szCs w:val="18"/>
              </w:rPr>
            </w:pPr>
            <w:r>
              <w:rPr>
                <w:rFonts w:ascii="Arial"/>
                <w:sz w:val="18"/>
              </w:rPr>
              <w:t>03</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65"/>
              <w:jc w:val="both"/>
              <w:rPr>
                <w:rFonts w:ascii="宋体" w:hAnsi="宋体" w:cs="宋体" w:eastAsia="宋体" w:hint="default"/>
                <w:sz w:val="18"/>
                <w:szCs w:val="18"/>
              </w:rPr>
            </w:pPr>
            <w:r>
              <w:rPr>
                <w:rFonts w:ascii="宋体" w:hAnsi="宋体" w:cs="宋体" w:eastAsia="宋体" w:hint="default"/>
                <w:sz w:val="18"/>
                <w:szCs w:val="18"/>
              </w:rPr>
              <w:t>厦门市 大学资 产评估 土地房 地产估 价有限 责任公 司</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Arial" w:hAnsi="Arial" w:cs="Arial" w:eastAsia="Arial" w:hint="default"/>
                <w:sz w:val="18"/>
                <w:szCs w:val="18"/>
              </w:rPr>
            </w:pPr>
            <w:r>
              <w:rPr>
                <w:rFonts w:ascii="Arial"/>
                <w:sz w:val="18"/>
              </w:rPr>
              <w:t>2018</w:t>
            </w:r>
          </w:p>
          <w:p>
            <w:pPr>
              <w:pStyle w:val="TableParagraph"/>
              <w:spacing w:line="240" w:lineRule="auto" w:before="63"/>
              <w:ind w:left="22" w:right="0"/>
              <w:jc w:val="left"/>
              <w:rPr>
                <w:rFonts w:ascii="Arial" w:hAnsi="Arial" w:cs="Arial" w:eastAsia="Arial"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05</w:t>
            </w:r>
          </w:p>
          <w:p>
            <w:pPr>
              <w:pStyle w:val="TableParagraph"/>
              <w:spacing w:line="240" w:lineRule="auto" w:before="63"/>
              <w:ind w:left="22" w:right="0"/>
              <w:jc w:val="left"/>
              <w:rPr>
                <w:rFonts w:ascii="Arial" w:hAnsi="Arial" w:cs="Arial" w:eastAsia="Arial"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31</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招标</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40" w:lineRule="auto"/>
              <w:ind w:right="23"/>
              <w:jc w:val="right"/>
              <w:rPr>
                <w:rFonts w:ascii="Arial" w:hAnsi="Arial" w:cs="Arial" w:eastAsia="Arial" w:hint="default"/>
                <w:sz w:val="18"/>
                <w:szCs w:val="18"/>
              </w:rPr>
            </w:pPr>
            <w:r>
              <w:rPr>
                <w:rFonts w:ascii="Arial"/>
                <w:spacing w:val="-1"/>
                <w:w w:val="95"/>
                <w:sz w:val="18"/>
              </w:rPr>
              <w:t>9,300</w:t>
            </w:r>
            <w:r>
              <w:rPr>
                <w:rFonts w:ascii="Arial"/>
                <w:w w:val="95"/>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2" w:right="0"/>
              <w:jc w:val="left"/>
              <w:rPr>
                <w:rFonts w:ascii="Arial" w:hAnsi="Arial" w:cs="Arial" w:eastAsia="Arial" w:hint="default"/>
                <w:sz w:val="18"/>
                <w:szCs w:val="18"/>
              </w:rPr>
            </w:pPr>
            <w:r>
              <w:rPr>
                <w:rFonts w:ascii="Arial"/>
                <w:sz w:val="18"/>
              </w:rPr>
              <w:t>2019</w:t>
            </w:r>
          </w:p>
          <w:p>
            <w:pPr>
              <w:pStyle w:val="TableParagraph"/>
              <w:spacing w:line="240" w:lineRule="auto" w:before="63"/>
              <w:ind w:left="22" w:right="0"/>
              <w:jc w:val="left"/>
              <w:rPr>
                <w:rFonts w:ascii="Arial" w:hAnsi="Arial" w:cs="Arial" w:eastAsia="Arial"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12</w:t>
            </w:r>
          </w:p>
          <w:p>
            <w:pPr>
              <w:pStyle w:val="TableParagraph"/>
              <w:spacing w:line="309" w:lineRule="auto" w:before="63"/>
              <w:ind w:left="22" w:right="65"/>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31</w:t>
            </w:r>
            <w:r>
              <w:rPr>
                <w:rFonts w:ascii="Arial" w:hAnsi="Arial" w:cs="Arial" w:eastAsia="Arial" w:hint="default"/>
                <w:spacing w:val="-1"/>
                <w:sz w:val="18"/>
                <w:szCs w:val="18"/>
              </w:rPr>
              <w:t> </w:t>
            </w:r>
            <w:r>
              <w:rPr>
                <w:rFonts w:ascii="宋体" w:hAnsi="宋体" w:cs="宋体" w:eastAsia="宋体" w:hint="default"/>
                <w:sz w:val="18"/>
                <w:szCs w:val="18"/>
              </w:rPr>
              <w:t>日终止 合同。</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1"/>
                <w:szCs w:val="21"/>
              </w:rPr>
            </w:pPr>
          </w:p>
          <w:p>
            <w:pPr>
              <w:pStyle w:val="TableParagraph"/>
              <w:spacing w:line="240" w:lineRule="auto"/>
              <w:ind w:left="22" w:right="0"/>
              <w:jc w:val="left"/>
              <w:rPr>
                <w:rFonts w:ascii="Arial" w:hAnsi="Arial" w:cs="Arial" w:eastAsia="Arial" w:hint="default"/>
                <w:sz w:val="18"/>
                <w:szCs w:val="18"/>
              </w:rPr>
            </w:pPr>
            <w:r>
              <w:rPr>
                <w:rFonts w:ascii="Arial"/>
                <w:sz w:val="18"/>
              </w:rPr>
              <w:t>2018</w:t>
            </w:r>
          </w:p>
          <w:p>
            <w:pPr>
              <w:pStyle w:val="TableParagraph"/>
              <w:spacing w:line="240" w:lineRule="auto" w:before="63"/>
              <w:ind w:left="22" w:right="0"/>
              <w:jc w:val="left"/>
              <w:rPr>
                <w:rFonts w:ascii="Arial" w:hAnsi="Arial" w:cs="Arial" w:eastAsia="Arial"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07</w:t>
            </w:r>
          </w:p>
          <w:p>
            <w:pPr>
              <w:pStyle w:val="TableParagraph"/>
              <w:spacing w:line="240" w:lineRule="auto" w:before="63"/>
              <w:ind w:left="22" w:right="0"/>
              <w:jc w:val="left"/>
              <w:rPr>
                <w:rFonts w:ascii="Arial" w:hAnsi="Arial" w:cs="Arial" w:eastAsia="Arial"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20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2" w:right="47"/>
              <w:jc w:val="left"/>
              <w:rPr>
                <w:rFonts w:ascii="Arial" w:hAnsi="Arial" w:cs="Arial" w:eastAsia="Arial" w:hint="default"/>
                <w:sz w:val="18"/>
                <w:szCs w:val="18"/>
              </w:rPr>
            </w:pPr>
            <w:r>
              <w:rPr>
                <w:rFonts w:ascii="Arial"/>
                <w:sz w:val="18"/>
              </w:rPr>
              <w:t>http://www.cninfo. com.cn/new/disclo sure/detail?plate=</w:t>
            </w:r>
            <w:r>
              <w:rPr>
                <w:rFonts w:ascii="Arial"/>
                <w:spacing w:val="-1"/>
                <w:sz w:val="18"/>
              </w:rPr>
              <w:t> </w:t>
            </w:r>
            <w:r>
              <w:rPr>
                <w:rFonts w:ascii="Arial"/>
                <w:sz w:val="18"/>
              </w:rPr>
              <w:t>szse&amp;stockCode=</w:t>
            </w:r>
            <w:r>
              <w:rPr>
                <w:rFonts w:ascii="Arial"/>
                <w:spacing w:val="-1"/>
                <w:sz w:val="18"/>
              </w:rPr>
              <w:t> </w:t>
            </w:r>
            <w:r>
              <w:rPr>
                <w:rFonts w:ascii="Arial"/>
                <w:sz w:val="18"/>
              </w:rPr>
              <w:t>002474&amp;announc</w:t>
            </w:r>
            <w:r>
              <w:rPr>
                <w:rFonts w:ascii="Arial"/>
                <w:sz w:val="18"/>
              </w:rPr>
              <w:t> ementId=1205208</w:t>
            </w:r>
            <w:r>
              <w:rPr>
                <w:rFonts w:ascii="Arial"/>
                <w:spacing w:val="-1"/>
                <w:sz w:val="18"/>
              </w:rPr>
              <w:t> </w:t>
            </w:r>
            <w:r>
              <w:rPr>
                <w:rFonts w:ascii="Arial"/>
                <w:sz w:val="18"/>
              </w:rPr>
              <w:t>002&amp;announceme</w:t>
            </w:r>
            <w:r>
              <w:rPr>
                <w:rFonts w:ascii="Arial"/>
                <w:sz w:val="18"/>
              </w:rPr>
              <w:t> </w:t>
            </w:r>
            <w:r>
              <w:rPr>
                <w:rFonts w:ascii="Arial"/>
                <w:spacing w:val="-2"/>
                <w:sz w:val="18"/>
              </w:rPr>
              <w:t>ntTime=2018-07-2</w:t>
            </w:r>
            <w:r>
              <w:rPr>
                <w:rFonts w:ascii="Arial"/>
                <w:spacing w:val="-37"/>
                <w:sz w:val="18"/>
              </w:rPr>
              <w:t> </w:t>
            </w:r>
            <w:r>
              <w:rPr>
                <w:rFonts w:ascii="Arial"/>
                <w:spacing w:val="-37"/>
                <w:sz w:val="18"/>
              </w:rPr>
            </w:r>
            <w:r>
              <w:rPr>
                <w:rFonts w:ascii="Arial"/>
                <w:sz w:val="18"/>
              </w:rPr>
              <w:t>0</w:t>
            </w:r>
          </w:p>
        </w:tc>
      </w:tr>
      <w:tr>
        <w:trPr>
          <w:trHeight w:val="357" w:hRule="exact"/>
        </w:trPr>
        <w:tc>
          <w:tcPr>
            <w:tcW w:w="636" w:type="dxa"/>
            <w:tcBorders>
              <w:top w:val="single" w:sz="4" w:space="0" w:color="000000"/>
              <w:left w:val="single" w:sz="4" w:space="0" w:color="000000"/>
              <w:bottom w:val="nil" w:sz="6" w:space="0" w:color="auto"/>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甲方委</w:t>
            </w:r>
          </w:p>
        </w:tc>
        <w:tc>
          <w:tcPr>
            <w:tcW w:w="640" w:type="dxa"/>
            <w:tcBorders>
              <w:top w:val="single" w:sz="4" w:space="0" w:color="000000"/>
              <w:left w:val="single" w:sz="4" w:space="0" w:color="000000"/>
              <w:bottom w:val="nil" w:sz="6" w:space="0" w:color="auto"/>
              <w:right w:val="single" w:sz="4" w:space="0" w:color="000000"/>
            </w:tcBorders>
          </w:tcPr>
          <w:p>
            <w:pPr/>
          </w:p>
        </w:tc>
        <w:tc>
          <w:tcPr>
            <w:tcW w:w="640"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40" w:type="dxa"/>
            <w:tcBorders>
              <w:top w:val="single" w:sz="4" w:space="0" w:color="000000"/>
              <w:left w:val="single" w:sz="4" w:space="0" w:color="000000"/>
              <w:bottom w:val="nil" w:sz="6" w:space="0" w:color="auto"/>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7"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
        </w:tc>
        <w:tc>
          <w:tcPr>
            <w:tcW w:w="1553" w:type="dxa"/>
            <w:tcBorders>
              <w:top w:val="single" w:sz="4" w:space="0" w:color="000000"/>
              <w:left w:val="single" w:sz="4" w:space="0" w:color="000000"/>
              <w:bottom w:val="nil" w:sz="6" w:space="0" w:color="auto"/>
              <w:right w:val="single" w:sz="4" w:space="0" w:color="000000"/>
            </w:tcBorders>
          </w:tcPr>
          <w:p>
            <w:pPr/>
          </w:p>
        </w:tc>
      </w:tr>
      <w:tr>
        <w:trPr>
          <w:trHeight w:val="3120" w:hRule="exact"/>
        </w:trPr>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2" w:right="61"/>
              <w:jc w:val="both"/>
              <w:rPr>
                <w:rFonts w:ascii="宋体" w:hAnsi="宋体" w:cs="宋体" w:eastAsia="宋体" w:hint="default"/>
                <w:sz w:val="18"/>
                <w:szCs w:val="18"/>
              </w:rPr>
            </w:pPr>
            <w:r>
              <w:rPr>
                <w:rFonts w:ascii="宋体" w:hAnsi="宋体" w:cs="宋体" w:eastAsia="宋体" w:hint="default"/>
                <w:sz w:val="18"/>
                <w:szCs w:val="18"/>
              </w:rPr>
              <w:t>福建榕 基软件 工程有 限公司</w:t>
            </w:r>
          </w:p>
          <w:p>
            <w:pPr>
              <w:pStyle w:val="TableParagraph"/>
              <w:spacing w:line="319" w:lineRule="auto" w:before="19"/>
              <w:ind w:left="22" w:right="241"/>
              <w:jc w:val="left"/>
              <w:rPr>
                <w:rFonts w:ascii="宋体" w:hAnsi="宋体" w:cs="宋体" w:eastAsia="宋体" w:hint="default"/>
                <w:sz w:val="18"/>
                <w:szCs w:val="18"/>
              </w:rPr>
            </w:pPr>
            <w:r>
              <w:rPr>
                <w:rFonts w:ascii="宋体" w:hAnsi="宋体" w:cs="宋体" w:eastAsia="宋体" w:hint="default"/>
                <w:sz w:val="18"/>
                <w:szCs w:val="18"/>
              </w:rPr>
              <w:t>（甲 方）</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9"/>
                <w:szCs w:val="19"/>
              </w:rPr>
            </w:pPr>
          </w:p>
          <w:p>
            <w:pPr>
              <w:pStyle w:val="TableParagraph"/>
              <w:spacing w:line="316" w:lineRule="auto"/>
              <w:ind w:left="22" w:right="65"/>
              <w:jc w:val="both"/>
              <w:rPr>
                <w:rFonts w:ascii="宋体" w:hAnsi="宋体" w:cs="宋体" w:eastAsia="宋体" w:hint="default"/>
                <w:sz w:val="18"/>
                <w:szCs w:val="18"/>
              </w:rPr>
            </w:pPr>
            <w:r>
              <w:rPr>
                <w:rFonts w:ascii="宋体" w:hAnsi="宋体" w:cs="宋体" w:eastAsia="宋体" w:hint="default"/>
                <w:sz w:val="18"/>
                <w:szCs w:val="18"/>
              </w:rPr>
              <w:t>福建天 和建设 工程有 限公司</w:t>
            </w:r>
          </w:p>
          <w:p>
            <w:pPr>
              <w:pStyle w:val="TableParagraph"/>
              <w:spacing w:line="319" w:lineRule="auto" w:before="19"/>
              <w:ind w:left="22" w:right="245"/>
              <w:jc w:val="left"/>
              <w:rPr>
                <w:rFonts w:ascii="宋体" w:hAnsi="宋体" w:cs="宋体" w:eastAsia="宋体" w:hint="default"/>
                <w:sz w:val="18"/>
                <w:szCs w:val="18"/>
              </w:rPr>
            </w:pPr>
            <w:r>
              <w:rPr>
                <w:rFonts w:ascii="宋体" w:hAnsi="宋体" w:cs="宋体" w:eastAsia="宋体" w:hint="default"/>
                <w:sz w:val="18"/>
                <w:szCs w:val="18"/>
              </w:rPr>
              <w:t>（乙 方）</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65"/>
              <w:jc w:val="both"/>
              <w:rPr>
                <w:rFonts w:ascii="宋体" w:hAnsi="宋体" w:cs="宋体" w:eastAsia="宋体" w:hint="default"/>
                <w:sz w:val="18"/>
                <w:szCs w:val="18"/>
              </w:rPr>
            </w:pPr>
            <w:r>
              <w:rPr>
                <w:rFonts w:ascii="宋体" w:hAnsi="宋体" w:cs="宋体" w:eastAsia="宋体" w:hint="default"/>
                <w:sz w:val="18"/>
                <w:szCs w:val="18"/>
              </w:rPr>
              <w:t>托乙方 在福州 闽侯建 设福建 榕基软 件工程 有限公 司软件 及服务 外包产</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Arial" w:hAnsi="Arial" w:cs="Arial" w:eastAsia="Arial" w:hint="default"/>
                <w:sz w:val="18"/>
                <w:szCs w:val="18"/>
              </w:rPr>
            </w:pPr>
            <w:r>
              <w:rPr>
                <w:rFonts w:ascii="Arial"/>
                <w:sz w:val="18"/>
              </w:rPr>
              <w:t>2018</w:t>
            </w:r>
          </w:p>
          <w:p>
            <w:pPr>
              <w:pStyle w:val="TableParagraph"/>
              <w:spacing w:line="240" w:lineRule="auto" w:before="63"/>
              <w:ind w:left="22" w:right="0"/>
              <w:jc w:val="left"/>
              <w:rPr>
                <w:rFonts w:ascii="Arial" w:hAnsi="Arial" w:cs="Arial" w:eastAsia="Arial"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12</w:t>
            </w:r>
          </w:p>
          <w:p>
            <w:pPr>
              <w:pStyle w:val="TableParagraph"/>
              <w:spacing w:line="240" w:lineRule="auto" w:before="63"/>
              <w:ind w:left="22" w:right="0"/>
              <w:jc w:val="left"/>
              <w:rPr>
                <w:rFonts w:ascii="Arial" w:hAnsi="Arial" w:cs="Arial" w:eastAsia="Arial"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21</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vMerge/>
            <w:tcBorders>
              <w:left w:val="single" w:sz="4" w:space="0" w:color="000000"/>
              <w:right w:val="single" w:sz="4" w:space="0" w:color="000000"/>
            </w:tcBorders>
          </w:tcPr>
          <w:p>
            <w:pP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招标</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2"/>
                <w:szCs w:val="22"/>
              </w:rPr>
            </w:pPr>
          </w:p>
          <w:p>
            <w:pPr>
              <w:pStyle w:val="TableParagraph"/>
              <w:spacing w:line="240" w:lineRule="auto"/>
              <w:ind w:left="67" w:right="0"/>
              <w:jc w:val="left"/>
              <w:rPr>
                <w:rFonts w:ascii="Arial" w:hAnsi="Arial" w:cs="Arial" w:eastAsia="Arial" w:hint="default"/>
                <w:sz w:val="18"/>
                <w:szCs w:val="18"/>
              </w:rPr>
            </w:pPr>
            <w:r>
              <w:rPr>
                <w:rFonts w:ascii="Arial"/>
                <w:spacing w:val="-3"/>
                <w:sz w:val="18"/>
              </w:rPr>
              <w:t>15,116</w:t>
            </w:r>
          </w:p>
          <w:p>
            <w:pPr>
              <w:pStyle w:val="TableParagraph"/>
              <w:spacing w:line="240" w:lineRule="auto" w:before="105"/>
              <w:ind w:left="354" w:right="0"/>
              <w:jc w:val="left"/>
              <w:rPr>
                <w:rFonts w:ascii="Arial" w:hAnsi="Arial" w:cs="Arial" w:eastAsia="Arial" w:hint="default"/>
                <w:sz w:val="18"/>
                <w:szCs w:val="18"/>
              </w:rPr>
            </w:pPr>
            <w:r>
              <w:rPr>
                <w:rFonts w:ascii="Arial"/>
                <w:sz w:val="18"/>
              </w:rPr>
              <w:t>.98</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9"/>
                <w:szCs w:val="19"/>
              </w:rPr>
            </w:pPr>
          </w:p>
          <w:p>
            <w:pPr>
              <w:pStyle w:val="TableParagraph"/>
              <w:spacing w:line="316" w:lineRule="auto"/>
              <w:ind w:left="22" w:right="65"/>
              <w:jc w:val="left"/>
              <w:rPr>
                <w:rFonts w:ascii="宋体" w:hAnsi="宋体" w:cs="宋体" w:eastAsia="宋体" w:hint="default"/>
                <w:sz w:val="18"/>
                <w:szCs w:val="18"/>
              </w:rPr>
            </w:pPr>
            <w:r>
              <w:rPr>
                <w:rFonts w:ascii="宋体" w:hAnsi="宋体" w:cs="宋体" w:eastAsia="宋体" w:hint="default"/>
                <w:sz w:val="18"/>
                <w:szCs w:val="18"/>
              </w:rPr>
              <w:t>合同履 行中。</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9"/>
              <w:ind w:left="22" w:right="0"/>
              <w:jc w:val="left"/>
              <w:rPr>
                <w:rFonts w:ascii="Arial" w:hAnsi="Arial" w:cs="Arial" w:eastAsia="Arial" w:hint="default"/>
                <w:sz w:val="18"/>
                <w:szCs w:val="18"/>
              </w:rPr>
            </w:pPr>
            <w:r>
              <w:rPr>
                <w:rFonts w:ascii="Arial"/>
                <w:sz w:val="18"/>
              </w:rPr>
              <w:t>2018</w:t>
            </w:r>
          </w:p>
          <w:p>
            <w:pPr>
              <w:pStyle w:val="TableParagraph"/>
              <w:spacing w:line="240" w:lineRule="auto" w:before="63"/>
              <w:ind w:left="22" w:right="0"/>
              <w:jc w:val="left"/>
              <w:rPr>
                <w:rFonts w:ascii="Arial" w:hAnsi="Arial" w:cs="Arial" w:eastAsia="Arial"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12</w:t>
            </w:r>
          </w:p>
          <w:p>
            <w:pPr>
              <w:pStyle w:val="TableParagraph"/>
              <w:spacing w:line="240" w:lineRule="auto" w:before="63"/>
              <w:ind w:left="22" w:right="0"/>
              <w:jc w:val="left"/>
              <w:rPr>
                <w:rFonts w:ascii="Arial" w:hAnsi="Arial" w:cs="Arial" w:eastAsia="Arial"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29</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53" w:type="dxa"/>
            <w:tcBorders>
              <w:top w:val="nil" w:sz="6" w:space="0" w:color="auto"/>
              <w:left w:val="single" w:sz="4" w:space="0" w:color="000000"/>
              <w:bottom w:val="nil" w:sz="6" w:space="0" w:color="auto"/>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62" w:lineRule="auto"/>
              <w:ind w:left="22" w:right="47"/>
              <w:jc w:val="left"/>
              <w:rPr>
                <w:rFonts w:ascii="Arial" w:hAnsi="Arial" w:cs="Arial" w:eastAsia="Arial" w:hint="default"/>
                <w:sz w:val="18"/>
                <w:szCs w:val="18"/>
              </w:rPr>
            </w:pPr>
            <w:r>
              <w:rPr>
                <w:rFonts w:ascii="Arial"/>
                <w:sz w:val="18"/>
              </w:rPr>
              <w:t>http://www.cninfo. com.cn/new/disclo sure/detail?plate=</w:t>
            </w:r>
            <w:r>
              <w:rPr>
                <w:rFonts w:ascii="Arial"/>
                <w:spacing w:val="-1"/>
                <w:sz w:val="18"/>
              </w:rPr>
              <w:t> </w:t>
            </w:r>
            <w:r>
              <w:rPr>
                <w:rFonts w:ascii="Arial"/>
                <w:sz w:val="18"/>
              </w:rPr>
              <w:t>szse&amp;stockCode=</w:t>
            </w:r>
            <w:r>
              <w:rPr>
                <w:rFonts w:ascii="Arial"/>
                <w:spacing w:val="-1"/>
                <w:sz w:val="18"/>
              </w:rPr>
              <w:t> </w:t>
            </w:r>
            <w:r>
              <w:rPr>
                <w:rFonts w:ascii="Arial"/>
                <w:sz w:val="18"/>
              </w:rPr>
              <w:t>002474&amp;announc</w:t>
            </w:r>
            <w:r>
              <w:rPr>
                <w:rFonts w:ascii="Arial"/>
                <w:sz w:val="18"/>
              </w:rPr>
              <w:t> ementId=1205698</w:t>
            </w:r>
            <w:r>
              <w:rPr>
                <w:rFonts w:ascii="Arial"/>
                <w:spacing w:val="-1"/>
                <w:sz w:val="18"/>
              </w:rPr>
              <w:t> </w:t>
            </w:r>
            <w:r>
              <w:rPr>
                <w:rFonts w:ascii="Arial"/>
                <w:sz w:val="18"/>
              </w:rPr>
              <w:t>735&amp;announceme</w:t>
            </w:r>
            <w:r>
              <w:rPr>
                <w:rFonts w:ascii="Arial"/>
                <w:sz w:val="18"/>
              </w:rPr>
              <w:t> </w:t>
            </w:r>
            <w:r>
              <w:rPr>
                <w:rFonts w:ascii="Arial"/>
                <w:spacing w:val="-2"/>
                <w:sz w:val="18"/>
              </w:rPr>
              <w:t>ntTime=2018-12-2</w:t>
            </w:r>
            <w:r>
              <w:rPr>
                <w:rFonts w:ascii="Arial"/>
                <w:spacing w:val="-37"/>
                <w:sz w:val="18"/>
              </w:rPr>
              <w:t> </w:t>
            </w:r>
            <w:r>
              <w:rPr>
                <w:rFonts w:ascii="Arial"/>
                <w:spacing w:val="-37"/>
                <w:sz w:val="18"/>
              </w:rPr>
            </w:r>
            <w:r>
              <w:rPr>
                <w:rFonts w:ascii="Arial"/>
                <w:sz w:val="18"/>
              </w:rPr>
              <w:t>9</w:t>
            </w:r>
          </w:p>
        </w:tc>
      </w:tr>
      <w:tr>
        <w:trPr>
          <w:trHeight w:val="357" w:hRule="exact"/>
        </w:trPr>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业基地</w:t>
            </w:r>
          </w:p>
        </w:tc>
        <w:tc>
          <w:tcPr>
            <w:tcW w:w="640" w:type="dxa"/>
            <w:tcBorders>
              <w:top w:val="nil" w:sz="6" w:space="0" w:color="auto"/>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7"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1553" w:type="dxa"/>
            <w:tcBorders>
              <w:top w:val="nil" w:sz="6" w:space="0" w:color="auto"/>
              <w:left w:val="single" w:sz="4" w:space="0" w:color="000000"/>
              <w:bottom w:val="single" w:sz="4" w:space="0" w:color="000000"/>
              <w:right w:val="single" w:sz="4" w:space="0" w:color="000000"/>
            </w:tcBorders>
          </w:tcPr>
          <w:p>
            <w:pPr/>
          </w:p>
        </w:tc>
      </w:tr>
      <w:tr>
        <w:trPr>
          <w:trHeight w:val="674" w:hRule="exact"/>
        </w:trPr>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1"/>
              <w:jc w:val="left"/>
              <w:rPr>
                <w:rFonts w:ascii="宋体" w:hAnsi="宋体" w:cs="宋体" w:eastAsia="宋体" w:hint="default"/>
                <w:sz w:val="18"/>
                <w:szCs w:val="18"/>
              </w:rPr>
            </w:pPr>
            <w:r>
              <w:rPr>
                <w:rFonts w:ascii="宋体" w:hAnsi="宋体" w:cs="宋体" w:eastAsia="宋体" w:hint="default"/>
                <w:sz w:val="18"/>
                <w:szCs w:val="18"/>
              </w:rPr>
              <w:t>福建榕 基软件</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海关总 署物资</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5"/>
              <w:jc w:val="left"/>
              <w:rPr>
                <w:rFonts w:ascii="宋体" w:hAnsi="宋体" w:cs="宋体" w:eastAsia="宋体" w:hint="default"/>
                <w:sz w:val="18"/>
                <w:szCs w:val="18"/>
              </w:rPr>
            </w:pPr>
            <w:r>
              <w:rPr>
                <w:rFonts w:ascii="宋体" w:hAnsi="宋体" w:cs="宋体" w:eastAsia="宋体" w:hint="default"/>
                <w:sz w:val="18"/>
                <w:szCs w:val="18"/>
              </w:rPr>
              <w:t>海关总 署关检</w:t>
            </w: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Arial" w:hAnsi="Arial" w:cs="Arial" w:eastAsia="Arial" w:hint="default"/>
                <w:sz w:val="18"/>
                <w:szCs w:val="18"/>
              </w:rPr>
            </w:pPr>
            <w:r>
              <w:rPr>
                <w:rFonts w:ascii="Arial"/>
                <w:sz w:val="18"/>
              </w:rPr>
              <w:t>2018</w:t>
            </w:r>
          </w:p>
          <w:p>
            <w:pPr>
              <w:pStyle w:val="TableParagraph"/>
              <w:spacing w:line="240" w:lineRule="auto" w:before="63"/>
              <w:ind w:left="22" w:right="0"/>
              <w:jc w:val="left"/>
              <w:rPr>
                <w:rFonts w:ascii="Arial" w:hAnsi="Arial" w:cs="Arial" w:eastAsia="Arial"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12</w:t>
            </w:r>
          </w:p>
        </w:tc>
        <w:tc>
          <w:tcPr>
            <w:tcW w:w="640" w:type="dxa"/>
            <w:tcBorders>
              <w:top w:val="single" w:sz="4" w:space="0" w:color="000000"/>
              <w:left w:val="single" w:sz="4" w:space="0" w:color="000000"/>
              <w:bottom w:val="single" w:sz="4" w:space="0" w:color="000000"/>
              <w:right w:val="single" w:sz="4" w:space="0" w:color="000000"/>
            </w:tcBorders>
          </w:tcPr>
          <w:p>
            <w:pPr/>
          </w:p>
        </w:tc>
        <w:tc>
          <w:tcPr>
            <w:tcW w:w="638" w:type="dxa"/>
            <w:tcBorders>
              <w:top w:val="single" w:sz="4" w:space="0" w:color="000000"/>
              <w:left w:val="single" w:sz="4" w:space="0" w:color="000000"/>
              <w:bottom w:val="single" w:sz="4" w:space="0" w:color="000000"/>
              <w:right w:val="single" w:sz="4" w:space="0" w:color="000000"/>
            </w:tcBorders>
          </w:tcPr>
          <w:p>
            <w:pPr/>
          </w:p>
        </w:tc>
        <w:tc>
          <w:tcPr>
            <w:tcW w:w="6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招标</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9"/>
                <w:szCs w:val="19"/>
              </w:rPr>
            </w:pPr>
          </w:p>
          <w:p>
            <w:pPr>
              <w:pStyle w:val="TableParagraph"/>
              <w:spacing w:line="240" w:lineRule="auto"/>
              <w:ind w:right="23"/>
              <w:jc w:val="right"/>
              <w:rPr>
                <w:rFonts w:ascii="Arial" w:hAnsi="Arial" w:cs="Arial" w:eastAsia="Arial" w:hint="default"/>
                <w:sz w:val="18"/>
                <w:szCs w:val="18"/>
              </w:rPr>
            </w:pPr>
            <w:r>
              <w:rPr>
                <w:rFonts w:ascii="Arial"/>
                <w:spacing w:val="-1"/>
                <w:w w:val="95"/>
                <w:sz w:val="18"/>
              </w:rPr>
              <w:t>3,676</w:t>
            </w:r>
            <w:r>
              <w:rPr>
                <w:rFonts w:ascii="Arial"/>
                <w:w w:val="95"/>
                <w:sz w:val="18"/>
              </w:rPr>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Times New Roman" w:hAnsi="Times New Roman" w:cs="Times New Roman" w:eastAsia="Times New Roman" w:hint="default"/>
                <w:sz w:val="16"/>
                <w:szCs w:val="16"/>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Arial" w:hAnsi="Arial" w:cs="Arial" w:eastAsia="Arial" w:hint="default"/>
                <w:sz w:val="18"/>
                <w:szCs w:val="18"/>
              </w:rPr>
            </w:pPr>
            <w:r>
              <w:rPr>
                <w:rFonts w:ascii="Arial"/>
                <w:sz w:val="18"/>
              </w:rPr>
              <w:t>2019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7"/>
                <w:sz w:val="18"/>
                <w:szCs w:val="18"/>
              </w:rPr>
              <w:t> </w:t>
            </w:r>
            <w:r>
              <w:rPr>
                <w:rFonts w:ascii="宋体" w:hAnsi="宋体" w:cs="宋体" w:eastAsia="宋体" w:hint="default"/>
                <w:sz w:val="18"/>
                <w:szCs w:val="18"/>
              </w:rPr>
              <w:t>月</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Arial" w:hAnsi="Arial" w:cs="Arial" w:eastAsia="Arial" w:hint="default"/>
                <w:sz w:val="18"/>
                <w:szCs w:val="18"/>
              </w:rPr>
            </w:pPr>
            <w:r>
              <w:rPr>
                <w:rFonts w:ascii="Arial"/>
                <w:sz w:val="18"/>
              </w:rPr>
              <w:t>2019</w:t>
            </w:r>
          </w:p>
          <w:p>
            <w:pPr>
              <w:pStyle w:val="TableParagraph"/>
              <w:spacing w:line="240" w:lineRule="auto" w:before="63"/>
              <w:ind w:left="22" w:right="0"/>
              <w:jc w:val="left"/>
              <w:rPr>
                <w:rFonts w:ascii="Arial" w:hAnsi="Arial" w:cs="Arial" w:eastAsia="Arial" w:hint="default"/>
                <w:sz w:val="18"/>
                <w:szCs w:val="18"/>
              </w:rPr>
            </w:pP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01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360" w:lineRule="auto" w:before="91"/>
              <w:ind w:left="22" w:right="47"/>
              <w:jc w:val="left"/>
              <w:rPr>
                <w:rFonts w:ascii="Arial" w:hAnsi="Arial" w:cs="Arial" w:eastAsia="Arial" w:hint="default"/>
                <w:sz w:val="18"/>
                <w:szCs w:val="18"/>
              </w:rPr>
            </w:pPr>
            <w:r>
              <w:rPr>
                <w:rFonts w:ascii="Arial"/>
                <w:sz w:val="18"/>
              </w:rPr>
              <w:t>http://www.cninfo. com.cn/new/disclo</w:t>
            </w:r>
          </w:p>
        </w:tc>
      </w:tr>
    </w:tbl>
    <w:p>
      <w:pPr>
        <w:spacing w:after="0" w:line="360" w:lineRule="auto"/>
        <w:jc w:val="left"/>
        <w:rPr>
          <w:rFonts w:ascii="Arial" w:hAnsi="Arial" w:cs="Arial" w:eastAsia="Arial"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636"/>
        <w:gridCol w:w="640"/>
        <w:gridCol w:w="638"/>
        <w:gridCol w:w="640"/>
        <w:gridCol w:w="640"/>
        <w:gridCol w:w="638"/>
        <w:gridCol w:w="640"/>
        <w:gridCol w:w="638"/>
        <w:gridCol w:w="637"/>
        <w:gridCol w:w="638"/>
        <w:gridCol w:w="638"/>
        <w:gridCol w:w="637"/>
        <w:gridCol w:w="638"/>
        <w:gridCol w:w="638"/>
        <w:gridCol w:w="1553"/>
      </w:tblGrid>
      <w:tr>
        <w:trPr>
          <w:trHeight w:val="321" w:hRule="exact"/>
        </w:trPr>
        <w:tc>
          <w:tcPr>
            <w:tcW w:w="63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right="38"/>
              <w:jc w:val="center"/>
              <w:rPr>
                <w:rFonts w:ascii="宋体" w:hAnsi="宋体" w:cs="宋体" w:eastAsia="宋体" w:hint="default"/>
                <w:sz w:val="18"/>
                <w:szCs w:val="18"/>
              </w:rPr>
            </w:pPr>
            <w:r>
              <w:rPr>
                <w:rFonts w:ascii="宋体" w:hAnsi="宋体" w:cs="宋体" w:eastAsia="宋体" w:hint="default"/>
                <w:sz w:val="18"/>
                <w:szCs w:val="18"/>
              </w:rPr>
              <w:t>股份有</w:t>
            </w:r>
          </w:p>
        </w:tc>
        <w:tc>
          <w:tcPr>
            <w:tcW w:w="6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装备采</w:t>
            </w: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业务融</w:t>
            </w:r>
          </w:p>
        </w:tc>
        <w:tc>
          <w:tcPr>
            <w:tcW w:w="640"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Arial" w:hAnsi="Arial" w:cs="Arial" w:eastAsia="Arial"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27</w:t>
            </w:r>
          </w:p>
        </w:tc>
        <w:tc>
          <w:tcPr>
            <w:tcW w:w="640"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40"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7"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8" w:type="dxa"/>
            <w:vMerge w:val="restart"/>
            <w:tcBorders>
              <w:top w:val="single" w:sz="4" w:space="0" w:color="000000"/>
              <w:left w:val="single" w:sz="4" w:space="0" w:color="000000"/>
              <w:right w:val="single" w:sz="4" w:space="0" w:color="000000"/>
            </w:tcBorders>
          </w:tcPr>
          <w:p>
            <w:pPr/>
          </w:p>
        </w:tc>
        <w:tc>
          <w:tcPr>
            <w:tcW w:w="637" w:type="dxa"/>
            <w:vMerge w:val="restart"/>
            <w:tcBorders>
              <w:top w:val="single" w:sz="4" w:space="0" w:color="000000"/>
              <w:left w:val="single" w:sz="4" w:space="0" w:color="000000"/>
              <w:right w:val="single" w:sz="4" w:space="0" w:color="000000"/>
            </w:tcBorders>
          </w:tcPr>
          <w:p>
            <w:pP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Arial" w:hAnsi="Arial" w:cs="Arial" w:eastAsia="Arial" w:hint="default"/>
                <w:sz w:val="18"/>
                <w:szCs w:val="18"/>
              </w:rPr>
              <w:t>9</w:t>
            </w:r>
            <w:r>
              <w:rPr>
                <w:rFonts w:ascii="Arial" w:hAnsi="Arial" w:cs="Arial" w:eastAsia="Arial" w:hint="default"/>
                <w:spacing w:val="-7"/>
                <w:sz w:val="18"/>
                <w:szCs w:val="18"/>
              </w:rPr>
              <w:t> </w:t>
            </w:r>
            <w:r>
              <w:rPr>
                <w:rFonts w:ascii="宋体" w:hAnsi="宋体" w:cs="宋体" w:eastAsia="宋体" w:hint="default"/>
                <w:sz w:val="18"/>
                <w:szCs w:val="18"/>
              </w:rPr>
              <w:t>日已</w:t>
            </w:r>
          </w:p>
        </w:tc>
        <w:tc>
          <w:tcPr>
            <w:tcW w:w="63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0"/>
              <w:ind w:left="22" w:right="0"/>
              <w:jc w:val="left"/>
              <w:rPr>
                <w:rFonts w:ascii="Arial" w:hAnsi="Arial" w:cs="Arial" w:eastAsia="Arial" w:hint="default"/>
                <w:sz w:val="18"/>
                <w:szCs w:val="18"/>
              </w:rPr>
            </w:pP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16</w:t>
            </w:r>
          </w:p>
        </w:tc>
        <w:tc>
          <w:tcPr>
            <w:tcW w:w="1553"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0"/>
              <w:ind w:left="22" w:right="0"/>
              <w:jc w:val="left"/>
              <w:rPr>
                <w:rFonts w:ascii="Arial" w:hAnsi="Arial" w:cs="Arial" w:eastAsia="Arial" w:hint="default"/>
                <w:sz w:val="18"/>
                <w:szCs w:val="18"/>
              </w:rPr>
            </w:pPr>
            <w:r>
              <w:rPr>
                <w:rFonts w:ascii="Arial"/>
                <w:sz w:val="18"/>
              </w:rPr>
              <w:t>sure/detail?plate=</w:t>
            </w:r>
          </w:p>
        </w:tc>
      </w:tr>
      <w:tr>
        <w:trPr>
          <w:trHeight w:val="315" w:hRule="exact"/>
        </w:trPr>
        <w:tc>
          <w:tcPr>
            <w:tcW w:w="636"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right="38"/>
              <w:jc w:val="center"/>
              <w:rPr>
                <w:rFonts w:ascii="宋体" w:hAnsi="宋体" w:cs="宋体" w:eastAsia="宋体" w:hint="default"/>
                <w:sz w:val="18"/>
                <w:szCs w:val="18"/>
              </w:rPr>
            </w:pPr>
            <w:r>
              <w:rPr>
                <w:rFonts w:ascii="宋体" w:hAnsi="宋体" w:cs="宋体" w:eastAsia="宋体" w:hint="default"/>
                <w:sz w:val="18"/>
                <w:szCs w:val="18"/>
              </w:rPr>
              <w:t>限公司</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购中心</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合</w:t>
            </w:r>
          </w:p>
        </w:tc>
        <w:tc>
          <w:tcPr>
            <w:tcW w:w="640"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验收</w:t>
            </w: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53"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left="22" w:right="0"/>
              <w:jc w:val="left"/>
              <w:rPr>
                <w:rFonts w:ascii="Arial" w:hAnsi="Arial" w:cs="Arial" w:eastAsia="Arial" w:hint="default"/>
                <w:sz w:val="18"/>
                <w:szCs w:val="18"/>
              </w:rPr>
            </w:pPr>
            <w:r>
              <w:rPr>
                <w:rFonts w:ascii="Arial"/>
                <w:sz w:val="18"/>
              </w:rPr>
              <w:t>szse&amp;stockCode=</w:t>
            </w:r>
          </w:p>
        </w:tc>
      </w:tr>
      <w:tr>
        <w:trPr>
          <w:trHeight w:val="308"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left="22" w:right="0"/>
              <w:jc w:val="left"/>
              <w:rPr>
                <w:rFonts w:ascii="Arial" w:hAnsi="Arial" w:cs="Arial" w:eastAsia="Arial" w:hint="default"/>
                <w:sz w:val="18"/>
                <w:szCs w:val="18"/>
              </w:rPr>
            </w:pPr>
            <w:r>
              <w:rPr>
                <w:rFonts w:ascii="Arial"/>
                <w:sz w:val="18"/>
              </w:rPr>
              <w:t>e-CIQ</w:t>
            </w: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1553" w:type="dxa"/>
            <w:tcBorders>
              <w:top w:val="nil" w:sz="6" w:space="0" w:color="auto"/>
              <w:left w:val="single" w:sz="4" w:space="0" w:color="000000"/>
              <w:bottom w:val="nil" w:sz="6" w:space="0" w:color="auto"/>
              <w:right w:val="single" w:sz="4" w:space="0" w:color="000000"/>
            </w:tcBorders>
          </w:tcPr>
          <w:p>
            <w:pPr>
              <w:pStyle w:val="TableParagraph"/>
              <w:spacing w:line="240" w:lineRule="auto" w:before="43"/>
              <w:ind w:left="22" w:right="0"/>
              <w:jc w:val="left"/>
              <w:rPr>
                <w:rFonts w:ascii="Arial" w:hAnsi="Arial" w:cs="Arial" w:eastAsia="Arial" w:hint="default"/>
                <w:sz w:val="18"/>
                <w:szCs w:val="18"/>
              </w:rPr>
            </w:pPr>
            <w:r>
              <w:rPr>
                <w:rFonts w:ascii="Arial"/>
                <w:sz w:val="18"/>
              </w:rPr>
              <w:t>002474&amp;announc</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主干系</w:t>
            </w: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155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2" w:right="0"/>
              <w:jc w:val="left"/>
              <w:rPr>
                <w:rFonts w:ascii="Arial" w:hAnsi="Arial" w:cs="Arial" w:eastAsia="Arial" w:hint="default"/>
                <w:sz w:val="18"/>
                <w:szCs w:val="18"/>
              </w:rPr>
            </w:pPr>
            <w:r>
              <w:rPr>
                <w:rFonts w:ascii="Arial"/>
                <w:sz w:val="18"/>
              </w:rPr>
              <w:t>ementId=1205772</w:t>
            </w:r>
          </w:p>
        </w:tc>
      </w:tr>
      <w:tr>
        <w:trPr>
          <w:trHeight w:val="312"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统改造</w:t>
            </w: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155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2" w:right="0"/>
              <w:jc w:val="left"/>
              <w:rPr>
                <w:rFonts w:ascii="Arial" w:hAnsi="Arial" w:cs="Arial" w:eastAsia="Arial" w:hint="default"/>
                <w:sz w:val="18"/>
                <w:szCs w:val="18"/>
              </w:rPr>
            </w:pPr>
            <w:r>
              <w:rPr>
                <w:rFonts w:ascii="Arial"/>
                <w:sz w:val="18"/>
              </w:rPr>
              <w:t>258&amp;announceme</w:t>
            </w:r>
          </w:p>
        </w:tc>
      </w:tr>
      <w:tr>
        <w:trPr>
          <w:trHeight w:val="313" w:hRule="exact"/>
        </w:trPr>
        <w:tc>
          <w:tcPr>
            <w:tcW w:w="636" w:type="dxa"/>
            <w:tcBorders>
              <w:top w:val="nil" w:sz="6" w:space="0" w:color="auto"/>
              <w:left w:val="single" w:sz="4" w:space="0" w:color="000000"/>
              <w:bottom w:val="nil" w:sz="6" w:space="0" w:color="auto"/>
              <w:right w:val="single" w:sz="4" w:space="0" w:color="000000"/>
            </w:tcBorders>
          </w:tcPr>
          <w:p>
            <w:pPr/>
          </w:p>
        </w:tc>
        <w:tc>
          <w:tcPr>
            <w:tcW w:w="640"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项目开</w:t>
            </w:r>
          </w:p>
        </w:tc>
        <w:tc>
          <w:tcPr>
            <w:tcW w:w="640" w:type="dxa"/>
            <w:tcBorders>
              <w:top w:val="nil" w:sz="6" w:space="0" w:color="auto"/>
              <w:left w:val="single" w:sz="4" w:space="0" w:color="000000"/>
              <w:bottom w:val="nil" w:sz="6" w:space="0" w:color="auto"/>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40"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8" w:type="dxa"/>
            <w:vMerge/>
            <w:tcBorders>
              <w:left w:val="single" w:sz="4" w:space="0" w:color="000000"/>
              <w:right w:val="single" w:sz="4" w:space="0" w:color="000000"/>
            </w:tcBorders>
          </w:tcPr>
          <w:p>
            <w:pPr/>
          </w:p>
        </w:tc>
        <w:tc>
          <w:tcPr>
            <w:tcW w:w="637" w:type="dxa"/>
            <w:vMerge/>
            <w:tcBorders>
              <w:left w:val="single" w:sz="4" w:space="0" w:color="000000"/>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638" w:type="dxa"/>
            <w:tcBorders>
              <w:top w:val="nil" w:sz="6" w:space="0" w:color="auto"/>
              <w:left w:val="single" w:sz="4" w:space="0" w:color="000000"/>
              <w:bottom w:val="nil" w:sz="6" w:space="0" w:color="auto"/>
              <w:right w:val="single" w:sz="4" w:space="0" w:color="000000"/>
            </w:tcBorders>
          </w:tcPr>
          <w:p>
            <w:pPr/>
          </w:p>
        </w:tc>
        <w:tc>
          <w:tcPr>
            <w:tcW w:w="155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2" w:right="0"/>
              <w:jc w:val="left"/>
              <w:rPr>
                <w:rFonts w:ascii="Arial" w:hAnsi="Arial" w:cs="Arial" w:eastAsia="Arial" w:hint="default"/>
                <w:sz w:val="18"/>
                <w:szCs w:val="18"/>
              </w:rPr>
            </w:pPr>
            <w:r>
              <w:rPr>
                <w:rFonts w:ascii="Arial"/>
                <w:sz w:val="18"/>
              </w:rPr>
              <w:t>ntTime=2019-01-1</w:t>
            </w:r>
          </w:p>
        </w:tc>
      </w:tr>
      <w:tr>
        <w:trPr>
          <w:trHeight w:val="353" w:hRule="exact"/>
        </w:trPr>
        <w:tc>
          <w:tcPr>
            <w:tcW w:w="636" w:type="dxa"/>
            <w:tcBorders>
              <w:top w:val="nil" w:sz="6" w:space="0" w:color="auto"/>
              <w:left w:val="single" w:sz="4" w:space="0" w:color="000000"/>
              <w:bottom w:val="single" w:sz="4" w:space="0" w:color="000000"/>
              <w:right w:val="single" w:sz="4" w:space="0" w:color="000000"/>
            </w:tcBorders>
          </w:tcPr>
          <w:p>
            <w:pPr/>
          </w:p>
        </w:tc>
        <w:tc>
          <w:tcPr>
            <w:tcW w:w="640"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发合同</w:t>
            </w:r>
          </w:p>
        </w:tc>
        <w:tc>
          <w:tcPr>
            <w:tcW w:w="640" w:type="dxa"/>
            <w:tcBorders>
              <w:top w:val="nil" w:sz="6" w:space="0" w:color="auto"/>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40"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7"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8" w:type="dxa"/>
            <w:vMerge/>
            <w:tcBorders>
              <w:left w:val="single" w:sz="4" w:space="0" w:color="000000"/>
              <w:bottom w:val="single" w:sz="4" w:space="0" w:color="000000"/>
              <w:right w:val="single" w:sz="4" w:space="0" w:color="000000"/>
            </w:tcBorders>
          </w:tcPr>
          <w:p>
            <w:pPr/>
          </w:p>
        </w:tc>
        <w:tc>
          <w:tcPr>
            <w:tcW w:w="637" w:type="dxa"/>
            <w:vMerge/>
            <w:tcBorders>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638" w:type="dxa"/>
            <w:tcBorders>
              <w:top w:val="nil" w:sz="6" w:space="0" w:color="auto"/>
              <w:left w:val="single" w:sz="4" w:space="0" w:color="000000"/>
              <w:bottom w:val="single" w:sz="4" w:space="0" w:color="000000"/>
              <w:right w:val="single" w:sz="4" w:space="0" w:color="000000"/>
            </w:tcBorders>
          </w:tcPr>
          <w:p>
            <w:pPr/>
          </w:p>
        </w:tc>
        <w:tc>
          <w:tcPr>
            <w:tcW w:w="1553"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7"/>
              <w:ind w:left="22" w:right="0"/>
              <w:jc w:val="left"/>
              <w:rPr>
                <w:rFonts w:ascii="Arial" w:hAnsi="Arial" w:cs="Arial" w:eastAsia="Arial" w:hint="default"/>
                <w:sz w:val="18"/>
                <w:szCs w:val="18"/>
              </w:rPr>
            </w:pPr>
            <w:r>
              <w:rPr>
                <w:rFonts w:ascii="Arial"/>
                <w:sz w:val="18"/>
              </w:rPr>
              <w:t>6</w:t>
            </w:r>
          </w:p>
        </w:tc>
      </w:tr>
    </w:tbl>
    <w:p>
      <w:pPr>
        <w:spacing w:line="240" w:lineRule="auto" w:before="7"/>
        <w:rPr>
          <w:rFonts w:ascii="Times New Roman" w:hAnsi="Times New Roman" w:cs="Times New Roman" w:eastAsia="Times New Roman" w:hint="default"/>
          <w:sz w:val="20"/>
          <w:szCs w:val="20"/>
        </w:rPr>
      </w:pPr>
    </w:p>
    <w:p>
      <w:pPr>
        <w:pStyle w:val="Heading2"/>
        <w:spacing w:line="240" w:lineRule="auto" w:before="26"/>
        <w:ind w:right="2239"/>
        <w:jc w:val="left"/>
        <w:rPr>
          <w:b w:val="0"/>
          <w:bCs w:val="0"/>
        </w:rPr>
      </w:pPr>
      <w:r>
        <w:rPr/>
        <w:t>十八、社会责任情况</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1</w:t>
      </w:r>
      <w:r>
        <w:rPr/>
        <w:t>、履行社会责任情况</w:t>
      </w:r>
      <w:r>
        <w:rPr>
          <w:b w:val="0"/>
          <w:bCs w:val="0"/>
        </w:rPr>
      </w:r>
    </w:p>
    <w:p>
      <w:pPr>
        <w:spacing w:line="240" w:lineRule="auto" w:before="7"/>
        <w:rPr>
          <w:rFonts w:ascii="宋体" w:hAnsi="宋体" w:cs="宋体" w:eastAsia="宋体" w:hint="default"/>
          <w:b/>
          <w:bCs/>
          <w:sz w:val="26"/>
          <w:szCs w:val="26"/>
        </w:rPr>
      </w:pPr>
    </w:p>
    <w:p>
      <w:pPr>
        <w:pStyle w:val="BodyText"/>
        <w:spacing w:line="348" w:lineRule="auto"/>
        <w:ind w:left="513" w:right="0"/>
        <w:jc w:val="left"/>
      </w:pPr>
      <w:r>
        <w:rPr/>
        <w:t>（</w:t>
      </w:r>
      <w:r>
        <w:rPr>
          <w:rFonts w:ascii="Arial" w:hAnsi="Arial" w:cs="Arial" w:eastAsia="Arial" w:hint="default"/>
        </w:rPr>
        <w:t>1</w:t>
      </w:r>
      <w:r>
        <w:rPr/>
        <w:t>）股东和债权人权益保护方面 </w:t>
      </w:r>
      <w:r>
        <w:rPr>
          <w:spacing w:val="-2"/>
        </w:rPr>
        <w:t>投资者是公司最重要的利益相关方之一，为公司提供重要资源，也激励公司优化管理流程、提高运营效率。公司通过充</w:t>
      </w:r>
    </w:p>
    <w:p>
      <w:pPr>
        <w:pStyle w:val="BodyText"/>
        <w:spacing w:line="316" w:lineRule="auto"/>
        <w:ind w:left="153" w:right="0"/>
        <w:jc w:val="left"/>
      </w:pPr>
      <w:r>
        <w:rPr>
          <w:spacing w:val="-2"/>
        </w:rPr>
        <w:t>分的信息披露与交流，加强与股东、债权人及潜在投资者之间的沟通，促进投资者对公司的了解和认同，不断提升公司治理</w:t>
      </w:r>
      <w:r>
        <w:rPr>
          <w:spacing w:val="-66"/>
        </w:rPr>
        <w:t> </w:t>
      </w:r>
      <w:r>
        <w:rPr>
          <w:spacing w:val="-66"/>
        </w:rPr>
      </w:r>
      <w:r>
        <w:rPr/>
        <w:t>水平，全力保障包括中小股民在内的所有投资人的合法权益。</w:t>
      </w:r>
    </w:p>
    <w:p>
      <w:pPr>
        <w:pStyle w:val="BodyText"/>
        <w:spacing w:line="316" w:lineRule="auto" w:before="67"/>
        <w:ind w:left="153" w:right="0" w:firstLine="360"/>
        <w:jc w:val="left"/>
      </w:pPr>
      <w:r>
        <w:rPr>
          <w:spacing w:val="-2"/>
        </w:rPr>
        <w:t>报告期内，公司进一步完善治理结构，公平对待所有股东和债权人，确保股东能够充分享有并行使法律、法规、规章所</w:t>
      </w:r>
      <w:r>
        <w:rPr/>
        <w:t> 规定的各项合法权益。</w:t>
      </w:r>
    </w:p>
    <w:p>
      <w:pPr>
        <w:pStyle w:val="BodyText"/>
        <w:spacing w:line="240" w:lineRule="auto" w:before="67"/>
        <w:ind w:left="513" w:right="2239"/>
        <w:jc w:val="left"/>
      </w:pPr>
      <w:r>
        <w:rPr/>
        <w:t>（一）公司相关制度日益完善，法人治理水平不断提高；</w:t>
      </w:r>
    </w:p>
    <w:p>
      <w:pPr>
        <w:pStyle w:val="BodyText"/>
        <w:spacing w:line="240" w:lineRule="auto" w:before="124"/>
        <w:ind w:left="513" w:right="2239"/>
        <w:jc w:val="left"/>
      </w:pPr>
      <w:r>
        <w:rPr/>
        <w:t>（二）公司运作合法合规，维护股东利益；</w:t>
      </w:r>
    </w:p>
    <w:p>
      <w:pPr>
        <w:pStyle w:val="BodyText"/>
        <w:spacing w:line="240" w:lineRule="auto" w:before="124"/>
        <w:ind w:left="513" w:right="2239"/>
        <w:jc w:val="left"/>
      </w:pPr>
      <w:r>
        <w:rPr/>
        <w:t>（三）积极履行信息披露义务，公平对待股东，保障股东知情权；</w:t>
      </w:r>
    </w:p>
    <w:p>
      <w:pPr>
        <w:pStyle w:val="BodyText"/>
        <w:spacing w:line="240" w:lineRule="auto" w:before="124"/>
        <w:ind w:left="513" w:right="2239"/>
        <w:jc w:val="left"/>
      </w:pPr>
      <w:r>
        <w:rPr/>
        <w:t>（四）建立内幕交易防控机制；</w:t>
      </w:r>
    </w:p>
    <w:p>
      <w:pPr>
        <w:pStyle w:val="BodyText"/>
        <w:spacing w:line="240" w:lineRule="auto" w:before="124"/>
        <w:ind w:left="513" w:right="2239"/>
        <w:jc w:val="left"/>
      </w:pPr>
      <w:r>
        <w:rPr/>
        <w:t>（五）积极回报股东；</w:t>
      </w:r>
    </w:p>
    <w:p>
      <w:pPr>
        <w:pStyle w:val="BodyText"/>
        <w:spacing w:line="316" w:lineRule="auto" w:before="124"/>
        <w:ind w:left="153" w:right="0" w:firstLine="360"/>
        <w:jc w:val="left"/>
      </w:pPr>
      <w:r>
        <w:rPr>
          <w:spacing w:val="-2"/>
        </w:rPr>
        <w:t>（六）公司一贯奉行稳健诚信的经营策略，控制自身的经营风险，确保公司财务稳健，保障公司资产、资金安全，在追</w:t>
      </w:r>
      <w:r>
        <w:rPr/>
        <w:t> 求股东利益最大化的同时兼顾债权人的利益。</w:t>
      </w:r>
    </w:p>
    <w:p>
      <w:pPr>
        <w:pStyle w:val="BodyText"/>
        <w:spacing w:line="348" w:lineRule="auto" w:before="67"/>
        <w:ind w:left="513" w:right="0"/>
        <w:jc w:val="left"/>
      </w:pPr>
      <w:r>
        <w:rPr/>
        <w:t>（</w:t>
      </w:r>
      <w:r>
        <w:rPr>
          <w:rFonts w:ascii="Arial" w:hAnsi="Arial" w:cs="Arial" w:eastAsia="Arial" w:hint="default"/>
        </w:rPr>
        <w:t>2</w:t>
      </w:r>
      <w:r>
        <w:rPr/>
        <w:t>）职工权益保护 </w:t>
      </w:r>
      <w:r>
        <w:rPr>
          <w:spacing w:val="-1"/>
        </w:rPr>
        <w:t>公司多年来始终执行</w:t>
      </w:r>
      <w:r>
        <w:rPr>
          <w:rFonts w:ascii="Arial" w:hAnsi="Arial" w:cs="Arial" w:eastAsia="Arial" w:hint="default"/>
          <w:spacing w:val="-1"/>
        </w:rPr>
        <w:t>“</w:t>
      </w:r>
      <w:r>
        <w:rPr>
          <w:spacing w:val="-1"/>
        </w:rPr>
        <w:t>以人为本</w:t>
      </w:r>
      <w:r>
        <w:rPr>
          <w:rFonts w:ascii="Arial" w:hAnsi="Arial" w:cs="Arial" w:eastAsia="Arial" w:hint="default"/>
          <w:spacing w:val="-1"/>
        </w:rPr>
        <w:t>”</w:t>
      </w:r>
      <w:r>
        <w:rPr>
          <w:spacing w:val="-1"/>
        </w:rPr>
        <w:t>的人才战略，维护和保障员工的利益。为此，公司建立了规范的人力资源管理体系，并</w:t>
      </w:r>
    </w:p>
    <w:p>
      <w:pPr>
        <w:pStyle w:val="BodyText"/>
        <w:spacing w:line="209" w:lineRule="exact"/>
        <w:ind w:left="153" w:right="2239"/>
        <w:jc w:val="left"/>
      </w:pPr>
      <w:r>
        <w:rPr/>
        <w:t>不断完善薪酬及激励机制，实现公司与员工的共同发展。</w:t>
      </w:r>
    </w:p>
    <w:p>
      <w:pPr>
        <w:pStyle w:val="BodyText"/>
        <w:spacing w:line="240" w:lineRule="auto" w:before="124"/>
        <w:ind w:left="513" w:right="2239"/>
        <w:jc w:val="left"/>
      </w:pPr>
      <w:r>
        <w:rPr/>
        <w:t>（一）实施员工持股计划；</w:t>
      </w:r>
    </w:p>
    <w:p>
      <w:pPr>
        <w:pStyle w:val="BodyText"/>
        <w:spacing w:line="240" w:lineRule="auto" w:before="124"/>
        <w:ind w:left="513" w:right="2239"/>
        <w:jc w:val="left"/>
      </w:pPr>
      <w:r>
        <w:rPr/>
        <w:t>（二）健全劳动制度和薪酬考核体系；</w:t>
      </w:r>
    </w:p>
    <w:p>
      <w:pPr>
        <w:pStyle w:val="BodyText"/>
        <w:spacing w:line="240" w:lineRule="auto" w:before="124"/>
        <w:ind w:left="513" w:right="2239"/>
        <w:jc w:val="left"/>
      </w:pPr>
      <w:r>
        <w:rPr/>
        <w:t>（三）注重职工的生产安全和劳动保护；</w:t>
      </w:r>
    </w:p>
    <w:p>
      <w:pPr>
        <w:pStyle w:val="BodyText"/>
        <w:spacing w:line="240" w:lineRule="auto" w:before="124"/>
        <w:ind w:left="513" w:right="2239"/>
        <w:jc w:val="left"/>
      </w:pPr>
      <w:r>
        <w:rPr/>
        <w:t>（四）持续完善培训管理；</w:t>
      </w:r>
    </w:p>
    <w:p>
      <w:pPr>
        <w:pStyle w:val="BodyText"/>
        <w:spacing w:line="240" w:lineRule="auto" w:before="124"/>
        <w:ind w:left="513" w:right="2239"/>
        <w:jc w:val="left"/>
      </w:pPr>
      <w:r>
        <w:rPr/>
        <w:t>（五）关心职工的生活与健康；</w:t>
      </w:r>
    </w:p>
    <w:p>
      <w:pPr>
        <w:pStyle w:val="BodyText"/>
        <w:spacing w:line="240" w:lineRule="auto" w:before="124"/>
        <w:ind w:left="513" w:right="2239"/>
        <w:jc w:val="left"/>
      </w:pPr>
      <w:r>
        <w:rPr/>
        <w:t>（六）丰富职工业余文化生活；</w:t>
      </w:r>
    </w:p>
    <w:p>
      <w:pPr>
        <w:pStyle w:val="BodyText"/>
        <w:spacing w:line="240" w:lineRule="auto" w:before="76"/>
        <w:ind w:left="513" w:right="2239"/>
        <w:jc w:val="left"/>
      </w:pPr>
      <w:r>
        <w:rPr/>
        <w:t>（七）鼓励员工创意和发明创造。</w:t>
      </w:r>
    </w:p>
    <w:p>
      <w:pPr>
        <w:pStyle w:val="BodyText"/>
        <w:spacing w:line="240" w:lineRule="auto" w:before="124"/>
        <w:ind w:left="513" w:right="2239"/>
        <w:jc w:val="left"/>
      </w:pPr>
      <w:r>
        <w:rPr/>
        <w:t>（</w:t>
      </w:r>
      <w:r>
        <w:rPr>
          <w:rFonts w:ascii="Arial" w:hAnsi="Arial" w:cs="Arial" w:eastAsia="Arial" w:hint="default"/>
        </w:rPr>
        <w:t>3</w:t>
      </w:r>
      <w:r>
        <w:rPr/>
        <w:t>）供应商、客户和消费者权益保护</w:t>
      </w:r>
    </w:p>
    <w:p>
      <w:pPr>
        <w:pStyle w:val="BodyText"/>
        <w:spacing w:line="240" w:lineRule="auto" w:before="111"/>
        <w:ind w:left="513" w:right="2239"/>
        <w:jc w:val="left"/>
      </w:pPr>
      <w:r>
        <w:rPr/>
        <w:t>（一）保证产品质量，与供应商、客户和消费者互利共赢；</w:t>
      </w:r>
    </w:p>
    <w:p>
      <w:pPr>
        <w:pStyle w:val="BodyText"/>
        <w:spacing w:line="240" w:lineRule="auto" w:before="124"/>
        <w:ind w:left="513" w:right="2239"/>
        <w:jc w:val="left"/>
      </w:pPr>
      <w:r>
        <w:rPr/>
        <w:t>（二）反对各类商业贿赂活动。</w:t>
      </w:r>
    </w:p>
    <w:p>
      <w:pPr>
        <w:pStyle w:val="BodyText"/>
        <w:spacing w:line="348" w:lineRule="auto" w:before="124"/>
        <w:ind w:left="513" w:right="0"/>
        <w:jc w:val="left"/>
      </w:pPr>
      <w:r>
        <w:rPr/>
        <w:t>（</w:t>
      </w:r>
      <w:r>
        <w:rPr>
          <w:rFonts w:ascii="Arial" w:hAnsi="Arial" w:cs="Arial" w:eastAsia="Arial" w:hint="default"/>
        </w:rPr>
        <w:t>4</w:t>
      </w:r>
      <w:r>
        <w:rPr/>
        <w:t>）环境保护与可持续发展 </w:t>
      </w:r>
      <w:r>
        <w:rPr>
          <w:spacing w:val="-2"/>
        </w:rPr>
        <w:t>公司深知保护环境对于创建可持续发展社会的重要意义。根据国家环境保护法规和政策的相关规定，坚持技术革新，节</w:t>
      </w:r>
    </w:p>
    <w:p>
      <w:pPr>
        <w:pStyle w:val="BodyText"/>
        <w:spacing w:line="244" w:lineRule="exact"/>
        <w:ind w:left="153" w:right="0"/>
        <w:jc w:val="left"/>
      </w:pPr>
      <w:r>
        <w:rPr/>
        <w:t>能减排，从源头降低资源能源的消耗，减少三废的产生，同时公司通过了</w:t>
      </w:r>
      <w:r>
        <w:rPr>
          <w:rFonts w:ascii="Arial" w:hAnsi="Arial" w:cs="Arial" w:eastAsia="Arial" w:hint="default"/>
        </w:rPr>
        <w:t>ISO 14001</w:t>
      </w:r>
      <w:r>
        <w:rPr>
          <w:rFonts w:ascii="Arial" w:hAnsi="Arial" w:cs="Arial" w:eastAsia="Arial" w:hint="default"/>
          <w:spacing w:val="34"/>
        </w:rPr>
        <w:t> </w:t>
      </w:r>
      <w:r>
        <w:rPr/>
        <w:t>环境管理体系认证，力争把公司发展</w:t>
      </w:r>
    </w:p>
    <w:p>
      <w:pPr>
        <w:spacing w:after="0" w:line="244" w:lineRule="exact"/>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02" w:lineRule="auto" w:before="44"/>
        <w:ind w:left="153" w:right="0"/>
        <w:jc w:val="left"/>
      </w:pPr>
      <w:r>
        <w:rPr>
          <w:spacing w:val="-2"/>
        </w:rPr>
        <w:t>对环境的影响降到最小程度。公司属于</w:t>
      </w:r>
      <w:r>
        <w:rPr>
          <w:rFonts w:ascii="Arial" w:hAnsi="Arial" w:cs="Arial" w:eastAsia="Arial" w:hint="default"/>
          <w:spacing w:val="-2"/>
        </w:rPr>
        <w:t>IT</w:t>
      </w:r>
      <w:r>
        <w:rPr>
          <w:spacing w:val="-2"/>
        </w:rPr>
        <w:t>系统集成、软件开发类高新技术企业，在实际研发、生产、销售、服务过程中不产</w:t>
      </w:r>
      <w:r>
        <w:rPr>
          <w:spacing w:val="-45"/>
        </w:rPr>
        <w:t> </w:t>
      </w:r>
      <w:r>
        <w:rPr>
          <w:spacing w:val="-45"/>
        </w:rPr>
      </w:r>
      <w:r>
        <w:rPr/>
        <w:t>生污染物，实现了零污染、零排放。</w:t>
      </w:r>
    </w:p>
    <w:p>
      <w:pPr>
        <w:pStyle w:val="BodyText"/>
        <w:spacing w:line="348" w:lineRule="auto" w:before="76"/>
        <w:ind w:left="513" w:right="0"/>
        <w:jc w:val="left"/>
      </w:pPr>
      <w:r>
        <w:rPr/>
        <w:t>（</w:t>
      </w:r>
      <w:r>
        <w:rPr>
          <w:rFonts w:ascii="Arial" w:hAnsi="Arial" w:cs="Arial" w:eastAsia="Arial" w:hint="default"/>
        </w:rPr>
        <w:t>5</w:t>
      </w:r>
      <w:r>
        <w:rPr/>
        <w:t>）公共关系和社会公益事业 </w:t>
      </w:r>
      <w:r>
        <w:rPr>
          <w:spacing w:val="-2"/>
        </w:rPr>
        <w:t>公共关系是企业内求团结、外求发展的沟通桥梁，社会公益事业是企业回报社会应尽的责任。多年来，公司牢记企业的</w:t>
      </w:r>
    </w:p>
    <w:p>
      <w:pPr>
        <w:pStyle w:val="BodyText"/>
        <w:spacing w:line="316" w:lineRule="auto"/>
        <w:ind w:left="153" w:right="0"/>
        <w:jc w:val="left"/>
      </w:pPr>
      <w:r>
        <w:rPr>
          <w:spacing w:val="-2"/>
        </w:rPr>
        <w:t>社会责任和使命，一直以积极的态度力所能及地服务社会，热心公益回报社会，全力推动社区、企业和当地经济的进步，做</w:t>
      </w:r>
      <w:r>
        <w:rPr>
          <w:spacing w:val="-66"/>
        </w:rPr>
        <w:t> </w:t>
      </w:r>
      <w:r>
        <w:rPr>
          <w:spacing w:val="-66"/>
        </w:rPr>
      </w:r>
      <w:r>
        <w:rPr/>
        <w:t>到全面、和谐发展。</w:t>
      </w:r>
    </w:p>
    <w:p>
      <w:pPr>
        <w:pStyle w:val="BodyText"/>
        <w:spacing w:line="240" w:lineRule="auto" w:before="67"/>
        <w:ind w:left="513" w:right="2239"/>
        <w:jc w:val="left"/>
      </w:pPr>
      <w:r>
        <w:rPr/>
        <w:t>（一）守法经营，依法履行纳税；</w:t>
      </w:r>
    </w:p>
    <w:p>
      <w:pPr>
        <w:pStyle w:val="BodyText"/>
        <w:spacing w:line="240" w:lineRule="auto" w:before="124"/>
        <w:ind w:left="513" w:right="2239"/>
        <w:jc w:val="left"/>
      </w:pPr>
      <w:r>
        <w:rPr/>
        <w:t>（二）精准扶贫，促进和谐发展。</w:t>
      </w:r>
    </w:p>
    <w:p>
      <w:pPr>
        <w:pStyle w:val="BodyText"/>
        <w:spacing w:line="240" w:lineRule="auto" w:before="124"/>
        <w:ind w:left="423" w:right="2239"/>
        <w:jc w:val="left"/>
      </w:pPr>
      <w:r>
        <w:rPr/>
        <w:t>（</w:t>
      </w:r>
      <w:r>
        <w:rPr>
          <w:rFonts w:ascii="Arial" w:hAnsi="Arial" w:cs="Arial" w:eastAsia="Arial" w:hint="default"/>
        </w:rPr>
        <w:t>6</w:t>
      </w:r>
      <w:r>
        <w:rPr/>
        <w:t>）党建工作</w:t>
      </w:r>
    </w:p>
    <w:p>
      <w:pPr>
        <w:pStyle w:val="BodyText"/>
        <w:spacing w:line="309" w:lineRule="auto" w:before="63"/>
        <w:ind w:right="1030" w:firstLine="360"/>
        <w:jc w:val="left"/>
      </w:pPr>
      <w:r>
        <w:rPr>
          <w:rFonts w:ascii="Arial" w:hAnsi="Arial" w:cs="Arial" w:eastAsia="Arial" w:hint="default"/>
        </w:rPr>
        <w:t>2019</w:t>
      </w:r>
      <w:r>
        <w:rPr/>
        <w:t>年是中国建国</w:t>
      </w:r>
      <w:r>
        <w:rPr>
          <w:rFonts w:ascii="Arial" w:hAnsi="Arial" w:cs="Arial" w:eastAsia="Arial" w:hint="default"/>
        </w:rPr>
        <w:t>70</w:t>
      </w:r>
      <w:r>
        <w:rPr/>
        <w:t>周年，党建工作尤为重要。公司党委以促进企业发展、丰富企业文化、建设员工家园、稳定员工 队伍、提升全员素质、弘扬正能量为重点，开展各项工作，助推企业各项任务的完成。上级领导多次到公司调研党建工作， 对公司党建工作给予了肯定和好评。</w:t>
      </w:r>
    </w:p>
    <w:p>
      <w:pPr>
        <w:pStyle w:val="BodyText"/>
        <w:spacing w:line="302" w:lineRule="auto" w:before="24"/>
        <w:ind w:right="0" w:firstLine="360"/>
        <w:jc w:val="left"/>
      </w:pPr>
      <w:r>
        <w:rPr>
          <w:spacing w:val="-1"/>
        </w:rPr>
        <w:t>（一）积极推广</w:t>
      </w:r>
      <w:r>
        <w:rPr>
          <w:rFonts w:ascii="Arial" w:hAnsi="Arial" w:cs="Arial" w:eastAsia="Arial" w:hint="default"/>
          <w:spacing w:val="-1"/>
        </w:rPr>
        <w:t>“</w:t>
      </w:r>
      <w:r>
        <w:rPr>
          <w:spacing w:val="-1"/>
        </w:rPr>
        <w:t>学习强国</w:t>
      </w:r>
      <w:r>
        <w:rPr>
          <w:rFonts w:ascii="Arial" w:hAnsi="Arial" w:cs="Arial" w:eastAsia="Arial" w:hint="default"/>
          <w:spacing w:val="-1"/>
        </w:rPr>
        <w:t>”</w:t>
      </w:r>
      <w:r>
        <w:rPr>
          <w:spacing w:val="-1"/>
        </w:rPr>
        <w:t>学习平台活动。为进一步加强党员的教育管理，建立健全党员党性定期分析制度，榕基党委</w:t>
      </w:r>
      <w:r>
        <w:rPr/>
        <w:t> 于</w:t>
      </w:r>
      <w:r>
        <w:rPr>
          <w:rFonts w:ascii="Arial" w:hAnsi="Arial" w:cs="Arial" w:eastAsia="Arial" w:hint="default"/>
        </w:rPr>
        <w:t>2019</w:t>
      </w:r>
      <w:r>
        <w:rPr/>
        <w:t>年</w:t>
      </w:r>
      <w:r>
        <w:rPr>
          <w:rFonts w:ascii="Arial" w:hAnsi="Arial" w:cs="Arial" w:eastAsia="Arial" w:hint="default"/>
        </w:rPr>
        <w:t>3</w:t>
      </w:r>
      <w:r>
        <w:rPr/>
        <w:t>月开始试行《党员积分管理制度》；</w:t>
      </w:r>
    </w:p>
    <w:p>
      <w:pPr>
        <w:pStyle w:val="BodyText"/>
        <w:spacing w:line="302" w:lineRule="auto" w:before="11"/>
        <w:ind w:left="153" w:right="0" w:firstLine="360"/>
        <w:jc w:val="left"/>
      </w:pPr>
      <w:r>
        <w:rPr>
          <w:spacing w:val="-2"/>
        </w:rPr>
        <w:t>（二）</w:t>
      </w:r>
      <w:r>
        <w:rPr>
          <w:rFonts w:ascii="Arial" w:hAnsi="Arial" w:cs="Arial" w:eastAsia="Arial" w:hint="default"/>
          <w:spacing w:val="-2"/>
        </w:rPr>
        <w:t>2019</w:t>
      </w:r>
      <w:r>
        <w:rPr>
          <w:spacing w:val="-2"/>
        </w:rPr>
        <w:t>年</w:t>
      </w:r>
      <w:r>
        <w:rPr>
          <w:rFonts w:ascii="Arial" w:hAnsi="Arial" w:cs="Arial" w:eastAsia="Arial" w:hint="default"/>
          <w:spacing w:val="-2"/>
        </w:rPr>
        <w:t>5</w:t>
      </w:r>
      <w:r>
        <w:rPr>
          <w:spacing w:val="-2"/>
        </w:rPr>
        <w:t>月，公司党委组织党员参观井冈山革命历史旧址，寻找</w:t>
      </w:r>
      <w:r>
        <w:rPr>
          <w:rFonts w:ascii="Arial" w:hAnsi="Arial" w:cs="Arial" w:eastAsia="Arial" w:hint="default"/>
          <w:spacing w:val="-2"/>
        </w:rPr>
        <w:t>“</w:t>
      </w:r>
      <w:r>
        <w:rPr>
          <w:spacing w:val="-2"/>
        </w:rPr>
        <w:t>初心</w:t>
      </w:r>
      <w:r>
        <w:rPr>
          <w:rFonts w:ascii="Arial" w:hAnsi="Arial" w:cs="Arial" w:eastAsia="Arial" w:hint="default"/>
          <w:spacing w:val="-2"/>
        </w:rPr>
        <w:t>”</w:t>
      </w:r>
      <w:r>
        <w:rPr>
          <w:rFonts w:ascii="Arial" w:hAnsi="Arial" w:cs="Arial" w:eastAsia="Arial" w:hint="default"/>
          <w:spacing w:val="17"/>
        </w:rPr>
        <w:t> </w:t>
      </w:r>
      <w:r>
        <w:rPr>
          <w:spacing w:val="-2"/>
        </w:rPr>
        <w:t>，重温革命斗阵历程，学习中国共产党及</w:t>
      </w:r>
      <w:r>
        <w:rPr/>
        <w:t> 其领导的人民军队艰苦创业和坚持理想信念的精神；</w:t>
      </w:r>
    </w:p>
    <w:p>
      <w:pPr>
        <w:pStyle w:val="BodyText"/>
        <w:spacing w:line="240" w:lineRule="auto" w:before="29"/>
        <w:ind w:left="513" w:right="2239"/>
        <w:jc w:val="left"/>
      </w:pPr>
      <w:r>
        <w:rPr/>
        <w:t>（三）</w:t>
      </w:r>
      <w:r>
        <w:rPr>
          <w:rFonts w:ascii="Arial" w:hAnsi="Arial" w:cs="Arial" w:eastAsia="Arial" w:hint="default"/>
        </w:rPr>
        <w:t>2019</w:t>
      </w:r>
      <w:r>
        <w:rPr/>
        <w:t>年</w:t>
      </w:r>
      <w:r>
        <w:rPr>
          <w:rFonts w:ascii="Arial" w:hAnsi="Arial" w:cs="Arial" w:eastAsia="Arial" w:hint="default"/>
        </w:rPr>
        <w:t>6</w:t>
      </w:r>
      <w:r>
        <w:rPr/>
        <w:t>月，公司党委组织党员到闽清东桥中学开展爱心帮扶活动，捐赠图书近百册；</w:t>
      </w:r>
    </w:p>
    <w:p>
      <w:pPr>
        <w:pStyle w:val="BodyText"/>
        <w:spacing w:line="240" w:lineRule="auto" w:before="63"/>
        <w:ind w:left="513" w:right="2239"/>
        <w:jc w:val="left"/>
      </w:pPr>
      <w:r>
        <w:rPr/>
        <w:t>（四）</w:t>
      </w:r>
      <w:r>
        <w:rPr>
          <w:rFonts w:ascii="Arial" w:hAnsi="Arial" w:cs="Arial" w:eastAsia="Arial" w:hint="default"/>
        </w:rPr>
        <w:t>2019</w:t>
      </w:r>
      <w:r>
        <w:rPr/>
        <w:t>年</w:t>
      </w:r>
      <w:r>
        <w:rPr>
          <w:rFonts w:ascii="Arial" w:hAnsi="Arial" w:cs="Arial" w:eastAsia="Arial" w:hint="default"/>
        </w:rPr>
        <w:t>9</w:t>
      </w:r>
      <w:r>
        <w:rPr/>
        <w:t>月，由党委牵头，公司员工爱心结对帮扶东桥中学</w:t>
      </w:r>
      <w:r>
        <w:rPr>
          <w:rFonts w:ascii="Arial" w:hAnsi="Arial" w:cs="Arial" w:eastAsia="Arial" w:hint="default"/>
        </w:rPr>
        <w:t>12</w:t>
      </w:r>
      <w:r>
        <w:rPr/>
        <w:t>名困难孩子；</w:t>
      </w:r>
    </w:p>
    <w:p>
      <w:pPr>
        <w:pStyle w:val="BodyText"/>
        <w:spacing w:line="302" w:lineRule="auto" w:before="63"/>
        <w:ind w:right="1189" w:firstLine="360"/>
        <w:jc w:val="left"/>
      </w:pPr>
      <w:r>
        <w:rPr/>
        <w:t>（五）</w:t>
      </w:r>
      <w:r>
        <w:rPr>
          <w:rFonts w:ascii="Arial" w:hAnsi="Arial" w:cs="Arial" w:eastAsia="Arial" w:hint="default"/>
        </w:rPr>
        <w:t>2019</w:t>
      </w:r>
      <w:r>
        <w:rPr/>
        <w:t>年</w:t>
      </w:r>
      <w:r>
        <w:rPr>
          <w:rFonts w:ascii="Arial" w:hAnsi="Arial" w:cs="Arial" w:eastAsia="Arial" w:hint="default"/>
        </w:rPr>
        <w:t>9</w:t>
      </w:r>
      <w:r>
        <w:rPr/>
        <w:t>月</w:t>
      </w:r>
      <w:r>
        <w:rPr>
          <w:rFonts w:ascii="Arial" w:hAnsi="Arial" w:cs="Arial" w:eastAsia="Arial" w:hint="default"/>
        </w:rPr>
        <w:t>-2019</w:t>
      </w:r>
      <w:r>
        <w:rPr/>
        <w:t>年</w:t>
      </w:r>
      <w:r>
        <w:rPr>
          <w:rFonts w:ascii="Arial" w:hAnsi="Arial" w:cs="Arial" w:eastAsia="Arial" w:hint="default"/>
        </w:rPr>
        <w:t>12</w:t>
      </w:r>
      <w:r>
        <w:rPr/>
        <w:t>月，榕基党委作为市委第一指导组成员，围绕</w:t>
      </w:r>
      <w:r>
        <w:rPr>
          <w:rFonts w:ascii="Arial" w:hAnsi="Arial" w:cs="Arial" w:eastAsia="Arial" w:hint="default"/>
        </w:rPr>
        <w:t>“</w:t>
      </w:r>
      <w:r>
        <w:rPr/>
        <w:t>不忘初心、牢记使命</w:t>
      </w:r>
      <w:r>
        <w:rPr>
          <w:rFonts w:ascii="Arial" w:hAnsi="Arial" w:cs="Arial" w:eastAsia="Arial" w:hint="default"/>
        </w:rPr>
        <w:t>”</w:t>
      </w:r>
      <w:r>
        <w:rPr/>
        <w:t>主题开展一系列教育 活动工作。</w:t>
      </w:r>
    </w:p>
    <w:p>
      <w:pPr>
        <w:pStyle w:val="BodyText"/>
        <w:spacing w:line="240" w:lineRule="auto" w:before="29"/>
        <w:ind w:left="454" w:right="2239"/>
        <w:jc w:val="left"/>
      </w:pPr>
      <w:r>
        <w:rPr/>
        <w:t>（</w:t>
      </w:r>
      <w:r>
        <w:rPr>
          <w:rFonts w:ascii="Arial" w:hAnsi="Arial" w:cs="Arial" w:eastAsia="Arial" w:hint="default"/>
        </w:rPr>
        <w:t>7</w:t>
      </w:r>
      <w:r>
        <w:rPr/>
        <w:t>）抗击新型冠状病毒肺炎疫情</w:t>
      </w:r>
    </w:p>
    <w:p>
      <w:pPr>
        <w:pStyle w:val="BodyText"/>
        <w:spacing w:line="302" w:lineRule="auto" w:before="63"/>
        <w:ind w:right="1159" w:firstLine="450"/>
        <w:jc w:val="left"/>
      </w:pPr>
      <w:r>
        <w:rPr>
          <w:rFonts w:ascii="Arial" w:hAnsi="Arial" w:cs="Arial" w:eastAsia="Arial" w:hint="default"/>
        </w:rPr>
        <w:t>2020</w:t>
      </w:r>
      <w:r>
        <w:rPr/>
        <w:t>年</w:t>
      </w:r>
      <w:r>
        <w:rPr>
          <w:rFonts w:ascii="Arial" w:hAnsi="Arial" w:cs="Arial" w:eastAsia="Arial" w:hint="default"/>
        </w:rPr>
        <w:t>1</w:t>
      </w:r>
      <w:r>
        <w:rPr/>
        <w:t>月新型冠状病毒肺炎疫情爆发，公司积极履行社会责任，支持抗击新型冠状病毒肺炎疫情，公司及其下属子 公司快速行动，积极主动与所在地政府对接，支撑疫情防控工作开展。</w:t>
      </w:r>
    </w:p>
    <w:p>
      <w:pPr>
        <w:pStyle w:val="BodyText"/>
        <w:spacing w:line="240" w:lineRule="auto" w:before="29"/>
        <w:ind w:left="514" w:right="2239"/>
        <w:jc w:val="left"/>
      </w:pPr>
      <w:r>
        <w:rPr/>
        <w:t>（一）公司党委组织党员、员工捐款，公司近</w:t>
      </w:r>
      <w:r>
        <w:rPr>
          <w:rFonts w:ascii="Arial" w:hAnsi="Arial" w:cs="Arial" w:eastAsia="Arial" w:hint="default"/>
        </w:rPr>
        <w:t>500</w:t>
      </w:r>
      <w:r>
        <w:rPr/>
        <w:t>名员工参加了捐款活动；</w:t>
      </w:r>
    </w:p>
    <w:p>
      <w:pPr>
        <w:pStyle w:val="BodyText"/>
        <w:spacing w:line="240" w:lineRule="auto" w:before="63"/>
        <w:ind w:left="514" w:right="2239"/>
        <w:jc w:val="left"/>
      </w:pPr>
      <w:r>
        <w:rPr/>
        <w:t>（二）公司向公众限时免费开放</w:t>
      </w:r>
      <w:r>
        <w:rPr>
          <w:rFonts w:ascii="Arial" w:hAnsi="Arial" w:cs="Arial" w:eastAsia="Arial" w:hint="default"/>
        </w:rPr>
        <w:t>iTask</w:t>
      </w:r>
      <w:r>
        <w:rPr/>
        <w:t>移动协同管理平台；</w:t>
      </w:r>
    </w:p>
    <w:p>
      <w:pPr>
        <w:pStyle w:val="BodyText"/>
        <w:spacing w:line="240" w:lineRule="auto" w:before="63"/>
        <w:ind w:left="513" w:right="2239"/>
        <w:jc w:val="left"/>
      </w:pPr>
      <w:r>
        <w:rPr/>
        <w:t>（三）按照市政府要求完成在</w:t>
      </w:r>
      <w:r>
        <w:rPr>
          <w:rFonts w:ascii="Arial" w:hAnsi="Arial" w:cs="Arial" w:eastAsia="Arial" w:hint="default"/>
        </w:rPr>
        <w:t>E</w:t>
      </w:r>
      <w:r>
        <w:rPr/>
        <w:t>福州系统上组建防疫物资提供平台（口罩预约平台）的系统搭建工作；</w:t>
      </w:r>
    </w:p>
    <w:p>
      <w:pPr>
        <w:pStyle w:val="BodyText"/>
        <w:spacing w:line="240" w:lineRule="auto" w:before="63"/>
        <w:ind w:left="513" w:right="2239"/>
        <w:jc w:val="left"/>
      </w:pPr>
      <w:r>
        <w:rPr/>
        <w:t>（四）为福州市</w:t>
      </w:r>
      <w:r>
        <w:rPr>
          <w:rFonts w:ascii="Arial" w:hAnsi="Arial" w:cs="Arial" w:eastAsia="Arial" w:hint="default"/>
        </w:rPr>
        <w:t>12345</w:t>
      </w:r>
      <w:r>
        <w:rPr/>
        <w:t>热线平台、市委、市政府政府运维工作提供保障；</w:t>
      </w:r>
    </w:p>
    <w:p>
      <w:pPr>
        <w:pStyle w:val="BodyText"/>
        <w:spacing w:line="240" w:lineRule="auto" w:before="63"/>
        <w:ind w:left="513" w:right="2239"/>
        <w:jc w:val="left"/>
      </w:pPr>
      <w:r>
        <w:rPr/>
        <w:t>（五）河南榕基积极为河南省司法厅社区矫正管理局做好疫情期间社区矫正工作提供信息技术服务；</w:t>
      </w:r>
    </w:p>
    <w:p>
      <w:pPr>
        <w:pStyle w:val="BodyText"/>
        <w:spacing w:line="309" w:lineRule="auto" w:before="76"/>
        <w:ind w:right="0" w:firstLine="360"/>
        <w:jc w:val="left"/>
      </w:pPr>
      <w:r>
        <w:rPr/>
        <w:t>（六）信阳榕基向信阳市疫情防控工作指挥部捐赠价值</w:t>
      </w:r>
      <w:r>
        <w:rPr>
          <w:rFonts w:ascii="Arial" w:hAnsi="Arial" w:cs="Arial" w:eastAsia="Arial" w:hint="default"/>
        </w:rPr>
        <w:t>30</w:t>
      </w:r>
      <w:r>
        <w:rPr/>
        <w:t>余万元大屏幕，用于指挥部实时了解、部署全市疫情防控工 </w:t>
      </w:r>
      <w:r>
        <w:rPr>
          <w:spacing w:val="-2"/>
        </w:rPr>
        <w:t>作；向信阳职业技术学院附属医院、信阳市中心医院、信阳市防疫站、南湾管委会等捐赠了一次性医用口罩、防护服、隔离</w:t>
      </w:r>
      <w:r>
        <w:rPr>
          <w:spacing w:val="-68"/>
        </w:rPr>
        <w:t> </w:t>
      </w:r>
      <w:r>
        <w:rPr>
          <w:spacing w:val="-68"/>
        </w:rPr>
      </w:r>
      <w:r>
        <w:rPr/>
        <w:t>服、</w:t>
      </w:r>
      <w:r>
        <w:rPr>
          <w:rFonts w:ascii="Arial" w:hAnsi="Arial" w:cs="Arial" w:eastAsia="Arial" w:hint="default"/>
        </w:rPr>
        <w:t>N95</w:t>
      </w:r>
      <w:r>
        <w:rPr/>
        <w:t>口罩、医用酒精等物资。</w:t>
      </w:r>
    </w:p>
    <w:p>
      <w:pPr>
        <w:pStyle w:val="BodyText"/>
        <w:spacing w:line="240" w:lineRule="auto" w:before="46"/>
        <w:ind w:right="2239"/>
        <w:jc w:val="left"/>
      </w:pPr>
      <w:r>
        <w:rPr/>
        <w:t>《</w:t>
      </w:r>
      <w:r>
        <w:rPr>
          <w:rFonts w:ascii="Arial" w:hAnsi="Arial" w:cs="Arial" w:eastAsia="Arial" w:hint="default"/>
        </w:rPr>
        <w:t>2019</w:t>
      </w:r>
      <w:r>
        <w:rPr/>
        <w:t>年年度社会责任报告》已经披露于</w:t>
      </w:r>
      <w:r>
        <w:rPr>
          <w:rFonts w:ascii="Arial" w:hAnsi="Arial" w:cs="Arial" w:eastAsia="Arial" w:hint="default"/>
        </w:rPr>
        <w:t>2020</w:t>
      </w:r>
      <w:r>
        <w:rPr/>
        <w:t>年</w:t>
      </w:r>
      <w:r>
        <w:rPr>
          <w:rFonts w:ascii="Arial" w:hAnsi="Arial" w:cs="Arial" w:eastAsia="Arial" w:hint="default"/>
        </w:rPr>
        <w:t>4</w:t>
      </w:r>
      <w:r>
        <w:rPr/>
        <w:t>月</w:t>
      </w:r>
      <w:r>
        <w:rPr>
          <w:rFonts w:ascii="Arial" w:hAnsi="Arial" w:cs="Arial" w:eastAsia="Arial" w:hint="default"/>
        </w:rPr>
        <w:t>29</w:t>
      </w:r>
      <w:r>
        <w:rPr/>
        <w:t>日巨潮资讯网（</w:t>
      </w:r>
      <w:hyperlink r:id="rId13">
        <w:r>
          <w:rPr>
            <w:rFonts w:ascii="Arial" w:hAnsi="Arial" w:cs="Arial" w:eastAsia="Arial" w:hint="default"/>
          </w:rPr>
          <w:t>www.cninfo.com.cn</w:t>
        </w:r>
      </w:hyperlink>
      <w:r>
        <w:rPr/>
        <w:t>）</w:t>
      </w:r>
    </w:p>
    <w:p>
      <w:pPr>
        <w:spacing w:line="240" w:lineRule="auto" w:before="11"/>
        <w:rPr>
          <w:rFonts w:ascii="宋体" w:hAnsi="宋体" w:cs="宋体" w:eastAsia="宋体" w:hint="default"/>
          <w:sz w:val="25"/>
          <w:szCs w:val="25"/>
        </w:rPr>
      </w:pPr>
    </w:p>
    <w:p>
      <w:pPr>
        <w:pStyle w:val="Heading4"/>
        <w:spacing w:line="240" w:lineRule="auto"/>
        <w:ind w:right="2239"/>
        <w:jc w:val="left"/>
        <w:rPr>
          <w:b w:val="0"/>
          <w:bCs w:val="0"/>
        </w:rPr>
      </w:pPr>
      <w:r>
        <w:rPr>
          <w:rFonts w:ascii="Arial" w:hAnsi="Arial" w:cs="Arial" w:eastAsia="Arial" w:hint="default"/>
        </w:rPr>
        <w:t>2</w:t>
      </w:r>
      <w:r>
        <w:rPr/>
        <w:t>、履行精准扶贫社会责任情况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2239"/>
        <w:jc w:val="left"/>
        <w:rPr>
          <w:b w:val="0"/>
          <w:bCs w:val="0"/>
        </w:rPr>
      </w:pPr>
      <w:r>
        <w:rPr/>
        <w:t>（</w:t>
      </w:r>
      <w:r>
        <w:rPr>
          <w:rFonts w:ascii="Arial" w:hAnsi="Arial" w:cs="Arial" w:eastAsia="Arial" w:hint="default"/>
        </w:rPr>
        <w:t>1</w:t>
      </w:r>
      <w:r>
        <w:rPr/>
        <w:t>）精准扶贫规划</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9" w:firstLine="360"/>
        <w:jc w:val="both"/>
      </w:pPr>
      <w:r>
        <w:rPr>
          <w:spacing w:val="-2"/>
        </w:rPr>
        <w:t>公司积极响应国家及地方政府号召，充分发挥软件公司信息化技术优势，积极履行社会责任，开展精准扶贫工作，建立</w:t>
      </w:r>
      <w:r>
        <w:rPr/>
        <w:t> </w:t>
      </w:r>
      <w:r>
        <w:rPr>
          <w:spacing w:val="-2"/>
        </w:rPr>
        <w:t>健全内部职能机构工作联系机制，在人员就业、教育行业等多方面开展精准扶贫工作，维护各相关方利益，更好地与社会共</w:t>
      </w:r>
      <w:r>
        <w:rPr>
          <w:spacing w:val="-66"/>
        </w:rPr>
        <w:t> </w:t>
      </w:r>
      <w:r>
        <w:rPr>
          <w:spacing w:val="-66"/>
        </w:rPr>
      </w:r>
      <w:r>
        <w:rPr/>
        <w:t>享企业经营成果，全面推进企业和社会的和谐发展。</w:t>
      </w:r>
    </w:p>
    <w:p>
      <w:pPr>
        <w:spacing w:line="240" w:lineRule="auto" w:before="7"/>
        <w:rPr>
          <w:rFonts w:ascii="宋体" w:hAnsi="宋体" w:cs="宋体" w:eastAsia="宋体" w:hint="default"/>
          <w:sz w:val="22"/>
          <w:szCs w:val="22"/>
        </w:rPr>
      </w:pPr>
    </w:p>
    <w:p>
      <w:pPr>
        <w:pStyle w:val="Heading4"/>
        <w:spacing w:line="240" w:lineRule="auto"/>
        <w:ind w:right="2239"/>
        <w:jc w:val="left"/>
        <w:rPr>
          <w:b w:val="0"/>
          <w:bCs w:val="0"/>
        </w:rPr>
      </w:pPr>
      <w:r>
        <w:rPr/>
        <w:t>（</w:t>
      </w:r>
      <w:r>
        <w:rPr>
          <w:rFonts w:ascii="Arial" w:hAnsi="Arial" w:cs="Arial" w:eastAsia="Arial" w:hint="default"/>
        </w:rPr>
        <w:t>2</w:t>
      </w:r>
      <w:r>
        <w:rPr/>
        <w:t>）年度精准扶贫概要</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2239"/>
        <w:jc w:val="left"/>
      </w:pPr>
      <w:r>
        <w:rPr/>
        <w:t>（一）就业扶贫</w:t>
      </w:r>
    </w:p>
    <w:p>
      <w:pPr>
        <w:spacing w:after="0" w:line="240"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02" w:lineRule="auto" w:before="44"/>
        <w:ind w:left="153" w:right="0" w:firstLine="360"/>
        <w:jc w:val="left"/>
      </w:pPr>
      <w:r>
        <w:rPr/>
        <w:t>做强公司产业，带动劳务用工规模，加强劳务用工人员职业技能培训，提高劳务用工人员劳动职业技能。</w:t>
      </w:r>
      <w:r>
        <w:rPr>
          <w:rFonts w:ascii="Arial" w:hAnsi="Arial" w:cs="Arial" w:eastAsia="Arial" w:hint="default"/>
        </w:rPr>
        <w:t>2019</w:t>
      </w:r>
      <w:r>
        <w:rPr/>
        <w:t>年公司</w:t>
      </w:r>
      <w:r>
        <w:rPr>
          <w:spacing w:val="1"/>
        </w:rPr>
        <w:t> </w:t>
      </w:r>
      <w:r>
        <w:rPr/>
        <w:t>招聘</w:t>
      </w:r>
      <w:r>
        <w:rPr>
          <w:rFonts w:ascii="Arial" w:hAnsi="Arial" w:cs="Arial" w:eastAsia="Arial" w:hint="default"/>
        </w:rPr>
        <w:t>117</w:t>
      </w:r>
      <w:r>
        <w:rPr/>
        <w:t>人，为社会人员提供了就业机会。</w:t>
      </w:r>
    </w:p>
    <w:p>
      <w:pPr>
        <w:pStyle w:val="BodyText"/>
        <w:spacing w:line="357" w:lineRule="auto" w:before="51"/>
        <w:ind w:left="513" w:right="1155" w:hanging="360"/>
        <w:jc w:val="left"/>
      </w:pPr>
      <w:r>
        <w:rPr/>
        <w:t>（二）社会扶贫 公司积极参加福州市软件园组织的对甘肃省定西市岷县的定点帮扶工作和福建省国家保密协会组织的赴长汀县策武镇</w:t>
      </w:r>
    </w:p>
    <w:p>
      <w:pPr>
        <w:pStyle w:val="BodyText"/>
        <w:spacing w:line="357" w:lineRule="auto"/>
        <w:ind w:left="513" w:right="1120" w:hanging="360"/>
        <w:jc w:val="left"/>
      </w:pPr>
      <w:r>
        <w:rPr/>
        <w:t>林田村举行扶贫助困献爱心捐赠活动。 自</w:t>
      </w:r>
      <w:r>
        <w:rPr>
          <w:rFonts w:ascii="Arial" w:hAnsi="Arial" w:cs="Arial" w:eastAsia="Arial" w:hint="default"/>
        </w:rPr>
        <w:t>2018</w:t>
      </w:r>
      <w:r>
        <w:rPr/>
        <w:t>年</w:t>
      </w:r>
      <w:r>
        <w:rPr>
          <w:rFonts w:ascii="Arial" w:hAnsi="Arial" w:cs="Arial" w:eastAsia="Arial" w:hint="default"/>
        </w:rPr>
        <w:t>3</w:t>
      </w:r>
      <w:r>
        <w:rPr/>
        <w:t>月始，由中国中央电视台、中共福建省委宣传部、福建广播影视集团和榕基软件共同合作开展运营</w:t>
      </w:r>
      <w:r>
        <w:rPr>
          <w:rFonts w:ascii="Arial" w:hAnsi="Arial" w:cs="Arial" w:eastAsia="Arial" w:hint="default"/>
        </w:rPr>
        <w:t>CCTV</w:t>
      </w:r>
      <w:r>
        <w:rPr/>
        <w:t>国</w:t>
      </w:r>
    </w:p>
    <w:p>
      <w:pPr>
        <w:pStyle w:val="BodyText"/>
        <w:spacing w:line="213" w:lineRule="exact"/>
        <w:ind w:left="153" w:right="0"/>
        <w:jc w:val="left"/>
      </w:pPr>
      <w:r>
        <w:rPr/>
        <w:t>家品牌计划</w:t>
      </w:r>
      <w:r>
        <w:rPr>
          <w:rFonts w:ascii="Arial" w:hAnsi="Arial" w:cs="Arial" w:eastAsia="Arial" w:hint="default"/>
        </w:rPr>
        <w:t>“</w:t>
      </w:r>
      <w:r>
        <w:rPr/>
        <w:t>广告精准扶贫</w:t>
      </w:r>
      <w:r>
        <w:rPr>
          <w:rFonts w:ascii="Arial" w:hAnsi="Arial" w:cs="Arial" w:eastAsia="Arial" w:hint="default"/>
        </w:rPr>
        <w:t>”</w:t>
      </w:r>
      <w:r>
        <w:rPr/>
        <w:t>福建项目，利用主流媒体的宣传资源依托榕基软件建设的电商平台，为福建具有地方特色的优质</w:t>
      </w:r>
    </w:p>
    <w:p>
      <w:pPr>
        <w:pStyle w:val="BodyText"/>
        <w:spacing w:line="338" w:lineRule="auto" w:before="65"/>
        <w:ind w:left="153" w:right="1031"/>
        <w:jc w:val="left"/>
      </w:pPr>
      <w:r>
        <w:rPr/>
        <w:t>农产品打开市场，提升知名度。 </w:t>
      </w:r>
      <w:r>
        <w:rPr>
          <w:spacing w:val="-2"/>
        </w:rPr>
        <w:t>截至目前，该平台已对接了福建泰宁乌凤鸡，寿宁高山茶，三状元茶油，闽清三溪茶油，建阳桔柚，云霄下河杨桃，武平百</w:t>
      </w:r>
      <w:r>
        <w:rPr>
          <w:spacing w:val="-65"/>
        </w:rPr>
        <w:t> </w:t>
      </w:r>
      <w:r>
        <w:rPr>
          <w:spacing w:val="-65"/>
        </w:rPr>
      </w:r>
      <w:r>
        <w:rPr/>
        <w:t>香果，柘荣太子参，屏南茶树菇，松溪绿茶，政和白茶，浦城大米，古田银耳，南平竹笋，建宁黄花梨等地方优质农产品。</w:t>
      </w:r>
    </w:p>
    <w:p>
      <w:pPr>
        <w:pStyle w:val="BodyText"/>
        <w:spacing w:line="357" w:lineRule="auto" w:before="43"/>
        <w:ind w:left="513" w:right="0" w:hanging="360"/>
        <w:jc w:val="left"/>
      </w:pPr>
      <w:r>
        <w:rPr/>
        <w:t>（三）困难家庭扶贫 </w:t>
      </w:r>
      <w:r>
        <w:rPr>
          <w:spacing w:val="-1"/>
        </w:rPr>
        <w:t>坚持开展送温暖活动。加强困难职工动态管理，通过</w:t>
      </w:r>
      <w:r>
        <w:rPr>
          <w:rFonts w:ascii="Arial" w:hAnsi="Arial" w:cs="Arial" w:eastAsia="Arial" w:hint="default"/>
          <w:spacing w:val="-1"/>
        </w:rPr>
        <w:t>“</w:t>
      </w:r>
      <w:r>
        <w:rPr>
          <w:spacing w:val="-1"/>
        </w:rPr>
        <w:t>金秋助学</w:t>
      </w:r>
      <w:r>
        <w:rPr>
          <w:rFonts w:ascii="Arial" w:hAnsi="Arial" w:cs="Arial" w:eastAsia="Arial" w:hint="default"/>
          <w:spacing w:val="-1"/>
        </w:rPr>
        <w:t>”</w:t>
      </w:r>
      <w:r>
        <w:rPr>
          <w:spacing w:val="-1"/>
        </w:rPr>
        <w:t>、</w:t>
      </w:r>
      <w:r>
        <w:rPr>
          <w:rFonts w:ascii="Arial" w:hAnsi="Arial" w:cs="Arial" w:eastAsia="Arial" w:hint="default"/>
          <w:spacing w:val="-1"/>
        </w:rPr>
        <w:t>“</w:t>
      </w:r>
      <w:r>
        <w:rPr>
          <w:spacing w:val="-1"/>
        </w:rPr>
        <w:t>重大疾病医疗互助</w:t>
      </w:r>
      <w:r>
        <w:rPr>
          <w:rFonts w:ascii="Arial" w:hAnsi="Arial" w:cs="Arial" w:eastAsia="Arial" w:hint="default"/>
          <w:spacing w:val="-1"/>
        </w:rPr>
        <w:t>”</w:t>
      </w:r>
      <w:r>
        <w:rPr>
          <w:spacing w:val="-1"/>
        </w:rPr>
        <w:t>、</w:t>
      </w:r>
      <w:r>
        <w:rPr>
          <w:rFonts w:ascii="Arial" w:hAnsi="Arial" w:cs="Arial" w:eastAsia="Arial" w:hint="default"/>
          <w:spacing w:val="-1"/>
        </w:rPr>
        <w:t>“</w:t>
      </w:r>
      <w:r>
        <w:rPr>
          <w:spacing w:val="-1"/>
        </w:rPr>
        <w:t>特困职工慰问</w:t>
      </w:r>
      <w:r>
        <w:rPr>
          <w:rFonts w:ascii="Arial" w:hAnsi="Arial" w:cs="Arial" w:eastAsia="Arial" w:hint="default"/>
          <w:spacing w:val="-1"/>
        </w:rPr>
        <w:t>”</w:t>
      </w:r>
      <w:r>
        <w:rPr>
          <w:spacing w:val="-1"/>
        </w:rPr>
        <w:t>、</w:t>
      </w:r>
      <w:r>
        <w:rPr>
          <w:rFonts w:ascii="Arial" w:hAnsi="Arial" w:cs="Arial" w:eastAsia="Arial" w:hint="default"/>
          <w:spacing w:val="-1"/>
        </w:rPr>
        <w:t>“</w:t>
      </w:r>
      <w:r>
        <w:rPr>
          <w:spacing w:val="-1"/>
        </w:rPr>
        <w:t>五必访</w:t>
      </w:r>
      <w:r>
        <w:rPr>
          <w:rFonts w:ascii="Arial" w:hAnsi="Arial" w:cs="Arial" w:eastAsia="Arial" w:hint="default"/>
          <w:spacing w:val="-1"/>
        </w:rPr>
        <w:t>”</w:t>
      </w:r>
      <w:r>
        <w:rPr>
          <w:spacing w:val="-1"/>
        </w:rPr>
        <w:t>等多</w:t>
      </w:r>
      <w:r>
        <w:rPr/>
      </w:r>
    </w:p>
    <w:p>
      <w:pPr>
        <w:pStyle w:val="BodyText"/>
        <w:spacing w:line="215" w:lineRule="exact"/>
        <w:ind w:left="153" w:right="0"/>
        <w:jc w:val="left"/>
      </w:pPr>
      <w:r>
        <w:rPr/>
        <w:t>渠道、多形式对他们进行帮扶慰问。</w:t>
      </w:r>
      <w:r>
        <w:rPr>
          <w:rFonts w:ascii="Arial" w:hAnsi="Arial" w:cs="Arial" w:eastAsia="Arial" w:hint="default"/>
        </w:rPr>
        <w:t>2019</w:t>
      </w:r>
      <w:r>
        <w:rPr/>
        <w:t>年度公司进行慰问送温暖</w:t>
      </w:r>
      <w:r>
        <w:rPr>
          <w:rFonts w:ascii="Arial" w:hAnsi="Arial" w:cs="Arial" w:eastAsia="Arial" w:hint="default"/>
        </w:rPr>
        <w:t>68</w:t>
      </w:r>
      <w:r>
        <w:rPr/>
        <w:t>人</w:t>
      </w:r>
      <w:r>
        <w:rPr>
          <w:rFonts w:ascii="Arial" w:hAnsi="Arial" w:cs="Arial" w:eastAsia="Arial" w:hint="default"/>
        </w:rPr>
        <w:t>/</w:t>
      </w:r>
      <w:r>
        <w:rPr/>
        <w:t>次；互助会补助</w:t>
      </w:r>
      <w:r>
        <w:rPr>
          <w:rFonts w:ascii="Arial" w:hAnsi="Arial" w:cs="Arial" w:eastAsia="Arial" w:hint="default"/>
        </w:rPr>
        <w:t>9</w:t>
      </w:r>
      <w:r>
        <w:rPr/>
        <w:t>人，互助基金额累计</w:t>
      </w:r>
      <w:r>
        <w:rPr>
          <w:rFonts w:ascii="Arial" w:hAnsi="Arial" w:cs="Arial" w:eastAsia="Arial" w:hint="default"/>
        </w:rPr>
        <w:t>50</w:t>
      </w:r>
      <w:r>
        <w:rPr/>
        <w:t>多万。</w:t>
      </w:r>
    </w:p>
    <w:p>
      <w:pPr>
        <w:spacing w:line="240" w:lineRule="auto" w:before="10"/>
        <w:rPr>
          <w:rFonts w:ascii="宋体" w:hAnsi="宋体" w:cs="宋体" w:eastAsia="宋体" w:hint="default"/>
          <w:sz w:val="25"/>
          <w:szCs w:val="25"/>
        </w:rPr>
      </w:pPr>
    </w:p>
    <w:p>
      <w:pPr>
        <w:pStyle w:val="Heading4"/>
        <w:spacing w:line="240" w:lineRule="auto"/>
        <w:ind w:right="2239"/>
        <w:jc w:val="left"/>
        <w:rPr>
          <w:b w:val="0"/>
          <w:bCs w:val="0"/>
        </w:rPr>
      </w:pPr>
      <w:r>
        <w:rPr/>
        <w:t>（</w:t>
      </w:r>
      <w:r>
        <w:rPr>
          <w:rFonts w:ascii="Arial" w:hAnsi="Arial" w:cs="Arial" w:eastAsia="Arial" w:hint="default"/>
        </w:rPr>
        <w:t>3</w:t>
      </w:r>
      <w:r>
        <w:rPr/>
        <w:t>）精准扶贫成效</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94"/>
        <w:gridCol w:w="1462"/>
        <w:gridCol w:w="4512"/>
      </w:tblGrid>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指标</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计量单位</w:t>
            </w:r>
          </w:p>
        </w:tc>
        <w:tc>
          <w:tcPr>
            <w:tcW w:w="4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数量</w:t>
            </w:r>
            <w:r>
              <w:rPr>
                <w:rFonts w:ascii="Times New Roman" w:hAnsi="Times New Roman" w:cs="Times New Roman" w:eastAsia="Times New Roman" w:hint="default"/>
                <w:sz w:val="18"/>
                <w:szCs w:val="18"/>
              </w:rPr>
              <w:t>/</w:t>
            </w:r>
            <w:r>
              <w:rPr>
                <w:rFonts w:ascii="宋体" w:hAnsi="宋体" w:cs="宋体" w:eastAsia="宋体" w:hint="default"/>
                <w:sz w:val="18"/>
                <w:szCs w:val="18"/>
              </w:rPr>
              <w:t>开展情况</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一、总体情况</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其中：</w:t>
            </w:r>
            <w:r>
              <w:rPr>
                <w:rFonts w:ascii="宋体" w:hAnsi="宋体" w:cs="宋体" w:eastAsia="宋体" w:hint="default"/>
                <w:spacing w:val="86"/>
                <w:sz w:val="18"/>
                <w:szCs w:val="18"/>
              </w:rPr>
              <w:t> </w:t>
            </w:r>
            <w:r>
              <w:rPr>
                <w:rFonts w:ascii="Times New Roman" w:hAnsi="Times New Roman" w:cs="Times New Roman" w:eastAsia="Times New Roman" w:hint="default"/>
                <w:sz w:val="18"/>
                <w:szCs w:val="18"/>
              </w:rPr>
              <w:t>1.</w:t>
            </w:r>
            <w:r>
              <w:rPr>
                <w:rFonts w:ascii="宋体" w:hAnsi="宋体" w:cs="宋体" w:eastAsia="宋体" w:hint="default"/>
                <w:sz w:val="18"/>
                <w:szCs w:val="18"/>
              </w:rPr>
              <w:t>资金</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万元</w:t>
            </w:r>
          </w:p>
        </w:tc>
        <w:tc>
          <w:tcPr>
            <w:tcW w:w="4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34.74</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二、分项投入</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产业发展脱贫</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转移就业脱贫</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易地搬迁脱贫</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教育扶贫</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健康扶贫</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7.</w:t>
            </w:r>
            <w:r>
              <w:rPr>
                <w:rFonts w:ascii="宋体" w:hAnsi="宋体" w:cs="宋体" w:eastAsia="宋体" w:hint="default"/>
                <w:sz w:val="18"/>
                <w:szCs w:val="18"/>
              </w:rPr>
              <w:t>兜底保障</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w:t>
            </w:r>
            <w:r>
              <w:rPr>
                <w:rFonts w:ascii="宋体" w:hAnsi="宋体" w:cs="宋体" w:eastAsia="宋体" w:hint="default"/>
                <w:sz w:val="18"/>
                <w:szCs w:val="18"/>
              </w:rPr>
              <w:t>社会扶贫</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w:t>
            </w:r>
            <w:r>
              <w:rPr>
                <w:rFonts w:ascii="宋体" w:hAnsi="宋体" w:cs="宋体" w:eastAsia="宋体" w:hint="default"/>
                <w:sz w:val="18"/>
                <w:szCs w:val="18"/>
              </w:rPr>
              <w:t>其他项目</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r>
        <w:trPr>
          <w:trHeight w:val="402" w:hRule="exact"/>
        </w:trPr>
        <w:tc>
          <w:tcPr>
            <w:tcW w:w="3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三、所获奖项（内容、级别）</w:t>
            </w:r>
          </w:p>
        </w:tc>
        <w:tc>
          <w:tcPr>
            <w:tcW w:w="14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45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r>
    </w:tbl>
    <w:p>
      <w:pPr>
        <w:spacing w:line="240" w:lineRule="auto" w:before="2"/>
        <w:rPr>
          <w:rFonts w:ascii="宋体" w:hAnsi="宋体" w:cs="宋体" w:eastAsia="宋体" w:hint="default"/>
          <w:b/>
          <w:bCs/>
          <w:sz w:val="19"/>
          <w:szCs w:val="19"/>
        </w:rPr>
      </w:pPr>
    </w:p>
    <w:p>
      <w:pPr>
        <w:pStyle w:val="Heading4"/>
        <w:spacing w:line="240" w:lineRule="auto" w:before="35"/>
        <w:ind w:right="2239"/>
        <w:jc w:val="left"/>
        <w:rPr>
          <w:b w:val="0"/>
          <w:bCs w:val="0"/>
        </w:rPr>
      </w:pPr>
      <w:r>
        <w:rPr/>
        <w:t>（</w:t>
      </w:r>
      <w:r>
        <w:rPr>
          <w:rFonts w:ascii="Arial" w:hAnsi="Arial" w:cs="Arial" w:eastAsia="Arial" w:hint="default"/>
        </w:rPr>
        <w:t>4</w:t>
      </w:r>
      <w:r>
        <w:rPr/>
        <w:t>）后续精准扶贫计划</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left="153" w:right="0" w:firstLine="390"/>
        <w:jc w:val="left"/>
      </w:pPr>
      <w:r>
        <w:rPr/>
        <w:t>不断完善公司社会责任管理体系，积极参与社会公益活动，支持和参与社会公益事业建设，支援贫困地区经济建设和</w:t>
      </w:r>
      <w:r>
        <w:rPr>
          <w:spacing w:val="1"/>
        </w:rPr>
        <w:t> </w:t>
      </w:r>
      <w:r>
        <w:rPr/>
        <w:t>教育事业，积极开展各项精准扶贫工作。</w:t>
      </w:r>
    </w:p>
    <w:p>
      <w:pPr>
        <w:pStyle w:val="BodyText"/>
        <w:spacing w:line="240" w:lineRule="auto" w:before="56"/>
        <w:ind w:left="513" w:right="2239"/>
        <w:jc w:val="left"/>
      </w:pPr>
      <w:r>
        <w:rPr/>
        <w:t>（一）进一步发挥党工团、专项扶贫小组作用，做好社会扶贫工作。</w:t>
      </w:r>
    </w:p>
    <w:p>
      <w:pPr>
        <w:pStyle w:val="BodyText"/>
        <w:spacing w:line="240" w:lineRule="auto" w:before="76"/>
        <w:ind w:left="513" w:right="2239"/>
        <w:jc w:val="left"/>
      </w:pPr>
      <w:r>
        <w:rPr/>
        <w:t>（二）继续打造以区域为单位的智慧校园群。</w:t>
      </w:r>
    </w:p>
    <w:p>
      <w:pPr>
        <w:pStyle w:val="BodyText"/>
        <w:spacing w:line="240" w:lineRule="auto" w:before="76"/>
        <w:ind w:left="513" w:right="2239"/>
        <w:jc w:val="left"/>
      </w:pPr>
      <w:r>
        <w:rPr/>
        <w:t>（三）积极开展向山区留守儿童捐书、捐款及结对帮扶困难孩子等爱心活动。</w:t>
      </w:r>
    </w:p>
    <w:p>
      <w:pPr>
        <w:spacing w:after="0" w:line="240" w:lineRule="auto"/>
        <w:jc w:val="left"/>
        <w:sectPr>
          <w:pgSz w:w="11910" w:h="16840"/>
          <w:pgMar w:header="747" w:footer="982" w:top="1060" w:bottom="118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2239"/>
        <w:jc w:val="left"/>
        <w:rPr>
          <w:b w:val="0"/>
          <w:bCs w:val="0"/>
        </w:rPr>
      </w:pPr>
      <w:r>
        <w:rPr>
          <w:rFonts w:ascii="Arial" w:hAnsi="Arial" w:cs="Arial" w:eastAsia="Arial" w:hint="default"/>
        </w:rPr>
        <w:t>3</w:t>
      </w:r>
      <w:r>
        <w:rPr/>
        <w:t>、环境保护相关的情况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153" w:right="5711"/>
        <w:jc w:val="left"/>
      </w:pPr>
      <w:r>
        <w:rPr/>
        <w:t>上市公司及其子公司是否属于环境保护部门公布的重点排污单位 否</w:t>
      </w:r>
    </w:p>
    <w:p>
      <w:pPr>
        <w:pStyle w:val="BodyText"/>
        <w:spacing w:line="240" w:lineRule="auto" w:before="28"/>
        <w:ind w:left="153" w:right="2239"/>
        <w:jc w:val="left"/>
      </w:pPr>
      <w:r>
        <w:rPr/>
        <w:t>公司及子公司不属于环境保护部门公布的重点排污单位。</w:t>
      </w:r>
    </w:p>
    <w:p>
      <w:pPr>
        <w:spacing w:line="240" w:lineRule="auto" w:before="2"/>
        <w:rPr>
          <w:rFonts w:ascii="宋体" w:hAnsi="宋体" w:cs="宋体" w:eastAsia="宋体" w:hint="default"/>
          <w:sz w:val="25"/>
          <w:szCs w:val="25"/>
        </w:rPr>
      </w:pPr>
    </w:p>
    <w:p>
      <w:pPr>
        <w:pStyle w:val="Heading2"/>
        <w:spacing w:line="240" w:lineRule="auto"/>
        <w:ind w:right="2239"/>
        <w:jc w:val="left"/>
        <w:rPr>
          <w:b w:val="0"/>
          <w:bCs w:val="0"/>
        </w:rPr>
      </w:pPr>
      <w:r>
        <w:rPr/>
        <w:t>十九、其他重大事项的说明</w:t>
      </w:r>
      <w:r>
        <w:rPr>
          <w:b w:val="0"/>
          <w:bCs w:val="0"/>
        </w:rPr>
      </w:r>
    </w:p>
    <w:p>
      <w:pPr>
        <w:spacing w:line="240" w:lineRule="auto" w:before="7"/>
        <w:rPr>
          <w:rFonts w:ascii="宋体" w:hAnsi="宋体" w:cs="宋体" w:eastAsia="宋体" w:hint="default"/>
          <w:b/>
          <w:bCs/>
          <w:sz w:val="26"/>
          <w:szCs w:val="26"/>
        </w:rPr>
      </w:pPr>
    </w:p>
    <w:p>
      <w:pPr>
        <w:pStyle w:val="BodyText"/>
        <w:spacing w:line="338" w:lineRule="auto"/>
        <w:ind w:left="514" w:right="1030" w:hanging="36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w:t>
      </w:r>
      <w:r>
        <w:rPr>
          <w:spacing w:val="-3"/>
        </w:rPr>
        <w:t>根据公司</w:t>
      </w:r>
      <w:r>
        <w:rPr>
          <w:rFonts w:ascii="Arial" w:hAnsi="Arial" w:cs="Arial" w:eastAsia="Arial" w:hint="default"/>
          <w:spacing w:val="-3"/>
        </w:rPr>
        <w:t>5</w:t>
      </w:r>
      <w:r>
        <w:rPr>
          <w:spacing w:val="-3"/>
        </w:rPr>
        <w:t>个募投项目计划，其中场地投入</w:t>
      </w:r>
      <w:r>
        <w:rPr>
          <w:rFonts w:ascii="Arial" w:hAnsi="Arial" w:cs="Arial" w:eastAsia="Arial" w:hint="default"/>
          <w:spacing w:val="-3"/>
        </w:rPr>
        <w:t>5,828.75</w:t>
      </w:r>
      <w:r>
        <w:rPr>
          <w:spacing w:val="-3"/>
        </w:rPr>
        <w:t>万元，计划需要购置</w:t>
      </w:r>
      <w:r>
        <w:rPr>
          <w:rFonts w:ascii="Arial" w:hAnsi="Arial" w:cs="Arial" w:eastAsia="Arial" w:hint="default"/>
          <w:spacing w:val="-3"/>
        </w:rPr>
        <w:t>7,600</w:t>
      </w:r>
      <w:r>
        <w:rPr>
          <w:spacing w:val="-3"/>
        </w:rPr>
        <w:t>平方米用房，用于项目研发、测试、运营、</w:t>
      </w:r>
    </w:p>
    <w:p>
      <w:pPr>
        <w:pStyle w:val="BodyText"/>
        <w:spacing w:line="230" w:lineRule="exact"/>
        <w:ind w:right="0"/>
        <w:jc w:val="left"/>
      </w:pPr>
      <w:r>
        <w:rPr/>
        <w:t>办公和机房环境建设。根据公司的发展规划，公司于</w:t>
      </w:r>
      <w:r>
        <w:rPr>
          <w:rFonts w:ascii="Arial" w:hAnsi="Arial" w:cs="Arial" w:eastAsia="Arial" w:hint="default"/>
        </w:rPr>
        <w:t>2014</w:t>
      </w:r>
      <w:r>
        <w:rPr/>
        <w:t>年</w:t>
      </w:r>
      <w:r>
        <w:rPr>
          <w:rFonts w:ascii="Arial" w:hAnsi="Arial" w:cs="Arial" w:eastAsia="Arial" w:hint="default"/>
        </w:rPr>
        <w:t>12</w:t>
      </w:r>
      <w:r>
        <w:rPr/>
        <w:t>月</w:t>
      </w:r>
      <w:r>
        <w:rPr>
          <w:rFonts w:ascii="Arial" w:hAnsi="Arial" w:cs="Arial" w:eastAsia="Arial" w:hint="default"/>
        </w:rPr>
        <w:t>12</w:t>
      </w:r>
      <w:r>
        <w:rPr/>
        <w:t>日召开第三届董事会第十三次会议，审议通过将变更募</w:t>
      </w:r>
    </w:p>
    <w:p>
      <w:pPr>
        <w:pStyle w:val="BodyText"/>
        <w:spacing w:line="314" w:lineRule="auto" w:before="63"/>
        <w:ind w:right="1129"/>
        <w:jc w:val="both"/>
      </w:pPr>
      <w:r>
        <w:rPr>
          <w:spacing w:val="-2"/>
        </w:rPr>
        <w:t>投项目实施地点至福州高新技术产业开发区海西高新技术产业园内，变更募投项目实施方式，并追加投资，拟使用募集资金</w:t>
      </w:r>
      <w:r>
        <w:rPr>
          <w:spacing w:val="-66"/>
        </w:rPr>
        <w:t> </w:t>
      </w:r>
      <w:r>
        <w:rPr>
          <w:spacing w:val="-66"/>
        </w:rPr>
      </w:r>
      <w:r>
        <w:rPr>
          <w:spacing w:val="-1"/>
        </w:rPr>
        <w:t>不超过</w:t>
      </w:r>
      <w:r>
        <w:rPr>
          <w:rFonts w:ascii="Arial" w:hAnsi="Arial" w:cs="Arial" w:eastAsia="Arial" w:hint="default"/>
          <w:spacing w:val="-1"/>
        </w:rPr>
        <w:t>13,300</w:t>
      </w:r>
      <w:r>
        <w:rPr>
          <w:spacing w:val="-1"/>
        </w:rPr>
        <w:t>万元与榕基工程合作在该地块上建设公司研发大楼，项目建设期</w:t>
      </w:r>
      <w:r>
        <w:rPr>
          <w:rFonts w:ascii="Arial" w:hAnsi="Arial" w:cs="Arial" w:eastAsia="Arial" w:hint="default"/>
          <w:spacing w:val="-1"/>
        </w:rPr>
        <w:t>2</w:t>
      </w:r>
      <w:r>
        <w:rPr>
          <w:spacing w:val="-1"/>
        </w:rPr>
        <w:t>年分批投入，并根据公司募集资金的投入总</w:t>
      </w:r>
      <w:r>
        <w:rPr>
          <w:spacing w:val="-50"/>
        </w:rPr>
        <w:t> </w:t>
      </w:r>
      <w:r>
        <w:rPr>
          <w:spacing w:val="-50"/>
        </w:rPr>
      </w:r>
      <w:r>
        <w:rPr>
          <w:spacing w:val="-2"/>
        </w:rPr>
        <w:t>额取得相应投入比例的研发大楼产权使用权，用于募投项目目前实际所需研发用房。截至目前，项目正在建设中。公司将严</w:t>
      </w:r>
      <w:r>
        <w:rPr>
          <w:spacing w:val="-66"/>
        </w:rPr>
        <w:t> </w:t>
      </w:r>
      <w:r>
        <w:rPr>
          <w:spacing w:val="-66"/>
        </w:rPr>
      </w:r>
      <w:r>
        <w:rPr>
          <w:spacing w:val="-2"/>
        </w:rPr>
        <w:t>格按照募集资金管理和使用的监管要求，使得募集资金规划中的场地投入费用发挥效益。截至报告期末，本公司募集资金累</w:t>
      </w:r>
      <w:r>
        <w:rPr>
          <w:spacing w:val="-66"/>
        </w:rPr>
        <w:t> </w:t>
      </w:r>
      <w:r>
        <w:rPr>
          <w:spacing w:val="-66"/>
        </w:rPr>
      </w:r>
      <w:r>
        <w:rPr/>
        <w:t>计直接投入募投项目</w:t>
      </w:r>
      <w:r>
        <w:rPr>
          <w:rFonts w:ascii="Arial" w:hAnsi="Arial" w:cs="Arial" w:eastAsia="Arial" w:hint="default"/>
        </w:rPr>
        <w:t>39,266.81</w:t>
      </w:r>
      <w:r>
        <w:rPr/>
        <w:t>万元，募投项目建设基本完成。</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33"/>
        <w:ind w:right="2239"/>
        <w:jc w:val="left"/>
        <w:rPr>
          <w:b w:val="0"/>
          <w:bCs w:val="0"/>
        </w:rPr>
      </w:pPr>
      <w:r>
        <w:rPr/>
        <w:t>二十、公司子公司重大事项</w:t>
      </w:r>
      <w:r>
        <w:rPr>
          <w:b w:val="0"/>
          <w:bCs w:val="0"/>
        </w:rPr>
      </w:r>
    </w:p>
    <w:p>
      <w:pPr>
        <w:spacing w:line="240" w:lineRule="auto" w:before="9"/>
        <w:rPr>
          <w:rFonts w:ascii="宋体" w:hAnsi="宋体" w:cs="宋体" w:eastAsia="宋体" w:hint="default"/>
          <w:b/>
          <w:bCs/>
          <w:sz w:val="26"/>
          <w:szCs w:val="26"/>
        </w:rPr>
      </w:pPr>
    </w:p>
    <w:p>
      <w:pPr>
        <w:pStyle w:val="BodyText"/>
        <w:spacing w:line="338" w:lineRule="auto"/>
        <w:ind w:left="514" w:right="1110" w:hanging="36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榕基软件持有马鞍山榕基软件信息科技有限公司</w:t>
      </w:r>
      <w:r>
        <w:rPr>
          <w:rFonts w:ascii="Arial" w:hAnsi="Arial" w:cs="Arial" w:eastAsia="Arial" w:hint="default"/>
        </w:rPr>
        <w:t>100%</w:t>
      </w:r>
      <w:r>
        <w:rPr/>
        <w:t>股权，马鞍山榕基软件信息科技有限公司持有马鞍山榕基置业投</w:t>
      </w:r>
    </w:p>
    <w:p>
      <w:pPr>
        <w:pStyle w:val="BodyText"/>
        <w:spacing w:line="230" w:lineRule="exact"/>
        <w:ind w:right="0"/>
        <w:jc w:val="left"/>
        <w:rPr>
          <w:rFonts w:ascii="Arial" w:hAnsi="Arial" w:cs="Arial" w:eastAsia="Arial" w:hint="default"/>
        </w:rPr>
      </w:pPr>
      <w:r>
        <w:rPr/>
        <w:t>资有限公司</w:t>
      </w:r>
      <w:r>
        <w:rPr>
          <w:rFonts w:ascii="Arial" w:hAnsi="Arial" w:cs="Arial" w:eastAsia="Arial" w:hint="default"/>
        </w:rPr>
        <w:t>100%</w:t>
      </w:r>
      <w:r>
        <w:rPr/>
        <w:t>股权。</w:t>
      </w:r>
      <w:r>
        <w:rPr>
          <w:rFonts w:ascii="Arial" w:hAnsi="Arial" w:cs="Arial" w:eastAsia="Arial" w:hint="default"/>
        </w:rPr>
        <w:t>2018</w:t>
      </w:r>
      <w:r>
        <w:rPr/>
        <w:t>年</w:t>
      </w:r>
      <w:r>
        <w:rPr>
          <w:rFonts w:ascii="Arial" w:hAnsi="Arial" w:cs="Arial" w:eastAsia="Arial" w:hint="default"/>
        </w:rPr>
        <w:t>7</w:t>
      </w:r>
      <w:r>
        <w:rPr/>
        <w:t>月</w:t>
      </w:r>
      <w:r>
        <w:rPr>
          <w:rFonts w:ascii="Arial" w:hAnsi="Arial" w:cs="Arial" w:eastAsia="Arial" w:hint="default"/>
        </w:rPr>
        <w:t>19</w:t>
      </w:r>
      <w:r>
        <w:rPr/>
        <w:t>日，北京海圣投资基金管理有限公司就收购马鞍山榕基软件信息科技有限公司</w:t>
      </w:r>
      <w:r>
        <w:rPr>
          <w:rFonts w:ascii="Arial" w:hAnsi="Arial" w:cs="Arial" w:eastAsia="Arial" w:hint="default"/>
        </w:rPr>
        <w:t>100%</w:t>
      </w:r>
    </w:p>
    <w:p>
      <w:pPr>
        <w:pStyle w:val="BodyText"/>
        <w:spacing w:line="350" w:lineRule="auto" w:before="63"/>
        <w:ind w:right="1218"/>
        <w:jc w:val="left"/>
        <w:rPr>
          <w:rFonts w:ascii="Arial" w:hAnsi="Arial" w:cs="Arial" w:eastAsia="Arial" w:hint="default"/>
        </w:rPr>
      </w:pPr>
      <w:r>
        <w:rPr/>
        <w:t>股权与榕基软件签订股权转让合同，所对应的股权转让款为玖仟叁佰万元整（￥</w:t>
      </w:r>
      <w:r>
        <w:rPr>
          <w:rFonts w:ascii="Arial" w:hAnsi="Arial" w:cs="Arial" w:eastAsia="Arial" w:hint="default"/>
        </w:rPr>
        <w:t>93,000,000.00</w:t>
      </w:r>
      <w:r>
        <w:rPr/>
        <w:t>）。巨潮网查询索引： </w:t>
      </w:r>
      <w:hyperlink r:id="rId16">
        <w:r>
          <w:rPr>
            <w:rFonts w:ascii="Arial" w:hAnsi="Arial" w:cs="Arial" w:eastAsia="Arial" w:hint="default"/>
            <w:spacing w:val="-1"/>
          </w:rPr>
          <w:t>http://www.cninfo.com.cn/new/disclosure/detail?plate=szse&amp;stockCode=002474&amp;announcementId=1205208002&amp;annou</w:t>
        </w:r>
      </w:hyperlink>
      <w:r>
        <w:rPr>
          <w:rFonts w:ascii="Arial" w:hAnsi="Arial" w:cs="Arial" w:eastAsia="Arial" w:hint="default"/>
          <w:spacing w:val="-11"/>
        </w:rPr>
        <w:t> </w:t>
      </w:r>
      <w:r>
        <w:rPr>
          <w:rFonts w:ascii="Arial" w:hAnsi="Arial" w:cs="Arial" w:eastAsia="Arial" w:hint="default"/>
          <w:spacing w:val="-11"/>
        </w:rPr>
      </w:r>
      <w:r>
        <w:rPr>
          <w:rFonts w:ascii="Arial" w:hAnsi="Arial" w:cs="Arial" w:eastAsia="Arial" w:hint="default"/>
        </w:rPr>
        <w:t>ncementTime=2018-07-20</w:t>
      </w:r>
    </w:p>
    <w:p>
      <w:pPr>
        <w:pStyle w:val="BodyText"/>
        <w:spacing w:line="221" w:lineRule="exact"/>
        <w:ind w:left="514" w:right="0"/>
        <w:jc w:val="left"/>
      </w:pPr>
      <w:r>
        <w:rPr>
          <w:rFonts w:ascii="Arial" w:hAnsi="Arial" w:cs="Arial" w:eastAsia="Arial" w:hint="default"/>
          <w:spacing w:val="-1"/>
        </w:rPr>
        <w:t>20</w:t>
      </w:r>
      <w:r>
        <w:rPr>
          <w:rFonts w:ascii="Arial" w:hAnsi="Arial" w:cs="Arial" w:eastAsia="Arial" w:hint="default"/>
        </w:rPr>
        <w:t>1</w:t>
      </w:r>
      <w:r>
        <w:rPr>
          <w:rFonts w:ascii="Arial" w:hAnsi="Arial" w:cs="Arial" w:eastAsia="Arial" w:hint="default"/>
          <w:spacing w:val="-1"/>
        </w:rPr>
        <w:t>9</w:t>
      </w:r>
      <w:r>
        <w:rPr/>
        <w:t>年</w:t>
      </w:r>
      <w:r>
        <w:rPr>
          <w:rFonts w:ascii="Arial" w:hAnsi="Arial" w:cs="Arial" w:eastAsia="Arial" w:hint="default"/>
          <w:spacing w:val="-1"/>
        </w:rPr>
        <w:t>1</w:t>
      </w:r>
      <w:r>
        <w:rPr>
          <w:rFonts w:ascii="Arial" w:hAnsi="Arial" w:cs="Arial" w:eastAsia="Arial" w:hint="default"/>
        </w:rPr>
        <w:t>2</w:t>
      </w:r>
      <w:r>
        <w:rPr/>
        <w:t>月</w:t>
      </w:r>
      <w:r>
        <w:rPr>
          <w:rFonts w:ascii="Arial" w:hAnsi="Arial" w:cs="Arial" w:eastAsia="Arial" w:hint="default"/>
          <w:spacing w:val="-1"/>
        </w:rPr>
        <w:t>31</w:t>
      </w:r>
      <w:r>
        <w:rPr/>
        <w:t>日终止</w:t>
      </w:r>
      <w:r>
        <w:rPr>
          <w:spacing w:val="1"/>
        </w:rPr>
        <w:t>向</w:t>
      </w:r>
      <w:r>
        <w:rPr/>
        <w:t>北京海圣投资基金管理有限公司出售马鞍山榕基软件信息科技有限公司</w:t>
      </w:r>
      <w:r>
        <w:rPr>
          <w:rFonts w:ascii="Arial" w:hAnsi="Arial" w:cs="Arial" w:eastAsia="Arial" w:hint="default"/>
          <w:spacing w:val="-1"/>
        </w:rPr>
        <w:t>10</w:t>
      </w:r>
      <w:r>
        <w:rPr>
          <w:rFonts w:ascii="Arial" w:hAnsi="Arial" w:cs="Arial" w:eastAsia="Arial" w:hint="default"/>
        </w:rPr>
        <w:t>0</w:t>
      </w:r>
      <w:r>
        <w:rPr>
          <w:rFonts w:ascii="Arial" w:hAnsi="Arial" w:cs="Arial" w:eastAsia="Arial" w:hint="default"/>
          <w:spacing w:val="-1"/>
        </w:rPr>
        <w:t>%</w:t>
      </w:r>
      <w:r>
        <w:rPr/>
        <w:t>股权</w:t>
      </w:r>
      <w:r>
        <w:rPr>
          <w:spacing w:val="1"/>
        </w:rPr>
        <w:t>的</w:t>
      </w:r>
      <w:r>
        <w:rPr/>
        <w:t>合同</w:t>
      </w:r>
      <w:r>
        <w:rPr>
          <w:spacing w:val="-83"/>
        </w:rPr>
        <w:t>。</w:t>
      </w:r>
      <w:r>
        <w:rPr/>
        <w:t>巨潮</w:t>
      </w:r>
    </w:p>
    <w:p>
      <w:pPr>
        <w:pStyle w:val="BodyText"/>
        <w:spacing w:line="360" w:lineRule="auto" w:before="63"/>
        <w:ind w:right="1205"/>
        <w:jc w:val="left"/>
        <w:rPr>
          <w:rFonts w:ascii="Arial" w:hAnsi="Arial" w:cs="Arial" w:eastAsia="Arial" w:hint="default"/>
        </w:rPr>
      </w:pPr>
      <w:r>
        <w:rPr/>
        <w:t>网查询索引： </w:t>
      </w:r>
      <w:hyperlink r:id="rId17">
        <w:r>
          <w:rPr>
            <w:rFonts w:ascii="Arial" w:hAnsi="Arial" w:cs="Arial" w:eastAsia="Arial" w:hint="default"/>
            <w:spacing w:val="-1"/>
          </w:rPr>
          <w:t>http://www.cninfo.com.cn/new/disclosure/detail?plate=szse&amp;orgId=9900014447&amp;stockCode=002474&amp;announcementId=</w:t>
        </w:r>
      </w:hyperlink>
      <w:r>
        <w:rPr>
          <w:rFonts w:ascii="Arial" w:hAnsi="Arial" w:cs="Arial" w:eastAsia="Arial" w:hint="default"/>
          <w:spacing w:val="-23"/>
        </w:rPr>
        <w:t> </w:t>
      </w:r>
      <w:r>
        <w:rPr>
          <w:rFonts w:ascii="Arial" w:hAnsi="Arial" w:cs="Arial" w:eastAsia="Arial" w:hint="default"/>
          <w:spacing w:val="-23"/>
        </w:rPr>
      </w:r>
      <w:r>
        <w:rPr>
          <w:rFonts w:ascii="Arial" w:hAnsi="Arial" w:cs="Arial" w:eastAsia="Arial" w:hint="default"/>
        </w:rPr>
        <w:t>1207215021&amp;announcementTime=2020-01-02</w:t>
      </w:r>
    </w:p>
    <w:p>
      <w:pPr>
        <w:spacing w:after="0" w:line="360" w:lineRule="auto"/>
        <w:jc w:val="left"/>
        <w:rPr>
          <w:rFonts w:ascii="Arial" w:hAnsi="Arial" w:cs="Arial" w:eastAsia="Arial" w:hint="default"/>
        </w:rPr>
        <w:sectPr>
          <w:pgSz w:w="11910" w:h="16840"/>
          <w:pgMar w:header="747" w:footer="982" w:top="1060" w:bottom="1180" w:left="980" w:right="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pStyle w:val="Heading1"/>
        <w:spacing w:line="240" w:lineRule="auto" w:before="139"/>
        <w:ind w:left="3046" w:right="2239"/>
        <w:jc w:val="left"/>
        <w:rPr>
          <w:b w:val="0"/>
          <w:bCs w:val="0"/>
        </w:rPr>
      </w:pPr>
      <w:bookmarkStart w:name="_TOC_250007" w:id="6"/>
      <w:r>
        <w:rPr/>
        <w:t>第六节股份变动及股东情况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2239"/>
        <w:jc w:val="left"/>
        <w:rPr>
          <w:b w:val="0"/>
          <w:bCs w:val="0"/>
        </w:rPr>
      </w:pPr>
      <w:r>
        <w:rPr/>
        <w:t>一、股份变动情况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1</w:t>
      </w:r>
      <w:r>
        <w:rPr/>
        <w:t>、股份变动情况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单位：股</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216"/>
        <w:gridCol w:w="823"/>
        <w:gridCol w:w="823"/>
        <w:gridCol w:w="822"/>
        <w:gridCol w:w="822"/>
        <w:gridCol w:w="822"/>
        <w:gridCol w:w="822"/>
        <w:gridCol w:w="822"/>
        <w:gridCol w:w="794"/>
        <w:gridCol w:w="794"/>
      </w:tblGrid>
      <w:tr>
        <w:trPr>
          <w:trHeight w:val="402" w:hRule="exact"/>
        </w:trPr>
        <w:tc>
          <w:tcPr>
            <w:tcW w:w="2216" w:type="dxa"/>
            <w:tcBorders>
              <w:top w:val="single" w:sz="4" w:space="0" w:color="000000"/>
              <w:left w:val="single" w:sz="4" w:space="0" w:color="000000"/>
              <w:bottom w:val="nil" w:sz="6" w:space="0" w:color="auto"/>
              <w:right w:val="single" w:sz="4" w:space="0" w:color="000000"/>
            </w:tcBorders>
            <w:shd w:val="clear" w:color="auto" w:fill="D3D3D3"/>
          </w:tcPr>
          <w:p>
            <w:pPr/>
          </w:p>
        </w:tc>
        <w:tc>
          <w:tcPr>
            <w:tcW w:w="164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7"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110"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9"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589"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39"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216" w:type="dxa"/>
            <w:vMerge w:val="restart"/>
            <w:tcBorders>
              <w:top w:val="nil" w:sz="6" w:space="0" w:color="auto"/>
              <w:left w:val="single" w:sz="4" w:space="0" w:color="000000"/>
              <w:right w:val="single" w:sz="4" w:space="0" w:color="000000"/>
            </w:tcBorders>
            <w:shd w:val="clear" w:color="auto" w:fill="D3D3D3"/>
          </w:tcPr>
          <w:p>
            <w:pPr/>
          </w:p>
        </w:tc>
        <w:tc>
          <w:tcPr>
            <w:tcW w:w="823"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tcBorders>
              <w:top w:val="single" w:sz="4" w:space="0" w:color="000000"/>
              <w:left w:val="single" w:sz="4" w:space="0" w:color="000000"/>
              <w:bottom w:val="nil" w:sz="6" w:space="0" w:color="auto"/>
              <w:right w:val="single" w:sz="4" w:space="0" w:color="000000"/>
            </w:tcBorders>
            <w:shd w:val="clear" w:color="auto" w:fill="D3D3D3"/>
          </w:tcPr>
          <w:p>
            <w:pPr/>
          </w:p>
        </w:tc>
        <w:tc>
          <w:tcPr>
            <w:tcW w:w="822" w:type="dxa"/>
            <w:tcBorders>
              <w:top w:val="single" w:sz="4" w:space="0" w:color="000000"/>
              <w:left w:val="single" w:sz="4" w:space="0" w:color="000000"/>
              <w:bottom w:val="nil" w:sz="6" w:space="0" w:color="auto"/>
              <w:right w:val="single" w:sz="4" w:space="0" w:color="000000"/>
            </w:tcBorders>
            <w:shd w:val="clear" w:color="auto" w:fill="D3D3D3"/>
          </w:tcPr>
          <w:p>
            <w:pPr/>
          </w:p>
        </w:tc>
        <w:tc>
          <w:tcPr>
            <w:tcW w:w="822" w:type="dxa"/>
            <w:tcBorders>
              <w:top w:val="single" w:sz="4" w:space="0" w:color="000000"/>
              <w:left w:val="single" w:sz="4" w:space="0" w:color="000000"/>
              <w:bottom w:val="nil" w:sz="6" w:space="0" w:color="auto"/>
              <w:right w:val="single" w:sz="4" w:space="0" w:color="000000"/>
            </w:tcBorders>
            <w:shd w:val="clear" w:color="auto" w:fill="D3D3D3"/>
          </w:tcPr>
          <w:p>
            <w:pPr/>
          </w:p>
        </w:tc>
        <w:tc>
          <w:tcPr>
            <w:tcW w:w="82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316" w:right="43" w:hanging="270"/>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22" w:type="dxa"/>
            <w:tcBorders>
              <w:top w:val="single" w:sz="4" w:space="0" w:color="000000"/>
              <w:left w:val="single" w:sz="4" w:space="0" w:color="000000"/>
              <w:bottom w:val="nil" w:sz="6" w:space="0" w:color="auto"/>
              <w:right w:val="single" w:sz="4" w:space="0" w:color="000000"/>
            </w:tcBorders>
            <w:shd w:val="clear" w:color="auto" w:fill="D3D3D3"/>
          </w:tcPr>
          <w:p>
            <w:pPr/>
          </w:p>
        </w:tc>
        <w:tc>
          <w:tcPr>
            <w:tcW w:w="822" w:type="dxa"/>
            <w:tcBorders>
              <w:top w:val="single" w:sz="4" w:space="0" w:color="000000"/>
              <w:left w:val="single" w:sz="4" w:space="0" w:color="000000"/>
              <w:bottom w:val="nil" w:sz="6" w:space="0" w:color="auto"/>
              <w:right w:val="single" w:sz="4" w:space="0" w:color="000000"/>
            </w:tcBorders>
            <w:shd w:val="clear" w:color="auto" w:fill="D3D3D3"/>
          </w:tcPr>
          <w:p>
            <w:pPr/>
          </w:p>
        </w:tc>
        <w:tc>
          <w:tcPr>
            <w:tcW w:w="794" w:type="dxa"/>
            <w:tcBorders>
              <w:top w:val="single" w:sz="4" w:space="0" w:color="000000"/>
              <w:left w:val="single" w:sz="4" w:space="0" w:color="000000"/>
              <w:bottom w:val="nil" w:sz="6" w:space="0" w:color="auto"/>
              <w:right w:val="single" w:sz="4" w:space="0" w:color="000000"/>
            </w:tcBorders>
            <w:shd w:val="clear" w:color="auto" w:fill="D3D3D3"/>
          </w:tcPr>
          <w:p>
            <w:pPr/>
          </w:p>
        </w:tc>
        <w:tc>
          <w:tcPr>
            <w:tcW w:w="79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0" w:hRule="exact"/>
        </w:trPr>
        <w:tc>
          <w:tcPr>
            <w:tcW w:w="2216" w:type="dxa"/>
            <w:vMerge/>
            <w:tcBorders>
              <w:left w:val="single" w:sz="4" w:space="0" w:color="000000"/>
              <w:bottom w:val="nil" w:sz="6" w:space="0" w:color="auto"/>
              <w:right w:val="single" w:sz="4" w:space="0" w:color="000000"/>
            </w:tcBorders>
            <w:shd w:val="clear" w:color="auto" w:fill="D3D3D3"/>
          </w:tcPr>
          <w:p>
            <w:pPr/>
          </w:p>
        </w:tc>
        <w:tc>
          <w:tcPr>
            <w:tcW w:w="82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2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5"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82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2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22" w:type="dxa"/>
            <w:vMerge/>
            <w:tcBorders>
              <w:left w:val="single" w:sz="4" w:space="0" w:color="000000"/>
              <w:right w:val="single" w:sz="4" w:space="0" w:color="000000"/>
            </w:tcBorders>
            <w:shd w:val="clear" w:color="auto" w:fill="D3D3D3"/>
          </w:tcPr>
          <w:p>
            <w:pPr/>
          </w:p>
        </w:tc>
        <w:tc>
          <w:tcPr>
            <w:tcW w:w="82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2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12"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79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21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202" w:hRule="exact"/>
        </w:trPr>
        <w:tc>
          <w:tcPr>
            <w:tcW w:w="2216" w:type="dxa"/>
            <w:vMerge w:val="restart"/>
            <w:tcBorders>
              <w:top w:val="nil" w:sz="6" w:space="0" w:color="auto"/>
              <w:left w:val="single" w:sz="4" w:space="0" w:color="000000"/>
              <w:right w:val="single" w:sz="4" w:space="0" w:color="000000"/>
            </w:tcBorders>
            <w:shd w:val="clear" w:color="auto" w:fill="D3D3D3"/>
          </w:tcPr>
          <w:p>
            <w:pPr/>
          </w:p>
        </w:tc>
        <w:tc>
          <w:tcPr>
            <w:tcW w:w="823" w:type="dxa"/>
            <w:vMerge/>
            <w:tcBorders>
              <w:left w:val="single" w:sz="4" w:space="0" w:color="000000"/>
              <w:bottom w:val="nil" w:sz="6" w:space="0" w:color="auto"/>
              <w:right w:val="single" w:sz="4" w:space="0" w:color="000000"/>
            </w:tcBorders>
            <w:shd w:val="clear" w:color="auto" w:fill="D3D3D3"/>
          </w:tcPr>
          <w:p>
            <w:pPr/>
          </w:p>
        </w:tc>
        <w:tc>
          <w:tcPr>
            <w:tcW w:w="823" w:type="dxa"/>
            <w:vMerge/>
            <w:tcBorders>
              <w:left w:val="single" w:sz="4" w:space="0" w:color="000000"/>
              <w:bottom w:val="nil" w:sz="6" w:space="0" w:color="auto"/>
              <w:right w:val="single" w:sz="4" w:space="0" w:color="000000"/>
            </w:tcBorders>
            <w:shd w:val="clear" w:color="auto" w:fill="D3D3D3"/>
          </w:tcPr>
          <w:p>
            <w:pPr/>
          </w:p>
        </w:tc>
        <w:tc>
          <w:tcPr>
            <w:tcW w:w="822" w:type="dxa"/>
            <w:vMerge/>
            <w:tcBorders>
              <w:left w:val="single" w:sz="4" w:space="0" w:color="000000"/>
              <w:bottom w:val="nil" w:sz="6" w:space="0" w:color="auto"/>
              <w:right w:val="single" w:sz="4" w:space="0" w:color="000000"/>
            </w:tcBorders>
            <w:shd w:val="clear" w:color="auto" w:fill="D3D3D3"/>
          </w:tcPr>
          <w:p>
            <w:pPr/>
          </w:p>
        </w:tc>
        <w:tc>
          <w:tcPr>
            <w:tcW w:w="822" w:type="dxa"/>
            <w:vMerge/>
            <w:tcBorders>
              <w:left w:val="single" w:sz="4" w:space="0" w:color="000000"/>
              <w:bottom w:val="nil" w:sz="6" w:space="0" w:color="auto"/>
              <w:right w:val="single" w:sz="4" w:space="0" w:color="000000"/>
            </w:tcBorders>
            <w:shd w:val="clear" w:color="auto" w:fill="D3D3D3"/>
          </w:tcPr>
          <w:p>
            <w:pPr/>
          </w:p>
        </w:tc>
        <w:tc>
          <w:tcPr>
            <w:tcW w:w="822" w:type="dxa"/>
            <w:vMerge/>
            <w:tcBorders>
              <w:left w:val="single" w:sz="4" w:space="0" w:color="000000"/>
              <w:right w:val="single" w:sz="4" w:space="0" w:color="000000"/>
            </w:tcBorders>
            <w:shd w:val="clear" w:color="auto" w:fill="D3D3D3"/>
          </w:tcPr>
          <w:p>
            <w:pPr/>
          </w:p>
        </w:tc>
        <w:tc>
          <w:tcPr>
            <w:tcW w:w="822" w:type="dxa"/>
            <w:vMerge/>
            <w:tcBorders>
              <w:left w:val="single" w:sz="4" w:space="0" w:color="000000"/>
              <w:bottom w:val="nil" w:sz="6" w:space="0" w:color="auto"/>
              <w:right w:val="single" w:sz="4" w:space="0" w:color="000000"/>
            </w:tcBorders>
            <w:shd w:val="clear" w:color="auto" w:fill="D3D3D3"/>
          </w:tcPr>
          <w:p>
            <w:pPr/>
          </w:p>
        </w:tc>
        <w:tc>
          <w:tcPr>
            <w:tcW w:w="822" w:type="dxa"/>
            <w:vMerge/>
            <w:tcBorders>
              <w:left w:val="single" w:sz="4" w:space="0" w:color="000000"/>
              <w:bottom w:val="nil" w:sz="6" w:space="0" w:color="auto"/>
              <w:right w:val="single" w:sz="4" w:space="0" w:color="000000"/>
            </w:tcBorders>
            <w:shd w:val="clear" w:color="auto" w:fill="D3D3D3"/>
          </w:tcPr>
          <w:p>
            <w:pPr/>
          </w:p>
        </w:tc>
        <w:tc>
          <w:tcPr>
            <w:tcW w:w="794" w:type="dxa"/>
            <w:vMerge/>
            <w:tcBorders>
              <w:left w:val="single" w:sz="4" w:space="0" w:color="000000"/>
              <w:bottom w:val="nil" w:sz="6" w:space="0" w:color="auto"/>
              <w:right w:val="single" w:sz="4" w:space="0" w:color="000000"/>
            </w:tcBorders>
            <w:shd w:val="clear" w:color="auto" w:fill="D3D3D3"/>
          </w:tcPr>
          <w:p>
            <w:pPr/>
          </w:p>
        </w:tc>
        <w:tc>
          <w:tcPr>
            <w:tcW w:w="794" w:type="dxa"/>
            <w:vMerge/>
            <w:tcBorders>
              <w:left w:val="single" w:sz="4" w:space="0" w:color="000000"/>
              <w:bottom w:val="nil" w:sz="6" w:space="0" w:color="auto"/>
              <w:right w:val="single" w:sz="4" w:space="0" w:color="000000"/>
            </w:tcBorders>
            <w:shd w:val="clear" w:color="auto" w:fill="D3D3D3"/>
          </w:tcPr>
          <w:p>
            <w:pPr/>
          </w:p>
        </w:tc>
      </w:tr>
      <w:tr>
        <w:trPr>
          <w:trHeight w:val="161" w:hRule="exact"/>
        </w:trPr>
        <w:tc>
          <w:tcPr>
            <w:tcW w:w="2216" w:type="dxa"/>
            <w:vMerge/>
            <w:tcBorders>
              <w:left w:val="single" w:sz="4" w:space="0" w:color="000000"/>
              <w:bottom w:val="single" w:sz="4" w:space="0" w:color="000000"/>
              <w:right w:val="single" w:sz="4" w:space="0" w:color="000000"/>
            </w:tcBorders>
            <w:shd w:val="clear" w:color="auto" w:fill="D3D3D3"/>
          </w:tcPr>
          <w:p>
            <w:pPr/>
          </w:p>
        </w:tc>
        <w:tc>
          <w:tcPr>
            <w:tcW w:w="823"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tcBorders>
              <w:top w:val="nil" w:sz="6" w:space="0" w:color="auto"/>
              <w:left w:val="single" w:sz="4" w:space="0" w:color="000000"/>
              <w:bottom w:val="single" w:sz="4" w:space="0" w:color="000000"/>
              <w:right w:val="single" w:sz="4" w:space="0" w:color="000000"/>
            </w:tcBorders>
            <w:shd w:val="clear" w:color="auto" w:fill="D3D3D3"/>
          </w:tcPr>
          <w:p>
            <w:pPr/>
          </w:p>
        </w:tc>
        <w:tc>
          <w:tcPr>
            <w:tcW w:w="822" w:type="dxa"/>
            <w:tcBorders>
              <w:top w:val="nil" w:sz="6" w:space="0" w:color="auto"/>
              <w:left w:val="single" w:sz="4" w:space="0" w:color="000000"/>
              <w:bottom w:val="single" w:sz="4" w:space="0" w:color="000000"/>
              <w:right w:val="single" w:sz="4" w:space="0" w:color="000000"/>
            </w:tcBorders>
            <w:shd w:val="clear" w:color="auto" w:fill="D3D3D3"/>
          </w:tcPr>
          <w:p>
            <w:pPr/>
          </w:p>
        </w:tc>
        <w:tc>
          <w:tcPr>
            <w:tcW w:w="822" w:type="dxa"/>
            <w:tcBorders>
              <w:top w:val="nil" w:sz="6" w:space="0" w:color="auto"/>
              <w:left w:val="single" w:sz="4" w:space="0" w:color="000000"/>
              <w:bottom w:val="single" w:sz="4" w:space="0" w:color="000000"/>
              <w:right w:val="single" w:sz="4" w:space="0" w:color="000000"/>
            </w:tcBorders>
            <w:shd w:val="clear" w:color="auto" w:fill="D3D3D3"/>
          </w:tcPr>
          <w:p>
            <w:pPr/>
          </w:p>
        </w:tc>
        <w:tc>
          <w:tcPr>
            <w:tcW w:w="822" w:type="dxa"/>
            <w:vMerge/>
            <w:tcBorders>
              <w:left w:val="single" w:sz="4" w:space="0" w:color="000000"/>
              <w:bottom w:val="single" w:sz="4" w:space="0" w:color="000000"/>
              <w:right w:val="single" w:sz="4" w:space="0" w:color="000000"/>
            </w:tcBorders>
            <w:shd w:val="clear" w:color="auto" w:fill="D3D3D3"/>
          </w:tcPr>
          <w:p>
            <w:pPr/>
          </w:p>
        </w:tc>
        <w:tc>
          <w:tcPr>
            <w:tcW w:w="822" w:type="dxa"/>
            <w:tcBorders>
              <w:top w:val="nil" w:sz="6" w:space="0" w:color="auto"/>
              <w:left w:val="single" w:sz="4" w:space="0" w:color="000000"/>
              <w:bottom w:val="single" w:sz="4" w:space="0" w:color="000000"/>
              <w:right w:val="single" w:sz="4" w:space="0" w:color="000000"/>
            </w:tcBorders>
            <w:shd w:val="clear" w:color="auto" w:fill="D3D3D3"/>
          </w:tcPr>
          <w:p>
            <w:pPr/>
          </w:p>
        </w:tc>
        <w:tc>
          <w:tcPr>
            <w:tcW w:w="822" w:type="dxa"/>
            <w:tcBorders>
              <w:top w:val="nil" w:sz="6" w:space="0" w:color="auto"/>
              <w:left w:val="single" w:sz="4" w:space="0" w:color="000000"/>
              <w:bottom w:val="single" w:sz="4" w:space="0" w:color="000000"/>
              <w:right w:val="single" w:sz="4" w:space="0" w:color="000000"/>
            </w:tcBorders>
            <w:shd w:val="clear" w:color="auto" w:fill="D3D3D3"/>
          </w:tcPr>
          <w:p>
            <w:pPr/>
          </w:p>
        </w:tc>
        <w:tc>
          <w:tcPr>
            <w:tcW w:w="79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10" w:space="0" w:color="D3D3D3"/>
              <w:right w:val="single" w:sz="4" w:space="0" w:color="000000"/>
            </w:tcBorders>
          </w:tcPr>
          <w:p>
            <w:pPr>
              <w:pStyle w:val="TableParagraph"/>
              <w:spacing w:line="240" w:lineRule="auto" w:before="91"/>
              <w:ind w:left="81" w:right="0"/>
              <w:jc w:val="left"/>
              <w:rPr>
                <w:rFonts w:ascii="Arial" w:hAnsi="Arial" w:cs="Arial" w:eastAsia="Arial" w:hint="default"/>
                <w:sz w:val="18"/>
                <w:szCs w:val="18"/>
              </w:rPr>
            </w:pPr>
            <w:r>
              <w:rPr>
                <w:rFonts w:ascii="Arial"/>
                <w:sz w:val="18"/>
              </w:rPr>
              <w:t>153,551,</w:t>
            </w:r>
          </w:p>
          <w:p>
            <w:pPr>
              <w:pStyle w:val="TableParagraph"/>
              <w:spacing w:line="240" w:lineRule="auto" w:before="106"/>
              <w:ind w:left="482" w:right="0"/>
              <w:jc w:val="left"/>
              <w:rPr>
                <w:rFonts w:ascii="Arial" w:hAnsi="Arial" w:cs="Arial" w:eastAsia="Arial" w:hint="default"/>
                <w:sz w:val="18"/>
                <w:szCs w:val="18"/>
              </w:rPr>
            </w:pPr>
            <w:r>
              <w:rPr>
                <w:rFonts w:ascii="Arial"/>
                <w:sz w:val="18"/>
              </w:rPr>
              <w:t>730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8" w:right="0"/>
              <w:jc w:val="left"/>
              <w:rPr>
                <w:rFonts w:ascii="Arial" w:hAnsi="Arial" w:cs="Arial" w:eastAsia="Arial" w:hint="default"/>
                <w:sz w:val="18"/>
                <w:szCs w:val="18"/>
              </w:rPr>
            </w:pPr>
            <w:r>
              <w:rPr>
                <w:rFonts w:ascii="Arial"/>
                <w:sz w:val="18"/>
              </w:rPr>
              <w:t>24.68%</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Arial" w:hAnsi="Arial" w:cs="Arial" w:eastAsia="Arial" w:hint="default"/>
                <w:sz w:val="18"/>
                <w:szCs w:val="18"/>
              </w:rPr>
            </w:pPr>
            <w:r>
              <w:rPr>
                <w:rFonts w:ascii="Arial"/>
                <w:sz w:val="18"/>
              </w:rPr>
              <w:t>-575,000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Arial" w:hAnsi="Arial" w:cs="Arial" w:eastAsia="Arial" w:hint="default"/>
                <w:sz w:val="18"/>
                <w:szCs w:val="18"/>
              </w:rPr>
            </w:pPr>
            <w:r>
              <w:rPr>
                <w:rFonts w:ascii="Arial"/>
                <w:sz w:val="18"/>
              </w:rPr>
              <w:t>-575,000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61" w:right="0"/>
              <w:jc w:val="left"/>
              <w:rPr>
                <w:rFonts w:ascii="Arial" w:hAnsi="Arial" w:cs="Arial" w:eastAsia="Arial" w:hint="default"/>
                <w:sz w:val="18"/>
                <w:szCs w:val="18"/>
              </w:rPr>
            </w:pPr>
            <w:r>
              <w:rPr>
                <w:rFonts w:ascii="Arial"/>
                <w:sz w:val="18"/>
              </w:rPr>
              <w:t>152,976,</w:t>
            </w:r>
          </w:p>
          <w:p>
            <w:pPr>
              <w:pStyle w:val="TableParagraph"/>
              <w:spacing w:line="240" w:lineRule="auto" w:before="106"/>
              <w:ind w:left="461" w:right="0"/>
              <w:jc w:val="left"/>
              <w:rPr>
                <w:rFonts w:ascii="Arial" w:hAnsi="Arial" w:cs="Arial" w:eastAsia="Arial" w:hint="default"/>
                <w:sz w:val="18"/>
                <w:szCs w:val="18"/>
              </w:rPr>
            </w:pPr>
            <w:r>
              <w:rPr>
                <w:rFonts w:ascii="Arial"/>
                <w:sz w:val="18"/>
              </w:rPr>
              <w:t>730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9" w:right="0"/>
              <w:jc w:val="left"/>
              <w:rPr>
                <w:rFonts w:ascii="Arial" w:hAnsi="Arial" w:cs="Arial" w:eastAsia="Arial" w:hint="default"/>
                <w:sz w:val="18"/>
                <w:szCs w:val="18"/>
              </w:rPr>
            </w:pPr>
            <w:r>
              <w:rPr>
                <w:rFonts w:ascii="Arial"/>
                <w:sz w:val="18"/>
              </w:rPr>
              <w:t>24.59%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23" w:type="dxa"/>
            <w:vMerge/>
            <w:tcBorders>
              <w:left w:val="single" w:sz="10" w:space="0" w:color="D3D3D3"/>
              <w:right w:val="single" w:sz="4" w:space="0" w:color="000000"/>
            </w:tcBorders>
          </w:tcPr>
          <w:p>
            <w:pPr/>
          </w:p>
        </w:tc>
        <w:tc>
          <w:tcPr>
            <w:tcW w:w="823"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10" w:space="0" w:color="D3D3D3"/>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、国家持股</w:t>
            </w:r>
          </w:p>
        </w:tc>
        <w:tc>
          <w:tcPr>
            <w:tcW w:w="8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95"/>
                <w:sz w:val="18"/>
              </w:rPr>
              <w:t>0.00%</w:t>
            </w:r>
            <w:r>
              <w:rPr>
                <w:rFonts w:ascii="Arial"/>
                <w:w w:val="95"/>
                <w:sz w:val="18"/>
              </w:rPr>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95"/>
                <w:sz w:val="18"/>
              </w:rPr>
              <w:t>0.00%</w:t>
            </w:r>
            <w:r>
              <w:rPr>
                <w:rFonts w:ascii="Arial"/>
                <w:w w:val="95"/>
                <w:sz w:val="18"/>
              </w:rPr>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、国有法人持股</w:t>
            </w:r>
          </w:p>
        </w:tc>
        <w:tc>
          <w:tcPr>
            <w:tcW w:w="8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95"/>
                <w:sz w:val="18"/>
              </w:rPr>
              <w:t>0.00%</w:t>
            </w:r>
            <w:r>
              <w:rPr>
                <w:rFonts w:ascii="Arial"/>
                <w:w w:val="95"/>
                <w:sz w:val="18"/>
              </w:rPr>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95"/>
                <w:sz w:val="18"/>
              </w:rPr>
              <w:t>0.00%</w:t>
            </w:r>
            <w:r>
              <w:rPr>
                <w:rFonts w:ascii="Arial"/>
                <w:w w:val="95"/>
                <w:sz w:val="18"/>
              </w:rPr>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10" w:space="0" w:color="D3D3D3"/>
              <w:right w:val="single" w:sz="4" w:space="0" w:color="000000"/>
            </w:tcBorders>
          </w:tcPr>
          <w:p>
            <w:pPr>
              <w:pStyle w:val="TableParagraph"/>
              <w:spacing w:line="240" w:lineRule="auto" w:before="91"/>
              <w:ind w:left="81" w:right="0"/>
              <w:jc w:val="left"/>
              <w:rPr>
                <w:rFonts w:ascii="Arial" w:hAnsi="Arial" w:cs="Arial" w:eastAsia="Arial" w:hint="default"/>
                <w:sz w:val="18"/>
                <w:szCs w:val="18"/>
              </w:rPr>
            </w:pPr>
            <w:r>
              <w:rPr>
                <w:rFonts w:ascii="Arial"/>
                <w:sz w:val="18"/>
              </w:rPr>
              <w:t>153,551,</w:t>
            </w:r>
          </w:p>
          <w:p>
            <w:pPr>
              <w:pStyle w:val="TableParagraph"/>
              <w:spacing w:line="240" w:lineRule="auto" w:before="106"/>
              <w:ind w:left="482" w:right="0"/>
              <w:jc w:val="left"/>
              <w:rPr>
                <w:rFonts w:ascii="Arial" w:hAnsi="Arial" w:cs="Arial" w:eastAsia="Arial" w:hint="default"/>
                <w:sz w:val="18"/>
                <w:szCs w:val="18"/>
              </w:rPr>
            </w:pPr>
            <w:r>
              <w:rPr>
                <w:rFonts w:ascii="Arial"/>
                <w:sz w:val="18"/>
              </w:rPr>
              <w:t>730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8" w:right="0"/>
              <w:jc w:val="left"/>
              <w:rPr>
                <w:rFonts w:ascii="Arial" w:hAnsi="Arial" w:cs="Arial" w:eastAsia="Arial" w:hint="default"/>
                <w:sz w:val="18"/>
                <w:szCs w:val="18"/>
              </w:rPr>
            </w:pPr>
            <w:r>
              <w:rPr>
                <w:rFonts w:ascii="Arial"/>
                <w:sz w:val="18"/>
              </w:rPr>
              <w:t>24.68%</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Arial" w:hAnsi="Arial" w:cs="Arial" w:eastAsia="Arial" w:hint="default"/>
                <w:sz w:val="18"/>
                <w:szCs w:val="18"/>
              </w:rPr>
            </w:pPr>
            <w:r>
              <w:rPr>
                <w:rFonts w:ascii="Arial"/>
                <w:sz w:val="18"/>
              </w:rPr>
              <w:t>-575,000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Arial" w:hAnsi="Arial" w:cs="Arial" w:eastAsia="Arial" w:hint="default"/>
                <w:sz w:val="18"/>
                <w:szCs w:val="18"/>
              </w:rPr>
            </w:pPr>
            <w:r>
              <w:rPr>
                <w:rFonts w:ascii="Arial"/>
                <w:sz w:val="18"/>
              </w:rPr>
              <w:t>-575,000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61" w:right="0"/>
              <w:jc w:val="left"/>
              <w:rPr>
                <w:rFonts w:ascii="Arial" w:hAnsi="Arial" w:cs="Arial" w:eastAsia="Arial" w:hint="default"/>
                <w:sz w:val="18"/>
                <w:szCs w:val="18"/>
              </w:rPr>
            </w:pPr>
            <w:r>
              <w:rPr>
                <w:rFonts w:ascii="Arial"/>
                <w:sz w:val="18"/>
              </w:rPr>
              <w:t>152,976,</w:t>
            </w:r>
          </w:p>
          <w:p>
            <w:pPr>
              <w:pStyle w:val="TableParagraph"/>
              <w:spacing w:line="240" w:lineRule="auto" w:before="106"/>
              <w:ind w:left="461" w:right="0"/>
              <w:jc w:val="left"/>
              <w:rPr>
                <w:rFonts w:ascii="Arial" w:hAnsi="Arial" w:cs="Arial" w:eastAsia="Arial" w:hint="default"/>
                <w:sz w:val="18"/>
                <w:szCs w:val="18"/>
              </w:rPr>
            </w:pPr>
            <w:r>
              <w:rPr>
                <w:rFonts w:ascii="Arial"/>
                <w:sz w:val="18"/>
              </w:rPr>
              <w:t>730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9" w:right="0"/>
              <w:jc w:val="left"/>
              <w:rPr>
                <w:rFonts w:ascii="Arial" w:hAnsi="Arial" w:cs="Arial" w:eastAsia="Arial" w:hint="default"/>
                <w:sz w:val="18"/>
                <w:szCs w:val="18"/>
              </w:rPr>
            </w:pPr>
            <w:r>
              <w:rPr>
                <w:rFonts w:ascii="Arial"/>
                <w:sz w:val="18"/>
              </w:rPr>
              <w:t>24.59%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、其他内资持股</w:t>
            </w:r>
          </w:p>
        </w:tc>
        <w:tc>
          <w:tcPr>
            <w:tcW w:w="823" w:type="dxa"/>
            <w:vMerge/>
            <w:tcBorders>
              <w:left w:val="single" w:sz="10" w:space="0" w:color="D3D3D3"/>
              <w:right w:val="single" w:sz="4" w:space="0" w:color="000000"/>
            </w:tcBorders>
          </w:tcPr>
          <w:p>
            <w:pPr/>
          </w:p>
        </w:tc>
        <w:tc>
          <w:tcPr>
            <w:tcW w:w="823"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10" w:space="0" w:color="D3D3D3"/>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95"/>
                <w:sz w:val="18"/>
              </w:rPr>
              <w:t>0.00%</w:t>
            </w:r>
            <w:r>
              <w:rPr>
                <w:rFonts w:ascii="Arial"/>
                <w:w w:val="95"/>
                <w:sz w:val="18"/>
              </w:rPr>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95"/>
                <w:sz w:val="18"/>
              </w:rPr>
              <w:t>0.00%</w:t>
            </w:r>
            <w:r>
              <w:rPr>
                <w:rFonts w:ascii="Arial"/>
                <w:w w:val="95"/>
                <w:sz w:val="18"/>
              </w:rPr>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10" w:space="0" w:color="D3D3D3"/>
              <w:right w:val="single" w:sz="4" w:space="0" w:color="000000"/>
            </w:tcBorders>
          </w:tcPr>
          <w:p>
            <w:pPr>
              <w:pStyle w:val="TableParagraph"/>
              <w:spacing w:line="240" w:lineRule="auto" w:before="91"/>
              <w:ind w:left="81" w:right="0"/>
              <w:jc w:val="left"/>
              <w:rPr>
                <w:rFonts w:ascii="Arial" w:hAnsi="Arial" w:cs="Arial" w:eastAsia="Arial" w:hint="default"/>
                <w:sz w:val="18"/>
                <w:szCs w:val="18"/>
              </w:rPr>
            </w:pPr>
            <w:r>
              <w:rPr>
                <w:rFonts w:ascii="Arial"/>
                <w:sz w:val="18"/>
              </w:rPr>
              <w:t>153,551,</w:t>
            </w:r>
          </w:p>
          <w:p>
            <w:pPr>
              <w:pStyle w:val="TableParagraph"/>
              <w:spacing w:line="240" w:lineRule="auto" w:before="106"/>
              <w:ind w:left="482" w:right="0"/>
              <w:jc w:val="left"/>
              <w:rPr>
                <w:rFonts w:ascii="Arial" w:hAnsi="Arial" w:cs="Arial" w:eastAsia="Arial" w:hint="default"/>
                <w:sz w:val="18"/>
                <w:szCs w:val="18"/>
              </w:rPr>
            </w:pPr>
            <w:r>
              <w:rPr>
                <w:rFonts w:ascii="Arial"/>
                <w:sz w:val="18"/>
              </w:rPr>
              <w:t>730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8" w:right="0"/>
              <w:jc w:val="left"/>
              <w:rPr>
                <w:rFonts w:ascii="Arial" w:hAnsi="Arial" w:cs="Arial" w:eastAsia="Arial" w:hint="default"/>
                <w:sz w:val="18"/>
                <w:szCs w:val="18"/>
              </w:rPr>
            </w:pPr>
            <w:r>
              <w:rPr>
                <w:rFonts w:ascii="Arial"/>
                <w:sz w:val="18"/>
              </w:rPr>
              <w:t>24.68%</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Arial" w:hAnsi="Arial" w:cs="Arial" w:eastAsia="Arial" w:hint="default"/>
                <w:sz w:val="18"/>
                <w:szCs w:val="18"/>
              </w:rPr>
            </w:pPr>
            <w:r>
              <w:rPr>
                <w:rFonts w:ascii="Arial"/>
                <w:sz w:val="18"/>
              </w:rPr>
              <w:t>-575,000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Arial" w:hAnsi="Arial" w:cs="Arial" w:eastAsia="Arial" w:hint="default"/>
                <w:sz w:val="18"/>
                <w:szCs w:val="18"/>
              </w:rPr>
            </w:pPr>
            <w:r>
              <w:rPr>
                <w:rFonts w:ascii="Arial"/>
                <w:sz w:val="18"/>
              </w:rPr>
              <w:t>-575,000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61" w:right="0"/>
              <w:jc w:val="left"/>
              <w:rPr>
                <w:rFonts w:ascii="Arial" w:hAnsi="Arial" w:cs="Arial" w:eastAsia="Arial" w:hint="default"/>
                <w:sz w:val="18"/>
                <w:szCs w:val="18"/>
              </w:rPr>
            </w:pPr>
            <w:r>
              <w:rPr>
                <w:rFonts w:ascii="Arial"/>
                <w:sz w:val="18"/>
              </w:rPr>
              <w:t>152,976,</w:t>
            </w:r>
          </w:p>
          <w:p>
            <w:pPr>
              <w:pStyle w:val="TableParagraph"/>
              <w:spacing w:line="240" w:lineRule="auto" w:before="106"/>
              <w:ind w:left="461" w:right="0"/>
              <w:jc w:val="left"/>
              <w:rPr>
                <w:rFonts w:ascii="Arial" w:hAnsi="Arial" w:cs="Arial" w:eastAsia="Arial" w:hint="default"/>
                <w:sz w:val="18"/>
                <w:szCs w:val="18"/>
              </w:rPr>
            </w:pPr>
            <w:r>
              <w:rPr>
                <w:rFonts w:ascii="Arial"/>
                <w:sz w:val="18"/>
              </w:rPr>
              <w:t>730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9" w:right="0"/>
              <w:jc w:val="left"/>
              <w:rPr>
                <w:rFonts w:ascii="Arial" w:hAnsi="Arial" w:cs="Arial" w:eastAsia="Arial" w:hint="default"/>
                <w:sz w:val="18"/>
                <w:szCs w:val="18"/>
              </w:rPr>
            </w:pPr>
            <w:r>
              <w:rPr>
                <w:rFonts w:ascii="Arial"/>
                <w:sz w:val="18"/>
              </w:rPr>
              <w:t>24.59%</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境内自然人持股</w:t>
            </w:r>
          </w:p>
        </w:tc>
        <w:tc>
          <w:tcPr>
            <w:tcW w:w="823" w:type="dxa"/>
            <w:vMerge/>
            <w:tcBorders>
              <w:left w:val="single" w:sz="10" w:space="0" w:color="D3D3D3"/>
              <w:right w:val="single" w:sz="4" w:space="0" w:color="000000"/>
            </w:tcBorders>
          </w:tcPr>
          <w:p>
            <w:pPr/>
          </w:p>
        </w:tc>
        <w:tc>
          <w:tcPr>
            <w:tcW w:w="823"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10" w:space="0" w:color="D3D3D3"/>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、外资持股</w:t>
            </w:r>
          </w:p>
        </w:tc>
        <w:tc>
          <w:tcPr>
            <w:tcW w:w="8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95"/>
                <w:sz w:val="18"/>
              </w:rPr>
              <w:t>0.00%</w:t>
            </w:r>
            <w:r>
              <w:rPr>
                <w:rFonts w:ascii="Arial"/>
                <w:w w:val="95"/>
                <w:sz w:val="18"/>
              </w:rPr>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95"/>
                <w:sz w:val="18"/>
              </w:rPr>
              <w:t>0.00%</w:t>
            </w:r>
            <w:r>
              <w:rPr>
                <w:rFonts w:ascii="Arial"/>
                <w:w w:val="95"/>
                <w:sz w:val="18"/>
              </w:rPr>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95"/>
                <w:sz w:val="18"/>
              </w:rPr>
              <w:t>0.00%</w:t>
            </w:r>
            <w:r>
              <w:rPr>
                <w:rFonts w:ascii="Arial"/>
                <w:w w:val="95"/>
                <w:sz w:val="18"/>
              </w:rPr>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95"/>
                <w:sz w:val="18"/>
              </w:rPr>
              <w:t>0.00%</w:t>
            </w:r>
            <w:r>
              <w:rPr>
                <w:rFonts w:ascii="Arial"/>
                <w:w w:val="95"/>
                <w:sz w:val="18"/>
              </w:rPr>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92"/>
              <w:jc w:val="right"/>
              <w:rPr>
                <w:rFonts w:ascii="宋体" w:hAnsi="宋体" w:cs="宋体" w:eastAsia="宋体" w:hint="default"/>
                <w:sz w:val="18"/>
                <w:szCs w:val="18"/>
              </w:rPr>
            </w:pPr>
            <w:r>
              <w:rPr>
                <w:rFonts w:ascii="宋体" w:hAnsi="宋体" w:cs="宋体" w:eastAsia="宋体" w:hint="default"/>
                <w:sz w:val="18"/>
                <w:szCs w:val="18"/>
              </w:rPr>
              <w:t>境外自然人持股</w:t>
            </w:r>
          </w:p>
        </w:tc>
        <w:tc>
          <w:tcPr>
            <w:tcW w:w="8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95"/>
                <w:sz w:val="18"/>
              </w:rPr>
              <w:t>0.00%</w:t>
            </w:r>
            <w:r>
              <w:rPr>
                <w:rFonts w:ascii="Arial"/>
                <w:w w:val="95"/>
                <w:sz w:val="18"/>
              </w:rPr>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95"/>
                <w:sz w:val="18"/>
              </w:rPr>
              <w:t>0.00%</w:t>
            </w:r>
            <w:r>
              <w:rPr>
                <w:rFonts w:ascii="Arial"/>
                <w:w w:val="95"/>
                <w:sz w:val="18"/>
              </w:rPr>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10" w:space="0" w:color="D3D3D3"/>
              <w:right w:val="single" w:sz="4" w:space="0" w:color="000000"/>
            </w:tcBorders>
          </w:tcPr>
          <w:p>
            <w:pPr>
              <w:pStyle w:val="TableParagraph"/>
              <w:spacing w:line="240" w:lineRule="auto" w:before="91"/>
              <w:ind w:left="81" w:right="0"/>
              <w:jc w:val="left"/>
              <w:rPr>
                <w:rFonts w:ascii="Arial" w:hAnsi="Arial" w:cs="Arial" w:eastAsia="Arial" w:hint="default"/>
                <w:sz w:val="18"/>
                <w:szCs w:val="18"/>
              </w:rPr>
            </w:pPr>
            <w:r>
              <w:rPr>
                <w:rFonts w:ascii="Arial"/>
                <w:sz w:val="18"/>
              </w:rPr>
              <w:t>468,648,</w:t>
            </w:r>
          </w:p>
          <w:p>
            <w:pPr>
              <w:pStyle w:val="TableParagraph"/>
              <w:spacing w:line="240" w:lineRule="auto" w:before="106"/>
              <w:ind w:left="482" w:right="0"/>
              <w:jc w:val="left"/>
              <w:rPr>
                <w:rFonts w:ascii="Arial" w:hAnsi="Arial" w:cs="Arial" w:eastAsia="Arial" w:hint="default"/>
                <w:sz w:val="18"/>
                <w:szCs w:val="18"/>
              </w:rPr>
            </w:pPr>
            <w:r>
              <w:rPr>
                <w:rFonts w:ascii="Arial"/>
                <w:sz w:val="18"/>
              </w:rPr>
              <w:t>270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8" w:right="0"/>
              <w:jc w:val="left"/>
              <w:rPr>
                <w:rFonts w:ascii="Arial" w:hAnsi="Arial" w:cs="Arial" w:eastAsia="Arial" w:hint="default"/>
                <w:sz w:val="18"/>
                <w:szCs w:val="18"/>
              </w:rPr>
            </w:pPr>
            <w:r>
              <w:rPr>
                <w:rFonts w:ascii="Arial"/>
                <w:sz w:val="18"/>
              </w:rPr>
              <w:t>75.32%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left"/>
              <w:rPr>
                <w:rFonts w:ascii="Arial" w:hAnsi="Arial" w:cs="Arial" w:eastAsia="Arial" w:hint="default"/>
                <w:sz w:val="18"/>
                <w:szCs w:val="18"/>
              </w:rPr>
            </w:pPr>
            <w:r>
              <w:rPr>
                <w:rFonts w:ascii="Arial"/>
                <w:sz w:val="18"/>
              </w:rPr>
              <w:t>575,000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left"/>
              <w:rPr>
                <w:rFonts w:ascii="Arial" w:hAnsi="Arial" w:cs="Arial" w:eastAsia="Arial" w:hint="default"/>
                <w:sz w:val="18"/>
                <w:szCs w:val="18"/>
              </w:rPr>
            </w:pPr>
            <w:r>
              <w:rPr>
                <w:rFonts w:ascii="Arial"/>
                <w:sz w:val="18"/>
              </w:rPr>
              <w:t>575,000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61" w:right="0"/>
              <w:jc w:val="left"/>
              <w:rPr>
                <w:rFonts w:ascii="Arial" w:hAnsi="Arial" w:cs="Arial" w:eastAsia="Arial" w:hint="default"/>
                <w:sz w:val="18"/>
                <w:szCs w:val="18"/>
              </w:rPr>
            </w:pPr>
            <w:r>
              <w:rPr>
                <w:rFonts w:ascii="Arial"/>
                <w:sz w:val="18"/>
              </w:rPr>
              <w:t>469,223,</w:t>
            </w:r>
          </w:p>
          <w:p>
            <w:pPr>
              <w:pStyle w:val="TableParagraph"/>
              <w:spacing w:line="240" w:lineRule="auto" w:before="106"/>
              <w:ind w:left="461" w:right="0"/>
              <w:jc w:val="left"/>
              <w:rPr>
                <w:rFonts w:ascii="Arial" w:hAnsi="Arial" w:cs="Arial" w:eastAsia="Arial" w:hint="default"/>
                <w:sz w:val="18"/>
                <w:szCs w:val="18"/>
              </w:rPr>
            </w:pPr>
            <w:r>
              <w:rPr>
                <w:rFonts w:ascii="Arial"/>
                <w:sz w:val="18"/>
              </w:rPr>
              <w:t>270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9" w:right="0"/>
              <w:jc w:val="left"/>
              <w:rPr>
                <w:rFonts w:ascii="Arial" w:hAnsi="Arial" w:cs="Arial" w:eastAsia="Arial" w:hint="default"/>
                <w:sz w:val="18"/>
                <w:szCs w:val="18"/>
              </w:rPr>
            </w:pPr>
            <w:r>
              <w:rPr>
                <w:rFonts w:ascii="Arial"/>
                <w:sz w:val="18"/>
              </w:rPr>
              <w:t>75.41%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23" w:type="dxa"/>
            <w:vMerge/>
            <w:tcBorders>
              <w:left w:val="single" w:sz="10" w:space="0" w:color="D3D3D3"/>
              <w:right w:val="single" w:sz="4" w:space="0" w:color="000000"/>
            </w:tcBorders>
          </w:tcPr>
          <w:p>
            <w:pPr/>
          </w:p>
        </w:tc>
        <w:tc>
          <w:tcPr>
            <w:tcW w:w="823"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10" w:space="0" w:color="D3D3D3"/>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10" w:space="0" w:color="D3D3D3"/>
              <w:right w:val="single" w:sz="4" w:space="0" w:color="000000"/>
            </w:tcBorders>
          </w:tcPr>
          <w:p>
            <w:pPr>
              <w:pStyle w:val="TableParagraph"/>
              <w:spacing w:line="240" w:lineRule="auto" w:before="91"/>
              <w:ind w:left="81" w:right="0"/>
              <w:jc w:val="left"/>
              <w:rPr>
                <w:rFonts w:ascii="Arial" w:hAnsi="Arial" w:cs="Arial" w:eastAsia="Arial" w:hint="default"/>
                <w:sz w:val="18"/>
                <w:szCs w:val="18"/>
              </w:rPr>
            </w:pPr>
            <w:r>
              <w:rPr>
                <w:rFonts w:ascii="Arial"/>
                <w:sz w:val="18"/>
              </w:rPr>
              <w:t>468,648,</w:t>
            </w:r>
          </w:p>
          <w:p>
            <w:pPr>
              <w:pStyle w:val="TableParagraph"/>
              <w:spacing w:line="240" w:lineRule="auto" w:before="106"/>
              <w:ind w:left="482" w:right="0"/>
              <w:jc w:val="left"/>
              <w:rPr>
                <w:rFonts w:ascii="Arial" w:hAnsi="Arial" w:cs="Arial" w:eastAsia="Arial" w:hint="default"/>
                <w:sz w:val="18"/>
                <w:szCs w:val="18"/>
              </w:rPr>
            </w:pPr>
            <w:r>
              <w:rPr>
                <w:rFonts w:ascii="Arial"/>
                <w:sz w:val="18"/>
              </w:rPr>
              <w:t>270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78" w:right="0"/>
              <w:jc w:val="left"/>
              <w:rPr>
                <w:rFonts w:ascii="Arial" w:hAnsi="Arial" w:cs="Arial" w:eastAsia="Arial" w:hint="default"/>
                <w:sz w:val="18"/>
                <w:szCs w:val="18"/>
              </w:rPr>
            </w:pPr>
            <w:r>
              <w:rPr>
                <w:rFonts w:ascii="Arial"/>
                <w:sz w:val="18"/>
              </w:rPr>
              <w:t>75.32%</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left"/>
              <w:rPr>
                <w:rFonts w:ascii="Arial" w:hAnsi="Arial" w:cs="Arial" w:eastAsia="Arial" w:hint="default"/>
                <w:sz w:val="18"/>
                <w:szCs w:val="18"/>
              </w:rPr>
            </w:pPr>
            <w:r>
              <w:rPr>
                <w:rFonts w:ascii="Arial"/>
                <w:sz w:val="18"/>
              </w:rPr>
              <w:t>575,000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9" w:right="0"/>
              <w:jc w:val="left"/>
              <w:rPr>
                <w:rFonts w:ascii="Arial" w:hAnsi="Arial" w:cs="Arial" w:eastAsia="Arial" w:hint="default"/>
                <w:sz w:val="18"/>
                <w:szCs w:val="18"/>
              </w:rPr>
            </w:pPr>
            <w:r>
              <w:rPr>
                <w:rFonts w:ascii="Arial"/>
                <w:sz w:val="18"/>
              </w:rPr>
              <w:t>575,000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61" w:right="0"/>
              <w:jc w:val="left"/>
              <w:rPr>
                <w:rFonts w:ascii="Arial" w:hAnsi="Arial" w:cs="Arial" w:eastAsia="Arial" w:hint="default"/>
                <w:sz w:val="18"/>
                <w:szCs w:val="18"/>
              </w:rPr>
            </w:pPr>
            <w:r>
              <w:rPr>
                <w:rFonts w:ascii="Arial"/>
                <w:sz w:val="18"/>
              </w:rPr>
              <w:t>469,223,</w:t>
            </w:r>
          </w:p>
          <w:p>
            <w:pPr>
              <w:pStyle w:val="TableParagraph"/>
              <w:spacing w:line="240" w:lineRule="auto" w:before="106"/>
              <w:ind w:left="461" w:right="0"/>
              <w:jc w:val="left"/>
              <w:rPr>
                <w:rFonts w:ascii="Arial" w:hAnsi="Arial" w:cs="Arial" w:eastAsia="Arial" w:hint="default"/>
                <w:sz w:val="18"/>
                <w:szCs w:val="18"/>
              </w:rPr>
            </w:pPr>
            <w:r>
              <w:rPr>
                <w:rFonts w:ascii="Arial"/>
                <w:sz w:val="18"/>
              </w:rPr>
              <w:t>270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9" w:right="0"/>
              <w:jc w:val="left"/>
              <w:rPr>
                <w:rFonts w:ascii="Arial" w:hAnsi="Arial" w:cs="Arial" w:eastAsia="Arial" w:hint="default"/>
                <w:sz w:val="18"/>
                <w:szCs w:val="18"/>
              </w:rPr>
            </w:pPr>
            <w:r>
              <w:rPr>
                <w:rFonts w:ascii="Arial"/>
                <w:sz w:val="18"/>
              </w:rPr>
              <w:t>75.41%</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、人民币普通股</w:t>
            </w:r>
          </w:p>
        </w:tc>
        <w:tc>
          <w:tcPr>
            <w:tcW w:w="823" w:type="dxa"/>
            <w:vMerge/>
            <w:tcBorders>
              <w:left w:val="single" w:sz="10" w:space="0" w:color="D3D3D3"/>
              <w:right w:val="single" w:sz="4" w:space="0" w:color="000000"/>
            </w:tcBorders>
          </w:tcPr>
          <w:p>
            <w:pPr/>
          </w:p>
        </w:tc>
        <w:tc>
          <w:tcPr>
            <w:tcW w:w="823"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10" w:space="0" w:color="D3D3D3"/>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、境内上市的外资股</w:t>
            </w:r>
          </w:p>
        </w:tc>
        <w:tc>
          <w:tcPr>
            <w:tcW w:w="8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95"/>
                <w:sz w:val="18"/>
              </w:rPr>
              <w:t>0.00%</w:t>
            </w:r>
            <w:r>
              <w:rPr>
                <w:rFonts w:ascii="Arial"/>
                <w:w w:val="95"/>
                <w:sz w:val="18"/>
              </w:rPr>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95"/>
                <w:sz w:val="18"/>
              </w:rPr>
              <w:t>0.00%</w:t>
            </w:r>
            <w:r>
              <w:rPr>
                <w:rFonts w:ascii="Arial"/>
                <w:w w:val="95"/>
                <w:sz w:val="18"/>
              </w:rPr>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、境外上市的外资股</w:t>
            </w:r>
          </w:p>
        </w:tc>
        <w:tc>
          <w:tcPr>
            <w:tcW w:w="8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95"/>
                <w:sz w:val="18"/>
              </w:rPr>
              <w:t>0.00%</w:t>
            </w:r>
            <w:r>
              <w:rPr>
                <w:rFonts w:ascii="Arial"/>
                <w:w w:val="95"/>
                <w:sz w:val="18"/>
              </w:rPr>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95"/>
                <w:sz w:val="18"/>
              </w:rPr>
              <w:t>0.00%</w:t>
            </w:r>
            <w:r>
              <w:rPr>
                <w:rFonts w:ascii="Arial"/>
                <w:w w:val="95"/>
                <w:sz w:val="18"/>
              </w:rPr>
            </w:r>
          </w:p>
        </w:tc>
      </w:tr>
      <w:tr>
        <w:trPr>
          <w:trHeight w:val="402" w:hRule="exact"/>
        </w:trPr>
        <w:tc>
          <w:tcPr>
            <w:tcW w:w="22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82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z w:val="18"/>
              </w:rPr>
              <w:t>0</w:t>
            </w:r>
          </w:p>
        </w:tc>
        <w:tc>
          <w:tcPr>
            <w:tcW w:w="8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95"/>
                <w:sz w:val="18"/>
              </w:rPr>
              <w:t>0.00%</w:t>
            </w:r>
            <w:r>
              <w:rPr>
                <w:rFonts w:ascii="Arial"/>
                <w:w w:val="95"/>
                <w:sz w:val="18"/>
              </w:rPr>
            </w: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c>
          <w:tcPr>
            <w:tcW w:w="8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95"/>
                <w:sz w:val="18"/>
              </w:rPr>
              <w:t>0.00%</w:t>
            </w:r>
            <w:r>
              <w:rPr>
                <w:rFonts w:ascii="Arial"/>
                <w:w w:val="95"/>
                <w:sz w:val="18"/>
              </w:rPr>
            </w:r>
          </w:p>
        </w:tc>
      </w:tr>
      <w:tr>
        <w:trPr>
          <w:trHeight w:val="161" w:hRule="exact"/>
        </w:trPr>
        <w:tc>
          <w:tcPr>
            <w:tcW w:w="2216" w:type="dxa"/>
            <w:tcBorders>
              <w:top w:val="single" w:sz="4" w:space="0" w:color="000000"/>
              <w:left w:val="single" w:sz="4" w:space="0" w:color="000000"/>
              <w:bottom w:val="nil" w:sz="6" w:space="0" w:color="auto"/>
              <w:right w:val="single" w:sz="4" w:space="0" w:color="000000"/>
            </w:tcBorders>
            <w:shd w:val="clear" w:color="auto" w:fill="D3D3D3"/>
          </w:tcPr>
          <w:p>
            <w:pPr/>
          </w:p>
        </w:tc>
        <w:tc>
          <w:tcPr>
            <w:tcW w:w="823" w:type="dxa"/>
            <w:vMerge w:val="restart"/>
            <w:tcBorders>
              <w:top w:val="single" w:sz="4" w:space="0" w:color="000000"/>
              <w:left w:val="single" w:sz="10" w:space="0" w:color="D3D3D3"/>
              <w:right w:val="single" w:sz="4" w:space="0" w:color="000000"/>
            </w:tcBorders>
          </w:tcPr>
          <w:p>
            <w:pPr>
              <w:pStyle w:val="TableParagraph"/>
              <w:spacing w:line="240" w:lineRule="auto" w:before="91"/>
              <w:ind w:left="81" w:right="0"/>
              <w:jc w:val="left"/>
              <w:rPr>
                <w:rFonts w:ascii="Arial" w:hAnsi="Arial" w:cs="Arial" w:eastAsia="Arial" w:hint="default"/>
                <w:sz w:val="18"/>
                <w:szCs w:val="18"/>
              </w:rPr>
            </w:pPr>
            <w:r>
              <w:rPr>
                <w:rFonts w:ascii="Arial"/>
                <w:sz w:val="18"/>
              </w:rPr>
              <w:t>622,200,</w:t>
            </w:r>
          </w:p>
          <w:p>
            <w:pPr>
              <w:pStyle w:val="TableParagraph"/>
              <w:spacing w:line="240" w:lineRule="auto" w:before="106"/>
              <w:ind w:left="482" w:right="0"/>
              <w:jc w:val="left"/>
              <w:rPr>
                <w:rFonts w:ascii="Arial" w:hAnsi="Arial" w:cs="Arial" w:eastAsia="Arial" w:hint="default"/>
                <w:sz w:val="18"/>
                <w:szCs w:val="18"/>
              </w:rPr>
            </w:pPr>
            <w:r>
              <w:rPr>
                <w:rFonts w:ascii="Arial"/>
                <w:sz w:val="18"/>
              </w:rPr>
              <w:t>000</w:t>
            </w:r>
          </w:p>
        </w:tc>
        <w:tc>
          <w:tcPr>
            <w:tcW w:w="82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9" w:right="0"/>
              <w:jc w:val="left"/>
              <w:rPr>
                <w:rFonts w:ascii="Arial" w:hAnsi="Arial" w:cs="Arial" w:eastAsia="Arial" w:hint="default"/>
                <w:sz w:val="18"/>
                <w:szCs w:val="18"/>
              </w:rPr>
            </w:pPr>
            <w:r>
              <w:rPr>
                <w:rFonts w:ascii="Arial"/>
                <w:sz w:val="18"/>
              </w:rPr>
              <w:t>100.00%</w:t>
            </w: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z w:val="18"/>
              </w:rPr>
              <w:t>0</w:t>
            </w:r>
          </w:p>
        </w:tc>
        <w:tc>
          <w:tcPr>
            <w:tcW w:w="82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z w:val="18"/>
              </w:rPr>
              <w:t>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91"/>
              <w:ind w:left="61" w:right="0"/>
              <w:jc w:val="left"/>
              <w:rPr>
                <w:rFonts w:ascii="Arial" w:hAnsi="Arial" w:cs="Arial" w:eastAsia="Arial" w:hint="default"/>
                <w:sz w:val="18"/>
                <w:szCs w:val="18"/>
              </w:rPr>
            </w:pPr>
            <w:r>
              <w:rPr>
                <w:rFonts w:ascii="Arial"/>
                <w:sz w:val="18"/>
              </w:rPr>
              <w:t>622,200,</w:t>
            </w:r>
          </w:p>
          <w:p>
            <w:pPr>
              <w:pStyle w:val="TableParagraph"/>
              <w:spacing w:line="240" w:lineRule="auto" w:before="106"/>
              <w:ind w:left="461" w:right="0"/>
              <w:jc w:val="left"/>
              <w:rPr>
                <w:rFonts w:ascii="Arial" w:hAnsi="Arial" w:cs="Arial" w:eastAsia="Arial" w:hint="default"/>
                <w:sz w:val="18"/>
                <w:szCs w:val="18"/>
              </w:rPr>
            </w:pPr>
            <w:r>
              <w:rPr>
                <w:rFonts w:ascii="Arial"/>
                <w:sz w:val="18"/>
              </w:rPr>
              <w:t>000</w:t>
            </w:r>
          </w:p>
        </w:tc>
        <w:tc>
          <w:tcPr>
            <w:tcW w:w="7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Arial" w:hAnsi="Arial" w:cs="Arial" w:eastAsia="Arial" w:hint="default"/>
                <w:sz w:val="18"/>
                <w:szCs w:val="18"/>
              </w:rPr>
            </w:pPr>
            <w:r>
              <w:rPr>
                <w:rFonts w:ascii="Arial"/>
                <w:sz w:val="18"/>
              </w:rPr>
              <w:t>100.00%</w:t>
            </w:r>
          </w:p>
        </w:tc>
      </w:tr>
      <w:tr>
        <w:trPr>
          <w:trHeight w:val="392" w:hRule="exact"/>
        </w:trPr>
        <w:tc>
          <w:tcPr>
            <w:tcW w:w="221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23" w:type="dxa"/>
            <w:vMerge/>
            <w:tcBorders>
              <w:left w:val="single" w:sz="10" w:space="0" w:color="D3D3D3"/>
              <w:right w:val="single" w:sz="4" w:space="0" w:color="000000"/>
            </w:tcBorders>
          </w:tcPr>
          <w:p>
            <w:pPr/>
          </w:p>
        </w:tc>
        <w:tc>
          <w:tcPr>
            <w:tcW w:w="823"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822"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c>
          <w:tcPr>
            <w:tcW w:w="794" w:type="dxa"/>
            <w:vMerge/>
            <w:tcBorders>
              <w:left w:val="single" w:sz="4" w:space="0" w:color="000000"/>
              <w:right w:val="single" w:sz="4" w:space="0" w:color="000000"/>
            </w:tcBorders>
          </w:tcPr>
          <w:p>
            <w:pPr/>
          </w:p>
        </w:tc>
      </w:tr>
      <w:tr>
        <w:trPr>
          <w:trHeight w:val="161" w:hRule="exact"/>
        </w:trPr>
        <w:tc>
          <w:tcPr>
            <w:tcW w:w="2216" w:type="dxa"/>
            <w:tcBorders>
              <w:top w:val="nil" w:sz="6" w:space="0" w:color="auto"/>
              <w:left w:val="single" w:sz="4" w:space="0" w:color="000000"/>
              <w:bottom w:val="single" w:sz="4" w:space="0" w:color="000000"/>
              <w:right w:val="single" w:sz="4" w:space="0" w:color="000000"/>
            </w:tcBorders>
            <w:shd w:val="clear" w:color="auto" w:fill="D3D3D3"/>
          </w:tcPr>
          <w:p>
            <w:pPr/>
          </w:p>
        </w:tc>
        <w:tc>
          <w:tcPr>
            <w:tcW w:w="823" w:type="dxa"/>
            <w:vMerge/>
            <w:tcBorders>
              <w:left w:val="single" w:sz="10" w:space="0" w:color="D3D3D3"/>
              <w:bottom w:val="single" w:sz="4" w:space="0" w:color="000000"/>
              <w:right w:val="single" w:sz="4" w:space="0" w:color="000000"/>
            </w:tcBorders>
          </w:tcPr>
          <w:p>
            <w:pPr/>
          </w:p>
        </w:tc>
        <w:tc>
          <w:tcPr>
            <w:tcW w:w="823"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822"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c>
          <w:tcPr>
            <w:tcW w:w="794" w:type="dxa"/>
            <w:vMerge/>
            <w:tcBorders>
              <w:left w:val="single" w:sz="4" w:space="0" w:color="000000"/>
              <w:bottom w:val="single" w:sz="4" w:space="0" w:color="000000"/>
              <w:right w:val="single" w:sz="4" w:space="0" w:color="000000"/>
            </w:tcBorders>
          </w:tcPr>
          <w:p>
            <w:pPr/>
          </w:p>
        </w:tc>
      </w:tr>
    </w:tbl>
    <w:p>
      <w:pPr>
        <w:pStyle w:val="BodyText"/>
        <w:spacing w:line="240" w:lineRule="auto" w:before="51"/>
        <w:ind w:right="2239"/>
        <w:jc w:val="left"/>
      </w:pPr>
      <w:r>
        <w:rPr/>
        <w:t>股份变动的原因</w:t>
      </w:r>
    </w:p>
    <w:p>
      <w:pPr>
        <w:pStyle w:val="BodyText"/>
        <w:spacing w:line="340" w:lineRule="auto" w:before="117"/>
        <w:ind w:right="913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股份变动的批准情况</w:t>
      </w:r>
    </w:p>
    <w:p>
      <w:pPr>
        <w:pStyle w:val="BodyText"/>
        <w:spacing w:line="340" w:lineRule="auto" w:before="41"/>
        <w:ind w:right="913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股份变动的过户情况</w:t>
      </w:r>
    </w:p>
    <w:p>
      <w:pPr>
        <w:spacing w:after="0" w:line="340" w:lineRule="auto"/>
        <w:jc w:val="left"/>
        <w:sectPr>
          <w:pgSz w:w="11910" w:h="16840"/>
          <w:pgMar w:header="747" w:footer="982" w:top="1060" w:bottom="1180" w:left="980" w:right="0"/>
        </w:sectPr>
      </w:pPr>
    </w:p>
    <w:p>
      <w:pPr>
        <w:spacing w:line="240" w:lineRule="auto" w:before="13"/>
        <w:rPr>
          <w:rFonts w:ascii="宋体" w:hAnsi="宋体" w:cs="宋体" w:eastAsia="宋体" w:hint="default"/>
          <w:sz w:val="25"/>
          <w:szCs w:val="25"/>
        </w:rPr>
      </w:pPr>
    </w:p>
    <w:p>
      <w:pPr>
        <w:pStyle w:val="BodyText"/>
        <w:spacing w:line="340" w:lineRule="auto" w:before="44"/>
        <w:ind w:right="877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股份回购的实施进展情况</w:t>
      </w:r>
    </w:p>
    <w:p>
      <w:pPr>
        <w:pStyle w:val="BodyText"/>
        <w:spacing w:line="340" w:lineRule="auto" w:before="41"/>
        <w:ind w:right="697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采用集中竞价方式减持回购股份的实施进展情况</w:t>
      </w:r>
    </w:p>
    <w:p>
      <w:pPr>
        <w:pStyle w:val="BodyText"/>
        <w:spacing w:line="340" w:lineRule="auto" w:before="40"/>
        <w:ind w:right="139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股份变动对最近一年和最近一期基本每股收益和稀释每股收益、归属于公司普通股股东的每股净资产等财务指标的影响</w:t>
      </w:r>
    </w:p>
    <w:p>
      <w:pPr>
        <w:pStyle w:val="BodyText"/>
        <w:spacing w:line="340" w:lineRule="auto" w:before="40"/>
        <w:ind w:right="679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公司认为必要或证券监管机构要求披露的其他内容</w:t>
      </w:r>
    </w:p>
    <w:p>
      <w:pPr>
        <w:pStyle w:val="BodyText"/>
        <w:spacing w:line="240" w:lineRule="auto" w:before="41"/>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2239"/>
        <w:jc w:val="left"/>
        <w:rPr>
          <w:b w:val="0"/>
          <w:bCs w:val="0"/>
        </w:rPr>
      </w:pPr>
      <w:r>
        <w:rPr>
          <w:rFonts w:ascii="Arial" w:hAnsi="Arial" w:cs="Arial" w:eastAsia="Arial" w:hint="default"/>
        </w:rPr>
        <w:t>2</w:t>
      </w:r>
      <w:r>
        <w:rPr/>
        <w:t>、限售股份变动情况</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2239"/>
        <w:jc w:val="left"/>
        <w:rPr>
          <w:b w:val="0"/>
          <w:bCs w:val="0"/>
        </w:rPr>
      </w:pPr>
      <w:r>
        <w:rPr/>
        <w:t>二、证券发行与上市情况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1</w:t>
      </w:r>
      <w:r>
        <w:rPr/>
        <w:t>、报告期内证券发行（不含优先股）情况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2239"/>
        <w:jc w:val="left"/>
        <w:rPr>
          <w:b w:val="0"/>
          <w:bCs w:val="0"/>
        </w:rPr>
      </w:pPr>
      <w:r>
        <w:rPr>
          <w:rFonts w:ascii="Arial" w:hAnsi="Arial" w:cs="Arial" w:eastAsia="Arial" w:hint="default"/>
        </w:rPr>
        <w:t>2</w:t>
      </w:r>
      <w:r>
        <w:rPr/>
        <w:t>、公司股份总数及股东结构的变动、公司资产和负债结构的变动情况说明</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2239"/>
        <w:jc w:val="left"/>
        <w:rPr>
          <w:b w:val="0"/>
          <w:bCs w:val="0"/>
        </w:rPr>
      </w:pPr>
      <w:r>
        <w:rPr>
          <w:rFonts w:ascii="Arial" w:hAnsi="Arial" w:cs="Arial" w:eastAsia="Arial" w:hint="default"/>
        </w:rPr>
        <w:t>3</w:t>
      </w:r>
      <w:r>
        <w:rPr/>
        <w:t>、现存的内部职工股情况</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2239"/>
        <w:jc w:val="left"/>
        <w:rPr>
          <w:b w:val="0"/>
          <w:bCs w:val="0"/>
        </w:rPr>
      </w:pPr>
      <w:r>
        <w:rPr/>
        <w:t>三、股东和实际控制人情况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1</w:t>
      </w:r>
      <w:r>
        <w:rPr/>
        <w:t>、公司股东数量及持股情况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单位：股</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274"/>
        <w:gridCol w:w="934"/>
        <w:gridCol w:w="478"/>
        <w:gridCol w:w="695"/>
        <w:gridCol w:w="92"/>
        <w:gridCol w:w="786"/>
        <w:gridCol w:w="340"/>
        <w:gridCol w:w="449"/>
        <w:gridCol w:w="755"/>
        <w:gridCol w:w="860"/>
        <w:gridCol w:w="328"/>
        <w:gridCol w:w="1033"/>
        <w:gridCol w:w="140"/>
        <w:gridCol w:w="1207"/>
      </w:tblGrid>
      <w:tr>
        <w:trPr>
          <w:trHeight w:val="161" w:hRule="exact"/>
        </w:trPr>
        <w:tc>
          <w:tcPr>
            <w:tcW w:w="1184" w:type="dxa"/>
            <w:vMerge w:val="restart"/>
            <w:tcBorders>
              <w:top w:val="single" w:sz="4" w:space="0" w:color="000000"/>
              <w:left w:val="single" w:sz="4" w:space="0" w:color="000000"/>
              <w:right w:val="single" w:sz="4" w:space="0" w:color="000000"/>
            </w:tcBorders>
            <w:shd w:val="clear" w:color="auto" w:fill="D3D3D3"/>
          </w:tcPr>
          <w:p>
            <w:pPr/>
          </w:p>
        </w:tc>
        <w:tc>
          <w:tcPr>
            <w:tcW w:w="1208" w:type="dxa"/>
            <w:gridSpan w:val="2"/>
            <w:vMerge w:val="restart"/>
            <w:tcBorders>
              <w:top w:val="single" w:sz="4" w:space="0" w:color="000000"/>
              <w:left w:val="single" w:sz="10" w:space="0" w:color="D3D3D3"/>
              <w:right w:val="single" w:sz="9"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04" w:right="0"/>
              <w:jc w:val="left"/>
              <w:rPr>
                <w:rFonts w:ascii="Arial" w:hAnsi="Arial" w:cs="Arial" w:eastAsia="Arial" w:hint="default"/>
                <w:sz w:val="18"/>
                <w:szCs w:val="18"/>
              </w:rPr>
            </w:pPr>
            <w:r>
              <w:rPr>
                <w:rFonts w:ascii="Arial"/>
                <w:sz w:val="18"/>
              </w:rPr>
              <w:t>76,573</w:t>
            </w:r>
          </w:p>
        </w:tc>
        <w:tc>
          <w:tcPr>
            <w:tcW w:w="1174" w:type="dxa"/>
            <w:gridSpan w:val="2"/>
            <w:vMerge w:val="restart"/>
            <w:tcBorders>
              <w:top w:val="single" w:sz="4" w:space="0" w:color="000000"/>
              <w:left w:val="single" w:sz="4" w:space="0" w:color="000000"/>
              <w:right w:val="single" w:sz="4" w:space="0" w:color="000000"/>
            </w:tcBorders>
            <w:shd w:val="clear" w:color="auto" w:fill="D3D3D3"/>
          </w:tcPr>
          <w:p>
            <w:pPr/>
          </w:p>
        </w:tc>
        <w:tc>
          <w:tcPr>
            <w:tcW w:w="1218" w:type="dxa"/>
            <w:gridSpan w:val="3"/>
            <w:vMerge w:val="restart"/>
            <w:tcBorders>
              <w:top w:val="single" w:sz="4" w:space="0" w:color="000000"/>
              <w:left w:val="single" w:sz="9" w:space="0" w:color="D3D3D3"/>
              <w:right w:val="single" w:sz="9"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left="615" w:right="0"/>
              <w:jc w:val="left"/>
              <w:rPr>
                <w:rFonts w:ascii="Arial" w:hAnsi="Arial" w:cs="Arial" w:eastAsia="Arial" w:hint="default"/>
                <w:sz w:val="18"/>
                <w:szCs w:val="18"/>
              </w:rPr>
            </w:pPr>
            <w:r>
              <w:rPr>
                <w:rFonts w:ascii="Arial"/>
                <w:sz w:val="18"/>
              </w:rPr>
              <w:t>73,931</w:t>
            </w:r>
          </w:p>
        </w:tc>
        <w:tc>
          <w:tcPr>
            <w:tcW w:w="1205"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1188" w:type="dxa"/>
            <w:gridSpan w:val="2"/>
            <w:vMerge w:val="restart"/>
            <w:tcBorders>
              <w:top w:val="single" w:sz="4" w:space="0" w:color="000000"/>
              <w:left w:val="single" w:sz="9" w:space="0" w:color="D3D3D3"/>
              <w:right w:val="single" w:sz="9" w:space="0" w:color="D3D3D3"/>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5"/>
              <w:jc w:val="right"/>
              <w:rPr>
                <w:rFonts w:ascii="Arial" w:hAnsi="Arial" w:cs="Arial" w:eastAsia="Arial" w:hint="default"/>
                <w:sz w:val="18"/>
                <w:szCs w:val="18"/>
              </w:rPr>
            </w:pPr>
            <w:r>
              <w:rPr>
                <w:rFonts w:ascii="Arial"/>
                <w:sz w:val="18"/>
              </w:rPr>
              <w:t>0</w:t>
            </w:r>
          </w:p>
        </w:tc>
        <w:tc>
          <w:tcPr>
            <w:tcW w:w="117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11" w:right="8"/>
              <w:jc w:val="left"/>
              <w:rPr>
                <w:rFonts w:ascii="宋体" w:hAnsi="宋体" w:cs="宋体" w:eastAsia="宋体" w:hint="default"/>
                <w:sz w:val="18"/>
                <w:szCs w:val="18"/>
              </w:rPr>
            </w:pPr>
            <w:r>
              <w:rPr>
                <w:rFonts w:ascii="宋体" w:hAnsi="宋体" w:cs="宋体" w:eastAsia="宋体" w:hint="default"/>
                <w:sz w:val="18"/>
                <w:szCs w:val="18"/>
              </w:rPr>
              <w:t>年度报告披露 日前上一月末 表决权恢复的 优先股股东总 </w:t>
            </w:r>
            <w:r>
              <w:rPr>
                <w:rFonts w:ascii="宋体" w:hAnsi="宋体" w:cs="宋体" w:eastAsia="宋体" w:hint="default"/>
                <w:spacing w:val="-18"/>
                <w:sz w:val="18"/>
                <w:szCs w:val="18"/>
              </w:rPr>
              <w:t>数（如有）（参</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见注</w:t>
            </w:r>
            <w:r>
              <w:rPr>
                <w:rFonts w:ascii="宋体" w:hAnsi="宋体" w:cs="宋体" w:eastAsia="宋体" w:hint="default"/>
                <w:spacing w:val="-47"/>
                <w:sz w:val="18"/>
                <w:szCs w:val="18"/>
              </w:rPr>
              <w:t> </w:t>
            </w:r>
            <w:r>
              <w:rPr>
                <w:rFonts w:ascii="Arial" w:hAnsi="Arial" w:cs="Arial" w:eastAsia="Arial" w:hint="default"/>
                <w:sz w:val="18"/>
                <w:szCs w:val="18"/>
              </w:rPr>
              <w:t>8</w:t>
            </w:r>
            <w:r>
              <w:rPr>
                <w:rFonts w:ascii="宋体" w:hAnsi="宋体" w:cs="宋体" w:eastAsia="宋体" w:hint="default"/>
                <w:sz w:val="18"/>
                <w:szCs w:val="18"/>
              </w:rPr>
              <w:t>）</w:t>
            </w:r>
          </w:p>
        </w:tc>
        <w:tc>
          <w:tcPr>
            <w:tcW w:w="1207" w:type="dxa"/>
            <w:vMerge w:val="restart"/>
            <w:tcBorders>
              <w:top w:val="single" w:sz="4" w:space="0" w:color="000000"/>
              <w:left w:val="single" w:sz="10" w:space="0" w:color="D3D3D3"/>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20"/>
              <w:jc w:val="right"/>
              <w:rPr>
                <w:rFonts w:ascii="Arial" w:hAnsi="Arial" w:cs="Arial" w:eastAsia="Arial" w:hint="default"/>
                <w:sz w:val="18"/>
                <w:szCs w:val="18"/>
              </w:rPr>
            </w:pPr>
            <w:r>
              <w:rPr>
                <w:rFonts w:ascii="Arial"/>
                <w:sz w:val="18"/>
              </w:rPr>
              <w:t>0</w:t>
            </w:r>
          </w:p>
        </w:tc>
      </w:tr>
      <w:tr>
        <w:trPr>
          <w:trHeight w:val="156" w:hRule="exact"/>
        </w:trPr>
        <w:tc>
          <w:tcPr>
            <w:tcW w:w="1184" w:type="dxa"/>
            <w:vMerge/>
            <w:tcBorders>
              <w:left w:val="single" w:sz="4" w:space="0" w:color="000000"/>
              <w:right w:val="single" w:sz="4" w:space="0" w:color="000000"/>
            </w:tcBorders>
            <w:shd w:val="clear" w:color="auto" w:fill="D3D3D3"/>
          </w:tcPr>
          <w:p>
            <w:pPr/>
          </w:p>
        </w:tc>
        <w:tc>
          <w:tcPr>
            <w:tcW w:w="1208" w:type="dxa"/>
            <w:gridSpan w:val="2"/>
            <w:vMerge/>
            <w:tcBorders>
              <w:left w:val="single" w:sz="10" w:space="0" w:color="D3D3D3"/>
              <w:right w:val="single" w:sz="9" w:space="0" w:color="D3D3D3"/>
            </w:tcBorders>
          </w:tcPr>
          <w:p>
            <w:pPr/>
          </w:p>
        </w:tc>
        <w:tc>
          <w:tcPr>
            <w:tcW w:w="1174" w:type="dxa"/>
            <w:gridSpan w:val="2"/>
            <w:vMerge/>
            <w:tcBorders>
              <w:left w:val="single" w:sz="4" w:space="0" w:color="000000"/>
              <w:bottom w:val="nil" w:sz="6" w:space="0" w:color="auto"/>
              <w:right w:val="single" w:sz="4" w:space="0" w:color="000000"/>
            </w:tcBorders>
            <w:shd w:val="clear" w:color="auto" w:fill="D3D3D3"/>
          </w:tcPr>
          <w:p>
            <w:pPr/>
          </w:p>
        </w:tc>
        <w:tc>
          <w:tcPr>
            <w:tcW w:w="1218" w:type="dxa"/>
            <w:gridSpan w:val="3"/>
            <w:vMerge/>
            <w:tcBorders>
              <w:left w:val="single" w:sz="9" w:space="0" w:color="D3D3D3"/>
              <w:right w:val="single" w:sz="9" w:space="0" w:color="D3D3D3"/>
            </w:tcBorders>
          </w:tcPr>
          <w:p>
            <w:pPr/>
          </w:p>
        </w:tc>
        <w:tc>
          <w:tcPr>
            <w:tcW w:w="1205"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11" w:right="101"/>
              <w:jc w:val="both"/>
              <w:rPr>
                <w:rFonts w:ascii="宋体" w:hAnsi="宋体" w:cs="宋体" w:eastAsia="宋体" w:hint="default"/>
                <w:sz w:val="18"/>
                <w:szCs w:val="18"/>
              </w:rPr>
            </w:pPr>
            <w:r>
              <w:rPr>
                <w:rFonts w:ascii="宋体" w:hAnsi="宋体" w:cs="宋体" w:eastAsia="宋体" w:hint="default"/>
                <w:sz w:val="18"/>
                <w:szCs w:val="18"/>
              </w:rPr>
              <w:t>报告期末表决 权恢复的优先 股股东总数</w:t>
            </w:r>
          </w:p>
          <w:p>
            <w:pPr>
              <w:pStyle w:val="TableParagraph"/>
              <w:spacing w:line="319" w:lineRule="auto" w:before="19"/>
              <w:ind w:left="11" w:right="41"/>
              <w:jc w:val="both"/>
              <w:rPr>
                <w:rFonts w:ascii="宋体" w:hAnsi="宋体" w:cs="宋体" w:eastAsia="宋体" w:hint="default"/>
                <w:sz w:val="18"/>
                <w:szCs w:val="18"/>
              </w:rPr>
            </w:pPr>
            <w:r>
              <w:rPr>
                <w:rFonts w:ascii="宋体" w:hAnsi="宋体" w:cs="宋体" w:eastAsia="宋体" w:hint="default"/>
                <w:spacing w:val="-18"/>
                <w:sz w:val="18"/>
                <w:szCs w:val="18"/>
              </w:rPr>
              <w:t>（如有）（参见</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Arial" w:hAnsi="Arial" w:cs="Arial" w:eastAsia="Arial" w:hint="default"/>
                <w:sz w:val="18"/>
                <w:szCs w:val="18"/>
              </w:rPr>
              <w:t>8</w:t>
            </w:r>
            <w:r>
              <w:rPr>
                <w:rFonts w:ascii="宋体" w:hAnsi="宋体" w:cs="宋体" w:eastAsia="宋体" w:hint="default"/>
                <w:sz w:val="18"/>
                <w:szCs w:val="18"/>
              </w:rPr>
              <w:t>）</w:t>
            </w:r>
          </w:p>
        </w:tc>
        <w:tc>
          <w:tcPr>
            <w:tcW w:w="1188" w:type="dxa"/>
            <w:gridSpan w:val="2"/>
            <w:vMerge/>
            <w:tcBorders>
              <w:left w:val="single" w:sz="9" w:space="0" w:color="D3D3D3"/>
              <w:right w:val="single" w:sz="9" w:space="0" w:color="D3D3D3"/>
            </w:tcBorders>
          </w:tcPr>
          <w:p>
            <w:pPr/>
          </w:p>
        </w:tc>
        <w:tc>
          <w:tcPr>
            <w:tcW w:w="1173" w:type="dxa"/>
            <w:gridSpan w:val="2"/>
            <w:vMerge/>
            <w:tcBorders>
              <w:left w:val="single" w:sz="4" w:space="0" w:color="000000"/>
              <w:right w:val="single" w:sz="4" w:space="0" w:color="000000"/>
            </w:tcBorders>
            <w:shd w:val="clear" w:color="auto" w:fill="D3D3D3"/>
          </w:tcPr>
          <w:p>
            <w:pPr/>
          </w:p>
        </w:tc>
        <w:tc>
          <w:tcPr>
            <w:tcW w:w="1207" w:type="dxa"/>
            <w:vMerge/>
            <w:tcBorders>
              <w:left w:val="single" w:sz="10" w:space="0" w:color="D3D3D3"/>
              <w:right w:val="single" w:sz="4" w:space="0" w:color="000000"/>
            </w:tcBorders>
          </w:tcPr>
          <w:p>
            <w:pPr/>
          </w:p>
        </w:tc>
      </w:tr>
      <w:tr>
        <w:trPr>
          <w:trHeight w:val="312" w:hRule="exact"/>
        </w:trPr>
        <w:tc>
          <w:tcPr>
            <w:tcW w:w="1184" w:type="dxa"/>
            <w:vMerge/>
            <w:tcBorders>
              <w:left w:val="single" w:sz="4" w:space="0" w:color="000000"/>
              <w:bottom w:val="nil" w:sz="6" w:space="0" w:color="auto"/>
              <w:right w:val="single" w:sz="4" w:space="0" w:color="000000"/>
            </w:tcBorders>
            <w:shd w:val="clear" w:color="auto" w:fill="D3D3D3"/>
          </w:tcPr>
          <w:p>
            <w:pPr/>
          </w:p>
        </w:tc>
        <w:tc>
          <w:tcPr>
            <w:tcW w:w="1208" w:type="dxa"/>
            <w:gridSpan w:val="2"/>
            <w:vMerge/>
            <w:tcBorders>
              <w:left w:val="single" w:sz="10" w:space="0" w:color="D3D3D3"/>
              <w:right w:val="single" w:sz="9" w:space="0" w:color="D3D3D3"/>
            </w:tcBorders>
          </w:tcPr>
          <w:p>
            <w:pPr/>
          </w:p>
        </w:tc>
        <w:tc>
          <w:tcPr>
            <w:tcW w:w="1174"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11" w:right="70"/>
              <w:jc w:val="both"/>
              <w:rPr>
                <w:rFonts w:ascii="宋体" w:hAnsi="宋体" w:cs="宋体" w:eastAsia="宋体" w:hint="default"/>
                <w:sz w:val="18"/>
                <w:szCs w:val="18"/>
              </w:rPr>
            </w:pPr>
            <w:r>
              <w:rPr>
                <w:rFonts w:ascii="宋体" w:hAnsi="宋体" w:cs="宋体" w:eastAsia="宋体" w:hint="default"/>
                <w:sz w:val="18"/>
                <w:szCs w:val="18"/>
              </w:rPr>
              <w:t>年度报告披露 日前上一月末 普通股股东总 数</w:t>
            </w:r>
          </w:p>
        </w:tc>
        <w:tc>
          <w:tcPr>
            <w:tcW w:w="1218" w:type="dxa"/>
            <w:gridSpan w:val="3"/>
            <w:vMerge/>
            <w:tcBorders>
              <w:left w:val="single" w:sz="9" w:space="0" w:color="D3D3D3"/>
              <w:right w:val="single" w:sz="9" w:space="0" w:color="D3D3D3"/>
            </w:tcBorders>
          </w:tcPr>
          <w:p>
            <w:pPr/>
          </w:p>
        </w:tc>
        <w:tc>
          <w:tcPr>
            <w:tcW w:w="1205" w:type="dxa"/>
            <w:gridSpan w:val="2"/>
            <w:vMerge/>
            <w:tcBorders>
              <w:left w:val="single" w:sz="4" w:space="0" w:color="000000"/>
              <w:right w:val="single" w:sz="4" w:space="0" w:color="000000"/>
            </w:tcBorders>
            <w:shd w:val="clear" w:color="auto" w:fill="D3D3D3"/>
          </w:tcPr>
          <w:p>
            <w:pPr/>
          </w:p>
        </w:tc>
        <w:tc>
          <w:tcPr>
            <w:tcW w:w="1188" w:type="dxa"/>
            <w:gridSpan w:val="2"/>
            <w:vMerge/>
            <w:tcBorders>
              <w:left w:val="single" w:sz="9" w:space="0" w:color="D3D3D3"/>
              <w:right w:val="single" w:sz="9" w:space="0" w:color="D3D3D3"/>
            </w:tcBorders>
          </w:tcPr>
          <w:p>
            <w:pPr/>
          </w:p>
        </w:tc>
        <w:tc>
          <w:tcPr>
            <w:tcW w:w="1173" w:type="dxa"/>
            <w:gridSpan w:val="2"/>
            <w:vMerge/>
            <w:tcBorders>
              <w:left w:val="single" w:sz="4" w:space="0" w:color="000000"/>
              <w:right w:val="single" w:sz="4" w:space="0" w:color="000000"/>
            </w:tcBorders>
            <w:shd w:val="clear" w:color="auto" w:fill="D3D3D3"/>
          </w:tcPr>
          <w:p>
            <w:pPr/>
          </w:p>
        </w:tc>
        <w:tc>
          <w:tcPr>
            <w:tcW w:w="1207" w:type="dxa"/>
            <w:vMerge/>
            <w:tcBorders>
              <w:left w:val="single" w:sz="10" w:space="0" w:color="D3D3D3"/>
              <w:right w:val="single" w:sz="4" w:space="0" w:color="000000"/>
            </w:tcBorders>
          </w:tcPr>
          <w:p>
            <w:pPr/>
          </w:p>
        </w:tc>
      </w:tr>
      <w:tr>
        <w:trPr>
          <w:trHeight w:val="704" w:hRule="exact"/>
        </w:trPr>
        <w:tc>
          <w:tcPr>
            <w:tcW w:w="11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11" w:right="80"/>
              <w:jc w:val="left"/>
              <w:rPr>
                <w:rFonts w:ascii="宋体" w:hAnsi="宋体" w:cs="宋体" w:eastAsia="宋体" w:hint="default"/>
                <w:sz w:val="18"/>
                <w:szCs w:val="18"/>
              </w:rPr>
            </w:pPr>
            <w:r>
              <w:rPr>
                <w:rFonts w:ascii="宋体" w:hAnsi="宋体" w:cs="宋体" w:eastAsia="宋体" w:hint="default"/>
                <w:sz w:val="18"/>
                <w:szCs w:val="18"/>
              </w:rPr>
              <w:t>报告期末普通 股股东总数</w:t>
            </w:r>
          </w:p>
        </w:tc>
        <w:tc>
          <w:tcPr>
            <w:tcW w:w="1208" w:type="dxa"/>
            <w:gridSpan w:val="2"/>
            <w:vMerge/>
            <w:tcBorders>
              <w:left w:val="single" w:sz="10" w:space="0" w:color="D3D3D3"/>
              <w:right w:val="single" w:sz="9" w:space="0" w:color="D3D3D3"/>
            </w:tcBorders>
          </w:tcPr>
          <w:p>
            <w:pPr/>
          </w:p>
        </w:tc>
        <w:tc>
          <w:tcPr>
            <w:tcW w:w="1174" w:type="dxa"/>
            <w:gridSpan w:val="2"/>
            <w:vMerge/>
            <w:tcBorders>
              <w:left w:val="single" w:sz="4" w:space="0" w:color="000000"/>
              <w:right w:val="single" w:sz="4" w:space="0" w:color="000000"/>
            </w:tcBorders>
            <w:shd w:val="clear" w:color="auto" w:fill="D3D3D3"/>
          </w:tcPr>
          <w:p>
            <w:pPr/>
          </w:p>
        </w:tc>
        <w:tc>
          <w:tcPr>
            <w:tcW w:w="1218" w:type="dxa"/>
            <w:gridSpan w:val="3"/>
            <w:vMerge/>
            <w:tcBorders>
              <w:left w:val="single" w:sz="9" w:space="0" w:color="D3D3D3"/>
              <w:right w:val="single" w:sz="9" w:space="0" w:color="D3D3D3"/>
            </w:tcBorders>
          </w:tcPr>
          <w:p>
            <w:pPr/>
          </w:p>
        </w:tc>
        <w:tc>
          <w:tcPr>
            <w:tcW w:w="1205" w:type="dxa"/>
            <w:gridSpan w:val="2"/>
            <w:vMerge/>
            <w:tcBorders>
              <w:left w:val="single" w:sz="4" w:space="0" w:color="000000"/>
              <w:right w:val="single" w:sz="4" w:space="0" w:color="000000"/>
            </w:tcBorders>
            <w:shd w:val="clear" w:color="auto" w:fill="D3D3D3"/>
          </w:tcPr>
          <w:p>
            <w:pPr/>
          </w:p>
        </w:tc>
        <w:tc>
          <w:tcPr>
            <w:tcW w:w="1188" w:type="dxa"/>
            <w:gridSpan w:val="2"/>
            <w:vMerge/>
            <w:tcBorders>
              <w:left w:val="single" w:sz="9" w:space="0" w:color="D3D3D3"/>
              <w:right w:val="single" w:sz="9" w:space="0" w:color="D3D3D3"/>
            </w:tcBorders>
          </w:tcPr>
          <w:p>
            <w:pPr/>
          </w:p>
        </w:tc>
        <w:tc>
          <w:tcPr>
            <w:tcW w:w="1173" w:type="dxa"/>
            <w:gridSpan w:val="2"/>
            <w:vMerge/>
            <w:tcBorders>
              <w:left w:val="single" w:sz="4" w:space="0" w:color="000000"/>
              <w:right w:val="single" w:sz="4" w:space="0" w:color="000000"/>
            </w:tcBorders>
            <w:shd w:val="clear" w:color="auto" w:fill="D3D3D3"/>
          </w:tcPr>
          <w:p>
            <w:pPr/>
          </w:p>
        </w:tc>
        <w:tc>
          <w:tcPr>
            <w:tcW w:w="1207" w:type="dxa"/>
            <w:vMerge/>
            <w:tcBorders>
              <w:left w:val="single" w:sz="10" w:space="0" w:color="D3D3D3"/>
              <w:right w:val="single" w:sz="4" w:space="0" w:color="000000"/>
            </w:tcBorders>
          </w:tcPr>
          <w:p>
            <w:pPr/>
          </w:p>
        </w:tc>
      </w:tr>
      <w:tr>
        <w:trPr>
          <w:trHeight w:val="312" w:hRule="exact"/>
        </w:trPr>
        <w:tc>
          <w:tcPr>
            <w:tcW w:w="1184" w:type="dxa"/>
            <w:vMerge w:val="restart"/>
            <w:tcBorders>
              <w:top w:val="nil" w:sz="6" w:space="0" w:color="auto"/>
              <w:left w:val="single" w:sz="4" w:space="0" w:color="000000"/>
              <w:right w:val="single" w:sz="4" w:space="0" w:color="000000"/>
            </w:tcBorders>
            <w:shd w:val="clear" w:color="auto" w:fill="D3D3D3"/>
          </w:tcPr>
          <w:p>
            <w:pPr/>
          </w:p>
        </w:tc>
        <w:tc>
          <w:tcPr>
            <w:tcW w:w="1208" w:type="dxa"/>
            <w:gridSpan w:val="2"/>
            <w:vMerge/>
            <w:tcBorders>
              <w:left w:val="single" w:sz="10" w:space="0" w:color="D3D3D3"/>
              <w:right w:val="single" w:sz="9" w:space="0" w:color="D3D3D3"/>
            </w:tcBorders>
          </w:tcPr>
          <w:p>
            <w:pPr/>
          </w:p>
        </w:tc>
        <w:tc>
          <w:tcPr>
            <w:tcW w:w="1174" w:type="dxa"/>
            <w:gridSpan w:val="2"/>
            <w:vMerge/>
            <w:tcBorders>
              <w:left w:val="single" w:sz="4" w:space="0" w:color="000000"/>
              <w:bottom w:val="nil" w:sz="6" w:space="0" w:color="auto"/>
              <w:right w:val="single" w:sz="4" w:space="0" w:color="000000"/>
            </w:tcBorders>
            <w:shd w:val="clear" w:color="auto" w:fill="D3D3D3"/>
          </w:tcPr>
          <w:p>
            <w:pPr/>
          </w:p>
        </w:tc>
        <w:tc>
          <w:tcPr>
            <w:tcW w:w="1218" w:type="dxa"/>
            <w:gridSpan w:val="3"/>
            <w:vMerge/>
            <w:tcBorders>
              <w:left w:val="single" w:sz="9" w:space="0" w:color="D3D3D3"/>
              <w:right w:val="single" w:sz="9" w:space="0" w:color="D3D3D3"/>
            </w:tcBorders>
          </w:tcPr>
          <w:p>
            <w:pPr/>
          </w:p>
        </w:tc>
        <w:tc>
          <w:tcPr>
            <w:tcW w:w="1205" w:type="dxa"/>
            <w:gridSpan w:val="2"/>
            <w:vMerge/>
            <w:tcBorders>
              <w:left w:val="single" w:sz="4" w:space="0" w:color="000000"/>
              <w:right w:val="single" w:sz="4" w:space="0" w:color="000000"/>
            </w:tcBorders>
            <w:shd w:val="clear" w:color="auto" w:fill="D3D3D3"/>
          </w:tcPr>
          <w:p>
            <w:pPr/>
          </w:p>
        </w:tc>
        <w:tc>
          <w:tcPr>
            <w:tcW w:w="1188" w:type="dxa"/>
            <w:gridSpan w:val="2"/>
            <w:vMerge/>
            <w:tcBorders>
              <w:left w:val="single" w:sz="9" w:space="0" w:color="D3D3D3"/>
              <w:right w:val="single" w:sz="9" w:space="0" w:color="D3D3D3"/>
            </w:tcBorders>
          </w:tcPr>
          <w:p>
            <w:pPr/>
          </w:p>
        </w:tc>
        <w:tc>
          <w:tcPr>
            <w:tcW w:w="1173" w:type="dxa"/>
            <w:gridSpan w:val="2"/>
            <w:vMerge/>
            <w:tcBorders>
              <w:left w:val="single" w:sz="4" w:space="0" w:color="000000"/>
              <w:right w:val="single" w:sz="4" w:space="0" w:color="000000"/>
            </w:tcBorders>
            <w:shd w:val="clear" w:color="auto" w:fill="D3D3D3"/>
          </w:tcPr>
          <w:p>
            <w:pPr/>
          </w:p>
        </w:tc>
        <w:tc>
          <w:tcPr>
            <w:tcW w:w="1207" w:type="dxa"/>
            <w:vMerge/>
            <w:tcBorders>
              <w:left w:val="single" w:sz="10" w:space="0" w:color="D3D3D3"/>
              <w:right w:val="single" w:sz="4" w:space="0" w:color="000000"/>
            </w:tcBorders>
          </w:tcPr>
          <w:p>
            <w:pPr/>
          </w:p>
        </w:tc>
      </w:tr>
      <w:tr>
        <w:trPr>
          <w:trHeight w:val="156" w:hRule="exact"/>
        </w:trPr>
        <w:tc>
          <w:tcPr>
            <w:tcW w:w="1184" w:type="dxa"/>
            <w:vMerge/>
            <w:tcBorders>
              <w:left w:val="single" w:sz="4" w:space="0" w:color="000000"/>
              <w:right w:val="single" w:sz="4" w:space="0" w:color="000000"/>
            </w:tcBorders>
            <w:shd w:val="clear" w:color="auto" w:fill="D3D3D3"/>
          </w:tcPr>
          <w:p>
            <w:pPr/>
          </w:p>
        </w:tc>
        <w:tc>
          <w:tcPr>
            <w:tcW w:w="1208" w:type="dxa"/>
            <w:gridSpan w:val="2"/>
            <w:vMerge/>
            <w:tcBorders>
              <w:left w:val="single" w:sz="10" w:space="0" w:color="D3D3D3"/>
              <w:right w:val="single" w:sz="9" w:space="0" w:color="D3D3D3"/>
            </w:tcBorders>
          </w:tcPr>
          <w:p>
            <w:pPr/>
          </w:p>
        </w:tc>
        <w:tc>
          <w:tcPr>
            <w:tcW w:w="1174" w:type="dxa"/>
            <w:gridSpan w:val="2"/>
            <w:vMerge w:val="restart"/>
            <w:tcBorders>
              <w:top w:val="nil" w:sz="6" w:space="0" w:color="auto"/>
              <w:left w:val="single" w:sz="4" w:space="0" w:color="000000"/>
              <w:right w:val="single" w:sz="4" w:space="0" w:color="000000"/>
            </w:tcBorders>
            <w:shd w:val="clear" w:color="auto" w:fill="D3D3D3"/>
          </w:tcPr>
          <w:p>
            <w:pPr/>
          </w:p>
        </w:tc>
        <w:tc>
          <w:tcPr>
            <w:tcW w:w="1218" w:type="dxa"/>
            <w:gridSpan w:val="3"/>
            <w:vMerge/>
            <w:tcBorders>
              <w:left w:val="single" w:sz="9" w:space="0" w:color="D3D3D3"/>
              <w:right w:val="single" w:sz="9" w:space="0" w:color="D3D3D3"/>
            </w:tcBorders>
          </w:tcPr>
          <w:p>
            <w:pPr/>
          </w:p>
        </w:tc>
        <w:tc>
          <w:tcPr>
            <w:tcW w:w="1205" w:type="dxa"/>
            <w:gridSpan w:val="2"/>
            <w:vMerge/>
            <w:tcBorders>
              <w:left w:val="single" w:sz="4" w:space="0" w:color="000000"/>
              <w:bottom w:val="nil" w:sz="6" w:space="0" w:color="auto"/>
              <w:right w:val="single" w:sz="4" w:space="0" w:color="000000"/>
            </w:tcBorders>
            <w:shd w:val="clear" w:color="auto" w:fill="D3D3D3"/>
          </w:tcPr>
          <w:p>
            <w:pPr/>
          </w:p>
        </w:tc>
        <w:tc>
          <w:tcPr>
            <w:tcW w:w="1188" w:type="dxa"/>
            <w:gridSpan w:val="2"/>
            <w:vMerge/>
            <w:tcBorders>
              <w:left w:val="single" w:sz="9" w:space="0" w:color="D3D3D3"/>
              <w:right w:val="single" w:sz="9" w:space="0" w:color="D3D3D3"/>
            </w:tcBorders>
          </w:tcPr>
          <w:p>
            <w:pPr/>
          </w:p>
        </w:tc>
        <w:tc>
          <w:tcPr>
            <w:tcW w:w="1173" w:type="dxa"/>
            <w:gridSpan w:val="2"/>
            <w:vMerge/>
            <w:tcBorders>
              <w:left w:val="single" w:sz="4" w:space="0" w:color="000000"/>
              <w:right w:val="single" w:sz="4" w:space="0" w:color="000000"/>
            </w:tcBorders>
            <w:shd w:val="clear" w:color="auto" w:fill="D3D3D3"/>
          </w:tcPr>
          <w:p>
            <w:pPr/>
          </w:p>
        </w:tc>
        <w:tc>
          <w:tcPr>
            <w:tcW w:w="1207" w:type="dxa"/>
            <w:vMerge/>
            <w:tcBorders>
              <w:left w:val="single" w:sz="10" w:space="0" w:color="D3D3D3"/>
              <w:right w:val="single" w:sz="4" w:space="0" w:color="000000"/>
            </w:tcBorders>
          </w:tcPr>
          <w:p>
            <w:pPr/>
          </w:p>
        </w:tc>
      </w:tr>
      <w:tr>
        <w:trPr>
          <w:trHeight w:val="161" w:hRule="exact"/>
        </w:trPr>
        <w:tc>
          <w:tcPr>
            <w:tcW w:w="1184" w:type="dxa"/>
            <w:vMerge/>
            <w:tcBorders>
              <w:left w:val="single" w:sz="4" w:space="0" w:color="000000"/>
              <w:bottom w:val="single" w:sz="4" w:space="0" w:color="000000"/>
              <w:right w:val="single" w:sz="4" w:space="0" w:color="000000"/>
            </w:tcBorders>
            <w:shd w:val="clear" w:color="auto" w:fill="D3D3D3"/>
          </w:tcPr>
          <w:p>
            <w:pPr/>
          </w:p>
        </w:tc>
        <w:tc>
          <w:tcPr>
            <w:tcW w:w="1208" w:type="dxa"/>
            <w:gridSpan w:val="2"/>
            <w:vMerge/>
            <w:tcBorders>
              <w:left w:val="single" w:sz="10" w:space="0" w:color="D3D3D3"/>
              <w:bottom w:val="single" w:sz="4" w:space="0" w:color="000000"/>
              <w:right w:val="single" w:sz="9" w:space="0" w:color="D3D3D3"/>
            </w:tcBorders>
          </w:tcPr>
          <w:p>
            <w:pPr/>
          </w:p>
        </w:tc>
        <w:tc>
          <w:tcPr>
            <w:tcW w:w="1174" w:type="dxa"/>
            <w:gridSpan w:val="2"/>
            <w:vMerge/>
            <w:tcBorders>
              <w:left w:val="single" w:sz="4" w:space="0" w:color="000000"/>
              <w:bottom w:val="single" w:sz="4" w:space="0" w:color="000000"/>
              <w:right w:val="single" w:sz="4" w:space="0" w:color="000000"/>
            </w:tcBorders>
            <w:shd w:val="clear" w:color="auto" w:fill="D3D3D3"/>
          </w:tcPr>
          <w:p>
            <w:pPr/>
          </w:p>
        </w:tc>
        <w:tc>
          <w:tcPr>
            <w:tcW w:w="1218" w:type="dxa"/>
            <w:gridSpan w:val="3"/>
            <w:vMerge/>
            <w:tcBorders>
              <w:left w:val="single" w:sz="9" w:space="0" w:color="D3D3D3"/>
              <w:bottom w:val="single" w:sz="4" w:space="0" w:color="000000"/>
              <w:right w:val="single" w:sz="9" w:space="0" w:color="D3D3D3"/>
            </w:tcBorders>
          </w:tcPr>
          <w:p>
            <w:pPr/>
          </w:p>
        </w:tc>
        <w:tc>
          <w:tcPr>
            <w:tcW w:w="1205"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1188" w:type="dxa"/>
            <w:gridSpan w:val="2"/>
            <w:vMerge/>
            <w:tcBorders>
              <w:left w:val="single" w:sz="9" w:space="0" w:color="D3D3D3"/>
              <w:bottom w:val="single" w:sz="4" w:space="0" w:color="000000"/>
              <w:right w:val="single" w:sz="9" w:space="0" w:color="D3D3D3"/>
            </w:tcBorders>
          </w:tcPr>
          <w:p>
            <w:pPr/>
          </w:p>
        </w:tc>
        <w:tc>
          <w:tcPr>
            <w:tcW w:w="1173" w:type="dxa"/>
            <w:gridSpan w:val="2"/>
            <w:vMerge/>
            <w:tcBorders>
              <w:left w:val="single" w:sz="4" w:space="0" w:color="000000"/>
              <w:bottom w:val="single" w:sz="4" w:space="0" w:color="000000"/>
              <w:right w:val="single" w:sz="4" w:space="0" w:color="000000"/>
            </w:tcBorders>
            <w:shd w:val="clear" w:color="auto" w:fill="D3D3D3"/>
          </w:tcPr>
          <w:p>
            <w:pPr/>
          </w:p>
        </w:tc>
        <w:tc>
          <w:tcPr>
            <w:tcW w:w="1207" w:type="dxa"/>
            <w:vMerge/>
            <w:tcBorders>
              <w:left w:val="single" w:sz="10" w:space="0" w:color="D3D3D3"/>
              <w:bottom w:val="single" w:sz="4" w:space="0" w:color="000000"/>
              <w:right w:val="single" w:sz="4" w:space="0" w:color="000000"/>
            </w:tcBorders>
          </w:tcPr>
          <w:p>
            <w:pPr/>
          </w:p>
        </w:tc>
      </w:tr>
      <w:tr>
        <w:trPr>
          <w:trHeight w:val="402" w:hRule="exact"/>
        </w:trPr>
        <w:tc>
          <w:tcPr>
            <w:tcW w:w="9556" w:type="dxa"/>
            <w:gridSpan w:val="1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29"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Arial" w:hAnsi="Arial" w:cs="Arial" w:eastAsia="Arial" w:hint="default"/>
                <w:sz w:val="18"/>
                <w:szCs w:val="18"/>
              </w:rPr>
              <w:t>5%</w:t>
            </w:r>
            <w:r>
              <w:rPr>
                <w:rFonts w:ascii="宋体" w:hAnsi="宋体" w:cs="宋体" w:eastAsia="宋体" w:hint="default"/>
                <w:sz w:val="18"/>
                <w:szCs w:val="18"/>
              </w:rPr>
              <w:t>以上的股东或前</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7"/>
                <w:sz w:val="18"/>
                <w:szCs w:val="18"/>
              </w:rPr>
              <w:t> </w:t>
            </w:r>
            <w:r>
              <w:rPr>
                <w:rFonts w:ascii="宋体" w:hAnsi="宋体" w:cs="宋体" w:eastAsia="宋体" w:hint="default"/>
                <w:sz w:val="18"/>
                <w:szCs w:val="18"/>
              </w:rPr>
              <w:t>名股东持股情况</w:t>
            </w:r>
          </w:p>
        </w:tc>
      </w:tr>
      <w:tr>
        <w:trPr>
          <w:trHeight w:val="161" w:hRule="exact"/>
        </w:trPr>
        <w:tc>
          <w:tcPr>
            <w:tcW w:w="1457" w:type="dxa"/>
            <w:gridSpan w:val="2"/>
            <w:vMerge w:val="restart"/>
            <w:tcBorders>
              <w:top w:val="single" w:sz="4" w:space="0" w:color="000000"/>
              <w:left w:val="single" w:sz="4" w:space="0" w:color="000000"/>
              <w:right w:val="single" w:sz="4" w:space="0" w:color="000000"/>
            </w:tcBorders>
            <w:shd w:val="clear" w:color="auto" w:fill="D3D3D3"/>
          </w:tcPr>
          <w:p>
            <w:pPr/>
          </w:p>
        </w:tc>
        <w:tc>
          <w:tcPr>
            <w:tcW w:w="1412" w:type="dxa"/>
            <w:gridSpan w:val="2"/>
            <w:vMerge w:val="restart"/>
            <w:tcBorders>
              <w:top w:val="single" w:sz="4" w:space="0" w:color="000000"/>
              <w:left w:val="single" w:sz="4" w:space="0" w:color="000000"/>
              <w:right w:val="single" w:sz="4" w:space="0" w:color="000000"/>
            </w:tcBorders>
            <w:shd w:val="clear" w:color="auto" w:fill="D3D3D3"/>
          </w:tcPr>
          <w:p>
            <w:pPr/>
          </w:p>
        </w:tc>
        <w:tc>
          <w:tcPr>
            <w:tcW w:w="788" w:type="dxa"/>
            <w:gridSpan w:val="2"/>
            <w:vMerge w:val="restart"/>
            <w:tcBorders>
              <w:top w:val="single" w:sz="4" w:space="0" w:color="000000"/>
              <w:left w:val="single" w:sz="4" w:space="0" w:color="000000"/>
              <w:right w:val="single" w:sz="4" w:space="0" w:color="000000"/>
            </w:tcBorders>
            <w:shd w:val="clear" w:color="auto" w:fill="D3D3D3"/>
          </w:tcPr>
          <w:p>
            <w:pPr/>
          </w:p>
        </w:tc>
        <w:tc>
          <w:tcPr>
            <w:tcW w:w="786" w:type="dxa"/>
            <w:tcBorders>
              <w:top w:val="single" w:sz="4" w:space="0" w:color="000000"/>
              <w:left w:val="single" w:sz="4" w:space="0" w:color="000000"/>
              <w:bottom w:val="nil" w:sz="6" w:space="0" w:color="auto"/>
              <w:right w:val="single" w:sz="4" w:space="0" w:color="000000"/>
            </w:tcBorders>
            <w:shd w:val="clear" w:color="auto" w:fill="D3D3D3"/>
          </w:tcPr>
          <w:p>
            <w:pPr/>
          </w:p>
        </w:tc>
        <w:tc>
          <w:tcPr>
            <w:tcW w:w="78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9" w:right="29"/>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75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7" w:right="-3"/>
              <w:jc w:val="both"/>
              <w:rPr>
                <w:rFonts w:ascii="宋体" w:hAnsi="宋体" w:cs="宋体" w:eastAsia="宋体" w:hint="default"/>
                <w:sz w:val="18"/>
                <w:szCs w:val="18"/>
              </w:rPr>
            </w:pPr>
            <w:r>
              <w:rPr>
                <w:rFonts w:ascii="宋体" w:hAnsi="宋体" w:cs="宋体" w:eastAsia="宋体" w:hint="default"/>
                <w:sz w:val="18"/>
                <w:szCs w:val="18"/>
              </w:rPr>
              <w:t>持有有限 售条件的 股份数量</w:t>
            </w:r>
          </w:p>
        </w:tc>
        <w:tc>
          <w:tcPr>
            <w:tcW w:w="86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86" w:right="42"/>
              <w:jc w:val="both"/>
              <w:rPr>
                <w:rFonts w:ascii="宋体" w:hAnsi="宋体" w:cs="宋体" w:eastAsia="宋体" w:hint="default"/>
                <w:sz w:val="18"/>
                <w:szCs w:val="18"/>
              </w:rPr>
            </w:pPr>
            <w:r>
              <w:rPr>
                <w:rFonts w:ascii="宋体" w:hAnsi="宋体" w:cs="宋体" w:eastAsia="宋体" w:hint="default"/>
                <w:sz w:val="18"/>
                <w:szCs w:val="18"/>
              </w:rPr>
              <w:t>持有无限 售条件的 股份数量</w:t>
            </w:r>
          </w:p>
        </w:tc>
        <w:tc>
          <w:tcPr>
            <w:tcW w:w="2708" w:type="dxa"/>
            <w:gridSpan w:val="4"/>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72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457" w:type="dxa"/>
            <w:gridSpan w:val="2"/>
            <w:vMerge/>
            <w:tcBorders>
              <w:left w:val="single" w:sz="4" w:space="0" w:color="000000"/>
              <w:bottom w:val="nil" w:sz="6" w:space="0" w:color="auto"/>
              <w:right w:val="single" w:sz="4" w:space="0" w:color="000000"/>
            </w:tcBorders>
            <w:shd w:val="clear" w:color="auto" w:fill="D3D3D3"/>
          </w:tcPr>
          <w:p>
            <w:pPr/>
          </w:p>
        </w:tc>
        <w:tc>
          <w:tcPr>
            <w:tcW w:w="1412" w:type="dxa"/>
            <w:gridSpan w:val="2"/>
            <w:vMerge/>
            <w:tcBorders>
              <w:left w:val="single" w:sz="4" w:space="0" w:color="000000"/>
              <w:bottom w:val="nil" w:sz="6" w:space="0" w:color="auto"/>
              <w:right w:val="single" w:sz="4" w:space="0" w:color="000000"/>
            </w:tcBorders>
            <w:shd w:val="clear" w:color="auto" w:fill="D3D3D3"/>
          </w:tcPr>
          <w:p>
            <w:pPr/>
          </w:p>
        </w:tc>
        <w:tc>
          <w:tcPr>
            <w:tcW w:w="788" w:type="dxa"/>
            <w:gridSpan w:val="2"/>
            <w:vMerge/>
            <w:tcBorders>
              <w:left w:val="single" w:sz="4" w:space="0" w:color="000000"/>
              <w:bottom w:val="nil" w:sz="6" w:space="0" w:color="auto"/>
              <w:right w:val="single" w:sz="4" w:space="0" w:color="000000"/>
            </w:tcBorders>
            <w:shd w:val="clear" w:color="auto" w:fill="D3D3D3"/>
          </w:tcPr>
          <w:p>
            <w:pPr/>
          </w:p>
        </w:tc>
        <w:tc>
          <w:tcPr>
            <w:tcW w:w="78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28" w:right="26"/>
              <w:jc w:val="left"/>
              <w:rPr>
                <w:rFonts w:ascii="宋体" w:hAnsi="宋体" w:cs="宋体" w:eastAsia="宋体" w:hint="default"/>
                <w:sz w:val="18"/>
                <w:szCs w:val="18"/>
              </w:rPr>
            </w:pPr>
            <w:r>
              <w:rPr>
                <w:rFonts w:ascii="宋体" w:hAnsi="宋体" w:cs="宋体" w:eastAsia="宋体" w:hint="default"/>
                <w:sz w:val="18"/>
                <w:szCs w:val="18"/>
              </w:rPr>
              <w:t>报告期末 持股数量</w:t>
            </w:r>
          </w:p>
        </w:tc>
        <w:tc>
          <w:tcPr>
            <w:tcW w:w="789" w:type="dxa"/>
            <w:gridSpan w:val="2"/>
            <w:vMerge/>
            <w:tcBorders>
              <w:left w:val="single" w:sz="4" w:space="0" w:color="000000"/>
              <w:right w:val="single" w:sz="4" w:space="0" w:color="000000"/>
            </w:tcBorders>
            <w:shd w:val="clear" w:color="auto" w:fill="D3D3D3"/>
          </w:tcPr>
          <w:p>
            <w:pPr/>
          </w:p>
        </w:tc>
        <w:tc>
          <w:tcPr>
            <w:tcW w:w="755" w:type="dxa"/>
            <w:vMerge/>
            <w:tcBorders>
              <w:left w:val="single" w:sz="4" w:space="0" w:color="000000"/>
              <w:right w:val="single" w:sz="4" w:space="0" w:color="000000"/>
            </w:tcBorders>
            <w:shd w:val="clear" w:color="auto" w:fill="D3D3D3"/>
          </w:tcPr>
          <w:p>
            <w:pPr/>
          </w:p>
        </w:tc>
        <w:tc>
          <w:tcPr>
            <w:tcW w:w="860" w:type="dxa"/>
            <w:vMerge/>
            <w:tcBorders>
              <w:left w:val="single" w:sz="4" w:space="0" w:color="000000"/>
              <w:right w:val="single" w:sz="4" w:space="0" w:color="000000"/>
            </w:tcBorders>
            <w:shd w:val="clear" w:color="auto" w:fill="D3D3D3"/>
          </w:tcPr>
          <w:p>
            <w:pPr/>
          </w:p>
        </w:tc>
        <w:tc>
          <w:tcPr>
            <w:tcW w:w="2708" w:type="dxa"/>
            <w:gridSpan w:val="4"/>
            <w:vMerge/>
            <w:tcBorders>
              <w:left w:val="single" w:sz="4" w:space="0" w:color="000000"/>
              <w:right w:val="single" w:sz="4" w:space="0" w:color="000000"/>
            </w:tcBorders>
            <w:shd w:val="clear" w:color="auto" w:fill="D3D3D3"/>
          </w:tcPr>
          <w:p>
            <w:pPr/>
          </w:p>
        </w:tc>
      </w:tr>
      <w:tr>
        <w:trPr>
          <w:trHeight w:val="140" w:hRule="exact"/>
        </w:trPr>
        <w:tc>
          <w:tcPr>
            <w:tcW w:w="1457"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356"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412"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340"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788"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28"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786" w:type="dxa"/>
            <w:vMerge/>
            <w:tcBorders>
              <w:left w:val="single" w:sz="4" w:space="0" w:color="000000"/>
              <w:right w:val="single" w:sz="4" w:space="0" w:color="000000"/>
            </w:tcBorders>
            <w:shd w:val="clear" w:color="auto" w:fill="D3D3D3"/>
          </w:tcPr>
          <w:p>
            <w:pPr/>
          </w:p>
        </w:tc>
        <w:tc>
          <w:tcPr>
            <w:tcW w:w="789" w:type="dxa"/>
            <w:gridSpan w:val="2"/>
            <w:vMerge/>
            <w:tcBorders>
              <w:left w:val="single" w:sz="4" w:space="0" w:color="000000"/>
              <w:right w:val="single" w:sz="4" w:space="0" w:color="000000"/>
            </w:tcBorders>
            <w:shd w:val="clear" w:color="auto" w:fill="D3D3D3"/>
          </w:tcPr>
          <w:p>
            <w:pPr/>
          </w:p>
        </w:tc>
        <w:tc>
          <w:tcPr>
            <w:tcW w:w="755" w:type="dxa"/>
            <w:vMerge/>
            <w:tcBorders>
              <w:left w:val="single" w:sz="4" w:space="0" w:color="000000"/>
              <w:right w:val="single" w:sz="4" w:space="0" w:color="000000"/>
            </w:tcBorders>
            <w:shd w:val="clear" w:color="auto" w:fill="D3D3D3"/>
          </w:tcPr>
          <w:p>
            <w:pPr/>
          </w:p>
        </w:tc>
        <w:tc>
          <w:tcPr>
            <w:tcW w:w="860" w:type="dxa"/>
            <w:vMerge/>
            <w:tcBorders>
              <w:left w:val="single" w:sz="4" w:space="0" w:color="000000"/>
              <w:right w:val="single" w:sz="4" w:space="0" w:color="000000"/>
            </w:tcBorders>
            <w:shd w:val="clear" w:color="auto" w:fill="D3D3D3"/>
          </w:tcPr>
          <w:p>
            <w:pPr/>
          </w:p>
        </w:tc>
        <w:tc>
          <w:tcPr>
            <w:tcW w:w="2708" w:type="dxa"/>
            <w:gridSpan w:val="4"/>
            <w:vMerge/>
            <w:tcBorders>
              <w:left w:val="single" w:sz="4" w:space="0" w:color="000000"/>
              <w:bottom w:val="single" w:sz="4" w:space="0" w:color="000000"/>
              <w:right w:val="single" w:sz="4" w:space="0" w:color="000000"/>
            </w:tcBorders>
            <w:shd w:val="clear" w:color="auto" w:fill="D3D3D3"/>
          </w:tcPr>
          <w:p>
            <w:pPr/>
          </w:p>
        </w:tc>
      </w:tr>
      <w:tr>
        <w:trPr>
          <w:trHeight w:val="252" w:hRule="exact"/>
        </w:trPr>
        <w:tc>
          <w:tcPr>
            <w:tcW w:w="1457" w:type="dxa"/>
            <w:gridSpan w:val="2"/>
            <w:vMerge/>
            <w:tcBorders>
              <w:left w:val="single" w:sz="4" w:space="0" w:color="000000"/>
              <w:bottom w:val="nil" w:sz="6" w:space="0" w:color="auto"/>
              <w:right w:val="single" w:sz="4" w:space="0" w:color="000000"/>
            </w:tcBorders>
            <w:shd w:val="clear" w:color="auto" w:fill="D3D3D3"/>
          </w:tcPr>
          <w:p>
            <w:pPr/>
          </w:p>
        </w:tc>
        <w:tc>
          <w:tcPr>
            <w:tcW w:w="1412" w:type="dxa"/>
            <w:gridSpan w:val="2"/>
            <w:vMerge/>
            <w:tcBorders>
              <w:left w:val="single" w:sz="4" w:space="0" w:color="000000"/>
              <w:bottom w:val="nil" w:sz="6" w:space="0" w:color="auto"/>
              <w:right w:val="single" w:sz="4" w:space="0" w:color="000000"/>
            </w:tcBorders>
            <w:shd w:val="clear" w:color="auto" w:fill="D3D3D3"/>
          </w:tcPr>
          <w:p>
            <w:pPr/>
          </w:p>
        </w:tc>
        <w:tc>
          <w:tcPr>
            <w:tcW w:w="788" w:type="dxa"/>
            <w:gridSpan w:val="2"/>
            <w:vMerge/>
            <w:tcBorders>
              <w:left w:val="single" w:sz="4" w:space="0" w:color="000000"/>
              <w:bottom w:val="nil" w:sz="6" w:space="0" w:color="auto"/>
              <w:right w:val="single" w:sz="4" w:space="0" w:color="000000"/>
            </w:tcBorders>
            <w:shd w:val="clear" w:color="auto" w:fill="D3D3D3"/>
          </w:tcPr>
          <w:p>
            <w:pPr/>
          </w:p>
        </w:tc>
        <w:tc>
          <w:tcPr>
            <w:tcW w:w="786" w:type="dxa"/>
            <w:vMerge/>
            <w:tcBorders>
              <w:left w:val="single" w:sz="4" w:space="0" w:color="000000"/>
              <w:right w:val="single" w:sz="4" w:space="0" w:color="000000"/>
            </w:tcBorders>
            <w:shd w:val="clear" w:color="auto" w:fill="D3D3D3"/>
          </w:tcPr>
          <w:p>
            <w:pPr/>
          </w:p>
        </w:tc>
        <w:tc>
          <w:tcPr>
            <w:tcW w:w="789" w:type="dxa"/>
            <w:gridSpan w:val="2"/>
            <w:vMerge/>
            <w:tcBorders>
              <w:left w:val="single" w:sz="4" w:space="0" w:color="000000"/>
              <w:right w:val="single" w:sz="4" w:space="0" w:color="000000"/>
            </w:tcBorders>
            <w:shd w:val="clear" w:color="auto" w:fill="D3D3D3"/>
          </w:tcPr>
          <w:p>
            <w:pPr/>
          </w:p>
        </w:tc>
        <w:tc>
          <w:tcPr>
            <w:tcW w:w="755" w:type="dxa"/>
            <w:vMerge/>
            <w:tcBorders>
              <w:left w:val="single" w:sz="4" w:space="0" w:color="000000"/>
              <w:right w:val="single" w:sz="4" w:space="0" w:color="000000"/>
            </w:tcBorders>
            <w:shd w:val="clear" w:color="auto" w:fill="D3D3D3"/>
          </w:tcPr>
          <w:p>
            <w:pPr/>
          </w:p>
        </w:tc>
        <w:tc>
          <w:tcPr>
            <w:tcW w:w="860" w:type="dxa"/>
            <w:vMerge/>
            <w:tcBorders>
              <w:left w:val="single" w:sz="4" w:space="0" w:color="000000"/>
              <w:right w:val="single" w:sz="4" w:space="0" w:color="000000"/>
            </w:tcBorders>
            <w:shd w:val="clear" w:color="auto" w:fill="D3D3D3"/>
          </w:tcPr>
          <w:p>
            <w:pPr/>
          </w:p>
        </w:tc>
        <w:tc>
          <w:tcPr>
            <w:tcW w:w="136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6"/>
              <w:ind w:left="320"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4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457" w:type="dxa"/>
            <w:gridSpan w:val="2"/>
            <w:vMerge w:val="restart"/>
            <w:tcBorders>
              <w:top w:val="nil" w:sz="6" w:space="0" w:color="auto"/>
              <w:left w:val="single" w:sz="4" w:space="0" w:color="000000"/>
              <w:right w:val="single" w:sz="4" w:space="0" w:color="000000"/>
            </w:tcBorders>
            <w:shd w:val="clear" w:color="auto" w:fill="D3D3D3"/>
          </w:tcPr>
          <w:p>
            <w:pPr/>
          </w:p>
        </w:tc>
        <w:tc>
          <w:tcPr>
            <w:tcW w:w="1412" w:type="dxa"/>
            <w:gridSpan w:val="2"/>
            <w:vMerge w:val="restart"/>
            <w:tcBorders>
              <w:top w:val="nil" w:sz="6" w:space="0" w:color="auto"/>
              <w:left w:val="single" w:sz="4" w:space="0" w:color="000000"/>
              <w:right w:val="single" w:sz="4" w:space="0" w:color="000000"/>
            </w:tcBorders>
            <w:shd w:val="clear" w:color="auto" w:fill="D3D3D3"/>
          </w:tcPr>
          <w:p>
            <w:pPr/>
          </w:p>
        </w:tc>
        <w:tc>
          <w:tcPr>
            <w:tcW w:w="788" w:type="dxa"/>
            <w:gridSpan w:val="2"/>
            <w:vMerge w:val="restart"/>
            <w:tcBorders>
              <w:top w:val="nil" w:sz="6" w:space="0" w:color="auto"/>
              <w:left w:val="single" w:sz="4" w:space="0" w:color="000000"/>
              <w:right w:val="single" w:sz="4" w:space="0" w:color="000000"/>
            </w:tcBorders>
            <w:shd w:val="clear" w:color="auto" w:fill="D3D3D3"/>
          </w:tcPr>
          <w:p>
            <w:pPr/>
          </w:p>
        </w:tc>
        <w:tc>
          <w:tcPr>
            <w:tcW w:w="786" w:type="dxa"/>
            <w:vMerge/>
            <w:tcBorders>
              <w:left w:val="single" w:sz="4" w:space="0" w:color="000000"/>
              <w:bottom w:val="nil" w:sz="6" w:space="0" w:color="auto"/>
              <w:right w:val="single" w:sz="4" w:space="0" w:color="000000"/>
            </w:tcBorders>
            <w:shd w:val="clear" w:color="auto" w:fill="D3D3D3"/>
          </w:tcPr>
          <w:p>
            <w:pPr/>
          </w:p>
        </w:tc>
        <w:tc>
          <w:tcPr>
            <w:tcW w:w="789" w:type="dxa"/>
            <w:gridSpan w:val="2"/>
            <w:vMerge/>
            <w:tcBorders>
              <w:left w:val="single" w:sz="4" w:space="0" w:color="000000"/>
              <w:right w:val="single" w:sz="4" w:space="0" w:color="000000"/>
            </w:tcBorders>
            <w:shd w:val="clear" w:color="auto" w:fill="D3D3D3"/>
          </w:tcPr>
          <w:p>
            <w:pPr/>
          </w:p>
        </w:tc>
        <w:tc>
          <w:tcPr>
            <w:tcW w:w="755" w:type="dxa"/>
            <w:vMerge/>
            <w:tcBorders>
              <w:left w:val="single" w:sz="4" w:space="0" w:color="000000"/>
              <w:right w:val="single" w:sz="4" w:space="0" w:color="000000"/>
            </w:tcBorders>
            <w:shd w:val="clear" w:color="auto" w:fill="D3D3D3"/>
          </w:tcPr>
          <w:p>
            <w:pPr/>
          </w:p>
        </w:tc>
        <w:tc>
          <w:tcPr>
            <w:tcW w:w="860" w:type="dxa"/>
            <w:vMerge/>
            <w:tcBorders>
              <w:left w:val="single" w:sz="4" w:space="0" w:color="000000"/>
              <w:right w:val="single" w:sz="4" w:space="0" w:color="000000"/>
            </w:tcBorders>
            <w:shd w:val="clear" w:color="auto" w:fill="D3D3D3"/>
          </w:tcPr>
          <w:p>
            <w:pPr/>
          </w:p>
        </w:tc>
        <w:tc>
          <w:tcPr>
            <w:tcW w:w="1361" w:type="dxa"/>
            <w:gridSpan w:val="2"/>
            <w:vMerge/>
            <w:tcBorders>
              <w:left w:val="single" w:sz="4" w:space="0" w:color="000000"/>
              <w:right w:val="single" w:sz="4" w:space="0" w:color="000000"/>
            </w:tcBorders>
            <w:shd w:val="clear" w:color="auto" w:fill="D3D3D3"/>
          </w:tcPr>
          <w:p>
            <w:pPr/>
          </w:p>
        </w:tc>
        <w:tc>
          <w:tcPr>
            <w:tcW w:w="1348" w:type="dxa"/>
            <w:gridSpan w:val="2"/>
            <w:vMerge/>
            <w:tcBorders>
              <w:left w:val="single" w:sz="4" w:space="0" w:color="000000"/>
              <w:right w:val="single" w:sz="4" w:space="0" w:color="000000"/>
            </w:tcBorders>
            <w:shd w:val="clear" w:color="auto" w:fill="D3D3D3"/>
          </w:tcPr>
          <w:p>
            <w:pPr/>
          </w:p>
        </w:tc>
      </w:tr>
      <w:tr>
        <w:trPr>
          <w:trHeight w:val="161" w:hRule="exact"/>
        </w:trPr>
        <w:tc>
          <w:tcPr>
            <w:tcW w:w="1457" w:type="dxa"/>
            <w:gridSpan w:val="2"/>
            <w:vMerge/>
            <w:tcBorders>
              <w:left w:val="single" w:sz="4" w:space="0" w:color="000000"/>
              <w:bottom w:val="single" w:sz="4" w:space="0" w:color="000000"/>
              <w:right w:val="single" w:sz="4" w:space="0" w:color="000000"/>
            </w:tcBorders>
            <w:shd w:val="clear" w:color="auto" w:fill="D3D3D3"/>
          </w:tcPr>
          <w:p>
            <w:pPr/>
          </w:p>
        </w:tc>
        <w:tc>
          <w:tcPr>
            <w:tcW w:w="1412" w:type="dxa"/>
            <w:gridSpan w:val="2"/>
            <w:vMerge/>
            <w:tcBorders>
              <w:left w:val="single" w:sz="4" w:space="0" w:color="000000"/>
              <w:bottom w:val="single" w:sz="4" w:space="0" w:color="000000"/>
              <w:right w:val="single" w:sz="4" w:space="0" w:color="000000"/>
            </w:tcBorders>
            <w:shd w:val="clear" w:color="auto" w:fill="D3D3D3"/>
          </w:tcPr>
          <w:p>
            <w:pPr/>
          </w:p>
        </w:tc>
        <w:tc>
          <w:tcPr>
            <w:tcW w:w="788" w:type="dxa"/>
            <w:gridSpan w:val="2"/>
            <w:vMerge/>
            <w:tcBorders>
              <w:left w:val="single" w:sz="4" w:space="0" w:color="000000"/>
              <w:bottom w:val="single" w:sz="4" w:space="0" w:color="000000"/>
              <w:right w:val="single" w:sz="4" w:space="0" w:color="000000"/>
            </w:tcBorders>
            <w:shd w:val="clear" w:color="auto" w:fill="D3D3D3"/>
          </w:tcPr>
          <w:p>
            <w:pPr/>
          </w:p>
        </w:tc>
        <w:tc>
          <w:tcPr>
            <w:tcW w:w="786" w:type="dxa"/>
            <w:tcBorders>
              <w:top w:val="nil" w:sz="6" w:space="0" w:color="auto"/>
              <w:left w:val="single" w:sz="4" w:space="0" w:color="000000"/>
              <w:bottom w:val="single" w:sz="4" w:space="0" w:color="000000"/>
              <w:right w:val="single" w:sz="4" w:space="0" w:color="000000"/>
            </w:tcBorders>
            <w:shd w:val="clear" w:color="auto" w:fill="D3D3D3"/>
          </w:tcPr>
          <w:p>
            <w:pPr/>
          </w:p>
        </w:tc>
        <w:tc>
          <w:tcPr>
            <w:tcW w:w="789" w:type="dxa"/>
            <w:gridSpan w:val="2"/>
            <w:vMerge/>
            <w:tcBorders>
              <w:left w:val="single" w:sz="4" w:space="0" w:color="000000"/>
              <w:bottom w:val="single" w:sz="4" w:space="0" w:color="000000"/>
              <w:right w:val="single" w:sz="4" w:space="0" w:color="000000"/>
            </w:tcBorders>
            <w:shd w:val="clear" w:color="auto" w:fill="D3D3D3"/>
          </w:tcPr>
          <w:p>
            <w:pPr/>
          </w:p>
        </w:tc>
        <w:tc>
          <w:tcPr>
            <w:tcW w:w="755" w:type="dxa"/>
            <w:vMerge/>
            <w:tcBorders>
              <w:left w:val="single" w:sz="4" w:space="0" w:color="000000"/>
              <w:bottom w:val="single" w:sz="4" w:space="0" w:color="000000"/>
              <w:right w:val="single" w:sz="4" w:space="0" w:color="000000"/>
            </w:tcBorders>
            <w:shd w:val="clear" w:color="auto" w:fill="D3D3D3"/>
          </w:tcPr>
          <w:p>
            <w:pPr/>
          </w:p>
        </w:tc>
        <w:tc>
          <w:tcPr>
            <w:tcW w:w="860" w:type="dxa"/>
            <w:vMerge/>
            <w:tcBorders>
              <w:left w:val="single" w:sz="4" w:space="0" w:color="000000"/>
              <w:bottom w:val="single" w:sz="4" w:space="0" w:color="000000"/>
              <w:right w:val="single" w:sz="4" w:space="0" w:color="000000"/>
            </w:tcBorders>
            <w:shd w:val="clear" w:color="auto" w:fill="D3D3D3"/>
          </w:tcPr>
          <w:p>
            <w:pPr/>
          </w:p>
        </w:tc>
        <w:tc>
          <w:tcPr>
            <w:tcW w:w="1361" w:type="dxa"/>
            <w:gridSpan w:val="2"/>
            <w:vMerge/>
            <w:tcBorders>
              <w:left w:val="single" w:sz="4" w:space="0" w:color="000000"/>
              <w:bottom w:val="single" w:sz="4" w:space="0" w:color="000000"/>
              <w:right w:val="single" w:sz="4" w:space="0" w:color="000000"/>
            </w:tcBorders>
            <w:shd w:val="clear" w:color="auto" w:fill="D3D3D3"/>
          </w:tcPr>
          <w:p>
            <w:pPr/>
          </w:p>
        </w:tc>
        <w:tc>
          <w:tcPr>
            <w:tcW w:w="1348" w:type="dxa"/>
            <w:gridSpan w:val="2"/>
            <w:vMerge/>
            <w:tcBorders>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469"/>
        <w:gridCol w:w="1412"/>
        <w:gridCol w:w="788"/>
        <w:gridCol w:w="786"/>
        <w:gridCol w:w="788"/>
        <w:gridCol w:w="787"/>
        <w:gridCol w:w="840"/>
        <w:gridCol w:w="1349"/>
        <w:gridCol w:w="1348"/>
      </w:tblGrid>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Arial" w:hAnsi="Arial" w:cs="Arial" w:eastAsia="Arial" w:hint="default"/>
                <w:sz w:val="18"/>
                <w:szCs w:val="18"/>
              </w:rPr>
            </w:pPr>
            <w:r>
              <w:rPr>
                <w:rFonts w:ascii="Arial"/>
                <w:spacing w:val="-1"/>
                <w:sz w:val="18"/>
              </w:rPr>
              <w:t>20.74%</w:t>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Arial" w:hAnsi="Arial" w:cs="Arial" w:eastAsia="Arial" w:hint="default"/>
                <w:sz w:val="18"/>
                <w:szCs w:val="18"/>
              </w:rPr>
            </w:pPr>
            <w:r>
              <w:rPr>
                <w:rFonts w:ascii="Arial"/>
                <w:sz w:val="18"/>
              </w:rPr>
              <w:t>129,015,</w:t>
            </w:r>
          </w:p>
          <w:p>
            <w:pPr>
              <w:pStyle w:val="TableParagraph"/>
              <w:spacing w:line="240" w:lineRule="auto" w:before="106"/>
              <w:ind w:left="452" w:right="0"/>
              <w:jc w:val="left"/>
              <w:rPr>
                <w:rFonts w:ascii="Arial" w:hAnsi="Arial" w:cs="Arial" w:eastAsia="Arial" w:hint="default"/>
                <w:sz w:val="18"/>
                <w:szCs w:val="18"/>
              </w:rPr>
            </w:pPr>
            <w:r>
              <w:rPr>
                <w:rFonts w:ascii="Arial"/>
                <w:sz w:val="18"/>
              </w:rPr>
              <w:t>740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96,761,8</w:t>
            </w:r>
            <w:r>
              <w:rPr>
                <w:rFonts w:ascii="Arial"/>
                <w:sz w:val="18"/>
              </w:rPr>
            </w:r>
          </w:p>
          <w:p>
            <w:pPr>
              <w:pStyle w:val="TableParagraph"/>
              <w:spacing w:line="240" w:lineRule="auto" w:before="106"/>
              <w:ind w:right="23"/>
              <w:jc w:val="right"/>
              <w:rPr>
                <w:rFonts w:ascii="Arial" w:hAnsi="Arial" w:cs="Arial" w:eastAsia="Arial" w:hint="default"/>
                <w:sz w:val="18"/>
                <w:szCs w:val="18"/>
              </w:rPr>
            </w:pPr>
            <w:r>
              <w:rPr>
                <w:rFonts w:ascii="Arial"/>
                <w:spacing w:val="-1"/>
                <w:w w:val="95"/>
                <w:sz w:val="18"/>
              </w:rPr>
              <w:t>05</w:t>
            </w:r>
            <w:r>
              <w:rPr>
                <w:rFonts w:ascii="Arial"/>
                <w:w w:val="95"/>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32,253,9</w:t>
            </w:r>
            <w:r>
              <w:rPr>
                <w:rFonts w:ascii="Arial"/>
                <w:sz w:val="18"/>
              </w:rPr>
            </w:r>
          </w:p>
          <w:p>
            <w:pPr>
              <w:pStyle w:val="TableParagraph"/>
              <w:spacing w:line="240" w:lineRule="auto" w:before="106"/>
              <w:ind w:right="23"/>
              <w:jc w:val="right"/>
              <w:rPr>
                <w:rFonts w:ascii="Arial" w:hAnsi="Arial" w:cs="Arial" w:eastAsia="Arial" w:hint="default"/>
                <w:sz w:val="18"/>
                <w:szCs w:val="18"/>
              </w:rPr>
            </w:pPr>
            <w:r>
              <w:rPr>
                <w:rFonts w:ascii="Arial"/>
                <w:spacing w:val="-1"/>
                <w:w w:val="95"/>
                <w:sz w:val="18"/>
              </w:rPr>
              <w:t>35</w:t>
            </w:r>
            <w:r>
              <w:rPr>
                <w:rFonts w:ascii="Arial"/>
                <w:w w:val="95"/>
                <w:sz w:val="18"/>
              </w:rPr>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Arial" w:hAnsi="Arial" w:cs="Arial" w:eastAsia="Arial" w:hint="default"/>
                <w:sz w:val="18"/>
                <w:szCs w:val="18"/>
              </w:rPr>
            </w:pPr>
            <w:r>
              <w:rPr>
                <w:rFonts w:ascii="Arial"/>
                <w:spacing w:val="-1"/>
                <w:sz w:val="18"/>
              </w:rPr>
              <w:t>77,000,000</w:t>
            </w: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侯伟</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Arial" w:hAnsi="Arial" w:cs="Arial" w:eastAsia="Arial" w:hint="default"/>
                <w:sz w:val="18"/>
                <w:szCs w:val="18"/>
              </w:rPr>
            </w:pPr>
            <w:r>
              <w:rPr>
                <w:rFonts w:ascii="Arial"/>
                <w:spacing w:val="-1"/>
                <w:w w:val="95"/>
                <w:sz w:val="18"/>
              </w:rPr>
              <w:t>6.89%</w:t>
            </w:r>
            <w:r>
              <w:rPr>
                <w:rFonts w:ascii="Arial"/>
                <w:w w:val="95"/>
                <w:sz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42,897,7</w:t>
            </w:r>
            <w:r>
              <w:rPr>
                <w:rFonts w:ascii="Arial"/>
                <w:sz w:val="18"/>
              </w:rPr>
            </w:r>
          </w:p>
          <w:p>
            <w:pPr>
              <w:pStyle w:val="TableParagraph"/>
              <w:spacing w:line="240" w:lineRule="auto" w:before="106"/>
              <w:ind w:right="23"/>
              <w:jc w:val="right"/>
              <w:rPr>
                <w:rFonts w:ascii="Arial" w:hAnsi="Arial" w:cs="Arial" w:eastAsia="Arial" w:hint="default"/>
                <w:sz w:val="18"/>
                <w:szCs w:val="18"/>
              </w:rPr>
            </w:pPr>
            <w:r>
              <w:rPr>
                <w:rFonts w:ascii="Arial"/>
                <w:spacing w:val="-1"/>
                <w:w w:val="95"/>
                <w:sz w:val="18"/>
              </w:rPr>
              <w:t>66</w:t>
            </w:r>
            <w:r>
              <w:rPr>
                <w:rFonts w:ascii="Arial"/>
                <w:w w:val="95"/>
                <w:sz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Arial" w:hAnsi="Arial" w:cs="Arial" w:eastAsia="Arial" w:hint="default"/>
                <w:sz w:val="18"/>
                <w:szCs w:val="18"/>
              </w:rPr>
            </w:pPr>
            <w:r>
              <w:rPr>
                <w:rFonts w:ascii="Arial"/>
                <w:spacing w:val="-3"/>
                <w:sz w:val="18"/>
              </w:rPr>
              <w:t>-11,590,</w:t>
            </w:r>
            <w:r>
              <w:rPr>
                <w:rFonts w:ascii="Arial"/>
                <w:sz w:val="18"/>
              </w:rPr>
            </w:r>
          </w:p>
          <w:p>
            <w:pPr>
              <w:pStyle w:val="TableParagraph"/>
              <w:spacing w:line="240" w:lineRule="auto" w:before="106"/>
              <w:ind w:left="22" w:right="0"/>
              <w:jc w:val="left"/>
              <w:rPr>
                <w:rFonts w:ascii="Arial" w:hAnsi="Arial" w:cs="Arial" w:eastAsia="Arial" w:hint="default"/>
                <w:sz w:val="18"/>
                <w:szCs w:val="18"/>
              </w:rPr>
            </w:pPr>
            <w:r>
              <w:rPr>
                <w:rFonts w:ascii="Arial"/>
                <w:sz w:val="18"/>
              </w:rPr>
              <w:t>000</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40,865,8</w:t>
            </w:r>
            <w:r>
              <w:rPr>
                <w:rFonts w:ascii="Arial"/>
                <w:sz w:val="18"/>
              </w:rPr>
            </w:r>
          </w:p>
          <w:p>
            <w:pPr>
              <w:pStyle w:val="TableParagraph"/>
              <w:spacing w:line="240" w:lineRule="auto" w:before="106"/>
              <w:ind w:right="23"/>
              <w:jc w:val="right"/>
              <w:rPr>
                <w:rFonts w:ascii="Arial" w:hAnsi="Arial" w:cs="Arial" w:eastAsia="Arial" w:hint="default"/>
                <w:sz w:val="18"/>
                <w:szCs w:val="18"/>
              </w:rPr>
            </w:pPr>
            <w:r>
              <w:rPr>
                <w:rFonts w:ascii="Arial"/>
                <w:spacing w:val="-1"/>
                <w:w w:val="95"/>
                <w:sz w:val="18"/>
              </w:rPr>
              <w:t>24</w:t>
            </w:r>
            <w:r>
              <w:rPr>
                <w:rFonts w:ascii="Arial"/>
                <w:w w:val="95"/>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2,031,94</w:t>
            </w:r>
          </w:p>
          <w:p>
            <w:pPr>
              <w:pStyle w:val="TableParagraph"/>
              <w:spacing w:line="240" w:lineRule="auto" w:before="106"/>
              <w:ind w:right="21"/>
              <w:jc w:val="right"/>
              <w:rPr>
                <w:rFonts w:ascii="Arial" w:hAnsi="Arial" w:cs="Arial" w:eastAsia="Arial" w:hint="default"/>
                <w:sz w:val="18"/>
                <w:szCs w:val="18"/>
              </w:rPr>
            </w:pPr>
            <w:r>
              <w:rPr>
                <w:rFonts w:ascii="Arial"/>
                <w:sz w:val="18"/>
              </w:rPr>
              <w:t>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Arial" w:hAnsi="Arial" w:cs="Arial" w:eastAsia="Arial" w:hint="default"/>
                <w:sz w:val="18"/>
                <w:szCs w:val="18"/>
              </w:rPr>
            </w:pPr>
            <w:r>
              <w:rPr>
                <w:rFonts w:ascii="Arial"/>
                <w:spacing w:val="-1"/>
                <w:sz w:val="18"/>
              </w:rPr>
              <w:t>21,000,000</w:t>
            </w: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上海迦亿资产管 理有限公司－迦 亿增盈</w:t>
            </w:r>
            <w:r>
              <w:rPr>
                <w:rFonts w:ascii="宋体" w:hAnsi="宋体" w:cs="宋体" w:eastAsia="宋体" w:hint="default"/>
                <w:spacing w:val="-64"/>
                <w:sz w:val="18"/>
                <w:szCs w:val="18"/>
              </w:rPr>
              <w:t> </w:t>
            </w:r>
            <w:r>
              <w:rPr>
                <w:rFonts w:ascii="Arial" w:hAnsi="Arial" w:cs="Arial" w:eastAsia="Arial" w:hint="default"/>
                <w:sz w:val="18"/>
                <w:szCs w:val="18"/>
              </w:rPr>
              <w:t>1</w:t>
            </w:r>
            <w:r>
              <w:rPr>
                <w:rFonts w:ascii="Arial" w:hAnsi="Arial" w:cs="Arial" w:eastAsia="Arial" w:hint="default"/>
                <w:spacing w:val="-25"/>
                <w:sz w:val="18"/>
                <w:szCs w:val="18"/>
              </w:rPr>
              <w:t> </w:t>
            </w:r>
            <w:r>
              <w:rPr>
                <w:rFonts w:ascii="宋体" w:hAnsi="宋体" w:cs="宋体" w:eastAsia="宋体" w:hint="default"/>
                <w:sz w:val="18"/>
                <w:szCs w:val="18"/>
              </w:rPr>
              <w:t>号私募证 券投资基金</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Arial" w:hAnsi="Arial" w:cs="Arial" w:eastAsia="Arial" w:hint="default"/>
                <w:sz w:val="18"/>
                <w:szCs w:val="18"/>
              </w:rPr>
            </w:pPr>
            <w:r>
              <w:rPr>
                <w:rFonts w:ascii="Arial"/>
                <w:spacing w:val="-1"/>
                <w:w w:val="95"/>
                <w:sz w:val="18"/>
              </w:rPr>
              <w:t>1.86%</w:t>
            </w:r>
            <w:r>
              <w:rPr>
                <w:rFonts w:ascii="Arial"/>
                <w:w w:val="95"/>
                <w:sz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Arial" w:hAnsi="Arial" w:cs="Arial" w:eastAsia="Arial" w:hint="default"/>
                <w:sz w:val="18"/>
                <w:szCs w:val="18"/>
              </w:rPr>
            </w:pPr>
            <w:r>
              <w:rPr>
                <w:rFonts w:ascii="Arial"/>
                <w:spacing w:val="-2"/>
                <w:sz w:val="18"/>
              </w:rPr>
              <w:t>11,590,0</w:t>
            </w:r>
          </w:p>
          <w:p>
            <w:pPr>
              <w:pStyle w:val="TableParagraph"/>
              <w:spacing w:line="240" w:lineRule="auto" w:before="106"/>
              <w:ind w:right="23"/>
              <w:jc w:val="right"/>
              <w:rPr>
                <w:rFonts w:ascii="Arial" w:hAnsi="Arial" w:cs="Arial" w:eastAsia="Arial" w:hint="default"/>
                <w:sz w:val="18"/>
                <w:szCs w:val="18"/>
              </w:rPr>
            </w:pPr>
            <w:r>
              <w:rPr>
                <w:rFonts w:ascii="Arial"/>
                <w:spacing w:val="-1"/>
                <w:w w:val="95"/>
                <w:sz w:val="18"/>
              </w:rPr>
              <w:t>00</w:t>
            </w:r>
            <w:r>
              <w:rPr>
                <w:rFonts w:ascii="Arial"/>
                <w:w w:val="95"/>
                <w:sz w:val="18"/>
              </w:rPr>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Arial" w:hAnsi="Arial" w:cs="Arial" w:eastAsia="Arial" w:hint="default"/>
                <w:sz w:val="18"/>
                <w:szCs w:val="18"/>
              </w:rPr>
            </w:pPr>
            <w:r>
              <w:rPr>
                <w:rFonts w:ascii="Arial"/>
                <w:sz w:val="18"/>
              </w:rPr>
              <w:t>11,590,0</w:t>
            </w:r>
          </w:p>
          <w:p>
            <w:pPr>
              <w:pStyle w:val="TableParagraph"/>
              <w:spacing w:line="240" w:lineRule="auto" w:before="106"/>
              <w:ind w:left="22" w:right="0"/>
              <w:jc w:val="left"/>
              <w:rPr>
                <w:rFonts w:ascii="Arial" w:hAnsi="Arial" w:cs="Arial" w:eastAsia="Arial" w:hint="default"/>
                <w:sz w:val="18"/>
                <w:szCs w:val="18"/>
              </w:rPr>
            </w:pPr>
            <w:r>
              <w:rPr>
                <w:rFonts w:ascii="Arial"/>
                <w:sz w:val="18"/>
              </w:rPr>
              <w:t>00</w:t>
            </w: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Arial" w:hAnsi="Arial" w:cs="Arial" w:eastAsia="Arial" w:hint="default"/>
                <w:sz w:val="18"/>
                <w:szCs w:val="18"/>
              </w:rPr>
            </w:pPr>
            <w:r>
              <w:rPr>
                <w:rFonts w:ascii="Arial"/>
                <w:spacing w:val="-2"/>
                <w:sz w:val="18"/>
              </w:rPr>
              <w:t>11,590,0</w:t>
            </w:r>
          </w:p>
          <w:p>
            <w:pPr>
              <w:pStyle w:val="TableParagraph"/>
              <w:spacing w:line="240" w:lineRule="auto" w:before="106"/>
              <w:ind w:right="23"/>
              <w:jc w:val="right"/>
              <w:rPr>
                <w:rFonts w:ascii="Arial" w:hAnsi="Arial" w:cs="Arial" w:eastAsia="Arial" w:hint="default"/>
                <w:sz w:val="18"/>
                <w:szCs w:val="18"/>
              </w:rPr>
            </w:pPr>
            <w:r>
              <w:rPr>
                <w:rFonts w:ascii="Arial"/>
                <w:spacing w:val="-1"/>
                <w:w w:val="95"/>
                <w:sz w:val="18"/>
              </w:rPr>
              <w:t>00</w:t>
            </w:r>
            <w:r>
              <w:rPr>
                <w:rFonts w:ascii="Arial"/>
                <w:w w:val="95"/>
                <w:sz w:val="18"/>
              </w:rPr>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福建榕基软件股 份有限公司－第 三期员工持股计 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Arial" w:hAnsi="Arial" w:cs="Arial" w:eastAsia="Arial" w:hint="default"/>
                <w:sz w:val="18"/>
                <w:szCs w:val="18"/>
              </w:rPr>
            </w:pPr>
            <w:r>
              <w:rPr>
                <w:rFonts w:ascii="Arial"/>
                <w:spacing w:val="-1"/>
                <w:w w:val="95"/>
                <w:sz w:val="18"/>
              </w:rPr>
              <w:t>1.26%</w:t>
            </w:r>
            <w:r>
              <w:rPr>
                <w:rFonts w:ascii="Arial"/>
                <w:w w:val="95"/>
                <w:sz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Arial" w:hAnsi="Arial" w:cs="Arial" w:eastAsia="Arial" w:hint="default"/>
                <w:sz w:val="18"/>
                <w:szCs w:val="18"/>
              </w:rPr>
            </w:pPr>
            <w:r>
              <w:rPr>
                <w:rFonts w:ascii="Arial"/>
                <w:spacing w:val="-1"/>
                <w:sz w:val="18"/>
              </w:rPr>
              <w:t>7,856,20</w:t>
            </w:r>
          </w:p>
          <w:p>
            <w:pPr>
              <w:pStyle w:val="TableParagraph"/>
              <w:spacing w:line="240" w:lineRule="auto" w:before="106"/>
              <w:ind w:right="21"/>
              <w:jc w:val="right"/>
              <w:rPr>
                <w:rFonts w:ascii="Arial" w:hAnsi="Arial" w:cs="Arial" w:eastAsia="Arial" w:hint="default"/>
                <w:sz w:val="18"/>
                <w:szCs w:val="18"/>
              </w:rPr>
            </w:pPr>
            <w:r>
              <w:rPr>
                <w:rFonts w:ascii="Arial"/>
                <w:sz w:val="18"/>
              </w:rPr>
              <w:t>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Arial" w:hAnsi="Arial" w:cs="Arial" w:eastAsia="Arial" w:hint="default"/>
                <w:sz w:val="18"/>
                <w:szCs w:val="18"/>
              </w:rPr>
            </w:pPr>
            <w:r>
              <w:rPr>
                <w:rFonts w:ascii="Arial"/>
                <w:spacing w:val="-1"/>
                <w:sz w:val="18"/>
              </w:rPr>
              <w:t>7,856,20</w:t>
            </w:r>
          </w:p>
          <w:p>
            <w:pPr>
              <w:pStyle w:val="TableParagraph"/>
              <w:spacing w:line="240" w:lineRule="auto" w:before="106"/>
              <w:ind w:right="21"/>
              <w:jc w:val="right"/>
              <w:rPr>
                <w:rFonts w:ascii="Arial" w:hAnsi="Arial" w:cs="Arial" w:eastAsia="Arial" w:hint="default"/>
                <w:sz w:val="18"/>
                <w:szCs w:val="18"/>
              </w:rPr>
            </w:pPr>
            <w:r>
              <w:rPr>
                <w:rFonts w:ascii="Arial"/>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赵坚</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Arial" w:hAnsi="Arial" w:cs="Arial" w:eastAsia="Arial" w:hint="default"/>
                <w:sz w:val="18"/>
                <w:szCs w:val="18"/>
              </w:rPr>
            </w:pPr>
            <w:r>
              <w:rPr>
                <w:rFonts w:ascii="Arial"/>
                <w:spacing w:val="-1"/>
                <w:w w:val="95"/>
                <w:sz w:val="18"/>
              </w:rPr>
              <w:t>1.10%</w:t>
            </w:r>
            <w:r>
              <w:rPr>
                <w:rFonts w:ascii="Arial"/>
                <w:w w:val="95"/>
                <w:sz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6,850,00</w:t>
            </w:r>
          </w:p>
          <w:p>
            <w:pPr>
              <w:pStyle w:val="TableParagraph"/>
              <w:spacing w:line="240" w:lineRule="auto" w:before="106"/>
              <w:ind w:right="21"/>
              <w:jc w:val="right"/>
              <w:rPr>
                <w:rFonts w:ascii="Arial" w:hAnsi="Arial" w:cs="Arial" w:eastAsia="Arial" w:hint="default"/>
                <w:sz w:val="18"/>
                <w:szCs w:val="18"/>
              </w:rPr>
            </w:pPr>
            <w:r>
              <w:rPr>
                <w:rFonts w:ascii="Arial"/>
                <w:sz w:val="18"/>
              </w:rPr>
              <w:t>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5,137,50</w:t>
            </w:r>
          </w:p>
          <w:p>
            <w:pPr>
              <w:pStyle w:val="TableParagraph"/>
              <w:spacing w:line="240" w:lineRule="auto" w:before="106"/>
              <w:ind w:right="21"/>
              <w:jc w:val="right"/>
              <w:rPr>
                <w:rFonts w:ascii="Arial" w:hAnsi="Arial" w:cs="Arial" w:eastAsia="Arial" w:hint="default"/>
                <w:sz w:val="18"/>
                <w:szCs w:val="18"/>
              </w:rPr>
            </w:pPr>
            <w:r>
              <w:rPr>
                <w:rFonts w:ascii="Arial"/>
                <w:sz w:val="18"/>
              </w:rPr>
              <w:t>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1,712,50</w:t>
            </w:r>
          </w:p>
          <w:p>
            <w:pPr>
              <w:pStyle w:val="TableParagraph"/>
              <w:spacing w:line="240" w:lineRule="auto" w:before="106"/>
              <w:ind w:right="21"/>
              <w:jc w:val="right"/>
              <w:rPr>
                <w:rFonts w:ascii="Arial" w:hAnsi="Arial" w:cs="Arial" w:eastAsia="Arial" w:hint="default"/>
                <w:sz w:val="18"/>
                <w:szCs w:val="18"/>
              </w:rPr>
            </w:pPr>
            <w:r>
              <w:rPr>
                <w:rFonts w:ascii="Arial"/>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陈明平</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Arial" w:hAnsi="Arial" w:cs="Arial" w:eastAsia="Arial" w:hint="default"/>
                <w:sz w:val="18"/>
                <w:szCs w:val="18"/>
              </w:rPr>
            </w:pPr>
            <w:r>
              <w:rPr>
                <w:rFonts w:ascii="Arial"/>
                <w:spacing w:val="-1"/>
                <w:w w:val="95"/>
                <w:sz w:val="18"/>
              </w:rPr>
              <w:t>0.87%</w:t>
            </w:r>
            <w:r>
              <w:rPr>
                <w:rFonts w:ascii="Arial"/>
                <w:w w:val="95"/>
                <w:sz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5,396,14</w:t>
            </w:r>
          </w:p>
          <w:p>
            <w:pPr>
              <w:pStyle w:val="TableParagraph"/>
              <w:spacing w:line="240" w:lineRule="auto" w:before="106"/>
              <w:ind w:right="21"/>
              <w:jc w:val="right"/>
              <w:rPr>
                <w:rFonts w:ascii="Arial" w:hAnsi="Arial" w:cs="Arial" w:eastAsia="Arial" w:hint="default"/>
                <w:sz w:val="18"/>
                <w:szCs w:val="18"/>
              </w:rPr>
            </w:pPr>
            <w:r>
              <w:rPr>
                <w:rFonts w:ascii="Arial"/>
                <w:sz w:val="18"/>
              </w:rPr>
              <w:t>6</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4,047,10</w:t>
            </w:r>
          </w:p>
          <w:p>
            <w:pPr>
              <w:pStyle w:val="TableParagraph"/>
              <w:spacing w:line="240" w:lineRule="auto" w:before="106"/>
              <w:ind w:right="21"/>
              <w:jc w:val="right"/>
              <w:rPr>
                <w:rFonts w:ascii="Arial" w:hAnsi="Arial" w:cs="Arial" w:eastAsia="Arial" w:hint="default"/>
                <w:sz w:val="18"/>
                <w:szCs w:val="18"/>
              </w:rPr>
            </w:pPr>
            <w:r>
              <w:rPr>
                <w:rFonts w:ascii="Arial"/>
                <w:sz w:val="18"/>
              </w:rPr>
              <w:t>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1,349,03</w:t>
            </w:r>
          </w:p>
          <w:p>
            <w:pPr>
              <w:pStyle w:val="TableParagraph"/>
              <w:spacing w:line="240" w:lineRule="auto" w:before="106"/>
              <w:ind w:right="21"/>
              <w:jc w:val="right"/>
              <w:rPr>
                <w:rFonts w:ascii="Arial" w:hAnsi="Arial" w:cs="Arial" w:eastAsia="Arial" w:hint="default"/>
                <w:sz w:val="18"/>
                <w:szCs w:val="18"/>
              </w:rPr>
            </w:pPr>
            <w:r>
              <w:rPr>
                <w:rFonts w:ascii="Arial"/>
                <w:sz w:val="18"/>
              </w:rPr>
              <w:t>7</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胡燕英</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Arial" w:hAnsi="Arial" w:cs="Arial" w:eastAsia="Arial" w:hint="default"/>
                <w:sz w:val="18"/>
                <w:szCs w:val="18"/>
              </w:rPr>
            </w:pPr>
            <w:r>
              <w:rPr>
                <w:rFonts w:ascii="Arial"/>
                <w:spacing w:val="-1"/>
                <w:w w:val="95"/>
                <w:sz w:val="18"/>
              </w:rPr>
              <w:t>0.64%</w:t>
            </w:r>
            <w:r>
              <w:rPr>
                <w:rFonts w:ascii="Arial"/>
                <w:w w:val="95"/>
                <w:sz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4,004,70</w:t>
            </w:r>
          </w:p>
          <w:p>
            <w:pPr>
              <w:pStyle w:val="TableParagraph"/>
              <w:spacing w:line="240" w:lineRule="auto" w:before="106"/>
              <w:ind w:right="21"/>
              <w:jc w:val="right"/>
              <w:rPr>
                <w:rFonts w:ascii="Arial" w:hAnsi="Arial" w:cs="Arial" w:eastAsia="Arial" w:hint="default"/>
                <w:sz w:val="18"/>
                <w:szCs w:val="18"/>
              </w:rPr>
            </w:pPr>
            <w:r>
              <w:rPr>
                <w:rFonts w:ascii="Arial"/>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Arial" w:hAnsi="Arial" w:cs="Arial" w:eastAsia="Arial" w:hint="default"/>
                <w:sz w:val="18"/>
                <w:szCs w:val="18"/>
              </w:rPr>
            </w:pPr>
            <w:r>
              <w:rPr>
                <w:rFonts w:ascii="Arial"/>
                <w:sz w:val="18"/>
              </w:rPr>
              <w:t>2,269,70</w:t>
            </w:r>
          </w:p>
          <w:p>
            <w:pPr>
              <w:pStyle w:val="TableParagraph"/>
              <w:spacing w:line="240" w:lineRule="auto" w:before="106"/>
              <w:ind w:left="22" w:right="0"/>
              <w:jc w:val="left"/>
              <w:rPr>
                <w:rFonts w:ascii="Arial" w:hAnsi="Arial" w:cs="Arial" w:eastAsia="Arial" w:hint="default"/>
                <w:sz w:val="18"/>
                <w:szCs w:val="18"/>
              </w:rPr>
            </w:pPr>
            <w:r>
              <w:rPr>
                <w:rFonts w:ascii="Arial"/>
                <w:sz w:val="18"/>
              </w:rPr>
              <w:t>0</w:t>
            </w: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4,004,70</w:t>
            </w:r>
          </w:p>
          <w:p>
            <w:pPr>
              <w:pStyle w:val="TableParagraph"/>
              <w:spacing w:line="240" w:lineRule="auto" w:before="106"/>
              <w:ind w:right="21"/>
              <w:jc w:val="right"/>
              <w:rPr>
                <w:rFonts w:ascii="Arial" w:hAnsi="Arial" w:cs="Arial" w:eastAsia="Arial" w:hint="default"/>
                <w:sz w:val="18"/>
                <w:szCs w:val="18"/>
              </w:rPr>
            </w:pPr>
            <w:r>
              <w:rPr>
                <w:rFonts w:ascii="Arial"/>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朱琳</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Arial" w:hAnsi="Arial" w:cs="Arial" w:eastAsia="Arial" w:hint="default"/>
                <w:sz w:val="18"/>
                <w:szCs w:val="18"/>
              </w:rPr>
            </w:pPr>
            <w:r>
              <w:rPr>
                <w:rFonts w:ascii="Arial"/>
                <w:spacing w:val="-1"/>
                <w:w w:val="95"/>
                <w:sz w:val="18"/>
              </w:rPr>
              <w:t>0.61%</w:t>
            </w:r>
            <w:r>
              <w:rPr>
                <w:rFonts w:ascii="Arial"/>
                <w:w w:val="95"/>
                <w:sz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3,801,99</w:t>
            </w:r>
          </w:p>
          <w:p>
            <w:pPr>
              <w:pStyle w:val="TableParagraph"/>
              <w:spacing w:line="240" w:lineRule="auto" w:before="106"/>
              <w:ind w:right="21"/>
              <w:jc w:val="right"/>
              <w:rPr>
                <w:rFonts w:ascii="Arial" w:hAnsi="Arial" w:cs="Arial" w:eastAsia="Arial" w:hint="default"/>
                <w:sz w:val="18"/>
                <w:szCs w:val="18"/>
              </w:rPr>
            </w:pPr>
            <w:r>
              <w:rPr>
                <w:rFonts w:ascii="Arial"/>
                <w:sz w:val="18"/>
              </w:rPr>
              <w:t>0</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Arial" w:hAnsi="Arial" w:cs="Arial" w:eastAsia="Arial" w:hint="default"/>
                <w:sz w:val="18"/>
                <w:szCs w:val="18"/>
              </w:rPr>
            </w:pPr>
            <w:r>
              <w:rPr>
                <w:rFonts w:ascii="Arial"/>
                <w:sz w:val="18"/>
              </w:rPr>
              <w:t>-7,095,9</w:t>
            </w:r>
          </w:p>
          <w:p>
            <w:pPr>
              <w:pStyle w:val="TableParagraph"/>
              <w:spacing w:line="240" w:lineRule="auto" w:before="106"/>
              <w:ind w:left="22" w:right="0"/>
              <w:jc w:val="left"/>
              <w:rPr>
                <w:rFonts w:ascii="Arial" w:hAnsi="Arial" w:cs="Arial" w:eastAsia="Arial" w:hint="default"/>
                <w:sz w:val="18"/>
                <w:szCs w:val="18"/>
              </w:rPr>
            </w:pPr>
            <w:r>
              <w:rPr>
                <w:rFonts w:ascii="Arial"/>
                <w:sz w:val="18"/>
              </w:rPr>
              <w:t>84</w:t>
            </w: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3,801,99</w:t>
            </w:r>
          </w:p>
          <w:p>
            <w:pPr>
              <w:pStyle w:val="TableParagraph"/>
              <w:spacing w:line="240" w:lineRule="auto" w:before="106"/>
              <w:ind w:right="21"/>
              <w:jc w:val="right"/>
              <w:rPr>
                <w:rFonts w:ascii="Arial" w:hAnsi="Arial" w:cs="Arial" w:eastAsia="Arial" w:hint="default"/>
                <w:sz w:val="18"/>
                <w:szCs w:val="18"/>
              </w:rPr>
            </w:pPr>
            <w:r>
              <w:rPr>
                <w:rFonts w:ascii="Arial"/>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鲁波</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Arial" w:hAnsi="Arial" w:cs="Arial" w:eastAsia="Arial" w:hint="default"/>
                <w:sz w:val="18"/>
                <w:szCs w:val="18"/>
              </w:rPr>
            </w:pPr>
            <w:r>
              <w:rPr>
                <w:rFonts w:ascii="Arial"/>
                <w:spacing w:val="-1"/>
                <w:w w:val="95"/>
                <w:sz w:val="18"/>
              </w:rPr>
              <w:t>0.48%</w:t>
            </w:r>
            <w:r>
              <w:rPr>
                <w:rFonts w:ascii="Arial"/>
                <w:w w:val="95"/>
                <w:sz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2,994,16</w:t>
            </w:r>
          </w:p>
          <w:p>
            <w:pPr>
              <w:pStyle w:val="TableParagraph"/>
              <w:spacing w:line="240" w:lineRule="auto" w:before="106"/>
              <w:ind w:right="21"/>
              <w:jc w:val="right"/>
              <w:rPr>
                <w:rFonts w:ascii="Arial" w:hAnsi="Arial" w:cs="Arial" w:eastAsia="Arial" w:hint="default"/>
                <w:sz w:val="18"/>
                <w:szCs w:val="18"/>
              </w:rPr>
            </w:pPr>
            <w:r>
              <w:rPr>
                <w:rFonts w:ascii="Arial"/>
                <w:sz w:val="18"/>
              </w:rPr>
              <w:t>0</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2,994,16</w:t>
            </w:r>
          </w:p>
          <w:p>
            <w:pPr>
              <w:pStyle w:val="TableParagraph"/>
              <w:spacing w:line="240" w:lineRule="auto" w:before="106"/>
              <w:ind w:right="21"/>
              <w:jc w:val="right"/>
              <w:rPr>
                <w:rFonts w:ascii="Arial" w:hAnsi="Arial" w:cs="Arial" w:eastAsia="Arial" w:hint="default"/>
                <w:sz w:val="18"/>
                <w:szCs w:val="18"/>
              </w:rPr>
            </w:pPr>
            <w:r>
              <w:rPr>
                <w:rFonts w:ascii="Arial"/>
                <w:sz w:val="18"/>
              </w:rPr>
              <w:t>0</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74"/>
              <w:jc w:val="both"/>
              <w:rPr>
                <w:rFonts w:ascii="宋体" w:hAnsi="宋体" w:cs="宋体" w:eastAsia="宋体" w:hint="default"/>
                <w:sz w:val="18"/>
                <w:szCs w:val="18"/>
              </w:rPr>
            </w:pPr>
            <w:r>
              <w:rPr>
                <w:rFonts w:ascii="宋体" w:hAnsi="宋体" w:cs="宋体" w:eastAsia="宋体" w:hint="default"/>
                <w:sz w:val="18"/>
                <w:szCs w:val="18"/>
              </w:rPr>
              <w:t>福建榕基软件股 份有限公司－第 二期员工持股计 划</w:t>
            </w:r>
          </w:p>
        </w:tc>
        <w:tc>
          <w:tcPr>
            <w:tcW w:w="14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2"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3"/>
              <w:jc w:val="right"/>
              <w:rPr>
                <w:rFonts w:ascii="Arial" w:hAnsi="Arial" w:cs="Arial" w:eastAsia="Arial" w:hint="default"/>
                <w:sz w:val="18"/>
                <w:szCs w:val="18"/>
              </w:rPr>
            </w:pPr>
            <w:r>
              <w:rPr>
                <w:rFonts w:ascii="Arial"/>
                <w:spacing w:val="-1"/>
                <w:w w:val="95"/>
                <w:sz w:val="18"/>
              </w:rPr>
              <w:t>0.42%</w:t>
            </w:r>
            <w:r>
              <w:rPr>
                <w:rFonts w:ascii="Arial"/>
                <w:w w:val="95"/>
                <w:sz w:val="18"/>
              </w:rPr>
            </w:r>
          </w:p>
        </w:tc>
        <w:tc>
          <w:tcPr>
            <w:tcW w:w="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Arial" w:hAnsi="Arial" w:cs="Arial" w:eastAsia="Arial" w:hint="default"/>
                <w:sz w:val="18"/>
                <w:szCs w:val="18"/>
              </w:rPr>
            </w:pPr>
            <w:r>
              <w:rPr>
                <w:rFonts w:ascii="Arial"/>
                <w:spacing w:val="-1"/>
                <w:sz w:val="18"/>
              </w:rPr>
              <w:t>2,629,10</w:t>
            </w:r>
          </w:p>
          <w:p>
            <w:pPr>
              <w:pStyle w:val="TableParagraph"/>
              <w:spacing w:line="240" w:lineRule="auto" w:before="106"/>
              <w:ind w:right="21"/>
              <w:jc w:val="right"/>
              <w:rPr>
                <w:rFonts w:ascii="Arial" w:hAnsi="Arial" w:cs="Arial" w:eastAsia="Arial" w:hint="default"/>
                <w:sz w:val="18"/>
                <w:szCs w:val="18"/>
              </w:rPr>
            </w:pPr>
            <w:r>
              <w:rPr>
                <w:rFonts w:ascii="Arial"/>
                <w:sz w:val="18"/>
              </w:rPr>
              <w:t>1</w:t>
            </w:r>
          </w:p>
        </w:tc>
        <w:tc>
          <w:tcPr>
            <w:tcW w:w="788"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Arial" w:hAnsi="Arial" w:cs="Arial" w:eastAsia="Arial" w:hint="default"/>
                <w:sz w:val="18"/>
                <w:szCs w:val="18"/>
              </w:rPr>
            </w:pPr>
            <w:r>
              <w:rPr>
                <w:rFonts w:ascii="Arial"/>
                <w:spacing w:val="-1"/>
                <w:sz w:val="18"/>
              </w:rPr>
              <w:t>2,629,10</w:t>
            </w:r>
          </w:p>
          <w:p>
            <w:pPr>
              <w:pStyle w:val="TableParagraph"/>
              <w:spacing w:line="240" w:lineRule="auto" w:before="106"/>
              <w:ind w:right="21"/>
              <w:jc w:val="right"/>
              <w:rPr>
                <w:rFonts w:ascii="Arial" w:hAnsi="Arial" w:cs="Arial" w:eastAsia="Arial" w:hint="default"/>
                <w:sz w:val="18"/>
                <w:szCs w:val="18"/>
              </w:rPr>
            </w:pPr>
            <w:r>
              <w:rPr>
                <w:rFonts w:ascii="Arial"/>
                <w:sz w:val="18"/>
              </w:rPr>
              <w:t>1</w:t>
            </w: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881"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0"/>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战略投资者或一般法人因配售新股 成为前</w:t>
            </w:r>
            <w:r>
              <w:rPr>
                <w:rFonts w:ascii="宋体" w:hAnsi="宋体" w:cs="宋体" w:eastAsia="宋体" w:hint="default"/>
                <w:spacing w:val="-45"/>
                <w:sz w:val="18"/>
                <w:szCs w:val="18"/>
              </w:rPr>
              <w:t> </w:t>
            </w:r>
            <w:r>
              <w:rPr>
                <w:rFonts w:ascii="Arial" w:hAnsi="Arial" w:cs="Arial" w:eastAsia="Arial" w:hint="default"/>
                <w:sz w:val="18"/>
                <w:szCs w:val="18"/>
              </w:rPr>
              <w:t>10</w:t>
            </w:r>
            <w:r>
              <w:rPr>
                <w:rFonts w:ascii="Arial" w:hAnsi="Arial" w:cs="Arial" w:eastAsia="Arial" w:hint="default"/>
                <w:spacing w:val="-6"/>
                <w:sz w:val="18"/>
                <w:szCs w:val="18"/>
              </w:rPr>
              <w:t> </w:t>
            </w:r>
            <w:r>
              <w:rPr>
                <w:rFonts w:ascii="宋体" w:hAnsi="宋体" w:cs="宋体" w:eastAsia="宋体" w:hint="default"/>
                <w:spacing w:val="-14"/>
                <w:sz w:val="18"/>
                <w:szCs w:val="18"/>
              </w:rPr>
              <w:t>名股东的情况（如有）（参</w:t>
            </w:r>
            <w:r>
              <w:rPr>
                <w:rFonts w:ascii="宋体" w:hAnsi="宋体" w:cs="宋体" w:eastAsia="宋体" w:hint="default"/>
                <w:sz w:val="18"/>
                <w:szCs w:val="18"/>
              </w:rPr>
              <w:t> 见注</w:t>
            </w:r>
            <w:r>
              <w:rPr>
                <w:rFonts w:ascii="宋体" w:hAnsi="宋体" w:cs="宋体" w:eastAsia="宋体" w:hint="default"/>
                <w:spacing w:val="-47"/>
                <w:sz w:val="18"/>
                <w:szCs w:val="18"/>
              </w:rPr>
              <w:t> </w:t>
            </w:r>
            <w:r>
              <w:rPr>
                <w:rFonts w:ascii="Arial" w:hAnsi="Arial" w:cs="Arial" w:eastAsia="Arial" w:hint="default"/>
                <w:sz w:val="18"/>
                <w:szCs w:val="18"/>
              </w:rPr>
              <w:t>3</w:t>
            </w:r>
            <w:r>
              <w:rPr>
                <w:rFonts w:ascii="宋体" w:hAnsi="宋体" w:cs="宋体" w:eastAsia="宋体" w:hint="default"/>
                <w:sz w:val="18"/>
                <w:szCs w:val="18"/>
              </w:rPr>
              <w:t>）</w:t>
            </w:r>
          </w:p>
        </w:tc>
        <w:tc>
          <w:tcPr>
            <w:tcW w:w="6686" w:type="dxa"/>
            <w:gridSpan w:val="7"/>
            <w:tcBorders>
              <w:top w:val="single" w:sz="4" w:space="0" w:color="000000"/>
              <w:left w:val="single" w:sz="10" w:space="0" w:color="D3D3D3"/>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15"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1"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6686" w:type="dxa"/>
            <w:gridSpan w:val="7"/>
            <w:vMerge w:val="restart"/>
            <w:tcBorders>
              <w:top w:val="single" w:sz="4" w:space="0" w:color="000000"/>
              <w:left w:val="single" w:sz="10" w:space="0" w:color="D3D3D3"/>
              <w:right w:val="single" w:sz="4" w:space="0" w:color="000000"/>
            </w:tcBorders>
          </w:tcPr>
          <w:p>
            <w:pPr>
              <w:pStyle w:val="TableParagraph"/>
              <w:spacing w:line="319" w:lineRule="auto" w:before="51"/>
              <w:ind w:left="15" w:right="-7"/>
              <w:jc w:val="both"/>
              <w:rPr>
                <w:rFonts w:ascii="宋体" w:hAnsi="宋体" w:cs="宋体" w:eastAsia="宋体" w:hint="default"/>
                <w:sz w:val="18"/>
                <w:szCs w:val="18"/>
              </w:rPr>
            </w:pPr>
            <w:r>
              <w:rPr>
                <w:rFonts w:ascii="宋体" w:hAnsi="宋体" w:cs="宋体" w:eastAsia="宋体" w:hint="default"/>
                <w:sz w:val="18"/>
                <w:szCs w:val="18"/>
              </w:rPr>
              <w:t>公司前十名股东中，鲁波为鲁峰之胞兄。福建榕基软件股份有限公司－第二期及第三 期员工持股计划与其他前十名股东之间不存在关联关系，不属于一致行动人。除上述 情况外，其他前十名股东之间未知是否存在关联关系，也未知是否属于一致行动人。</w:t>
            </w:r>
          </w:p>
        </w:tc>
      </w:tr>
      <w:tr>
        <w:trPr>
          <w:trHeight w:val="704" w:hRule="exact"/>
        </w:trPr>
        <w:tc>
          <w:tcPr>
            <w:tcW w:w="2881" w:type="dxa"/>
            <w:gridSpan w:val="2"/>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上述股东关联关系或一致行动的说 明</w:t>
            </w:r>
          </w:p>
        </w:tc>
        <w:tc>
          <w:tcPr>
            <w:tcW w:w="6686" w:type="dxa"/>
            <w:gridSpan w:val="7"/>
            <w:vMerge/>
            <w:tcBorders>
              <w:left w:val="single" w:sz="10" w:space="0" w:color="D3D3D3"/>
              <w:right w:val="single" w:sz="4" w:space="0" w:color="000000"/>
            </w:tcBorders>
          </w:tcPr>
          <w:p>
            <w:pPr/>
          </w:p>
        </w:tc>
      </w:tr>
      <w:tr>
        <w:trPr>
          <w:trHeight w:val="161"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6686" w:type="dxa"/>
            <w:gridSpan w:val="7"/>
            <w:vMerge/>
            <w:tcBorders>
              <w:left w:val="single" w:sz="10" w:space="0" w:color="D3D3D3"/>
              <w:bottom w:val="single" w:sz="4" w:space="0" w:color="000000"/>
              <w:right w:val="single" w:sz="4" w:space="0" w:color="000000"/>
            </w:tcBorders>
          </w:tcPr>
          <w:p>
            <w:pPr/>
          </w:p>
        </w:tc>
      </w:tr>
      <w:tr>
        <w:trPr>
          <w:trHeight w:val="402"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7"/>
                <w:sz w:val="18"/>
                <w:szCs w:val="18"/>
              </w:rPr>
              <w:t> </w:t>
            </w:r>
            <w:r>
              <w:rPr>
                <w:rFonts w:ascii="宋体" w:hAnsi="宋体" w:cs="宋体" w:eastAsia="宋体" w:hint="default"/>
                <w:sz w:val="18"/>
                <w:szCs w:val="18"/>
              </w:rPr>
              <w:t>名无限售条件股东持股情况</w:t>
            </w:r>
          </w:p>
        </w:tc>
      </w:tr>
      <w:tr>
        <w:trPr>
          <w:trHeight w:val="207" w:hRule="exact"/>
        </w:trPr>
        <w:tc>
          <w:tcPr>
            <w:tcW w:w="2881" w:type="dxa"/>
            <w:gridSpan w:val="2"/>
            <w:tcBorders>
              <w:top w:val="single" w:sz="4" w:space="0" w:color="000000"/>
              <w:left w:val="single" w:sz="4" w:space="0" w:color="000000"/>
              <w:bottom w:val="nil" w:sz="6" w:space="0" w:color="auto"/>
              <w:right w:val="single" w:sz="4" w:space="0" w:color="000000"/>
            </w:tcBorders>
            <w:shd w:val="clear" w:color="auto" w:fill="D3D3D3"/>
          </w:tcPr>
          <w:p>
            <w:pPr/>
          </w:p>
        </w:tc>
        <w:tc>
          <w:tcPr>
            <w:tcW w:w="3990" w:type="dxa"/>
            <w:gridSpan w:val="5"/>
            <w:tcBorders>
              <w:top w:val="single" w:sz="4" w:space="0" w:color="000000"/>
              <w:left w:val="single" w:sz="4" w:space="0" w:color="000000"/>
              <w:bottom w:val="nil" w:sz="6" w:space="0" w:color="auto"/>
              <w:right w:val="single" w:sz="4" w:space="0" w:color="000000"/>
            </w:tcBorders>
            <w:shd w:val="clear" w:color="auto" w:fill="D3D3D3"/>
          </w:tcPr>
          <w:p>
            <w:pPr/>
          </w:p>
        </w:tc>
        <w:tc>
          <w:tcPr>
            <w:tcW w:w="269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0" w:hRule="exact"/>
        </w:trPr>
        <w:tc>
          <w:tcPr>
            <w:tcW w:w="2881" w:type="dxa"/>
            <w:gridSpan w:val="2"/>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3990" w:type="dxa"/>
            <w:gridSpan w:val="5"/>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0"/>
              <w:ind w:left="639" w:right="0"/>
              <w:jc w:val="left"/>
              <w:rPr>
                <w:rFonts w:ascii="宋体" w:hAnsi="宋体" w:cs="宋体" w:eastAsia="宋体" w:hint="default"/>
                <w:sz w:val="18"/>
                <w:szCs w:val="18"/>
              </w:rPr>
            </w:pPr>
            <w:r>
              <w:rPr>
                <w:rFonts w:ascii="宋体" w:hAnsi="宋体" w:cs="宋体" w:eastAsia="宋体" w:hint="default"/>
                <w:sz w:val="18"/>
                <w:szCs w:val="18"/>
              </w:rPr>
              <w:t>报告期末持有无限售条件股份数量</w:t>
            </w:r>
          </w:p>
        </w:tc>
        <w:tc>
          <w:tcPr>
            <w:tcW w:w="2696" w:type="dxa"/>
            <w:gridSpan w:val="2"/>
            <w:vMerge/>
            <w:tcBorders>
              <w:left w:val="single" w:sz="4" w:space="0" w:color="000000"/>
              <w:bottom w:val="single" w:sz="4" w:space="0" w:color="000000"/>
              <w:right w:val="single" w:sz="4" w:space="0" w:color="000000"/>
            </w:tcBorders>
            <w:shd w:val="clear" w:color="auto" w:fill="D3D3D3"/>
          </w:tcPr>
          <w:p>
            <w:pPr/>
          </w:p>
        </w:tc>
      </w:tr>
      <w:tr>
        <w:trPr>
          <w:trHeight w:val="200" w:hRule="exact"/>
        </w:trPr>
        <w:tc>
          <w:tcPr>
            <w:tcW w:w="2881" w:type="dxa"/>
            <w:gridSpan w:val="2"/>
            <w:vMerge/>
            <w:tcBorders>
              <w:left w:val="single" w:sz="4" w:space="0" w:color="000000"/>
              <w:bottom w:val="nil" w:sz="6" w:space="0" w:color="auto"/>
              <w:right w:val="single" w:sz="4" w:space="0" w:color="000000"/>
            </w:tcBorders>
            <w:shd w:val="clear" w:color="auto" w:fill="D3D3D3"/>
          </w:tcPr>
          <w:p>
            <w:pPr/>
          </w:p>
        </w:tc>
        <w:tc>
          <w:tcPr>
            <w:tcW w:w="3990" w:type="dxa"/>
            <w:gridSpan w:val="5"/>
            <w:vMerge/>
            <w:tcBorders>
              <w:left w:val="single" w:sz="4" w:space="0" w:color="000000"/>
              <w:bottom w:val="nil" w:sz="6" w:space="0" w:color="auto"/>
              <w:right w:val="single" w:sz="4" w:space="0" w:color="000000"/>
            </w:tcBorders>
            <w:shd w:val="clear" w:color="auto" w:fill="D3D3D3"/>
          </w:tcPr>
          <w:p>
            <w:pPr/>
          </w:p>
        </w:tc>
        <w:tc>
          <w:tcPr>
            <w:tcW w:w="13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left="308"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4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6"/>
              <w:ind w:right="1"/>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7" w:hRule="exact"/>
        </w:trPr>
        <w:tc>
          <w:tcPr>
            <w:tcW w:w="2881" w:type="dxa"/>
            <w:gridSpan w:val="2"/>
            <w:tcBorders>
              <w:top w:val="nil" w:sz="6" w:space="0" w:color="auto"/>
              <w:left w:val="single" w:sz="4" w:space="0" w:color="000000"/>
              <w:bottom w:val="single" w:sz="4" w:space="0" w:color="000000"/>
              <w:right w:val="single" w:sz="4" w:space="0" w:color="000000"/>
            </w:tcBorders>
            <w:shd w:val="clear" w:color="auto" w:fill="D3D3D3"/>
          </w:tcPr>
          <w:p>
            <w:pPr/>
          </w:p>
        </w:tc>
        <w:tc>
          <w:tcPr>
            <w:tcW w:w="3990" w:type="dxa"/>
            <w:gridSpan w:val="5"/>
            <w:tcBorders>
              <w:top w:val="nil" w:sz="6" w:space="0" w:color="auto"/>
              <w:left w:val="single" w:sz="4" w:space="0" w:color="000000"/>
              <w:bottom w:val="single" w:sz="4" w:space="0" w:color="000000"/>
              <w:right w:val="single" w:sz="4" w:space="0" w:color="000000"/>
            </w:tcBorders>
            <w:shd w:val="clear" w:color="auto" w:fill="D3D3D3"/>
          </w:tcPr>
          <w:p>
            <w:pPr/>
          </w:p>
        </w:tc>
        <w:tc>
          <w:tcPr>
            <w:tcW w:w="1349" w:type="dxa"/>
            <w:vMerge/>
            <w:tcBorders>
              <w:left w:val="single" w:sz="4" w:space="0" w:color="000000"/>
              <w:bottom w:val="single" w:sz="4" w:space="0" w:color="000000"/>
              <w:right w:val="single" w:sz="4" w:space="0" w:color="000000"/>
            </w:tcBorders>
            <w:shd w:val="clear" w:color="auto" w:fill="D3D3D3"/>
          </w:tcPr>
          <w:p>
            <w:pPr/>
          </w:p>
        </w:tc>
        <w:tc>
          <w:tcPr>
            <w:tcW w:w="134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32,253,935</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32,253,935</w:t>
            </w:r>
          </w:p>
        </w:tc>
      </w:tr>
      <w:tr>
        <w:trPr>
          <w:trHeight w:val="714"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上海迦亿资产管理有限公司－迦亿 增盈</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号私募证券投资基金</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2"/>
                <w:sz w:val="18"/>
              </w:rPr>
              <w:t>11,590,000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spacing w:val="-2"/>
                <w:sz w:val="18"/>
              </w:rPr>
              <w:t>11,590,000</w:t>
            </w:r>
          </w:p>
        </w:tc>
      </w:tr>
      <w:tr>
        <w:trPr>
          <w:trHeight w:val="402" w:hRule="exact"/>
        </w:trPr>
        <w:tc>
          <w:tcPr>
            <w:tcW w:w="288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福建榕基软件股份有限公司－第三</w:t>
            </w:r>
          </w:p>
        </w:tc>
        <w:tc>
          <w:tcPr>
            <w:tcW w:w="399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7,856,200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7,856,200</w:t>
            </w:r>
          </w:p>
        </w:tc>
      </w:tr>
    </w:tbl>
    <w:p>
      <w:pPr>
        <w:spacing w:after="0" w:line="240" w:lineRule="auto"/>
        <w:jc w:val="right"/>
        <w:rPr>
          <w:rFonts w:ascii="Arial" w:hAnsi="Arial" w:cs="Arial" w:eastAsia="Arial"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7"/>
          <w:szCs w:val="27"/>
        </w:rPr>
      </w:pPr>
    </w:p>
    <w:p>
      <w:pPr>
        <w:pStyle w:val="BodyText"/>
        <w:spacing w:line="240" w:lineRule="auto" w:before="44"/>
        <w:ind w:left="0" w:right="1139"/>
        <w:jc w:val="right"/>
      </w:pPr>
      <w:r>
        <w:rPr/>
        <w:pict>
          <v:shape style="position:absolute;margin-left:56.459999pt;margin-top:-273.368042pt;width:479.1pt;height:293.1pt;mso-position-horizontal-relative:page;mso-position-vertical-relative:paragraph;z-index:13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881"/>
                    <w:gridCol w:w="3990"/>
                    <w:gridCol w:w="1349"/>
                    <w:gridCol w:w="1348"/>
                  </w:tblGrid>
                  <w:tr>
                    <w:trPr>
                      <w:trHeight w:val="362"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期员工持股计划</w:t>
                        </w:r>
                      </w:p>
                    </w:tc>
                    <w:tc>
                      <w:tcPr>
                        <w:tcW w:w="3990" w:type="dxa"/>
                        <w:tcBorders>
                          <w:top w:val="single" w:sz="4" w:space="0" w:color="000000"/>
                          <w:left w:val="single" w:sz="4" w:space="0" w:color="000000"/>
                          <w:bottom w:val="single" w:sz="4" w:space="0" w:color="000000"/>
                          <w:right w:val="single" w:sz="4" w:space="0" w:color="000000"/>
                        </w:tcBorders>
                      </w:tcPr>
                      <w:p>
                        <w:pPr/>
                      </w:p>
                    </w:tc>
                    <w:tc>
                      <w:tcPr>
                        <w:tcW w:w="1349" w:type="dxa"/>
                        <w:tcBorders>
                          <w:top w:val="single" w:sz="4" w:space="0" w:color="000000"/>
                          <w:left w:val="single" w:sz="4" w:space="0" w:color="000000"/>
                          <w:bottom w:val="single" w:sz="4" w:space="0" w:color="000000"/>
                          <w:right w:val="single" w:sz="4" w:space="0" w:color="000000"/>
                        </w:tcBorders>
                      </w:tcPr>
                      <w:p>
                        <w:pPr/>
                      </w:p>
                    </w:tc>
                    <w:tc>
                      <w:tcPr>
                        <w:tcW w:w="1348"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胡燕英</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4,004,700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4,004,700</w:t>
                        </w:r>
                      </w:p>
                    </w:tc>
                  </w:tr>
                  <w:tr>
                    <w:trPr>
                      <w:trHeight w:val="402"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朱琳</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3,801,990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3,801,990</w:t>
                        </w:r>
                      </w:p>
                    </w:tc>
                  </w:tr>
                  <w:tr>
                    <w:trPr>
                      <w:trHeight w:val="402"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鲁波</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2,994,160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2,994,160</w:t>
                        </w:r>
                      </w:p>
                    </w:tc>
                  </w:tr>
                  <w:tr>
                    <w:trPr>
                      <w:trHeight w:val="714"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福建榕基软件股份有限公司－第二 期员工持股计划</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2,629,101</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2,629,101</w:t>
                        </w:r>
                      </w:p>
                    </w:tc>
                  </w:tr>
                  <w:tr>
                    <w:trPr>
                      <w:trHeight w:val="402"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王捷</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2,050,000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2,050,000</w:t>
                        </w:r>
                      </w:p>
                    </w:tc>
                  </w:tr>
                  <w:tr>
                    <w:trPr>
                      <w:trHeight w:val="402"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侯伟</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2,031,942</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2,031,942</w:t>
                        </w:r>
                      </w:p>
                    </w:tc>
                  </w:tr>
                  <w:tr>
                    <w:trPr>
                      <w:trHeight w:val="714" w:hRule="exact"/>
                    </w:trPr>
                    <w:tc>
                      <w:tcPr>
                        <w:tcW w:w="288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福建榕基软件股份有限公司－第一 期员工持股计划</w:t>
                        </w:r>
                      </w:p>
                    </w:tc>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1,867,900</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1,867,900</w:t>
                        </w:r>
                      </w:p>
                    </w:tc>
                  </w:tr>
                  <w:tr>
                    <w:trPr>
                      <w:trHeight w:val="1338" w:hRule="exact"/>
                    </w:trPr>
                    <w:tc>
                      <w:tcPr>
                        <w:tcW w:w="28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7"/>
                            <w:sz w:val="18"/>
                            <w:szCs w:val="18"/>
                          </w:rPr>
                          <w:t> </w:t>
                        </w:r>
                        <w:r>
                          <w:rPr>
                            <w:rFonts w:ascii="宋体" w:hAnsi="宋体" w:cs="宋体" w:eastAsia="宋体" w:hint="default"/>
                            <w:sz w:val="18"/>
                            <w:szCs w:val="18"/>
                          </w:rPr>
                          <w:t>名无限售流通股股东之间，以</w:t>
                        </w:r>
                      </w:p>
                      <w:p>
                        <w:pPr>
                          <w:pStyle w:val="TableParagraph"/>
                          <w:spacing w:line="309" w:lineRule="auto" w:before="62"/>
                          <w:ind w:left="22" w:right="23"/>
                          <w:jc w:val="left"/>
                          <w:rPr>
                            <w:rFonts w:ascii="宋体" w:hAnsi="宋体" w:cs="宋体" w:eastAsia="宋体" w:hint="default"/>
                            <w:sz w:val="18"/>
                            <w:szCs w:val="18"/>
                          </w:rPr>
                        </w:pPr>
                        <w:r>
                          <w:rPr>
                            <w:rFonts w:ascii="宋体" w:hAnsi="宋体" w:cs="宋体" w:eastAsia="宋体" w:hint="default"/>
                            <w:sz w:val="18"/>
                            <w:szCs w:val="18"/>
                          </w:rPr>
                          <w:t>及前</w:t>
                        </w:r>
                        <w:r>
                          <w:rPr>
                            <w:rFonts w:ascii="宋体" w:hAnsi="宋体" w:cs="宋体" w:eastAsia="宋体" w:hint="default"/>
                            <w:spacing w:val="-64"/>
                            <w:sz w:val="18"/>
                            <w:szCs w:val="18"/>
                          </w:rPr>
                          <w:t> </w:t>
                        </w:r>
                        <w:r>
                          <w:rPr>
                            <w:rFonts w:ascii="Arial" w:hAnsi="Arial" w:cs="Arial" w:eastAsia="Arial" w:hint="default"/>
                            <w:sz w:val="18"/>
                            <w:szCs w:val="18"/>
                          </w:rPr>
                          <w:t>10</w:t>
                        </w:r>
                        <w:r>
                          <w:rPr>
                            <w:rFonts w:ascii="Arial" w:hAnsi="Arial" w:cs="Arial" w:eastAsia="Arial" w:hint="default"/>
                            <w:spacing w:val="-24"/>
                            <w:sz w:val="18"/>
                            <w:szCs w:val="18"/>
                          </w:rPr>
                          <w:t> </w:t>
                        </w:r>
                        <w:r>
                          <w:rPr>
                            <w:rFonts w:ascii="宋体" w:hAnsi="宋体" w:cs="宋体" w:eastAsia="宋体" w:hint="default"/>
                            <w:sz w:val="18"/>
                            <w:szCs w:val="18"/>
                          </w:rPr>
                          <w:t>名无限售流通股股东和前</w:t>
                        </w:r>
                        <w:r>
                          <w:rPr>
                            <w:rFonts w:ascii="宋体" w:hAnsi="宋体" w:cs="宋体" w:eastAsia="宋体" w:hint="default"/>
                            <w:spacing w:val="-64"/>
                            <w:sz w:val="18"/>
                            <w:szCs w:val="18"/>
                          </w:rPr>
                          <w:t> </w:t>
                        </w:r>
                        <w:r>
                          <w:rPr>
                            <w:rFonts w:ascii="Arial" w:hAnsi="Arial" w:cs="Arial" w:eastAsia="Arial" w:hint="default"/>
                            <w:sz w:val="18"/>
                            <w:szCs w:val="18"/>
                          </w:rPr>
                          <w:t>10</w:t>
                        </w:r>
                        <w:r>
                          <w:rPr>
                            <w:rFonts w:ascii="Arial" w:hAnsi="Arial" w:cs="Arial" w:eastAsia="Arial" w:hint="default"/>
                            <w:spacing w:val="-1"/>
                            <w:sz w:val="18"/>
                            <w:szCs w:val="18"/>
                          </w:rPr>
                          <w:t> </w:t>
                        </w:r>
                        <w:r>
                          <w:rPr>
                            <w:rFonts w:ascii="宋体" w:hAnsi="宋体" w:cs="宋体" w:eastAsia="宋体" w:hint="default"/>
                            <w:sz w:val="18"/>
                            <w:szCs w:val="18"/>
                          </w:rPr>
                          <w:t>名股东之间关联关系或一致行动的 说明</w:t>
                        </w:r>
                      </w:p>
                    </w:tc>
                    <w:tc>
                      <w:tcPr>
                        <w:tcW w:w="6686" w:type="dxa"/>
                        <w:gridSpan w:val="3"/>
                        <w:tcBorders>
                          <w:top w:val="single" w:sz="4" w:space="0" w:color="000000"/>
                          <w:left w:val="single" w:sz="10" w:space="0" w:color="D3D3D3"/>
                          <w:bottom w:val="single" w:sz="4" w:space="0" w:color="000000"/>
                          <w:right w:val="single" w:sz="4" w:space="0" w:color="000000"/>
                        </w:tcBorders>
                      </w:tcPr>
                      <w:p>
                        <w:pPr>
                          <w:pStyle w:val="TableParagraph"/>
                          <w:spacing w:line="316" w:lineRule="auto" w:before="51"/>
                          <w:ind w:left="15" w:right="20"/>
                          <w:jc w:val="left"/>
                          <w:rPr>
                            <w:rFonts w:ascii="宋体" w:hAnsi="宋体" w:cs="宋体" w:eastAsia="宋体" w:hint="default"/>
                            <w:sz w:val="18"/>
                            <w:szCs w:val="18"/>
                          </w:rPr>
                        </w:pPr>
                        <w:r>
                          <w:rPr>
                            <w:rFonts w:ascii="宋体" w:hAnsi="宋体" w:cs="宋体" w:eastAsia="宋体" w:hint="default"/>
                            <w:spacing w:val="-1"/>
                            <w:sz w:val="18"/>
                            <w:szCs w:val="18"/>
                          </w:rPr>
                          <w:t>公司前十名股东中，鲁波为鲁峰之胞兄。福建榕基软件股份有限公司－第一期、第二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期及第三期员工持股计划与其他前十名股东之间不存在关联关系，不属于一致行动 </w:t>
                        </w:r>
                        <w:r>
                          <w:rPr>
                            <w:rFonts w:ascii="宋体" w:hAnsi="宋体" w:cs="宋体" w:eastAsia="宋体" w:hint="default"/>
                            <w:spacing w:val="-1"/>
                            <w:sz w:val="18"/>
                            <w:szCs w:val="18"/>
                          </w:rPr>
                          <w:t>人。除上述情况外，其他前十名股东之间未知是否存在关联关系，也未知是否属于一</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致行动人。</w:t>
                        </w:r>
                      </w:p>
                    </w:tc>
                  </w:tr>
                  <w:tr>
                    <w:trPr>
                      <w:trHeight w:val="714" w:hRule="exact"/>
                    </w:trPr>
                    <w:tc>
                      <w:tcPr>
                        <w:tcW w:w="28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36"/>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7"/>
                            <w:sz w:val="18"/>
                            <w:szCs w:val="18"/>
                          </w:rPr>
                          <w:t> </w:t>
                        </w:r>
                        <w:r>
                          <w:rPr>
                            <w:rFonts w:ascii="宋体" w:hAnsi="宋体" w:cs="宋体" w:eastAsia="宋体" w:hint="default"/>
                            <w:sz w:val="18"/>
                            <w:szCs w:val="18"/>
                          </w:rPr>
                          <w:t>名普通股股东参与融资融券业 </w:t>
                        </w:r>
                        <w:r>
                          <w:rPr>
                            <w:rFonts w:ascii="宋体" w:hAnsi="宋体" w:cs="宋体" w:eastAsia="宋体" w:hint="default"/>
                            <w:spacing w:val="-7"/>
                            <w:sz w:val="18"/>
                            <w:szCs w:val="18"/>
                          </w:rPr>
                          <w:t>务情况说明（如有）（参见注</w:t>
                        </w:r>
                        <w:r>
                          <w:rPr>
                            <w:rFonts w:ascii="宋体" w:hAnsi="宋体" w:cs="宋体" w:eastAsia="宋体" w:hint="default"/>
                            <w:spacing w:val="-44"/>
                            <w:sz w:val="18"/>
                            <w:szCs w:val="18"/>
                          </w:rPr>
                          <w:t> </w:t>
                        </w:r>
                        <w:r>
                          <w:rPr>
                            <w:rFonts w:ascii="Arial" w:hAnsi="Arial" w:cs="Arial" w:eastAsia="Arial" w:hint="default"/>
                            <w:spacing w:val="-1"/>
                            <w:sz w:val="18"/>
                            <w:szCs w:val="18"/>
                          </w:rPr>
                          <w:t>4</w:t>
                        </w:r>
                        <w:r>
                          <w:rPr>
                            <w:rFonts w:ascii="宋体" w:hAnsi="宋体" w:cs="宋体" w:eastAsia="宋体" w:hint="default"/>
                            <w:spacing w:val="-1"/>
                            <w:sz w:val="18"/>
                            <w:szCs w:val="18"/>
                          </w:rPr>
                          <w:t>）</w:t>
                        </w:r>
                      </w:p>
                    </w:tc>
                    <w:tc>
                      <w:tcPr>
                        <w:tcW w:w="6686" w:type="dxa"/>
                        <w:gridSpan w:val="3"/>
                        <w:tcBorders>
                          <w:top w:val="single" w:sz="4" w:space="0" w:color="000000"/>
                          <w:left w:val="single" w:sz="10" w:space="0" w:color="D3D3D3"/>
                          <w:bottom w:val="single" w:sz="4" w:space="0" w:color="000000"/>
                          <w:right w:val="single" w:sz="4" w:space="0" w:color="000000"/>
                        </w:tcBorders>
                      </w:tcPr>
                      <w:p>
                        <w:pPr>
                          <w:pStyle w:val="TableParagraph"/>
                          <w:spacing w:line="240" w:lineRule="auto" w:before="51"/>
                          <w:ind w:left="15" w:right="0"/>
                          <w:jc w:val="left"/>
                          <w:rPr>
                            <w:rFonts w:ascii="宋体" w:hAnsi="宋体" w:cs="宋体" w:eastAsia="宋体" w:hint="default"/>
                            <w:sz w:val="18"/>
                            <w:szCs w:val="18"/>
                          </w:rPr>
                        </w:pPr>
                        <w:r>
                          <w:rPr>
                            <w:rFonts w:ascii="宋体" w:hAnsi="宋体" w:cs="宋体" w:eastAsia="宋体" w:hint="default"/>
                            <w:sz w:val="18"/>
                            <w:szCs w:val="18"/>
                          </w:rPr>
                          <w:t>上海迦亿资产管理有限公司－迦亿增盈</w:t>
                        </w:r>
                        <w:r>
                          <w:rPr>
                            <w:rFonts w:ascii="宋体" w:hAnsi="宋体" w:cs="宋体" w:eastAsia="宋体" w:hint="default"/>
                            <w:spacing w:val="-38"/>
                            <w:sz w:val="18"/>
                            <w:szCs w:val="18"/>
                          </w:rPr>
                          <w:t> </w:t>
                        </w:r>
                        <w:r>
                          <w:rPr>
                            <w:rFonts w:ascii="Arial" w:hAnsi="Arial" w:cs="Arial" w:eastAsia="Arial" w:hint="default"/>
                            <w:sz w:val="18"/>
                            <w:szCs w:val="18"/>
                          </w:rPr>
                          <w:t>1</w:t>
                        </w:r>
                        <w:r>
                          <w:rPr>
                            <w:rFonts w:ascii="Arial" w:hAnsi="Arial" w:cs="Arial" w:eastAsia="Arial" w:hint="default"/>
                            <w:spacing w:val="3"/>
                            <w:sz w:val="18"/>
                            <w:szCs w:val="18"/>
                          </w:rPr>
                          <w:t> </w:t>
                        </w:r>
                        <w:r>
                          <w:rPr>
                            <w:rFonts w:ascii="宋体" w:hAnsi="宋体" w:cs="宋体" w:eastAsia="宋体" w:hint="default"/>
                            <w:spacing w:val="-3"/>
                            <w:sz w:val="18"/>
                            <w:szCs w:val="18"/>
                          </w:rPr>
                          <w:t>号私募证券投资基金参与融资融券，信用证</w:t>
                        </w:r>
                      </w:p>
                      <w:p>
                        <w:pPr>
                          <w:pStyle w:val="TableParagraph"/>
                          <w:spacing w:line="240" w:lineRule="auto" w:before="63"/>
                          <w:ind w:left="15" w:right="0"/>
                          <w:jc w:val="left"/>
                          <w:rPr>
                            <w:rFonts w:ascii="宋体" w:hAnsi="宋体" w:cs="宋体" w:eastAsia="宋体" w:hint="default"/>
                            <w:sz w:val="18"/>
                            <w:szCs w:val="18"/>
                          </w:rPr>
                        </w:pPr>
                        <w:r>
                          <w:rPr>
                            <w:rFonts w:ascii="宋体" w:hAnsi="宋体" w:cs="宋体" w:eastAsia="宋体" w:hint="default"/>
                            <w:sz w:val="18"/>
                            <w:szCs w:val="18"/>
                          </w:rPr>
                          <w:t>券账户持有</w:t>
                        </w:r>
                        <w:r>
                          <w:rPr>
                            <w:rFonts w:ascii="宋体" w:hAnsi="宋体" w:cs="宋体" w:eastAsia="宋体" w:hint="default"/>
                            <w:spacing w:val="-54"/>
                            <w:sz w:val="18"/>
                            <w:szCs w:val="18"/>
                          </w:rPr>
                          <w:t> </w:t>
                        </w:r>
                        <w:r>
                          <w:rPr>
                            <w:rFonts w:ascii="Arial" w:hAnsi="Arial" w:cs="Arial" w:eastAsia="Arial" w:hint="default"/>
                            <w:sz w:val="18"/>
                            <w:szCs w:val="18"/>
                          </w:rPr>
                          <w:t>11,590,000</w:t>
                        </w:r>
                        <w:r>
                          <w:rPr>
                            <w:rFonts w:ascii="Arial" w:hAnsi="Arial" w:cs="Arial" w:eastAsia="Arial" w:hint="default"/>
                            <w:spacing w:val="-14"/>
                            <w:sz w:val="18"/>
                            <w:szCs w:val="18"/>
                          </w:rPr>
                          <w:t> </w:t>
                        </w:r>
                        <w:r>
                          <w:rPr>
                            <w:rFonts w:ascii="宋体" w:hAnsi="宋体" w:cs="宋体" w:eastAsia="宋体" w:hint="default"/>
                            <w:sz w:val="18"/>
                            <w:szCs w:val="18"/>
                          </w:rPr>
                          <w:t>股；胡燕英参与融资融券，信用证券账户持有</w:t>
                        </w:r>
                        <w:r>
                          <w:rPr>
                            <w:rFonts w:ascii="宋体" w:hAnsi="宋体" w:cs="宋体" w:eastAsia="宋体" w:hint="default"/>
                            <w:spacing w:val="-54"/>
                            <w:sz w:val="18"/>
                            <w:szCs w:val="18"/>
                          </w:rPr>
                          <w:t> </w:t>
                        </w:r>
                        <w:r>
                          <w:rPr>
                            <w:rFonts w:ascii="Arial" w:hAnsi="Arial" w:cs="Arial" w:eastAsia="Arial" w:hint="default"/>
                            <w:sz w:val="18"/>
                            <w:szCs w:val="18"/>
                          </w:rPr>
                          <w:t>4,004,700</w:t>
                        </w:r>
                        <w:r>
                          <w:rPr>
                            <w:rFonts w:ascii="Arial" w:hAnsi="Arial" w:cs="Arial" w:eastAsia="Arial" w:hint="default"/>
                            <w:spacing w:val="-14"/>
                            <w:sz w:val="18"/>
                            <w:szCs w:val="18"/>
                          </w:rPr>
                          <w:t> </w:t>
                        </w:r>
                        <w:r>
                          <w:rPr>
                            <w:rFonts w:ascii="宋体" w:hAnsi="宋体" w:cs="宋体" w:eastAsia="宋体" w:hint="default"/>
                            <w:sz w:val="18"/>
                            <w:szCs w:val="18"/>
                          </w:rPr>
                          <w:t>股</w:t>
                        </w:r>
                      </w:p>
                    </w:tc>
                  </w:tr>
                </w:tbl>
                <w:p>
                  <w:pPr/>
                </w:p>
              </w:txbxContent>
            </v:textbox>
            <w10:wrap type="none"/>
          </v:shape>
        </w:pict>
      </w:r>
      <w:r>
        <w:rPr/>
        <w:t>。</w:t>
      </w:r>
    </w:p>
    <w:p>
      <w:pPr>
        <w:spacing w:line="240" w:lineRule="auto" w:before="4"/>
        <w:rPr>
          <w:rFonts w:ascii="宋体" w:hAnsi="宋体" w:cs="宋体" w:eastAsia="宋体" w:hint="default"/>
          <w:sz w:val="9"/>
          <w:szCs w:val="9"/>
        </w:rPr>
      </w:pPr>
    </w:p>
    <w:p>
      <w:pPr>
        <w:pStyle w:val="BodyText"/>
        <w:spacing w:line="240" w:lineRule="auto" w:before="44"/>
        <w:ind w:right="2239"/>
        <w:jc w:val="left"/>
      </w:pPr>
      <w:r>
        <w:rPr/>
        <w:t>公司前</w:t>
      </w:r>
      <w:r>
        <w:rPr>
          <w:spacing w:val="-46"/>
        </w:rPr>
        <w:t> </w:t>
      </w:r>
      <w:r>
        <w:rPr>
          <w:rFonts w:ascii="Arial" w:hAnsi="Arial" w:cs="Arial" w:eastAsia="Arial" w:hint="default"/>
        </w:rPr>
        <w:t>10</w:t>
      </w:r>
      <w:r>
        <w:rPr>
          <w:rFonts w:ascii="Arial" w:hAnsi="Arial" w:cs="Arial" w:eastAsia="Arial" w:hint="default"/>
          <w:spacing w:val="-7"/>
        </w:rPr>
        <w:t> </w:t>
      </w:r>
      <w:r>
        <w:rPr/>
        <w:t>名普通股股东、前</w:t>
      </w:r>
      <w:r>
        <w:rPr>
          <w:spacing w:val="-46"/>
        </w:rPr>
        <w:t> </w:t>
      </w:r>
      <w:r>
        <w:rPr>
          <w:rFonts w:ascii="Arial" w:hAnsi="Arial" w:cs="Arial" w:eastAsia="Arial" w:hint="default"/>
        </w:rPr>
        <w:t>10</w:t>
      </w:r>
      <w:r>
        <w:rPr>
          <w:rFonts w:ascii="Arial" w:hAnsi="Arial" w:cs="Arial" w:eastAsia="Arial" w:hint="default"/>
          <w:spacing w:val="-7"/>
        </w:rPr>
        <w:t> </w:t>
      </w:r>
      <w:r>
        <w:rPr/>
        <w:t>名无限售条件普通股股东在报告期内是否进行约定购回交易</w:t>
      </w:r>
    </w:p>
    <w:p>
      <w:pPr>
        <w:pStyle w:val="BodyText"/>
        <w:spacing w:line="240" w:lineRule="auto" w:before="104"/>
        <w:ind w:left="153" w:right="2239"/>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29"/>
        </w:rPr>
        <w:t> </w:t>
      </w:r>
      <w:r>
        <w:rPr/>
        <w:t>否</w:t>
      </w:r>
    </w:p>
    <w:p>
      <w:pPr>
        <w:pStyle w:val="BodyText"/>
        <w:spacing w:line="240" w:lineRule="auto" w:before="103"/>
        <w:ind w:right="2239"/>
        <w:jc w:val="left"/>
      </w:pPr>
      <w:r>
        <w:rPr/>
        <w:t>公司前</w:t>
      </w:r>
      <w:r>
        <w:rPr>
          <w:spacing w:val="-46"/>
        </w:rPr>
        <w:t> </w:t>
      </w:r>
      <w:r>
        <w:rPr>
          <w:rFonts w:ascii="Arial" w:hAnsi="Arial" w:cs="Arial" w:eastAsia="Arial" w:hint="default"/>
        </w:rPr>
        <w:t>10</w:t>
      </w:r>
      <w:r>
        <w:rPr>
          <w:rFonts w:ascii="Arial" w:hAnsi="Arial" w:cs="Arial" w:eastAsia="Arial" w:hint="default"/>
          <w:spacing w:val="-7"/>
        </w:rPr>
        <w:t> </w:t>
      </w:r>
      <w:r>
        <w:rPr/>
        <w:t>名普通股股东、前</w:t>
      </w:r>
      <w:r>
        <w:rPr>
          <w:spacing w:val="-46"/>
        </w:rPr>
        <w:t> </w:t>
      </w:r>
      <w:r>
        <w:rPr>
          <w:rFonts w:ascii="Arial" w:hAnsi="Arial" w:cs="Arial" w:eastAsia="Arial" w:hint="default"/>
        </w:rPr>
        <w:t>10</w:t>
      </w:r>
      <w:r>
        <w:rPr>
          <w:rFonts w:ascii="Arial" w:hAnsi="Arial" w:cs="Arial" w:eastAsia="Arial" w:hint="default"/>
          <w:spacing w:val="-7"/>
        </w:rPr>
        <w:t> </w:t>
      </w:r>
      <w:r>
        <w:rPr/>
        <w:t>名无限售条件普通股股东在报告期内未进行约定购回交易。</w:t>
      </w:r>
    </w:p>
    <w:p>
      <w:pPr>
        <w:spacing w:line="240" w:lineRule="auto" w:before="10"/>
        <w:rPr>
          <w:rFonts w:ascii="宋体" w:hAnsi="宋体" w:cs="宋体" w:eastAsia="宋体" w:hint="default"/>
          <w:sz w:val="25"/>
          <w:szCs w:val="25"/>
        </w:rPr>
      </w:pPr>
    </w:p>
    <w:p>
      <w:pPr>
        <w:pStyle w:val="Heading4"/>
        <w:spacing w:line="240" w:lineRule="auto"/>
        <w:ind w:right="2239"/>
        <w:jc w:val="left"/>
        <w:rPr>
          <w:b w:val="0"/>
          <w:bCs w:val="0"/>
        </w:rPr>
      </w:pPr>
      <w:r>
        <w:rPr>
          <w:rFonts w:ascii="Arial" w:hAnsi="Arial" w:cs="Arial" w:eastAsia="Arial" w:hint="default"/>
        </w:rPr>
        <w:t>2</w:t>
      </w:r>
      <w:r>
        <w:rPr/>
        <w:t>、公司控股股东情况</w:t>
      </w:r>
      <w:r>
        <w:rPr>
          <w:b w:val="0"/>
          <w:bCs w:val="0"/>
        </w:rPr>
      </w:r>
    </w:p>
    <w:p>
      <w:pPr>
        <w:spacing w:line="240" w:lineRule="auto" w:before="10"/>
        <w:rPr>
          <w:rFonts w:ascii="宋体" w:hAnsi="宋体" w:cs="宋体" w:eastAsia="宋体" w:hint="default"/>
          <w:b/>
          <w:bCs/>
          <w:sz w:val="26"/>
          <w:szCs w:val="26"/>
        </w:rPr>
      </w:pPr>
    </w:p>
    <w:p>
      <w:pPr>
        <w:pStyle w:val="BodyText"/>
        <w:spacing w:line="357" w:lineRule="auto"/>
        <w:ind w:left="153" w:right="8591"/>
        <w:jc w:val="left"/>
      </w:pPr>
      <w:r>
        <w:rPr/>
        <w:t>控股股东性质：自然人控股 控股股东类型：自然人</w:t>
      </w:r>
    </w:p>
    <w:tbl>
      <w:tblPr>
        <w:tblW w:w="0" w:type="auto"/>
        <w:jc w:val="left"/>
        <w:tblInd w:w="149" w:type="dxa"/>
        <w:tblLayout w:type="fixed"/>
        <w:tblCellMar>
          <w:top w:w="0" w:type="dxa"/>
          <w:left w:w="0" w:type="dxa"/>
          <w:bottom w:w="0" w:type="dxa"/>
          <w:right w:w="0" w:type="dxa"/>
        </w:tblCellMar>
        <w:tblLook w:val="01E0"/>
      </w:tblPr>
      <w:tblGrid>
        <w:gridCol w:w="3406"/>
        <w:gridCol w:w="2314"/>
        <w:gridCol w:w="3847"/>
      </w:tblGrid>
      <w:tr>
        <w:trPr>
          <w:trHeight w:val="402" w:hRule="exact"/>
        </w:trPr>
        <w:tc>
          <w:tcPr>
            <w:tcW w:w="34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控股股东姓名</w:t>
            </w:r>
          </w:p>
        </w:tc>
        <w:tc>
          <w:tcPr>
            <w:tcW w:w="23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国籍</w:t>
            </w:r>
          </w:p>
        </w:tc>
        <w:tc>
          <w:tcPr>
            <w:tcW w:w="384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8" w:right="0"/>
              <w:jc w:val="left"/>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2" w:hRule="exact"/>
        </w:trPr>
        <w:tc>
          <w:tcPr>
            <w:tcW w:w="34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23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38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34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6161" w:type="dxa"/>
            <w:gridSpan w:val="2"/>
            <w:tcBorders>
              <w:top w:val="single" w:sz="4" w:space="0" w:color="000000"/>
              <w:left w:val="single" w:sz="9" w:space="0" w:color="D3D3D3"/>
              <w:bottom w:val="single" w:sz="4" w:space="0" w:color="000000"/>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福建榕基软件股份有限公司董事长、总裁。</w:t>
            </w:r>
          </w:p>
        </w:tc>
      </w:tr>
      <w:tr>
        <w:trPr>
          <w:trHeight w:val="714" w:hRule="exact"/>
        </w:trPr>
        <w:tc>
          <w:tcPr>
            <w:tcW w:w="34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31"/>
              <w:jc w:val="left"/>
              <w:rPr>
                <w:rFonts w:ascii="宋体" w:hAnsi="宋体" w:cs="宋体" w:eastAsia="宋体" w:hint="default"/>
                <w:sz w:val="18"/>
                <w:szCs w:val="18"/>
              </w:rPr>
            </w:pPr>
            <w:r>
              <w:rPr>
                <w:rFonts w:ascii="宋体" w:hAnsi="宋体" w:cs="宋体" w:eastAsia="宋体" w:hint="default"/>
                <w:sz w:val="18"/>
                <w:szCs w:val="18"/>
              </w:rPr>
              <w:t>报告期内控股和参股的其他境内外上市公 司的股权情况</w:t>
            </w:r>
          </w:p>
        </w:tc>
        <w:tc>
          <w:tcPr>
            <w:tcW w:w="6161" w:type="dxa"/>
            <w:gridSpan w:val="2"/>
            <w:tcBorders>
              <w:top w:val="single" w:sz="4" w:space="0" w:color="000000"/>
              <w:left w:val="single" w:sz="9"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68"/>
        <w:ind w:right="2239"/>
        <w:jc w:val="left"/>
      </w:pPr>
      <w:r>
        <w:rPr/>
        <w:t>控股股东报告期内变更</w:t>
      </w:r>
    </w:p>
    <w:p>
      <w:pPr>
        <w:pStyle w:val="BodyText"/>
        <w:spacing w:line="340" w:lineRule="auto" w:before="117"/>
        <w:ind w:right="679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公司报告期控股股东未发生变更。</w:t>
      </w:r>
    </w:p>
    <w:p>
      <w:pPr>
        <w:spacing w:line="240" w:lineRule="auto" w:before="13"/>
        <w:rPr>
          <w:rFonts w:ascii="宋体" w:hAnsi="宋体" w:cs="宋体" w:eastAsia="宋体" w:hint="default"/>
          <w:sz w:val="20"/>
          <w:szCs w:val="20"/>
        </w:rPr>
      </w:pPr>
    </w:p>
    <w:p>
      <w:pPr>
        <w:pStyle w:val="Heading4"/>
        <w:spacing w:line="240" w:lineRule="auto"/>
        <w:ind w:right="2239"/>
        <w:jc w:val="left"/>
        <w:rPr>
          <w:b w:val="0"/>
          <w:bCs w:val="0"/>
        </w:rPr>
      </w:pPr>
      <w:r>
        <w:rPr>
          <w:rFonts w:ascii="Arial" w:hAnsi="Arial" w:cs="Arial" w:eastAsia="Arial" w:hint="default"/>
        </w:rPr>
        <w:t>3</w:t>
      </w:r>
      <w:r>
        <w:rPr/>
        <w:t>、公司实际控制人及其一致行动人</w:t>
      </w:r>
      <w:r>
        <w:rPr>
          <w:b w:val="0"/>
          <w:bCs w:val="0"/>
        </w:rPr>
      </w:r>
    </w:p>
    <w:p>
      <w:pPr>
        <w:spacing w:line="240" w:lineRule="auto" w:before="10"/>
        <w:rPr>
          <w:rFonts w:ascii="宋体" w:hAnsi="宋体" w:cs="宋体" w:eastAsia="宋体" w:hint="default"/>
          <w:b/>
          <w:bCs/>
          <w:sz w:val="26"/>
          <w:szCs w:val="26"/>
        </w:rPr>
      </w:pPr>
    </w:p>
    <w:p>
      <w:pPr>
        <w:pStyle w:val="BodyText"/>
        <w:spacing w:line="357" w:lineRule="auto"/>
        <w:ind w:left="153" w:right="8411"/>
        <w:jc w:val="left"/>
      </w:pPr>
      <w:r>
        <w:rPr/>
        <w:t>实际控制人性质：境内自然人 实际控制人类型：自然人</w:t>
      </w: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0"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与实际控制人关系</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国籍</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10" w:right="109" w:hanging="900"/>
              <w:jc w:val="left"/>
              <w:rPr>
                <w:rFonts w:ascii="宋体" w:hAnsi="宋体" w:cs="宋体" w:eastAsia="宋体" w:hint="default"/>
                <w:sz w:val="18"/>
                <w:szCs w:val="18"/>
              </w:rPr>
            </w:pPr>
            <w:r>
              <w:rPr>
                <w:rFonts w:ascii="宋体" w:hAnsi="宋体" w:cs="宋体" w:eastAsia="宋体" w:hint="default"/>
                <w:sz w:val="18"/>
                <w:szCs w:val="18"/>
              </w:rPr>
              <w:t>是否取得其他国家或地区居 留权</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0"/>
        <w:gridCol w:w="2404"/>
        <w:gridCol w:w="2392"/>
        <w:gridCol w:w="2392"/>
      </w:tblGrid>
      <w:tr>
        <w:trPr>
          <w:trHeight w:val="402" w:hRule="exact"/>
        </w:trPr>
        <w:tc>
          <w:tcPr>
            <w:tcW w:w="2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2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本人</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主要职业及职务</w:t>
            </w:r>
          </w:p>
        </w:tc>
        <w:tc>
          <w:tcPr>
            <w:tcW w:w="718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公司董事长、总裁</w:t>
            </w:r>
          </w:p>
        </w:tc>
      </w:tr>
      <w:tr>
        <w:trPr>
          <w:trHeight w:val="714" w:hRule="exact"/>
        </w:trPr>
        <w:tc>
          <w:tcPr>
            <w:tcW w:w="23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75"/>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7"/>
                <w:sz w:val="18"/>
                <w:szCs w:val="18"/>
              </w:rPr>
              <w:t> </w:t>
            </w:r>
            <w:r>
              <w:rPr>
                <w:rFonts w:ascii="宋体" w:hAnsi="宋体" w:cs="宋体" w:eastAsia="宋体" w:hint="default"/>
                <w:sz w:val="18"/>
                <w:szCs w:val="18"/>
              </w:rPr>
              <w:t>年曾控股的境内外上 市公司情况</w:t>
            </w:r>
          </w:p>
        </w:tc>
        <w:tc>
          <w:tcPr>
            <w:tcW w:w="7187" w:type="dxa"/>
            <w:gridSpan w:val="3"/>
            <w:tcBorders>
              <w:top w:val="single" w:sz="4" w:space="0" w:color="000000"/>
              <w:left w:val="single" w:sz="13" w:space="0" w:color="D3D3D3"/>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51"/>
        <w:ind w:right="2239"/>
        <w:jc w:val="left"/>
      </w:pPr>
      <w:r>
        <w:rPr/>
        <w:t>实际控制人报告期内变更</w:t>
      </w:r>
    </w:p>
    <w:p>
      <w:pPr>
        <w:pStyle w:val="BodyText"/>
        <w:spacing w:line="350" w:lineRule="auto" w:before="117"/>
        <w:ind w:right="679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公司报告期实际控制人未发生变更。 公司与实际控制人之间的产权及控制关系的方框图</w:t>
      </w:r>
    </w:p>
    <w:p>
      <w:pPr>
        <w:spacing w:line="240" w:lineRule="auto" w:before="5"/>
        <w:rPr>
          <w:rFonts w:ascii="宋体" w:hAnsi="宋体" w:cs="宋体" w:eastAsia="宋体" w:hint="default"/>
          <w:sz w:val="25"/>
          <w:szCs w:val="25"/>
        </w:rPr>
      </w:pPr>
    </w:p>
    <w:p>
      <w:pPr>
        <w:spacing w:line="3135" w:lineRule="exact"/>
        <w:ind w:left="1360" w:right="0" w:firstLine="0"/>
        <w:rPr>
          <w:rFonts w:ascii="宋体" w:hAnsi="宋体" w:cs="宋体" w:eastAsia="宋体" w:hint="default"/>
          <w:sz w:val="20"/>
          <w:szCs w:val="20"/>
        </w:rPr>
      </w:pPr>
      <w:r>
        <w:rPr>
          <w:rFonts w:ascii="宋体" w:hAnsi="宋体" w:cs="宋体" w:eastAsia="宋体" w:hint="default"/>
          <w:position w:val="-62"/>
          <w:sz w:val="20"/>
          <w:szCs w:val="20"/>
        </w:rPr>
        <w:drawing>
          <wp:inline distT="0" distB="0" distL="0" distR="0">
            <wp:extent cx="4586478" cy="1991105"/>
            <wp:effectExtent l="0" t="0" r="0" b="0"/>
            <wp:docPr id="3" name="image3.png" descr=""/>
            <wp:cNvGraphicFramePr>
              <a:graphicFrameLocks noChangeAspect="1"/>
            </wp:cNvGraphicFramePr>
            <a:graphic>
              <a:graphicData uri="http://schemas.openxmlformats.org/drawingml/2006/picture">
                <pic:pic>
                  <pic:nvPicPr>
                    <pic:cNvPr id="4" name="image3.png"/>
                    <pic:cNvPicPr/>
                  </pic:nvPicPr>
                  <pic:blipFill>
                    <a:blip r:embed="rId18" cstate="print"/>
                    <a:stretch>
                      <a:fillRect/>
                    </a:stretch>
                  </pic:blipFill>
                  <pic:spPr>
                    <a:xfrm>
                      <a:off x="0" y="0"/>
                      <a:ext cx="4586478" cy="1991105"/>
                    </a:xfrm>
                    <a:prstGeom prst="rect">
                      <a:avLst/>
                    </a:prstGeom>
                  </pic:spPr>
                </pic:pic>
              </a:graphicData>
            </a:graphic>
          </wp:inline>
        </w:drawing>
      </w:r>
      <w:r>
        <w:rPr>
          <w:rFonts w:ascii="宋体" w:hAnsi="宋体" w:cs="宋体" w:eastAsia="宋体" w:hint="default"/>
          <w:position w:val="-62"/>
          <w:sz w:val="20"/>
          <w:szCs w:val="20"/>
        </w:rPr>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3"/>
        <w:spacing w:line="240" w:lineRule="auto"/>
        <w:ind w:right="2239"/>
        <w:jc w:val="left"/>
      </w:pPr>
      <w:r>
        <w:rPr/>
        <w:t>实际控制人通过信托或其他资产管理方式控制公司</w:t>
      </w:r>
    </w:p>
    <w:p>
      <w:pPr>
        <w:spacing w:line="240" w:lineRule="auto" w:before="2"/>
        <w:rPr>
          <w:rFonts w:ascii="宋体" w:hAnsi="宋体" w:cs="宋体" w:eastAsia="宋体" w:hint="default"/>
          <w:sz w:val="30"/>
          <w:szCs w:val="30"/>
        </w:rPr>
      </w:pPr>
    </w:p>
    <w:p>
      <w:pPr>
        <w:pStyle w:val="BodyText"/>
        <w:spacing w:line="240" w:lineRule="auto"/>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2239"/>
        <w:jc w:val="left"/>
        <w:rPr>
          <w:b w:val="0"/>
          <w:bCs w:val="0"/>
        </w:rPr>
      </w:pPr>
      <w:r>
        <w:rPr>
          <w:rFonts w:ascii="Arial" w:hAnsi="Arial" w:cs="Arial" w:eastAsia="Arial" w:hint="default"/>
        </w:rPr>
        <w:t>4</w:t>
      </w:r>
      <w:r>
        <w:rPr/>
        <w:t>、其他持股在</w:t>
      </w:r>
      <w:r>
        <w:rPr>
          <w:spacing w:val="-58"/>
        </w:rPr>
        <w:t> </w:t>
      </w:r>
      <w:r>
        <w:rPr>
          <w:rFonts w:ascii="Arial" w:hAnsi="Arial" w:cs="Arial" w:eastAsia="Arial" w:hint="default"/>
        </w:rPr>
        <w:t>10%</w:t>
      </w:r>
      <w:r>
        <w:rPr/>
        <w:t>以上的法人股东</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2239"/>
        <w:jc w:val="left"/>
        <w:rPr>
          <w:b w:val="0"/>
          <w:bCs w:val="0"/>
        </w:rPr>
      </w:pPr>
      <w:r>
        <w:rPr>
          <w:rFonts w:ascii="Arial" w:hAnsi="Arial" w:cs="Arial" w:eastAsia="Arial" w:hint="default"/>
        </w:rPr>
        <w:t>5</w:t>
      </w:r>
      <w:r>
        <w:rPr/>
        <w:t>、控股股东、实际控制人、重组方及其他承诺主体股份限制减持情况</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after="0" w:line="240"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366" w:right="2239"/>
        <w:jc w:val="left"/>
        <w:rPr>
          <w:b w:val="0"/>
          <w:bCs w:val="0"/>
        </w:rPr>
      </w:pPr>
      <w:bookmarkStart w:name="_TOC_250006" w:id="7"/>
      <w:r>
        <w:rPr/>
        <w:t>第七节优先股相关情况</w:t>
      </w:r>
      <w:bookmarkEnd w:id="7"/>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9"/>
          <w:szCs w:val="19"/>
        </w:rPr>
      </w:pPr>
    </w:p>
    <w:p>
      <w:pPr>
        <w:pStyle w:val="BodyText"/>
        <w:spacing w:line="340" w:lineRule="auto" w:before="44"/>
        <w:ind w:right="859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报告期公司不存在优先股。</w:t>
      </w:r>
    </w:p>
    <w:p>
      <w:pPr>
        <w:spacing w:after="0" w:line="340"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2724" w:right="2239"/>
        <w:jc w:val="left"/>
        <w:rPr>
          <w:b w:val="0"/>
          <w:bCs w:val="0"/>
        </w:rPr>
      </w:pPr>
      <w:bookmarkStart w:name="_TOC_250005" w:id="8"/>
      <w:r>
        <w:rPr/>
        <w:t>第八节可转换公司债券相关情况</w:t>
      </w:r>
      <w:bookmarkEnd w:id="8"/>
      <w:r>
        <w:rPr>
          <w:b w:val="0"/>
          <w:bCs w:val="0"/>
        </w:rPr>
      </w:r>
    </w:p>
    <w:p>
      <w:pPr>
        <w:spacing w:line="240" w:lineRule="auto" w:before="8"/>
        <w:rPr>
          <w:rFonts w:ascii="宋体" w:hAnsi="宋体" w:cs="宋体" w:eastAsia="宋体" w:hint="default"/>
          <w:b/>
          <w:bCs/>
          <w:sz w:val="42"/>
          <w:szCs w:val="42"/>
        </w:rPr>
      </w:pPr>
    </w:p>
    <w:p>
      <w:pPr>
        <w:pStyle w:val="BodyText"/>
        <w:spacing w:line="340" w:lineRule="auto"/>
        <w:ind w:right="787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报告期公司不存在可转换公司债券。</w:t>
      </w:r>
    </w:p>
    <w:p>
      <w:pPr>
        <w:spacing w:after="0" w:line="340"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1760" w:right="2239"/>
        <w:jc w:val="left"/>
        <w:rPr>
          <w:b w:val="0"/>
          <w:bCs w:val="0"/>
        </w:rPr>
      </w:pPr>
      <w:bookmarkStart w:name="_TOC_250004" w:id="9"/>
      <w:r>
        <w:rPr/>
        <w:t>第九节董事、监事、高级管理人员和员工情况</w:t>
      </w:r>
      <w:bookmarkEnd w:id="9"/>
      <w:r>
        <w:rPr>
          <w:b w:val="0"/>
          <w:bCs w:val="0"/>
        </w:rPr>
      </w:r>
    </w:p>
    <w:p>
      <w:pPr>
        <w:spacing w:line="240" w:lineRule="auto" w:before="11"/>
        <w:rPr>
          <w:rFonts w:ascii="宋体" w:hAnsi="宋体" w:cs="宋体" w:eastAsia="宋体" w:hint="default"/>
          <w:b/>
          <w:bCs/>
          <w:sz w:val="38"/>
          <w:szCs w:val="38"/>
        </w:rPr>
      </w:pPr>
    </w:p>
    <w:p>
      <w:pPr>
        <w:pStyle w:val="Heading2"/>
        <w:spacing w:line="240" w:lineRule="auto"/>
        <w:ind w:right="2239"/>
        <w:jc w:val="left"/>
        <w:rPr>
          <w:b w:val="0"/>
          <w:bCs w:val="0"/>
        </w:rPr>
      </w:pP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1025"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4"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任期起始 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任期终止 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3" w:right="32"/>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20"/>
              <w:ind w:left="12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32" w:firstLine="10"/>
              <w:jc w:val="left"/>
              <w:rPr>
                <w:rFonts w:ascii="宋体" w:hAnsi="宋体" w:cs="宋体" w:eastAsia="宋体" w:hint="default"/>
                <w:sz w:val="18"/>
                <w:szCs w:val="18"/>
              </w:rPr>
            </w:pPr>
            <w:r>
              <w:rPr>
                <w:rFonts w:ascii="宋体" w:hAnsi="宋体" w:cs="宋体" w:eastAsia="宋体" w:hint="default"/>
                <w:sz w:val="18"/>
                <w:szCs w:val="18"/>
              </w:rPr>
              <w:t>其他增减 </w:t>
            </w:r>
            <w:r>
              <w:rPr>
                <w:rFonts w:ascii="宋体" w:hAnsi="宋体" w:cs="宋体" w:eastAsia="宋体" w:hint="default"/>
                <w:spacing w:val="-18"/>
                <w:sz w:val="18"/>
                <w:szCs w:val="18"/>
              </w:rPr>
              <w:t>变动（股</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期末持股</w:t>
            </w:r>
          </w:p>
          <w:p>
            <w:pPr>
              <w:pStyle w:val="TableParagraph"/>
              <w:spacing w:line="240" w:lineRule="auto" w:before="76"/>
              <w:ind w:left="-56" w:right="0"/>
              <w:jc w:val="left"/>
              <w:rPr>
                <w:rFonts w:ascii="宋体" w:hAnsi="宋体" w:cs="宋体" w:eastAsia="宋体" w:hint="default"/>
                <w:sz w:val="18"/>
                <w:szCs w:val="18"/>
              </w:rPr>
            </w:pPr>
            <w:r>
              <w:rPr>
                <w:rFonts w:ascii="宋体" w:hAnsi="宋体" w:cs="宋体" w:eastAsia="宋体" w:hint="default"/>
                <w:spacing w:val="-92"/>
                <w:sz w:val="18"/>
                <w:szCs w:val="18"/>
              </w:rPr>
              <w:t>）</w:t>
            </w:r>
            <w:r>
              <w:rPr>
                <w:rFonts w:ascii="宋体" w:hAnsi="宋体" w:cs="宋体" w:eastAsia="宋体" w:hint="default"/>
                <w:sz w:val="18"/>
                <w:szCs w:val="18"/>
              </w:rPr>
              <w:t>数（股）</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董事长、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Arial" w:hAnsi="Arial" w:cs="Arial" w:eastAsia="Arial" w:hint="default"/>
                <w:sz w:val="18"/>
                <w:szCs w:val="18"/>
              </w:rPr>
            </w:pPr>
            <w:r>
              <w:rPr>
                <w:rFonts w:ascii="Arial"/>
                <w:spacing w:val="-1"/>
                <w:w w:val="95"/>
                <w:sz w:val="18"/>
              </w:rPr>
              <w:t>53</w:t>
            </w:r>
            <w:r>
              <w:rPr>
                <w:rFonts w:ascii="Arial"/>
                <w:w w:val="95"/>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9"/>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Arial" w:hAnsi="Arial" w:cs="Arial" w:eastAsia="Arial" w:hint="default"/>
                <w:sz w:val="18"/>
                <w:szCs w:val="18"/>
              </w:rPr>
            </w:pPr>
            <w:r>
              <w:rPr>
                <w:rFonts w:ascii="Arial" w:hAnsi="Arial" w:cs="Arial" w:eastAsia="Arial" w:hint="default"/>
                <w:sz w:val="18"/>
                <w:szCs w:val="18"/>
              </w:rPr>
              <w:t>10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15</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Arial" w:hAnsi="Arial" w:cs="Arial" w:eastAsia="Arial" w:hint="default"/>
                <w:sz w:val="18"/>
                <w:szCs w:val="18"/>
              </w:rPr>
              <w:t>2022</w:t>
            </w:r>
            <w:r>
              <w:rPr>
                <w:rFonts w:ascii="Arial" w:hAnsi="Arial" w:cs="Arial" w:eastAsia="Arial" w:hint="default"/>
                <w:spacing w:val="-9"/>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31</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63" w:right="0"/>
              <w:jc w:val="left"/>
              <w:rPr>
                <w:rFonts w:ascii="Arial" w:hAnsi="Arial" w:cs="Arial" w:eastAsia="Arial" w:hint="default"/>
                <w:sz w:val="18"/>
                <w:szCs w:val="18"/>
              </w:rPr>
            </w:pPr>
            <w:r>
              <w:rPr>
                <w:rFonts w:ascii="Arial"/>
                <w:sz w:val="18"/>
              </w:rPr>
              <w:t>129,015,</w:t>
            </w:r>
          </w:p>
          <w:p>
            <w:pPr>
              <w:pStyle w:val="TableParagraph"/>
              <w:spacing w:line="240" w:lineRule="auto" w:before="105"/>
              <w:ind w:left="464" w:right="0"/>
              <w:jc w:val="left"/>
              <w:rPr>
                <w:rFonts w:ascii="Arial" w:hAnsi="Arial" w:cs="Arial" w:eastAsia="Arial" w:hint="default"/>
                <w:sz w:val="18"/>
                <w:szCs w:val="18"/>
              </w:rPr>
            </w:pPr>
            <w:r>
              <w:rPr>
                <w:rFonts w:ascii="Arial"/>
                <w:sz w:val="18"/>
              </w:rPr>
              <w:t>740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left="63" w:right="0"/>
              <w:jc w:val="left"/>
              <w:rPr>
                <w:rFonts w:ascii="Arial" w:hAnsi="Arial" w:cs="Arial" w:eastAsia="Arial" w:hint="default"/>
                <w:sz w:val="18"/>
                <w:szCs w:val="18"/>
              </w:rPr>
            </w:pPr>
            <w:r>
              <w:rPr>
                <w:rFonts w:ascii="Arial"/>
                <w:sz w:val="18"/>
              </w:rPr>
              <w:t>129,015,</w:t>
            </w:r>
          </w:p>
          <w:p>
            <w:pPr>
              <w:pStyle w:val="TableParagraph"/>
              <w:spacing w:line="240" w:lineRule="auto" w:before="105"/>
              <w:ind w:left="464" w:right="0"/>
              <w:jc w:val="left"/>
              <w:rPr>
                <w:rFonts w:ascii="Arial" w:hAnsi="Arial" w:cs="Arial" w:eastAsia="Arial" w:hint="default"/>
                <w:sz w:val="18"/>
                <w:szCs w:val="18"/>
              </w:rPr>
            </w:pPr>
            <w:r>
              <w:rPr>
                <w:rFonts w:ascii="Arial"/>
                <w:sz w:val="18"/>
              </w:rPr>
              <w:t>740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侯伟</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2"/>
              <w:jc w:val="left"/>
              <w:rPr>
                <w:rFonts w:ascii="宋体" w:hAnsi="宋体" w:cs="宋体" w:eastAsia="宋体" w:hint="default"/>
                <w:sz w:val="18"/>
                <w:szCs w:val="18"/>
              </w:rPr>
            </w:pPr>
            <w:r>
              <w:rPr>
                <w:rFonts w:ascii="宋体" w:hAnsi="宋体" w:cs="宋体" w:eastAsia="宋体" w:hint="default"/>
                <w:sz w:val="18"/>
                <w:szCs w:val="18"/>
              </w:rPr>
              <w:t>副董事 长、常务 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Arial" w:hAnsi="Arial" w:cs="Arial" w:eastAsia="Arial" w:hint="default"/>
                <w:sz w:val="18"/>
                <w:szCs w:val="18"/>
              </w:rPr>
            </w:pPr>
            <w:r>
              <w:rPr>
                <w:rFonts w:ascii="Arial"/>
                <w:spacing w:val="-1"/>
                <w:w w:val="95"/>
                <w:sz w:val="18"/>
              </w:rPr>
              <w:t>54</w:t>
            </w:r>
            <w:r>
              <w:rPr>
                <w:rFonts w:ascii="Arial"/>
                <w:w w:val="95"/>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9"/>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Arial" w:hAnsi="Arial" w:cs="Arial" w:eastAsia="Arial" w:hint="default"/>
                <w:sz w:val="18"/>
                <w:szCs w:val="18"/>
              </w:rPr>
            </w:pPr>
            <w:r>
              <w:rPr>
                <w:rFonts w:ascii="Arial" w:hAnsi="Arial" w:cs="Arial" w:eastAsia="Arial" w:hint="default"/>
                <w:sz w:val="18"/>
                <w:szCs w:val="18"/>
              </w:rPr>
              <w:t>10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15</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Arial" w:hAnsi="Arial" w:cs="Arial" w:eastAsia="Arial" w:hint="default"/>
                <w:sz w:val="18"/>
                <w:szCs w:val="18"/>
              </w:rPr>
              <w:t>2022</w:t>
            </w:r>
            <w:r>
              <w:rPr>
                <w:rFonts w:ascii="Arial" w:hAnsi="Arial" w:cs="Arial" w:eastAsia="Arial" w:hint="default"/>
                <w:spacing w:val="-9"/>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31</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Arial" w:hAnsi="Arial" w:cs="Arial" w:eastAsia="Arial" w:hint="default"/>
                <w:sz w:val="18"/>
                <w:szCs w:val="18"/>
              </w:rPr>
            </w:pPr>
            <w:r>
              <w:rPr>
                <w:rFonts w:ascii="Arial"/>
                <w:spacing w:val="-1"/>
                <w:sz w:val="18"/>
              </w:rPr>
              <w:t>54,487,7</w:t>
            </w:r>
            <w:r>
              <w:rPr>
                <w:rFonts w:ascii="Arial"/>
                <w:sz w:val="18"/>
              </w:rPr>
            </w:r>
          </w:p>
          <w:p>
            <w:pPr>
              <w:pStyle w:val="TableParagraph"/>
              <w:spacing w:line="240" w:lineRule="auto" w:before="105"/>
              <w:ind w:right="23"/>
              <w:jc w:val="right"/>
              <w:rPr>
                <w:rFonts w:ascii="Arial" w:hAnsi="Arial" w:cs="Arial" w:eastAsia="Arial" w:hint="default"/>
                <w:sz w:val="18"/>
                <w:szCs w:val="18"/>
              </w:rPr>
            </w:pPr>
            <w:r>
              <w:rPr>
                <w:rFonts w:ascii="Arial"/>
                <w:spacing w:val="-1"/>
                <w:w w:val="95"/>
                <w:sz w:val="18"/>
              </w:rPr>
              <w:t>66</w:t>
            </w:r>
            <w:r>
              <w:rPr>
                <w:rFonts w:ascii="Arial"/>
                <w:w w:val="95"/>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18"/>
                <w:szCs w:val="18"/>
              </w:rPr>
            </w:pPr>
            <w:r>
              <w:rPr>
                <w:rFonts w:ascii="Arial"/>
                <w:spacing w:val="-2"/>
                <w:sz w:val="18"/>
              </w:rPr>
              <w:t>11,590,0</w:t>
            </w:r>
          </w:p>
          <w:p>
            <w:pPr>
              <w:pStyle w:val="TableParagraph"/>
              <w:spacing w:line="240" w:lineRule="auto" w:before="105"/>
              <w:ind w:right="23"/>
              <w:jc w:val="right"/>
              <w:rPr>
                <w:rFonts w:ascii="Arial" w:hAnsi="Arial" w:cs="Arial" w:eastAsia="Arial" w:hint="default"/>
                <w:sz w:val="18"/>
                <w:szCs w:val="18"/>
              </w:rPr>
            </w:pPr>
            <w:r>
              <w:rPr>
                <w:rFonts w:ascii="Arial"/>
                <w:spacing w:val="-1"/>
                <w:w w:val="95"/>
                <w:sz w:val="18"/>
              </w:rPr>
              <w:t>00</w:t>
            </w:r>
            <w:r>
              <w:rPr>
                <w:rFonts w:ascii="Arial"/>
                <w:w w:val="95"/>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3"/>
              <w:jc w:val="right"/>
              <w:rPr>
                <w:rFonts w:ascii="Arial" w:hAnsi="Arial" w:cs="Arial" w:eastAsia="Arial" w:hint="default"/>
                <w:sz w:val="18"/>
                <w:szCs w:val="18"/>
              </w:rPr>
            </w:pPr>
            <w:r>
              <w:rPr>
                <w:rFonts w:ascii="Arial"/>
                <w:spacing w:val="-1"/>
                <w:sz w:val="18"/>
              </w:rPr>
              <w:t>42,897,7</w:t>
            </w:r>
            <w:r>
              <w:rPr>
                <w:rFonts w:ascii="Arial"/>
                <w:sz w:val="18"/>
              </w:rPr>
            </w:r>
          </w:p>
          <w:p>
            <w:pPr>
              <w:pStyle w:val="TableParagraph"/>
              <w:spacing w:line="240" w:lineRule="auto" w:before="105"/>
              <w:ind w:right="23"/>
              <w:jc w:val="right"/>
              <w:rPr>
                <w:rFonts w:ascii="Arial" w:hAnsi="Arial" w:cs="Arial" w:eastAsia="Arial" w:hint="default"/>
                <w:sz w:val="18"/>
                <w:szCs w:val="18"/>
              </w:rPr>
            </w:pPr>
            <w:r>
              <w:rPr>
                <w:rFonts w:ascii="Arial"/>
                <w:spacing w:val="-1"/>
                <w:w w:val="95"/>
                <w:sz w:val="18"/>
              </w:rPr>
              <w:t>66</w:t>
            </w:r>
            <w:r>
              <w:rPr>
                <w:rFonts w:ascii="Arial"/>
                <w:w w:val="95"/>
                <w:sz w:val="18"/>
              </w:rPr>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陈明平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Arial" w:hAnsi="Arial" w:cs="Arial" w:eastAsia="Arial" w:hint="default"/>
                <w:sz w:val="18"/>
                <w:szCs w:val="18"/>
              </w:rPr>
            </w:pPr>
            <w:r>
              <w:rPr>
                <w:rFonts w:ascii="Arial"/>
                <w:spacing w:val="-1"/>
                <w:w w:val="95"/>
                <w:sz w:val="18"/>
              </w:rPr>
              <w:t>44</w:t>
            </w:r>
            <w:r>
              <w:rPr>
                <w:rFonts w:ascii="Arial"/>
                <w:w w:val="95"/>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9"/>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Arial" w:hAnsi="Arial" w:cs="Arial" w:eastAsia="Arial" w:hint="default"/>
                <w:sz w:val="18"/>
                <w:szCs w:val="18"/>
              </w:rPr>
            </w:pPr>
            <w:r>
              <w:rPr>
                <w:rFonts w:ascii="Arial" w:hAnsi="Arial" w:cs="Arial" w:eastAsia="Arial" w:hint="default"/>
                <w:sz w:val="18"/>
                <w:szCs w:val="18"/>
              </w:rPr>
              <w:t>10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15</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Arial" w:hAnsi="Arial" w:cs="Arial" w:eastAsia="Arial" w:hint="default"/>
                <w:sz w:val="18"/>
                <w:szCs w:val="18"/>
              </w:rPr>
              <w:t>2022</w:t>
            </w:r>
            <w:r>
              <w:rPr>
                <w:rFonts w:ascii="Arial" w:hAnsi="Arial" w:cs="Arial" w:eastAsia="Arial" w:hint="default"/>
                <w:spacing w:val="-9"/>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31</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18"/>
                <w:szCs w:val="18"/>
              </w:rPr>
            </w:pPr>
            <w:r>
              <w:rPr>
                <w:rFonts w:ascii="Arial"/>
                <w:spacing w:val="-1"/>
                <w:sz w:val="18"/>
              </w:rPr>
              <w:t>5,396,14</w:t>
            </w:r>
          </w:p>
          <w:p>
            <w:pPr>
              <w:pStyle w:val="TableParagraph"/>
              <w:spacing w:line="240" w:lineRule="auto" w:before="105"/>
              <w:ind w:right="21"/>
              <w:jc w:val="right"/>
              <w:rPr>
                <w:rFonts w:ascii="Arial" w:hAnsi="Arial" w:cs="Arial" w:eastAsia="Arial" w:hint="default"/>
                <w:sz w:val="18"/>
                <w:szCs w:val="18"/>
              </w:rPr>
            </w:pPr>
            <w:r>
              <w:rPr>
                <w:rFonts w:ascii="Arial"/>
                <w:sz w:val="18"/>
              </w:rPr>
              <w:t>6</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18"/>
                <w:szCs w:val="18"/>
              </w:rPr>
            </w:pPr>
            <w:r>
              <w:rPr>
                <w:rFonts w:ascii="Arial"/>
                <w:spacing w:val="-1"/>
                <w:sz w:val="18"/>
              </w:rPr>
              <w:t>5,396,14</w:t>
            </w:r>
          </w:p>
          <w:p>
            <w:pPr>
              <w:pStyle w:val="TableParagraph"/>
              <w:spacing w:line="240" w:lineRule="auto" w:before="105"/>
              <w:ind w:right="21"/>
              <w:jc w:val="right"/>
              <w:rPr>
                <w:rFonts w:ascii="Arial" w:hAnsi="Arial" w:cs="Arial" w:eastAsia="Arial" w:hint="default"/>
                <w:sz w:val="18"/>
                <w:szCs w:val="18"/>
              </w:rPr>
            </w:pPr>
            <w:r>
              <w:rPr>
                <w:rFonts w:ascii="Arial"/>
                <w:sz w:val="18"/>
              </w:rPr>
              <w:t>6</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赵坚</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Arial" w:hAnsi="Arial" w:cs="Arial" w:eastAsia="Arial" w:hint="default"/>
                <w:sz w:val="18"/>
                <w:szCs w:val="18"/>
              </w:rPr>
            </w:pPr>
            <w:r>
              <w:rPr>
                <w:rFonts w:ascii="Arial"/>
                <w:spacing w:val="-1"/>
                <w:w w:val="95"/>
                <w:sz w:val="18"/>
              </w:rPr>
              <w:t>48</w:t>
            </w:r>
            <w:r>
              <w:rPr>
                <w:rFonts w:ascii="Arial"/>
                <w:w w:val="95"/>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9"/>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30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Arial" w:hAnsi="Arial" w:cs="Arial" w:eastAsia="Arial" w:hint="default"/>
                <w:sz w:val="18"/>
                <w:szCs w:val="18"/>
              </w:rPr>
              <w:t>2022</w:t>
            </w:r>
            <w:r>
              <w:rPr>
                <w:rFonts w:ascii="Arial" w:hAnsi="Arial" w:cs="Arial" w:eastAsia="Arial" w:hint="default"/>
                <w:spacing w:val="-9"/>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31</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18"/>
                <w:szCs w:val="18"/>
              </w:rPr>
            </w:pPr>
            <w:r>
              <w:rPr>
                <w:rFonts w:ascii="Arial"/>
                <w:spacing w:val="-1"/>
                <w:sz w:val="18"/>
              </w:rPr>
              <w:t>6,850,00</w:t>
            </w:r>
          </w:p>
          <w:p>
            <w:pPr>
              <w:pStyle w:val="TableParagraph"/>
              <w:spacing w:line="240" w:lineRule="auto" w:before="105"/>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18"/>
                <w:szCs w:val="18"/>
              </w:rPr>
            </w:pPr>
            <w:r>
              <w:rPr>
                <w:rFonts w:ascii="Arial"/>
                <w:spacing w:val="-1"/>
                <w:sz w:val="18"/>
              </w:rPr>
              <w:t>6,850,00</w:t>
            </w:r>
          </w:p>
          <w:p>
            <w:pPr>
              <w:pStyle w:val="TableParagraph"/>
              <w:spacing w:line="240" w:lineRule="auto" w:before="105"/>
              <w:ind w:right="21"/>
              <w:jc w:val="right"/>
              <w:rPr>
                <w:rFonts w:ascii="Arial" w:hAnsi="Arial" w:cs="Arial" w:eastAsia="Arial" w:hint="default"/>
                <w:sz w:val="18"/>
                <w:szCs w:val="18"/>
              </w:rPr>
            </w:pPr>
            <w:r>
              <w:rPr>
                <w:rFonts w:ascii="Arial"/>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刘景燕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Arial" w:hAnsi="Arial" w:cs="Arial" w:eastAsia="Arial" w:hint="default"/>
                <w:sz w:val="18"/>
                <w:szCs w:val="18"/>
              </w:rPr>
            </w:pPr>
            <w:r>
              <w:rPr>
                <w:rFonts w:ascii="Arial"/>
                <w:spacing w:val="-1"/>
                <w:w w:val="95"/>
                <w:sz w:val="18"/>
              </w:rPr>
              <w:t>47</w:t>
            </w:r>
            <w:r>
              <w:rPr>
                <w:rFonts w:ascii="Arial"/>
                <w:w w:val="95"/>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9"/>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Arial" w:hAnsi="Arial" w:cs="Arial" w:eastAsia="Arial" w:hint="default"/>
                <w:sz w:val="18"/>
                <w:szCs w:val="18"/>
              </w:rPr>
            </w:pPr>
            <w:r>
              <w:rPr>
                <w:rFonts w:ascii="Arial" w:hAnsi="Arial" w:cs="Arial" w:eastAsia="Arial" w:hint="default"/>
                <w:sz w:val="18"/>
                <w:szCs w:val="18"/>
              </w:rPr>
              <w:t>04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28</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Arial" w:hAnsi="Arial" w:cs="Arial" w:eastAsia="Arial" w:hint="default"/>
                <w:sz w:val="18"/>
                <w:szCs w:val="18"/>
              </w:rPr>
              <w:t>2022</w:t>
            </w:r>
            <w:r>
              <w:rPr>
                <w:rFonts w:ascii="Arial" w:hAnsi="Arial" w:cs="Arial" w:eastAsia="Arial" w:hint="default"/>
                <w:spacing w:val="-9"/>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31</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18"/>
                <w:szCs w:val="18"/>
              </w:rPr>
            </w:pPr>
            <w:r>
              <w:rPr>
                <w:rFonts w:ascii="Arial"/>
                <w:spacing w:val="-1"/>
                <w:sz w:val="18"/>
              </w:rPr>
              <w:t>1,740,00</w:t>
            </w:r>
          </w:p>
          <w:p>
            <w:pPr>
              <w:pStyle w:val="TableParagraph"/>
              <w:spacing w:line="240" w:lineRule="auto" w:before="105"/>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18"/>
                <w:szCs w:val="18"/>
              </w:rPr>
            </w:pPr>
            <w:r>
              <w:rPr>
                <w:rFonts w:ascii="Arial"/>
                <w:spacing w:val="-1"/>
                <w:sz w:val="18"/>
              </w:rPr>
              <w:t>1,740,00</w:t>
            </w:r>
          </w:p>
          <w:p>
            <w:pPr>
              <w:pStyle w:val="TableParagraph"/>
              <w:spacing w:line="240" w:lineRule="auto" w:before="105"/>
              <w:ind w:right="21"/>
              <w:jc w:val="right"/>
              <w:rPr>
                <w:rFonts w:ascii="Arial" w:hAnsi="Arial" w:cs="Arial" w:eastAsia="Arial" w:hint="default"/>
                <w:sz w:val="18"/>
                <w:szCs w:val="18"/>
              </w:rPr>
            </w:pPr>
            <w:r>
              <w:rPr>
                <w:rFonts w:ascii="Arial"/>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靳谊</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316" w:lineRule="auto"/>
              <w:ind w:left="22" w:right="42"/>
              <w:jc w:val="left"/>
              <w:rPr>
                <w:rFonts w:ascii="宋体" w:hAnsi="宋体" w:cs="宋体" w:eastAsia="宋体" w:hint="default"/>
                <w:sz w:val="18"/>
                <w:szCs w:val="18"/>
              </w:rPr>
            </w:pPr>
            <w:r>
              <w:rPr>
                <w:rFonts w:ascii="宋体" w:hAnsi="宋体" w:cs="宋体" w:eastAsia="宋体" w:hint="default"/>
                <w:sz w:val="18"/>
                <w:szCs w:val="18"/>
              </w:rPr>
              <w:t>董事、副 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3"/>
              <w:jc w:val="right"/>
              <w:rPr>
                <w:rFonts w:ascii="Arial" w:hAnsi="Arial" w:cs="Arial" w:eastAsia="Arial" w:hint="default"/>
                <w:sz w:val="18"/>
                <w:szCs w:val="18"/>
              </w:rPr>
            </w:pPr>
            <w:r>
              <w:rPr>
                <w:rFonts w:ascii="Arial"/>
                <w:spacing w:val="-1"/>
                <w:w w:val="95"/>
                <w:sz w:val="18"/>
              </w:rPr>
              <w:t>45</w:t>
            </w:r>
            <w:r>
              <w:rPr>
                <w:rFonts w:ascii="Arial"/>
                <w:w w:val="95"/>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9"/>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Arial" w:hAnsi="Arial" w:cs="Arial" w:eastAsia="Arial" w:hint="default"/>
                <w:sz w:val="18"/>
                <w:szCs w:val="18"/>
              </w:rPr>
            </w:pPr>
            <w:r>
              <w:rPr>
                <w:rFonts w:ascii="Arial" w:hAnsi="Arial" w:cs="Arial" w:eastAsia="Arial" w:hint="default"/>
                <w:spacing w:val="-7"/>
                <w:sz w:val="18"/>
                <w:szCs w:val="18"/>
              </w:rPr>
              <w:t>11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Arial" w:hAnsi="Arial" w:cs="Arial" w:eastAsia="Arial" w:hint="default"/>
                <w:sz w:val="18"/>
                <w:szCs w:val="18"/>
              </w:rPr>
              <w:t>16</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Arial" w:hAnsi="Arial" w:cs="Arial" w:eastAsia="Arial" w:hint="default"/>
                <w:sz w:val="18"/>
                <w:szCs w:val="18"/>
              </w:rPr>
              <w:t>2022</w:t>
            </w:r>
            <w:r>
              <w:rPr>
                <w:rFonts w:ascii="Arial" w:hAnsi="Arial" w:cs="Arial" w:eastAsia="Arial" w:hint="default"/>
                <w:spacing w:val="-9"/>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31</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18"/>
                <w:szCs w:val="18"/>
              </w:rPr>
            </w:pPr>
            <w:r>
              <w:rPr>
                <w:rFonts w:ascii="Arial"/>
                <w:spacing w:val="-1"/>
                <w:sz w:val="18"/>
              </w:rPr>
              <w:t>1,305,00</w:t>
            </w:r>
          </w:p>
          <w:p>
            <w:pPr>
              <w:pStyle w:val="TableParagraph"/>
              <w:spacing w:line="240" w:lineRule="auto" w:before="105"/>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2"/>
                <w:szCs w:val="12"/>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9"/>
                <w:szCs w:val="19"/>
              </w:rPr>
            </w:pPr>
          </w:p>
          <w:p>
            <w:pPr>
              <w:pStyle w:val="TableParagraph"/>
              <w:spacing w:line="240" w:lineRule="auto"/>
              <w:ind w:right="22"/>
              <w:jc w:val="right"/>
              <w:rPr>
                <w:rFonts w:ascii="Arial" w:hAnsi="Arial" w:cs="Arial" w:eastAsia="Arial" w:hint="default"/>
                <w:sz w:val="18"/>
                <w:szCs w:val="18"/>
              </w:rPr>
            </w:pPr>
            <w:r>
              <w:rPr>
                <w:rFonts w:ascii="Arial"/>
                <w:spacing w:val="-1"/>
                <w:sz w:val="18"/>
              </w:rPr>
              <w:t>1,305,00</w:t>
            </w:r>
          </w:p>
          <w:p>
            <w:pPr>
              <w:pStyle w:val="TableParagraph"/>
              <w:spacing w:line="240" w:lineRule="auto" w:before="105"/>
              <w:ind w:right="21"/>
              <w:jc w:val="right"/>
              <w:rPr>
                <w:rFonts w:ascii="Arial" w:hAnsi="Arial" w:cs="Arial" w:eastAsia="Arial" w:hint="default"/>
                <w:sz w:val="18"/>
                <w:szCs w:val="18"/>
              </w:rPr>
            </w:pPr>
            <w:r>
              <w:rPr>
                <w:rFonts w:ascii="Arial"/>
                <w:sz w:val="18"/>
              </w:rPr>
              <w:t>0</w:t>
            </w: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Arial" w:hAnsi="Arial" w:cs="Arial" w:eastAsia="Arial" w:hint="default"/>
                <w:sz w:val="18"/>
                <w:szCs w:val="18"/>
              </w:rPr>
              <w:t>2022</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孙敏</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Arial" w:hAnsi="Arial" w:cs="Arial" w:eastAsia="Arial" w:hint="default"/>
                <w:sz w:val="18"/>
                <w:szCs w:val="18"/>
              </w:rPr>
            </w:pPr>
            <w:r>
              <w:rPr>
                <w:rFonts w:ascii="Arial"/>
                <w:spacing w:val="-1"/>
                <w:w w:val="95"/>
                <w:sz w:val="18"/>
              </w:rPr>
              <w:t>53</w:t>
            </w:r>
            <w:r>
              <w:rPr>
                <w:rFonts w:ascii="Arial"/>
                <w:w w:val="95"/>
                <w:sz w:val="18"/>
              </w:rPr>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31</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31</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Arial" w:hAnsi="Arial" w:cs="Arial" w:eastAsia="Arial" w:hint="default"/>
                <w:sz w:val="18"/>
                <w:szCs w:val="18"/>
              </w:rPr>
            </w:pPr>
            <w:r>
              <w:rPr>
                <w:rFonts w:ascii="Arial"/>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Arial" w:hAnsi="Arial" w:cs="Arial" w:eastAsia="Arial" w:hint="default"/>
                <w:sz w:val="18"/>
                <w:szCs w:val="18"/>
              </w:rPr>
            </w:pPr>
            <w:r>
              <w:rPr>
                <w:rFonts w:ascii="Arial"/>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Arial" w:hAnsi="Arial" w:cs="Arial" w:eastAsia="Arial" w:hint="default"/>
                <w:sz w:val="18"/>
                <w:szCs w:val="18"/>
              </w:rPr>
            </w:pPr>
            <w:r>
              <w:rPr>
                <w:rFonts w:ascii="Arial"/>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Arial" w:hAnsi="Arial" w:cs="Arial" w:eastAsia="Arial" w:hint="default"/>
                <w:sz w:val="18"/>
                <w:szCs w:val="18"/>
              </w:rPr>
            </w:pPr>
            <w:r>
              <w:rPr>
                <w:rFonts w:ascii="Arial"/>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Arial" w:hAnsi="Arial" w:cs="Arial" w:eastAsia="Arial" w:hint="default"/>
                <w:sz w:val="18"/>
                <w:szCs w:val="18"/>
              </w:rPr>
            </w:pPr>
            <w:r>
              <w:rPr>
                <w:rFonts w:ascii="Arial"/>
                <w:sz w:val="18"/>
              </w:rPr>
              <w:t>0</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Arial" w:hAnsi="Arial" w:cs="Arial" w:eastAsia="Arial" w:hint="default"/>
                <w:sz w:val="18"/>
                <w:szCs w:val="18"/>
              </w:rPr>
              <w:t>2022</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叶东毅</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Arial" w:hAnsi="Arial" w:cs="Arial" w:eastAsia="Arial" w:hint="default"/>
                <w:sz w:val="18"/>
                <w:szCs w:val="18"/>
              </w:rPr>
            </w:pPr>
            <w:r>
              <w:rPr>
                <w:rFonts w:ascii="Arial"/>
                <w:spacing w:val="-1"/>
                <w:w w:val="95"/>
                <w:sz w:val="18"/>
              </w:rPr>
              <w:t>56</w:t>
            </w:r>
            <w:r>
              <w:rPr>
                <w:rFonts w:ascii="Arial"/>
                <w:w w:val="95"/>
                <w:sz w:val="18"/>
              </w:rPr>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31</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31</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Arial" w:hAnsi="Arial" w:cs="Arial" w:eastAsia="Arial" w:hint="default"/>
                <w:sz w:val="18"/>
                <w:szCs w:val="18"/>
              </w:rPr>
            </w:pPr>
            <w:r>
              <w:rPr>
                <w:rFonts w:ascii="Arial"/>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Arial" w:hAnsi="Arial" w:cs="Arial" w:eastAsia="Arial" w:hint="default"/>
                <w:sz w:val="18"/>
                <w:szCs w:val="18"/>
              </w:rPr>
            </w:pPr>
            <w:r>
              <w:rPr>
                <w:rFonts w:ascii="Arial"/>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Arial" w:hAnsi="Arial" w:cs="Arial" w:eastAsia="Arial" w:hint="default"/>
                <w:sz w:val="18"/>
                <w:szCs w:val="18"/>
              </w:rPr>
            </w:pPr>
            <w:r>
              <w:rPr>
                <w:rFonts w:ascii="Arial"/>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Arial" w:hAnsi="Arial" w:cs="Arial" w:eastAsia="Arial" w:hint="default"/>
                <w:sz w:val="18"/>
                <w:szCs w:val="18"/>
              </w:rPr>
            </w:pPr>
            <w:r>
              <w:rPr>
                <w:rFonts w:ascii="Arial"/>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Arial" w:hAnsi="Arial" w:cs="Arial" w:eastAsia="Arial" w:hint="default"/>
                <w:sz w:val="18"/>
                <w:szCs w:val="18"/>
              </w:rPr>
            </w:pPr>
            <w:r>
              <w:rPr>
                <w:rFonts w:ascii="Arial"/>
                <w:sz w:val="18"/>
              </w:rPr>
              <w:t>0</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3"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Arial" w:hAnsi="Arial" w:cs="Arial" w:eastAsia="Arial" w:hint="default"/>
                <w:sz w:val="18"/>
                <w:szCs w:val="18"/>
              </w:rPr>
              <w:t>2022</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胡继荣</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3"/>
              <w:jc w:val="right"/>
              <w:rPr>
                <w:rFonts w:ascii="Arial" w:hAnsi="Arial" w:cs="Arial" w:eastAsia="Arial" w:hint="default"/>
                <w:sz w:val="18"/>
                <w:szCs w:val="18"/>
              </w:rPr>
            </w:pPr>
            <w:r>
              <w:rPr>
                <w:rFonts w:ascii="Arial"/>
                <w:spacing w:val="-1"/>
                <w:w w:val="95"/>
                <w:sz w:val="18"/>
              </w:rPr>
              <w:t>64</w:t>
            </w:r>
            <w:r>
              <w:rPr>
                <w:rFonts w:ascii="Arial"/>
                <w:w w:val="95"/>
                <w:sz w:val="18"/>
              </w:rPr>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31</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31</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Arial" w:hAnsi="Arial" w:cs="Arial" w:eastAsia="Arial" w:hint="default"/>
                <w:sz w:val="18"/>
                <w:szCs w:val="18"/>
              </w:rPr>
            </w:pPr>
            <w:r>
              <w:rPr>
                <w:rFonts w:ascii="Arial"/>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Arial" w:hAnsi="Arial" w:cs="Arial" w:eastAsia="Arial" w:hint="default"/>
                <w:sz w:val="18"/>
                <w:szCs w:val="18"/>
              </w:rPr>
            </w:pPr>
            <w:r>
              <w:rPr>
                <w:rFonts w:ascii="Arial"/>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Arial" w:hAnsi="Arial" w:cs="Arial" w:eastAsia="Arial" w:hint="default"/>
                <w:sz w:val="18"/>
                <w:szCs w:val="18"/>
              </w:rPr>
            </w:pPr>
            <w:r>
              <w:rPr>
                <w:rFonts w:ascii="Arial"/>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Arial" w:hAnsi="Arial" w:cs="Arial" w:eastAsia="Arial" w:hint="default"/>
                <w:sz w:val="18"/>
                <w:szCs w:val="18"/>
              </w:rPr>
            </w:pPr>
            <w:r>
              <w:rPr>
                <w:rFonts w:ascii="Arial"/>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1"/>
              <w:jc w:val="right"/>
              <w:rPr>
                <w:rFonts w:ascii="Arial" w:hAnsi="Arial" w:cs="Arial" w:eastAsia="Arial" w:hint="default"/>
                <w:sz w:val="18"/>
                <w:szCs w:val="18"/>
              </w:rPr>
            </w:pPr>
            <w:r>
              <w:rPr>
                <w:rFonts w:ascii="Arial"/>
                <w:sz w:val="18"/>
              </w:rPr>
              <w:t>0</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362" w:hRule="exact"/>
        </w:trPr>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2010</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2022</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c>
          <w:tcPr>
            <w:tcW w:w="798" w:type="dxa"/>
            <w:tcBorders>
              <w:top w:val="single" w:sz="4" w:space="0" w:color="000000"/>
              <w:left w:val="single" w:sz="4" w:space="0" w:color="000000"/>
              <w:bottom w:val="nil" w:sz="6" w:space="0" w:color="auto"/>
              <w:right w:val="single" w:sz="4" w:space="0" w:color="000000"/>
            </w:tcBorders>
          </w:tcPr>
          <w:p>
            <w:pPr/>
          </w:p>
        </w:tc>
      </w:tr>
      <w:tr>
        <w:trPr>
          <w:trHeight w:val="313" w:hRule="exact"/>
        </w:trPr>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周仁锟</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3"/>
              <w:jc w:val="right"/>
              <w:rPr>
                <w:rFonts w:ascii="Arial" w:hAnsi="Arial" w:cs="Arial" w:eastAsia="Arial" w:hint="default"/>
                <w:sz w:val="18"/>
                <w:szCs w:val="18"/>
              </w:rPr>
            </w:pPr>
            <w:r>
              <w:rPr>
                <w:rFonts w:ascii="Arial"/>
                <w:spacing w:val="-1"/>
                <w:w w:val="95"/>
                <w:sz w:val="18"/>
              </w:rPr>
              <w:t>44</w:t>
            </w:r>
            <w:r>
              <w:rPr>
                <w:rFonts w:ascii="Arial"/>
                <w:w w:val="95"/>
                <w:sz w:val="18"/>
              </w:rPr>
            </w:r>
          </w:p>
        </w:tc>
        <w:tc>
          <w:tcPr>
            <w:tcW w:w="797"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Arial" w:hAnsi="Arial" w:cs="Arial" w:eastAsia="Arial" w:hint="default"/>
                <w:sz w:val="18"/>
                <w:szCs w:val="18"/>
              </w:rPr>
            </w:pPr>
            <w:r>
              <w:rPr>
                <w:rFonts w:ascii="Arial" w:hAnsi="Arial" w:cs="Arial" w:eastAsia="Arial" w:hint="default"/>
                <w:sz w:val="18"/>
                <w:szCs w:val="18"/>
              </w:rPr>
              <w:t>10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20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31</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Arial" w:hAnsi="Arial" w:cs="Arial" w:eastAsia="Arial" w:hint="default"/>
                <w:sz w:val="18"/>
                <w:szCs w:val="18"/>
              </w:rPr>
            </w:pPr>
            <w:r>
              <w:rPr>
                <w:rFonts w:ascii="Arial"/>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Arial" w:hAnsi="Arial" w:cs="Arial" w:eastAsia="Arial" w:hint="default"/>
                <w:sz w:val="18"/>
                <w:szCs w:val="18"/>
              </w:rPr>
            </w:pPr>
            <w:r>
              <w:rPr>
                <w:rFonts w:ascii="Arial"/>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Arial" w:hAnsi="Arial" w:cs="Arial" w:eastAsia="Arial" w:hint="default"/>
                <w:sz w:val="18"/>
                <w:szCs w:val="18"/>
              </w:rPr>
            </w:pPr>
            <w:r>
              <w:rPr>
                <w:rFonts w:ascii="Arial"/>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Arial" w:hAnsi="Arial" w:cs="Arial" w:eastAsia="Arial" w:hint="default"/>
                <w:sz w:val="18"/>
                <w:szCs w:val="18"/>
              </w:rPr>
            </w:pPr>
            <w:r>
              <w:rPr>
                <w:rFonts w:ascii="Arial"/>
                <w:sz w:val="18"/>
              </w:rPr>
              <w:t>0</w:t>
            </w:r>
          </w:p>
        </w:tc>
        <w:tc>
          <w:tcPr>
            <w:tcW w:w="798" w:type="dxa"/>
            <w:tcBorders>
              <w:top w:val="nil" w:sz="6" w:space="0" w:color="auto"/>
              <w:left w:val="single" w:sz="4" w:space="0" w:color="000000"/>
              <w:bottom w:val="nil" w:sz="6" w:space="0" w:color="auto"/>
              <w:right w:val="single" w:sz="4" w:space="0" w:color="000000"/>
            </w:tcBorders>
          </w:tcPr>
          <w:p>
            <w:pPr>
              <w:pStyle w:val="TableParagraph"/>
              <w:spacing w:line="240" w:lineRule="auto" w:before="46"/>
              <w:ind w:right="21"/>
              <w:jc w:val="right"/>
              <w:rPr>
                <w:rFonts w:ascii="Arial" w:hAnsi="Arial" w:cs="Arial" w:eastAsia="Arial" w:hint="default"/>
                <w:sz w:val="18"/>
                <w:szCs w:val="18"/>
              </w:rPr>
            </w:pPr>
            <w:r>
              <w:rPr>
                <w:rFonts w:ascii="Arial"/>
                <w:sz w:val="18"/>
              </w:rPr>
              <w:t>0</w:t>
            </w:r>
          </w:p>
        </w:tc>
      </w:tr>
      <w:tr>
        <w:trPr>
          <w:trHeight w:val="351" w:hRule="exact"/>
        </w:trPr>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c>
          <w:tcPr>
            <w:tcW w:w="798"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叶剑波</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95"/>
                <w:sz w:val="18"/>
              </w:rPr>
              <w:t>62</w:t>
            </w:r>
            <w:r>
              <w:rPr>
                <w:rFonts w:ascii="Arial"/>
                <w:w w:val="95"/>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Arial" w:hAnsi="Arial" w:cs="Arial" w:eastAsia="Arial" w:hint="default"/>
                <w:sz w:val="18"/>
                <w:szCs w:val="18"/>
              </w:rPr>
              <w:t>2022</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z w:val="18"/>
              </w:rPr>
              <w:t>0</w:t>
            </w:r>
          </w:p>
        </w:tc>
      </w:tr>
    </w:tbl>
    <w:p>
      <w:pPr>
        <w:spacing w:after="0" w:line="240" w:lineRule="auto"/>
        <w:jc w:val="right"/>
        <w:rPr>
          <w:rFonts w:ascii="Arial" w:hAnsi="Arial" w:cs="Arial" w:eastAsia="Arial"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798"/>
        <w:gridCol w:w="797"/>
        <w:gridCol w:w="797"/>
        <w:gridCol w:w="798"/>
        <w:gridCol w:w="798"/>
        <w:gridCol w:w="797"/>
        <w:gridCol w:w="798"/>
        <w:gridCol w:w="798"/>
        <w:gridCol w:w="798"/>
        <w:gridCol w:w="798"/>
        <w:gridCol w:w="798"/>
        <w:gridCol w:w="798"/>
      </w:tblGrid>
      <w:tr>
        <w:trPr>
          <w:trHeight w:val="674" w:hRule="exact"/>
        </w:trPr>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31</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22"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31</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陈威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Arial" w:hAnsi="Arial" w:cs="Arial" w:eastAsia="Arial" w:hint="default"/>
                <w:sz w:val="18"/>
                <w:szCs w:val="18"/>
              </w:rPr>
            </w:pPr>
            <w:r>
              <w:rPr>
                <w:rFonts w:ascii="Arial"/>
                <w:spacing w:val="-1"/>
                <w:w w:val="95"/>
                <w:sz w:val="18"/>
              </w:rPr>
              <w:t>37</w:t>
            </w:r>
            <w:r>
              <w:rPr>
                <w:rFonts w:ascii="Arial"/>
                <w:w w:val="95"/>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9"/>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31</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2022</w:t>
            </w:r>
            <w:r>
              <w:rPr>
                <w:rFonts w:ascii="Arial" w:hAnsi="Arial" w:cs="Arial" w:eastAsia="Arial" w:hint="default"/>
                <w:spacing w:val="-9"/>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31</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万孝雄</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42"/>
              <w:jc w:val="both"/>
              <w:rPr>
                <w:rFonts w:ascii="宋体" w:hAnsi="宋体" w:cs="宋体" w:eastAsia="宋体" w:hint="default"/>
                <w:sz w:val="18"/>
                <w:szCs w:val="18"/>
              </w:rPr>
            </w:pPr>
            <w:r>
              <w:rPr>
                <w:rFonts w:ascii="宋体" w:hAnsi="宋体" w:cs="宋体" w:eastAsia="宋体" w:hint="default"/>
                <w:sz w:val="18"/>
                <w:szCs w:val="18"/>
              </w:rPr>
              <w:t>副总裁、 董事会秘 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Arial" w:hAnsi="Arial" w:cs="Arial" w:eastAsia="Arial" w:hint="default"/>
                <w:sz w:val="18"/>
                <w:szCs w:val="18"/>
              </w:rPr>
            </w:pPr>
            <w:r>
              <w:rPr>
                <w:rFonts w:ascii="Arial"/>
                <w:spacing w:val="-1"/>
                <w:w w:val="95"/>
                <w:sz w:val="18"/>
              </w:rPr>
              <w:t>43</w:t>
            </w:r>
            <w:r>
              <w:rPr>
                <w:rFonts w:ascii="Arial"/>
                <w:w w:val="95"/>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9"/>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Arial" w:hAnsi="Arial" w:cs="Arial" w:eastAsia="Arial" w:hint="default"/>
                <w:sz w:val="18"/>
                <w:szCs w:val="18"/>
              </w:rPr>
            </w:pPr>
            <w:r>
              <w:rPr>
                <w:rFonts w:ascii="Arial" w:hAnsi="Arial" w:cs="Arial" w:eastAsia="Arial" w:hint="default"/>
                <w:sz w:val="18"/>
                <w:szCs w:val="18"/>
              </w:rPr>
              <w:t>10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15</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2022</w:t>
            </w:r>
            <w:r>
              <w:rPr>
                <w:rFonts w:ascii="Arial" w:hAnsi="Arial" w:cs="Arial" w:eastAsia="Arial" w:hint="default"/>
                <w:spacing w:val="-9"/>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31</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Arial" w:hAnsi="Arial" w:cs="Arial" w:eastAsia="Arial" w:hint="default"/>
                <w:sz w:val="18"/>
                <w:szCs w:val="18"/>
              </w:rPr>
            </w:pPr>
            <w:r>
              <w:rPr>
                <w:rFonts w:ascii="Arial"/>
                <w:spacing w:val="-1"/>
                <w:sz w:val="18"/>
              </w:rPr>
              <w:t>1,389,00</w:t>
            </w:r>
          </w:p>
          <w:p>
            <w:pPr>
              <w:pStyle w:val="TableParagraph"/>
              <w:spacing w:line="240" w:lineRule="auto" w:before="105"/>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Arial" w:hAnsi="Arial" w:cs="Arial" w:eastAsia="Arial" w:hint="default"/>
                <w:sz w:val="18"/>
                <w:szCs w:val="18"/>
              </w:rPr>
            </w:pPr>
            <w:r>
              <w:rPr>
                <w:rFonts w:ascii="Arial"/>
                <w:spacing w:val="-1"/>
                <w:sz w:val="18"/>
              </w:rPr>
              <w:t>1,389,00</w:t>
            </w:r>
          </w:p>
          <w:p>
            <w:pPr>
              <w:pStyle w:val="TableParagraph"/>
              <w:spacing w:line="240" w:lineRule="auto" w:before="105"/>
              <w:ind w:right="21"/>
              <w:jc w:val="right"/>
              <w:rPr>
                <w:rFonts w:ascii="Arial" w:hAnsi="Arial" w:cs="Arial" w:eastAsia="Arial" w:hint="default"/>
                <w:sz w:val="18"/>
                <w:szCs w:val="18"/>
              </w:rPr>
            </w:pPr>
            <w:r>
              <w:rPr>
                <w:rFonts w:ascii="Arial"/>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镇千金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Arial" w:hAnsi="Arial" w:cs="Arial" w:eastAsia="Arial" w:hint="default"/>
                <w:sz w:val="18"/>
                <w:szCs w:val="18"/>
              </w:rPr>
            </w:pPr>
            <w:r>
              <w:rPr>
                <w:rFonts w:ascii="Arial"/>
                <w:spacing w:val="-1"/>
                <w:w w:val="95"/>
                <w:sz w:val="18"/>
              </w:rPr>
              <w:t>42</w:t>
            </w:r>
            <w:r>
              <w:rPr>
                <w:rFonts w:ascii="Arial"/>
                <w:w w:val="95"/>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9"/>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Arial" w:hAnsi="Arial" w:cs="Arial" w:eastAsia="Arial" w:hint="default"/>
                <w:sz w:val="18"/>
                <w:szCs w:val="18"/>
              </w:rPr>
            </w:pPr>
            <w:r>
              <w:rPr>
                <w:rFonts w:ascii="Arial" w:hAnsi="Arial" w:cs="Arial" w:eastAsia="Arial" w:hint="default"/>
                <w:sz w:val="18"/>
                <w:szCs w:val="18"/>
              </w:rPr>
              <w:t>10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15</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2022</w:t>
            </w:r>
            <w:r>
              <w:rPr>
                <w:rFonts w:ascii="Arial" w:hAnsi="Arial" w:cs="Arial" w:eastAsia="Arial" w:hint="default"/>
                <w:spacing w:val="-9"/>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31</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Arial" w:hAnsi="Arial" w:cs="Arial" w:eastAsia="Arial" w:hint="default"/>
                <w:sz w:val="18"/>
                <w:szCs w:val="18"/>
              </w:rPr>
            </w:pPr>
            <w:r>
              <w:rPr>
                <w:rFonts w:ascii="Arial"/>
                <w:spacing w:val="-1"/>
                <w:sz w:val="18"/>
              </w:rPr>
              <w:t>1,161,00</w:t>
            </w:r>
          </w:p>
          <w:p>
            <w:pPr>
              <w:pStyle w:val="TableParagraph"/>
              <w:spacing w:line="240" w:lineRule="auto" w:before="105"/>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Arial" w:hAnsi="Arial" w:cs="Arial" w:eastAsia="Arial" w:hint="default"/>
                <w:sz w:val="18"/>
                <w:szCs w:val="18"/>
              </w:rPr>
            </w:pPr>
            <w:r>
              <w:rPr>
                <w:rFonts w:ascii="Arial"/>
                <w:spacing w:val="-1"/>
                <w:sz w:val="18"/>
              </w:rPr>
              <w:t>1,161,00</w:t>
            </w:r>
          </w:p>
          <w:p>
            <w:pPr>
              <w:pStyle w:val="TableParagraph"/>
              <w:spacing w:line="240" w:lineRule="auto" w:before="105"/>
              <w:ind w:right="21"/>
              <w:jc w:val="right"/>
              <w:rPr>
                <w:rFonts w:ascii="Arial" w:hAnsi="Arial" w:cs="Arial" w:eastAsia="Arial" w:hint="default"/>
                <w:sz w:val="18"/>
                <w:szCs w:val="18"/>
              </w:rPr>
            </w:pPr>
            <w:r>
              <w:rPr>
                <w:rFonts w:ascii="Arial"/>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尚大斌</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Arial" w:hAnsi="Arial" w:cs="Arial" w:eastAsia="Arial" w:hint="default"/>
                <w:sz w:val="18"/>
                <w:szCs w:val="18"/>
              </w:rPr>
            </w:pPr>
            <w:r>
              <w:rPr>
                <w:rFonts w:ascii="Arial"/>
                <w:spacing w:val="-1"/>
                <w:w w:val="95"/>
                <w:sz w:val="18"/>
              </w:rPr>
              <w:t>42</w:t>
            </w:r>
            <w:r>
              <w:rPr>
                <w:rFonts w:ascii="Arial"/>
                <w:w w:val="95"/>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Arial" w:hAnsi="Arial" w:cs="Arial" w:eastAsia="Arial" w:hint="default"/>
                <w:sz w:val="18"/>
                <w:szCs w:val="18"/>
              </w:rPr>
            </w:pPr>
            <w:r>
              <w:rPr>
                <w:rFonts w:ascii="Arial" w:hAnsi="Arial" w:cs="Arial" w:eastAsia="Arial" w:hint="default"/>
                <w:sz w:val="18"/>
                <w:szCs w:val="18"/>
              </w:rPr>
              <w:t>02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17</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2022</w:t>
            </w:r>
            <w:r>
              <w:rPr>
                <w:rFonts w:ascii="Arial" w:hAnsi="Arial" w:cs="Arial" w:eastAsia="Arial" w:hint="default"/>
                <w:spacing w:val="-9"/>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31</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宾壮兴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Arial" w:hAnsi="Arial" w:cs="Arial" w:eastAsia="Arial" w:hint="default"/>
                <w:sz w:val="18"/>
                <w:szCs w:val="18"/>
              </w:rPr>
            </w:pPr>
            <w:r>
              <w:rPr>
                <w:rFonts w:ascii="Arial"/>
                <w:spacing w:val="-1"/>
                <w:w w:val="95"/>
                <w:sz w:val="18"/>
              </w:rPr>
              <w:t>60</w:t>
            </w:r>
            <w:r>
              <w:rPr>
                <w:rFonts w:ascii="Arial"/>
                <w:w w:val="95"/>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2012</w:t>
            </w:r>
            <w:r>
              <w:rPr>
                <w:rFonts w:ascii="Arial" w:hAnsi="Arial" w:cs="Arial" w:eastAsia="Arial" w:hint="default"/>
                <w:spacing w:val="-9"/>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Arial" w:hAnsi="Arial" w:cs="Arial" w:eastAsia="Arial" w:hint="default"/>
                <w:sz w:val="18"/>
                <w:szCs w:val="18"/>
              </w:rPr>
            </w:pPr>
            <w:r>
              <w:rPr>
                <w:rFonts w:ascii="Arial" w:hAnsi="Arial" w:cs="Arial" w:eastAsia="Arial" w:hint="default"/>
                <w:spacing w:val="-7"/>
                <w:sz w:val="18"/>
                <w:szCs w:val="18"/>
              </w:rPr>
              <w:t>11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Arial" w:hAnsi="Arial" w:cs="Arial" w:eastAsia="Arial" w:hint="default"/>
                <w:sz w:val="18"/>
                <w:szCs w:val="18"/>
              </w:rPr>
              <w:t>16</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2022</w:t>
            </w:r>
            <w:r>
              <w:rPr>
                <w:rFonts w:ascii="Arial" w:hAnsi="Arial" w:cs="Arial" w:eastAsia="Arial" w:hint="default"/>
                <w:spacing w:val="-9"/>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31</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Arial" w:hAnsi="Arial" w:cs="Arial" w:eastAsia="Arial" w:hint="default"/>
                <w:sz w:val="18"/>
                <w:szCs w:val="18"/>
              </w:rPr>
            </w:pPr>
            <w:r>
              <w:rPr>
                <w:rFonts w:ascii="Arial"/>
                <w:spacing w:val="-1"/>
                <w:sz w:val="18"/>
              </w:rPr>
              <w:t>1,170,00</w:t>
            </w:r>
          </w:p>
          <w:p>
            <w:pPr>
              <w:pStyle w:val="TableParagraph"/>
              <w:spacing w:line="240" w:lineRule="auto" w:before="105"/>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Arial" w:hAnsi="Arial" w:cs="Arial" w:eastAsia="Arial" w:hint="default"/>
                <w:sz w:val="18"/>
                <w:szCs w:val="18"/>
              </w:rPr>
            </w:pPr>
            <w:r>
              <w:rPr>
                <w:rFonts w:ascii="Arial"/>
                <w:spacing w:val="-1"/>
                <w:sz w:val="18"/>
              </w:rPr>
              <w:t>1,170,00</w:t>
            </w:r>
          </w:p>
          <w:p>
            <w:pPr>
              <w:pStyle w:val="TableParagraph"/>
              <w:spacing w:line="240" w:lineRule="auto" w:before="105"/>
              <w:ind w:right="21"/>
              <w:jc w:val="right"/>
              <w:rPr>
                <w:rFonts w:ascii="Arial" w:hAnsi="Arial" w:cs="Arial" w:eastAsia="Arial" w:hint="default"/>
                <w:sz w:val="18"/>
                <w:szCs w:val="18"/>
              </w:rPr>
            </w:pPr>
            <w:r>
              <w:rPr>
                <w:rFonts w:ascii="Arial"/>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李惠钦</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Arial" w:hAnsi="Arial" w:cs="Arial" w:eastAsia="Arial" w:hint="default"/>
                <w:sz w:val="18"/>
                <w:szCs w:val="18"/>
              </w:rPr>
            </w:pPr>
            <w:r>
              <w:rPr>
                <w:rFonts w:ascii="Arial"/>
                <w:spacing w:val="-1"/>
                <w:w w:val="95"/>
                <w:sz w:val="18"/>
              </w:rPr>
              <w:t>45</w:t>
            </w:r>
            <w:r>
              <w:rPr>
                <w:rFonts w:ascii="Arial"/>
                <w:w w:val="95"/>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9"/>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Arial" w:hAnsi="Arial" w:cs="Arial" w:eastAsia="Arial" w:hint="default"/>
                <w:sz w:val="18"/>
                <w:szCs w:val="18"/>
              </w:rPr>
            </w:pPr>
            <w:r>
              <w:rPr>
                <w:rFonts w:ascii="Arial" w:hAnsi="Arial" w:cs="Arial" w:eastAsia="Arial" w:hint="default"/>
                <w:sz w:val="18"/>
                <w:szCs w:val="18"/>
              </w:rPr>
              <w:t>01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20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2022</w:t>
            </w:r>
            <w:r>
              <w:rPr>
                <w:rFonts w:ascii="Arial" w:hAnsi="Arial" w:cs="Arial" w:eastAsia="Arial" w:hint="default"/>
                <w:spacing w:val="-9"/>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31</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Arial" w:hAnsi="Arial" w:cs="Arial" w:eastAsia="Arial" w:hint="default"/>
                <w:sz w:val="18"/>
                <w:szCs w:val="18"/>
              </w:rPr>
            </w:pPr>
            <w:r>
              <w:rPr>
                <w:rFonts w:ascii="Arial"/>
                <w:spacing w:val="-1"/>
                <w:sz w:val="18"/>
              </w:rPr>
              <w:t>1,160,99</w:t>
            </w:r>
          </w:p>
          <w:p>
            <w:pPr>
              <w:pStyle w:val="TableParagraph"/>
              <w:spacing w:line="240" w:lineRule="auto" w:before="105"/>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Arial" w:hAnsi="Arial" w:cs="Arial" w:eastAsia="Arial" w:hint="default"/>
                <w:sz w:val="18"/>
                <w:szCs w:val="18"/>
              </w:rPr>
            </w:pPr>
            <w:r>
              <w:rPr>
                <w:rFonts w:ascii="Arial"/>
                <w:spacing w:val="-1"/>
                <w:sz w:val="18"/>
              </w:rPr>
              <w:t>1,160,99</w:t>
            </w:r>
          </w:p>
          <w:p>
            <w:pPr>
              <w:pStyle w:val="TableParagraph"/>
              <w:spacing w:line="240" w:lineRule="auto" w:before="105"/>
              <w:ind w:right="21"/>
              <w:jc w:val="right"/>
              <w:rPr>
                <w:rFonts w:ascii="Arial" w:hAnsi="Arial" w:cs="Arial" w:eastAsia="Arial" w:hint="default"/>
                <w:sz w:val="18"/>
                <w:szCs w:val="18"/>
              </w:rPr>
            </w:pPr>
            <w:r>
              <w:rPr>
                <w:rFonts w:ascii="Arial"/>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刘微芳</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Arial" w:hAnsi="Arial" w:cs="Arial" w:eastAsia="Arial" w:hint="default"/>
                <w:sz w:val="18"/>
                <w:szCs w:val="18"/>
              </w:rPr>
            </w:pPr>
            <w:r>
              <w:rPr>
                <w:rFonts w:ascii="Arial"/>
                <w:spacing w:val="-1"/>
                <w:w w:val="95"/>
                <w:sz w:val="18"/>
              </w:rPr>
              <w:t>50</w:t>
            </w:r>
            <w:r>
              <w:rPr>
                <w:rFonts w:ascii="Arial"/>
                <w:w w:val="95"/>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2013</w:t>
            </w:r>
            <w:r>
              <w:rPr>
                <w:rFonts w:ascii="Arial" w:hAnsi="Arial" w:cs="Arial" w:eastAsia="Arial" w:hint="default"/>
                <w:spacing w:val="-9"/>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16</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9"/>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29</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黄旭明</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Arial" w:hAnsi="Arial" w:cs="Arial" w:eastAsia="Arial" w:hint="default"/>
                <w:sz w:val="18"/>
                <w:szCs w:val="18"/>
              </w:rPr>
            </w:pPr>
            <w:r>
              <w:rPr>
                <w:rFonts w:ascii="Arial"/>
                <w:spacing w:val="-1"/>
                <w:w w:val="95"/>
                <w:sz w:val="18"/>
              </w:rPr>
              <w:t>60</w:t>
            </w:r>
            <w:r>
              <w:rPr>
                <w:rFonts w:ascii="Arial"/>
                <w:w w:val="95"/>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9"/>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Arial" w:hAnsi="Arial" w:cs="Arial" w:eastAsia="Arial" w:hint="default"/>
                <w:sz w:val="18"/>
                <w:szCs w:val="18"/>
              </w:rPr>
            </w:pPr>
            <w:r>
              <w:rPr>
                <w:rFonts w:ascii="Arial" w:hAnsi="Arial" w:cs="Arial" w:eastAsia="Arial" w:hint="default"/>
                <w:spacing w:val="-7"/>
                <w:sz w:val="18"/>
                <w:szCs w:val="18"/>
              </w:rPr>
              <w:t>11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Arial" w:hAnsi="Arial" w:cs="Arial" w:eastAsia="Arial" w:hint="default"/>
                <w:sz w:val="18"/>
                <w:szCs w:val="18"/>
              </w:rPr>
              <w:t>20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9"/>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29</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苏小榕</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Arial" w:hAnsi="Arial" w:cs="Arial" w:eastAsia="Arial" w:hint="default"/>
                <w:sz w:val="18"/>
                <w:szCs w:val="18"/>
              </w:rPr>
            </w:pPr>
            <w:r>
              <w:rPr>
                <w:rFonts w:ascii="Arial"/>
                <w:spacing w:val="-1"/>
                <w:w w:val="95"/>
                <w:sz w:val="18"/>
              </w:rPr>
              <w:t>47</w:t>
            </w:r>
            <w:r>
              <w:rPr>
                <w:rFonts w:ascii="Arial"/>
                <w:w w:val="95"/>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2014</w:t>
            </w:r>
            <w:r>
              <w:rPr>
                <w:rFonts w:ascii="Arial" w:hAnsi="Arial" w:cs="Arial" w:eastAsia="Arial" w:hint="default"/>
                <w:spacing w:val="-9"/>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Arial" w:hAnsi="Arial" w:cs="Arial" w:eastAsia="Arial" w:hint="default"/>
                <w:sz w:val="18"/>
                <w:szCs w:val="18"/>
              </w:rPr>
            </w:pPr>
            <w:r>
              <w:rPr>
                <w:rFonts w:ascii="Arial" w:hAnsi="Arial" w:cs="Arial" w:eastAsia="Arial" w:hint="default"/>
                <w:spacing w:val="-7"/>
                <w:sz w:val="18"/>
                <w:szCs w:val="18"/>
              </w:rPr>
              <w:t>11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Arial" w:hAnsi="Arial" w:cs="Arial" w:eastAsia="Arial" w:hint="default"/>
                <w:sz w:val="18"/>
                <w:szCs w:val="18"/>
              </w:rPr>
              <w:t>20</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9"/>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29</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魏建光</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Arial" w:hAnsi="Arial" w:cs="Arial" w:eastAsia="Arial" w:hint="default"/>
                <w:sz w:val="18"/>
                <w:szCs w:val="18"/>
              </w:rPr>
            </w:pPr>
            <w:r>
              <w:rPr>
                <w:rFonts w:ascii="Arial"/>
                <w:spacing w:val="-1"/>
                <w:w w:val="95"/>
                <w:sz w:val="18"/>
              </w:rPr>
              <w:t>40</w:t>
            </w:r>
            <w:r>
              <w:rPr>
                <w:rFonts w:ascii="Arial"/>
                <w:w w:val="95"/>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9"/>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Arial" w:hAnsi="Arial" w:cs="Arial" w:eastAsia="Arial" w:hint="default"/>
                <w:sz w:val="18"/>
                <w:szCs w:val="18"/>
              </w:rPr>
            </w:pPr>
            <w:r>
              <w:rPr>
                <w:rFonts w:ascii="Arial" w:hAnsi="Arial" w:cs="Arial" w:eastAsia="Arial" w:hint="default"/>
                <w:sz w:val="18"/>
                <w:szCs w:val="18"/>
              </w:rPr>
              <w:t>10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15</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9"/>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29</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Arial" w:hAnsi="Arial" w:cs="Arial" w:eastAsia="Arial" w:hint="default"/>
                <w:sz w:val="18"/>
                <w:szCs w:val="18"/>
              </w:rPr>
            </w:pPr>
            <w:r>
              <w:rPr>
                <w:rFonts w:ascii="Arial"/>
                <w:spacing w:val="-1"/>
                <w:sz w:val="18"/>
              </w:rPr>
              <w:t>220,000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2"/>
              <w:jc w:val="right"/>
              <w:rPr>
                <w:rFonts w:ascii="Arial" w:hAnsi="Arial" w:cs="Arial" w:eastAsia="Arial" w:hint="default"/>
                <w:sz w:val="18"/>
                <w:szCs w:val="18"/>
              </w:rPr>
            </w:pPr>
            <w:r>
              <w:rPr>
                <w:rFonts w:ascii="Arial"/>
                <w:spacing w:val="-1"/>
                <w:sz w:val="18"/>
              </w:rPr>
              <w:t>220,000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邬海峰</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Arial" w:hAnsi="Arial" w:cs="Arial" w:eastAsia="Arial" w:hint="default"/>
                <w:sz w:val="18"/>
                <w:szCs w:val="18"/>
              </w:rPr>
            </w:pPr>
            <w:r>
              <w:rPr>
                <w:rFonts w:ascii="Arial"/>
                <w:spacing w:val="-1"/>
                <w:w w:val="95"/>
                <w:sz w:val="18"/>
              </w:rPr>
              <w:t>47</w:t>
            </w:r>
            <w:r>
              <w:rPr>
                <w:rFonts w:ascii="Arial"/>
                <w:w w:val="95"/>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9"/>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Arial" w:hAnsi="Arial" w:cs="Arial" w:eastAsia="Arial" w:hint="default"/>
                <w:sz w:val="18"/>
                <w:szCs w:val="18"/>
              </w:rPr>
            </w:pPr>
            <w:r>
              <w:rPr>
                <w:rFonts w:ascii="Arial" w:hAnsi="Arial" w:cs="Arial" w:eastAsia="Arial" w:hint="default"/>
                <w:sz w:val="18"/>
                <w:szCs w:val="18"/>
              </w:rPr>
              <w:t>10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15</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9"/>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Arial" w:hAnsi="Arial" w:cs="Arial" w:eastAsia="Arial" w:hint="default"/>
                <w:sz w:val="18"/>
                <w:szCs w:val="18"/>
              </w:rPr>
            </w:pPr>
            <w:r>
              <w:rPr>
                <w:rFonts w:ascii="Arial" w:hAnsi="Arial" w:cs="Arial" w:eastAsia="Arial" w:hint="default"/>
                <w:sz w:val="18"/>
                <w:szCs w:val="18"/>
              </w:rPr>
              <w:t>12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29</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r>
      <w:tr>
        <w:trPr>
          <w:trHeight w:val="1026" w:hRule="exact"/>
        </w:trPr>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倪时龙</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Arial" w:hAnsi="Arial" w:cs="Arial" w:eastAsia="Arial" w:hint="default"/>
                <w:sz w:val="18"/>
                <w:szCs w:val="18"/>
              </w:rPr>
            </w:pPr>
            <w:r>
              <w:rPr>
                <w:rFonts w:ascii="Arial"/>
                <w:spacing w:val="-1"/>
                <w:w w:val="95"/>
                <w:sz w:val="18"/>
              </w:rPr>
              <w:t>42</w:t>
            </w:r>
            <w:r>
              <w:rPr>
                <w:rFonts w:ascii="Arial"/>
                <w:w w:val="95"/>
                <w:sz w:val="18"/>
              </w:rPr>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pacing w:val="-4"/>
                <w:sz w:val="18"/>
                <w:szCs w:val="18"/>
              </w:rPr>
              <w:t>2011</w:t>
            </w:r>
            <w:r>
              <w:rPr>
                <w:rFonts w:ascii="Arial" w:hAnsi="Arial" w:cs="Arial" w:eastAsia="Arial" w:hint="default"/>
                <w:spacing w:val="-6"/>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Arial" w:hAnsi="Arial" w:cs="Arial" w:eastAsia="Arial" w:hint="default"/>
                <w:sz w:val="18"/>
                <w:szCs w:val="18"/>
              </w:rPr>
            </w:pPr>
            <w:r>
              <w:rPr>
                <w:rFonts w:ascii="Arial" w:hAnsi="Arial" w:cs="Arial" w:eastAsia="Arial" w:hint="default"/>
                <w:sz w:val="18"/>
                <w:szCs w:val="18"/>
              </w:rPr>
              <w:t>02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17</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9"/>
                <w:sz w:val="18"/>
                <w:szCs w:val="18"/>
              </w:rPr>
              <w:t> </w:t>
            </w:r>
            <w:r>
              <w:rPr>
                <w:rFonts w:ascii="宋体" w:hAnsi="宋体" w:cs="宋体" w:eastAsia="宋体" w:hint="default"/>
                <w:sz w:val="18"/>
                <w:szCs w:val="18"/>
              </w:rPr>
              <w:t>年</w:t>
            </w:r>
          </w:p>
          <w:p>
            <w:pPr>
              <w:pStyle w:val="TableParagraph"/>
              <w:spacing w:line="240" w:lineRule="auto" w:before="62"/>
              <w:ind w:left="22" w:right="0"/>
              <w:jc w:val="left"/>
              <w:rPr>
                <w:rFonts w:ascii="Arial" w:hAnsi="Arial" w:cs="Arial" w:eastAsia="Arial" w:hint="default"/>
                <w:sz w:val="18"/>
                <w:szCs w:val="18"/>
              </w:rPr>
            </w:pPr>
            <w:r>
              <w:rPr>
                <w:rFonts w:ascii="Arial" w:hAnsi="Arial" w:cs="Arial" w:eastAsia="Arial" w:hint="default"/>
                <w:sz w:val="18"/>
                <w:szCs w:val="18"/>
              </w:rPr>
              <w:t>01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03</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Arial" w:hAnsi="Arial" w:cs="Arial" w:eastAsia="Arial" w:hint="default"/>
                <w:sz w:val="18"/>
                <w:szCs w:val="18"/>
              </w:rPr>
            </w:pPr>
            <w:r>
              <w:rPr>
                <w:rFonts w:ascii="Arial"/>
                <w:sz w:val="18"/>
              </w:rPr>
              <w:t>0</w:t>
            </w:r>
          </w:p>
        </w:tc>
      </w:tr>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w:hAnsi="Arial" w:cs="Arial" w:eastAsia="Arial" w:hint="default"/>
                <w:sz w:val="18"/>
                <w:szCs w:val="18"/>
              </w:rPr>
            </w:pPr>
            <w:r>
              <w:rPr>
                <w:rFonts w:ascii="Arial"/>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w:hAnsi="Arial" w:cs="Arial" w:eastAsia="Arial" w:hint="default"/>
                <w:sz w:val="18"/>
                <w:szCs w:val="18"/>
              </w:rPr>
            </w:pPr>
            <w:r>
              <w:rPr>
                <w:rFonts w:ascii="Arial"/>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 w:right="0"/>
              <w:jc w:val="center"/>
              <w:rPr>
                <w:rFonts w:ascii="Arial" w:hAnsi="Arial" w:cs="Arial" w:eastAsia="Arial" w:hint="default"/>
                <w:sz w:val="18"/>
                <w:szCs w:val="18"/>
              </w:rPr>
            </w:pPr>
            <w:r>
              <w:rPr>
                <w:rFonts w:ascii="Arial"/>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w:hAnsi="Arial" w:cs="Arial" w:eastAsia="Arial" w:hint="default"/>
                <w:sz w:val="18"/>
                <w:szCs w:val="18"/>
              </w:rPr>
            </w:pPr>
            <w:r>
              <w:rPr>
                <w:rFonts w:ascii="Arial"/>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Arial" w:hAnsi="Arial" w:cs="Arial" w:eastAsia="Arial" w:hint="default"/>
                <w:sz w:val="18"/>
                <w:szCs w:val="18"/>
              </w:rPr>
            </w:pPr>
            <w:r>
              <w:rPr>
                <w:rFonts w:ascii="Arial"/>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
              <w:jc w:val="center"/>
              <w:rPr>
                <w:rFonts w:ascii="Arial" w:hAnsi="Arial" w:cs="Arial" w:eastAsia="Arial" w:hint="default"/>
                <w:sz w:val="18"/>
                <w:szCs w:val="18"/>
              </w:rPr>
            </w:pPr>
            <w:r>
              <w:rPr>
                <w:rFonts w:ascii="Arial"/>
                <w:sz w:val="18"/>
              </w:rPr>
              <w:t>--</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Arial" w:hAnsi="Arial" w:cs="Arial" w:eastAsia="Arial" w:hint="default"/>
                <w:sz w:val="18"/>
                <w:szCs w:val="18"/>
              </w:rPr>
            </w:pPr>
            <w:r>
              <w:rPr>
                <w:rFonts w:ascii="Arial"/>
                <w:sz w:val="18"/>
              </w:rPr>
              <w:t>203,895,</w:t>
            </w:r>
          </w:p>
          <w:p>
            <w:pPr>
              <w:pStyle w:val="TableParagraph"/>
              <w:spacing w:line="240" w:lineRule="auto" w:before="105"/>
              <w:ind w:left="464" w:right="0"/>
              <w:jc w:val="left"/>
              <w:rPr>
                <w:rFonts w:ascii="Arial" w:hAnsi="Arial" w:cs="Arial" w:eastAsia="Arial" w:hint="default"/>
                <w:sz w:val="18"/>
                <w:szCs w:val="18"/>
              </w:rPr>
            </w:pPr>
            <w:r>
              <w:rPr>
                <w:rFonts w:ascii="Arial"/>
                <w:sz w:val="18"/>
              </w:rPr>
              <w:t>642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2"/>
                <w:sz w:val="18"/>
              </w:rPr>
              <w:t>11,590,0</w:t>
            </w:r>
          </w:p>
          <w:p>
            <w:pPr>
              <w:pStyle w:val="TableParagraph"/>
              <w:spacing w:line="240" w:lineRule="auto" w:before="105"/>
              <w:ind w:right="23"/>
              <w:jc w:val="right"/>
              <w:rPr>
                <w:rFonts w:ascii="Arial" w:hAnsi="Arial" w:cs="Arial" w:eastAsia="Arial" w:hint="default"/>
                <w:sz w:val="18"/>
                <w:szCs w:val="18"/>
              </w:rPr>
            </w:pPr>
            <w:r>
              <w:rPr>
                <w:rFonts w:ascii="Arial"/>
                <w:spacing w:val="-1"/>
                <w:w w:val="95"/>
                <w:sz w:val="18"/>
              </w:rPr>
              <w:t>00</w:t>
            </w:r>
            <w:r>
              <w:rPr>
                <w:rFonts w:ascii="Arial"/>
                <w:w w:val="95"/>
                <w:sz w:val="18"/>
              </w:rPr>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z w:val="18"/>
              </w:rPr>
              <w:t>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Arial" w:hAnsi="Arial" w:cs="Arial" w:eastAsia="Arial" w:hint="default"/>
                <w:sz w:val="18"/>
                <w:szCs w:val="18"/>
              </w:rPr>
            </w:pPr>
            <w:r>
              <w:rPr>
                <w:rFonts w:ascii="Arial"/>
                <w:sz w:val="18"/>
              </w:rPr>
              <w:t>192,305,</w:t>
            </w:r>
          </w:p>
          <w:p>
            <w:pPr>
              <w:pStyle w:val="TableParagraph"/>
              <w:spacing w:line="240" w:lineRule="auto" w:before="105"/>
              <w:ind w:left="464" w:right="0"/>
              <w:jc w:val="left"/>
              <w:rPr>
                <w:rFonts w:ascii="Arial" w:hAnsi="Arial" w:cs="Arial" w:eastAsia="Arial" w:hint="default"/>
                <w:sz w:val="18"/>
                <w:szCs w:val="18"/>
              </w:rPr>
            </w:pPr>
            <w:r>
              <w:rPr>
                <w:rFonts w:ascii="Arial"/>
                <w:sz w:val="18"/>
              </w:rPr>
              <w:t>642</w:t>
            </w:r>
          </w:p>
        </w:tc>
      </w:tr>
    </w:tbl>
    <w:p>
      <w:pPr>
        <w:spacing w:after="0" w:line="240" w:lineRule="auto"/>
        <w:jc w:val="left"/>
        <w:rPr>
          <w:rFonts w:ascii="Arial" w:hAnsi="Arial" w:cs="Arial" w:eastAsia="Arial" w:hint="default"/>
          <w:sz w:val="18"/>
          <w:szCs w:val="18"/>
        </w:rPr>
        <w:sectPr>
          <w:pgSz w:w="11910" w:h="16840"/>
          <w:pgMar w:header="747" w:footer="982" w:top="1060" w:bottom="1180" w:left="980" w:right="0"/>
        </w:sectPr>
      </w:pPr>
    </w:p>
    <w:p>
      <w:pPr>
        <w:spacing w:line="240" w:lineRule="auto" w:before="11"/>
        <w:rPr>
          <w:rFonts w:ascii="Times New Roman" w:hAnsi="Times New Roman" w:cs="Times New Roman" w:eastAsia="Times New Roman" w:hint="default"/>
          <w:sz w:val="26"/>
          <w:szCs w:val="26"/>
        </w:rPr>
      </w:pPr>
    </w:p>
    <w:p>
      <w:pPr>
        <w:pStyle w:val="Heading2"/>
        <w:spacing w:line="240" w:lineRule="auto" w:before="26"/>
        <w:ind w:right="2239"/>
        <w:jc w:val="left"/>
        <w:rPr>
          <w:b w:val="0"/>
          <w:bCs w:val="0"/>
        </w:rPr>
      </w:pPr>
      <w:r>
        <w:rPr/>
        <w:t>二、公司董事、监事、高级管理人员变动情况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30"/>
        <w:gridCol w:w="1331"/>
        <w:gridCol w:w="1330"/>
        <w:gridCol w:w="1330"/>
        <w:gridCol w:w="4248"/>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4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刘微芳</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Arial" w:hAnsi="Arial" w:cs="Arial" w:eastAsia="Arial" w:hint="default"/>
                <w:sz w:val="18"/>
                <w:szCs w:val="18"/>
              </w:rPr>
            </w:pPr>
            <w:r>
              <w:rPr>
                <w:rFonts w:ascii="Arial" w:hAnsi="Arial" w:cs="Arial" w:eastAsia="Arial" w:hint="default"/>
                <w:sz w:val="18"/>
                <w:szCs w:val="18"/>
              </w:rPr>
              <w:t>2019</w:t>
            </w:r>
            <w:r>
              <w:rPr>
                <w:rFonts w:ascii="Arial" w:hAnsi="Arial" w:cs="Arial" w:eastAsia="Arial"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Arial" w:hAnsi="Arial" w:cs="Arial" w:eastAsia="Arial" w:hint="default"/>
                <w:sz w:val="18"/>
                <w:szCs w:val="18"/>
              </w:rPr>
              <w:t>12</w:t>
            </w:r>
            <w:r>
              <w:rPr>
                <w:rFonts w:ascii="Arial" w:hAnsi="Arial" w:cs="Arial" w:eastAsia="Arial"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Arial" w:hAnsi="Arial" w:cs="Arial" w:eastAsia="Arial"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黄旭明</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Arial" w:hAnsi="Arial" w:cs="Arial" w:eastAsia="Arial" w:hint="default"/>
                <w:sz w:val="18"/>
                <w:szCs w:val="18"/>
              </w:rPr>
            </w:pPr>
            <w:r>
              <w:rPr>
                <w:rFonts w:ascii="Arial" w:hAnsi="Arial" w:cs="Arial" w:eastAsia="Arial" w:hint="default"/>
                <w:sz w:val="18"/>
                <w:szCs w:val="18"/>
              </w:rPr>
              <w:t>2019</w:t>
            </w:r>
            <w:r>
              <w:rPr>
                <w:rFonts w:ascii="Arial" w:hAnsi="Arial" w:cs="Arial" w:eastAsia="Arial"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Arial" w:hAnsi="Arial" w:cs="Arial" w:eastAsia="Arial" w:hint="default"/>
                <w:sz w:val="18"/>
                <w:szCs w:val="18"/>
              </w:rPr>
              <w:t>12</w:t>
            </w:r>
            <w:r>
              <w:rPr>
                <w:rFonts w:ascii="Arial" w:hAnsi="Arial" w:cs="Arial" w:eastAsia="Arial"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Arial" w:hAnsi="Arial" w:cs="Arial" w:eastAsia="Arial"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苏小榕</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Arial" w:hAnsi="Arial" w:cs="Arial" w:eastAsia="Arial" w:hint="default"/>
                <w:sz w:val="18"/>
                <w:szCs w:val="18"/>
              </w:rPr>
            </w:pPr>
            <w:r>
              <w:rPr>
                <w:rFonts w:ascii="Arial" w:hAnsi="Arial" w:cs="Arial" w:eastAsia="Arial" w:hint="default"/>
                <w:sz w:val="18"/>
                <w:szCs w:val="18"/>
              </w:rPr>
              <w:t>2019</w:t>
            </w:r>
            <w:r>
              <w:rPr>
                <w:rFonts w:ascii="Arial" w:hAnsi="Arial" w:cs="Arial" w:eastAsia="Arial"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Arial" w:hAnsi="Arial" w:cs="Arial" w:eastAsia="Arial" w:hint="default"/>
                <w:sz w:val="18"/>
                <w:szCs w:val="18"/>
              </w:rPr>
              <w:t>12</w:t>
            </w:r>
            <w:r>
              <w:rPr>
                <w:rFonts w:ascii="Arial" w:hAnsi="Arial" w:cs="Arial" w:eastAsia="Arial"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Arial" w:hAnsi="Arial" w:cs="Arial" w:eastAsia="Arial"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魏建光</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Arial" w:hAnsi="Arial" w:cs="Arial" w:eastAsia="Arial" w:hint="default"/>
                <w:sz w:val="18"/>
                <w:szCs w:val="18"/>
              </w:rPr>
            </w:pPr>
            <w:r>
              <w:rPr>
                <w:rFonts w:ascii="Arial" w:hAnsi="Arial" w:cs="Arial" w:eastAsia="Arial" w:hint="default"/>
                <w:sz w:val="18"/>
                <w:szCs w:val="18"/>
              </w:rPr>
              <w:t>2019</w:t>
            </w:r>
            <w:r>
              <w:rPr>
                <w:rFonts w:ascii="Arial" w:hAnsi="Arial" w:cs="Arial" w:eastAsia="Arial"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Arial" w:hAnsi="Arial" w:cs="Arial" w:eastAsia="Arial" w:hint="default"/>
                <w:sz w:val="18"/>
                <w:szCs w:val="18"/>
              </w:rPr>
              <w:t>12</w:t>
            </w:r>
            <w:r>
              <w:rPr>
                <w:rFonts w:ascii="Arial" w:hAnsi="Arial" w:cs="Arial" w:eastAsia="Arial"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Arial" w:hAnsi="Arial" w:cs="Arial" w:eastAsia="Arial"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邬海峰</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任期满离任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Arial" w:hAnsi="Arial" w:cs="Arial" w:eastAsia="Arial" w:hint="default"/>
                <w:sz w:val="18"/>
                <w:szCs w:val="18"/>
              </w:rPr>
            </w:pPr>
            <w:r>
              <w:rPr>
                <w:rFonts w:ascii="Arial" w:hAnsi="Arial" w:cs="Arial" w:eastAsia="Arial" w:hint="default"/>
                <w:sz w:val="18"/>
                <w:szCs w:val="18"/>
              </w:rPr>
              <w:t>2019</w:t>
            </w:r>
            <w:r>
              <w:rPr>
                <w:rFonts w:ascii="Arial" w:hAnsi="Arial" w:cs="Arial" w:eastAsia="Arial"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Arial" w:hAnsi="Arial" w:cs="Arial" w:eastAsia="Arial" w:hint="default"/>
                <w:sz w:val="18"/>
                <w:szCs w:val="18"/>
              </w:rPr>
              <w:t>12</w:t>
            </w:r>
            <w:r>
              <w:rPr>
                <w:rFonts w:ascii="Arial" w:hAnsi="Arial" w:cs="Arial" w:eastAsia="Arial"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Arial" w:hAnsi="Arial" w:cs="Arial" w:eastAsia="Arial" w:hint="default"/>
                <w:sz w:val="18"/>
                <w:szCs w:val="18"/>
              </w:rPr>
              <w:t>29</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任期满离任</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倪时龙</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Arial" w:hAnsi="Arial" w:cs="Arial" w:eastAsia="Arial" w:hint="default"/>
                <w:sz w:val="18"/>
                <w:szCs w:val="18"/>
              </w:rPr>
            </w:pPr>
            <w:r>
              <w:rPr>
                <w:rFonts w:ascii="Arial" w:hAnsi="Arial" w:cs="Arial" w:eastAsia="Arial" w:hint="default"/>
                <w:sz w:val="18"/>
                <w:szCs w:val="18"/>
              </w:rPr>
              <w:t>2019</w:t>
            </w:r>
            <w:r>
              <w:rPr>
                <w:rFonts w:ascii="Arial" w:hAnsi="Arial" w:cs="Arial" w:eastAsia="Arial"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Arial" w:hAnsi="Arial" w:cs="Arial" w:eastAsia="Arial" w:hint="default"/>
                <w:sz w:val="18"/>
                <w:szCs w:val="18"/>
              </w:rPr>
              <w:t>01</w:t>
            </w:r>
            <w:r>
              <w:rPr>
                <w:rFonts w:ascii="Arial" w:hAnsi="Arial" w:cs="Arial" w:eastAsia="Arial"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Arial" w:hAnsi="Arial" w:cs="Arial" w:eastAsia="Arial" w:hint="default"/>
                <w:sz w:val="18"/>
                <w:szCs w:val="18"/>
              </w:rPr>
              <w:t>03</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因个人原因申请辞去公司副总裁职</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叶剑波</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Arial" w:hAnsi="Arial" w:cs="Arial" w:eastAsia="Arial" w:hint="default"/>
                <w:sz w:val="18"/>
                <w:szCs w:val="18"/>
              </w:rPr>
            </w:pPr>
            <w:r>
              <w:rPr>
                <w:rFonts w:ascii="Arial" w:hAnsi="Arial" w:cs="Arial" w:eastAsia="Arial" w:hint="default"/>
                <w:sz w:val="18"/>
                <w:szCs w:val="18"/>
              </w:rPr>
              <w:t>2019</w:t>
            </w:r>
            <w:r>
              <w:rPr>
                <w:rFonts w:ascii="Arial" w:hAnsi="Arial" w:cs="Arial" w:eastAsia="Arial"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Arial" w:hAnsi="Arial" w:cs="Arial" w:eastAsia="Arial" w:hint="default"/>
                <w:sz w:val="18"/>
                <w:szCs w:val="18"/>
              </w:rPr>
              <w:t>12</w:t>
            </w:r>
            <w:r>
              <w:rPr>
                <w:rFonts w:ascii="Arial" w:hAnsi="Arial" w:cs="Arial" w:eastAsia="Arial"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Arial" w:hAnsi="Arial" w:cs="Arial" w:eastAsia="Arial"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陈威</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Arial" w:hAnsi="Arial" w:cs="Arial" w:eastAsia="Arial" w:hint="default"/>
                <w:sz w:val="18"/>
                <w:szCs w:val="18"/>
              </w:rPr>
            </w:pPr>
            <w:r>
              <w:rPr>
                <w:rFonts w:ascii="Arial" w:hAnsi="Arial" w:cs="Arial" w:eastAsia="Arial" w:hint="default"/>
                <w:sz w:val="18"/>
                <w:szCs w:val="18"/>
              </w:rPr>
              <w:t>2019</w:t>
            </w:r>
            <w:r>
              <w:rPr>
                <w:rFonts w:ascii="Arial" w:hAnsi="Arial" w:cs="Arial" w:eastAsia="Arial"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Arial" w:hAnsi="Arial" w:cs="Arial" w:eastAsia="Arial" w:hint="default"/>
                <w:sz w:val="18"/>
                <w:szCs w:val="18"/>
              </w:rPr>
              <w:t>12</w:t>
            </w:r>
            <w:r>
              <w:rPr>
                <w:rFonts w:ascii="Arial" w:hAnsi="Arial" w:cs="Arial" w:eastAsia="Arial"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Arial" w:hAnsi="Arial" w:cs="Arial" w:eastAsia="Arial"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叶东毅</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Arial" w:hAnsi="Arial" w:cs="Arial" w:eastAsia="Arial" w:hint="default"/>
                <w:sz w:val="18"/>
                <w:szCs w:val="18"/>
              </w:rPr>
            </w:pPr>
            <w:r>
              <w:rPr>
                <w:rFonts w:ascii="Arial" w:hAnsi="Arial" w:cs="Arial" w:eastAsia="Arial" w:hint="default"/>
                <w:sz w:val="18"/>
                <w:szCs w:val="18"/>
              </w:rPr>
              <w:t>2019</w:t>
            </w:r>
            <w:r>
              <w:rPr>
                <w:rFonts w:ascii="Arial" w:hAnsi="Arial" w:cs="Arial" w:eastAsia="Arial"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Arial" w:hAnsi="Arial" w:cs="Arial" w:eastAsia="Arial" w:hint="default"/>
                <w:sz w:val="18"/>
                <w:szCs w:val="18"/>
              </w:rPr>
              <w:t>12</w:t>
            </w:r>
            <w:r>
              <w:rPr>
                <w:rFonts w:ascii="Arial" w:hAnsi="Arial" w:cs="Arial" w:eastAsia="Arial"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Arial" w:hAnsi="Arial" w:cs="Arial" w:eastAsia="Arial"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w:t>
            </w:r>
          </w:p>
        </w:tc>
      </w:tr>
      <w:tr>
        <w:trPr>
          <w:trHeight w:val="714"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孙敏</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Arial" w:hAnsi="Arial" w:cs="Arial" w:eastAsia="Arial" w:hint="default"/>
                <w:sz w:val="18"/>
                <w:szCs w:val="18"/>
              </w:rPr>
            </w:pPr>
            <w:r>
              <w:rPr>
                <w:rFonts w:ascii="Arial" w:hAnsi="Arial" w:cs="Arial" w:eastAsia="Arial" w:hint="default"/>
                <w:sz w:val="18"/>
                <w:szCs w:val="18"/>
              </w:rPr>
              <w:t>2019</w:t>
            </w:r>
            <w:r>
              <w:rPr>
                <w:rFonts w:ascii="Arial" w:hAnsi="Arial" w:cs="Arial" w:eastAsia="Arial"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Arial" w:hAnsi="Arial" w:cs="Arial" w:eastAsia="Arial" w:hint="default"/>
                <w:sz w:val="18"/>
                <w:szCs w:val="18"/>
              </w:rPr>
              <w:t>12</w:t>
            </w:r>
            <w:r>
              <w:rPr>
                <w:rFonts w:ascii="Arial" w:hAnsi="Arial" w:cs="Arial" w:eastAsia="Arial"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Arial" w:hAnsi="Arial" w:cs="Arial" w:eastAsia="Arial"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胡继荣</w:t>
            </w:r>
          </w:p>
        </w:tc>
        <w:tc>
          <w:tcPr>
            <w:tcW w:w="13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任免</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Arial" w:hAnsi="Arial" w:cs="Arial" w:eastAsia="Arial" w:hint="default"/>
                <w:sz w:val="18"/>
                <w:szCs w:val="18"/>
              </w:rPr>
            </w:pPr>
            <w:r>
              <w:rPr>
                <w:rFonts w:ascii="Arial" w:hAnsi="Arial" w:cs="Arial" w:eastAsia="Arial" w:hint="default"/>
                <w:sz w:val="18"/>
                <w:szCs w:val="18"/>
              </w:rPr>
              <w:t>2019</w:t>
            </w:r>
            <w:r>
              <w:rPr>
                <w:rFonts w:ascii="Arial" w:hAnsi="Arial" w:cs="Arial" w:eastAsia="Arial" w:hint="default"/>
                <w:spacing w:val="-23"/>
                <w:sz w:val="18"/>
                <w:szCs w:val="18"/>
              </w:rPr>
              <w:t> </w:t>
            </w:r>
            <w:r>
              <w:rPr>
                <w:rFonts w:ascii="宋体" w:hAnsi="宋体" w:cs="宋体" w:eastAsia="宋体" w:hint="default"/>
                <w:sz w:val="18"/>
                <w:szCs w:val="18"/>
              </w:rPr>
              <w:t>年</w:t>
            </w:r>
            <w:r>
              <w:rPr>
                <w:rFonts w:ascii="宋体" w:hAnsi="宋体" w:cs="宋体" w:eastAsia="宋体" w:hint="default"/>
                <w:spacing w:val="-63"/>
                <w:sz w:val="18"/>
                <w:szCs w:val="18"/>
              </w:rPr>
              <w:t> </w:t>
            </w:r>
            <w:r>
              <w:rPr>
                <w:rFonts w:ascii="Arial" w:hAnsi="Arial" w:cs="Arial" w:eastAsia="Arial" w:hint="default"/>
                <w:sz w:val="18"/>
                <w:szCs w:val="18"/>
              </w:rPr>
              <w:t>12</w:t>
            </w:r>
            <w:r>
              <w:rPr>
                <w:rFonts w:ascii="Arial" w:hAnsi="Arial" w:cs="Arial" w:eastAsia="Arial" w:hint="default"/>
                <w:spacing w:val="-23"/>
                <w:sz w:val="18"/>
                <w:szCs w:val="18"/>
              </w:rPr>
              <w:t> </w:t>
            </w:r>
            <w:r>
              <w:rPr>
                <w:rFonts w:ascii="宋体" w:hAnsi="宋体" w:cs="宋体" w:eastAsia="宋体" w:hint="default"/>
                <w:sz w:val="18"/>
                <w:szCs w:val="18"/>
              </w:rPr>
              <w:t>月</w:t>
            </w:r>
            <w:r>
              <w:rPr>
                <w:rFonts w:ascii="宋体" w:hAnsi="宋体" w:cs="宋体" w:eastAsia="宋体" w:hint="default"/>
                <w:spacing w:val="-63"/>
                <w:sz w:val="18"/>
                <w:szCs w:val="18"/>
              </w:rPr>
              <w:t> </w:t>
            </w:r>
            <w:r>
              <w:rPr>
                <w:rFonts w:ascii="Arial" w:hAnsi="Arial" w:cs="Arial" w:eastAsia="Arial" w:hint="default"/>
                <w:sz w:val="18"/>
                <w:szCs w:val="18"/>
              </w:rPr>
              <w:t>31</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换届</w:t>
            </w:r>
          </w:p>
        </w:tc>
      </w:tr>
    </w:tbl>
    <w:p>
      <w:pPr>
        <w:spacing w:line="240" w:lineRule="auto" w:before="2"/>
        <w:rPr>
          <w:rFonts w:ascii="宋体" w:hAnsi="宋体" w:cs="宋体" w:eastAsia="宋体" w:hint="default"/>
          <w:sz w:val="18"/>
          <w:szCs w:val="18"/>
        </w:rPr>
      </w:pPr>
    </w:p>
    <w:p>
      <w:pPr>
        <w:pStyle w:val="Heading2"/>
        <w:spacing w:line="240" w:lineRule="auto" w:before="26"/>
        <w:ind w:right="2239"/>
        <w:jc w:val="left"/>
        <w:rPr>
          <w:b w:val="0"/>
          <w:bCs w:val="0"/>
        </w:rPr>
      </w:pPr>
      <w:r>
        <w:rPr/>
        <w:t>三、任职情况</w:t>
      </w:r>
      <w:r>
        <w:rPr>
          <w:b w:val="0"/>
          <w:bCs w:val="0"/>
        </w:rPr>
      </w:r>
    </w:p>
    <w:p>
      <w:pPr>
        <w:spacing w:line="240" w:lineRule="auto" w:before="7"/>
        <w:rPr>
          <w:rFonts w:ascii="宋体" w:hAnsi="宋体" w:cs="宋体" w:eastAsia="宋体" w:hint="default"/>
          <w:b/>
          <w:bCs/>
          <w:sz w:val="26"/>
          <w:szCs w:val="26"/>
        </w:rPr>
      </w:pPr>
    </w:p>
    <w:p>
      <w:pPr>
        <w:pStyle w:val="BodyText"/>
        <w:spacing w:line="357" w:lineRule="auto"/>
        <w:ind w:left="513" w:right="1170" w:hanging="360"/>
        <w:jc w:val="left"/>
      </w:pPr>
      <w:r>
        <w:rPr/>
        <w:t>公司现任董事、监事、高级管理人员专业背景、主要工作经历以及目前在公司的主要职责 鲁峰：中国国籍，男，</w:t>
      </w:r>
      <w:r>
        <w:rPr>
          <w:rFonts w:ascii="Arial" w:hAnsi="Arial" w:cs="Arial" w:eastAsia="Arial" w:hint="default"/>
        </w:rPr>
        <w:t>1967</w:t>
      </w:r>
      <w:r>
        <w:rPr/>
        <w:t>年生，毕业于中科院沈阳计算技术研究所，研究生学历，工学硕士学位。长期从事行业应</w:t>
      </w:r>
    </w:p>
    <w:p>
      <w:pPr>
        <w:pStyle w:val="BodyText"/>
        <w:spacing w:line="213" w:lineRule="exact"/>
        <w:ind w:left="153" w:right="0"/>
        <w:jc w:val="left"/>
      </w:pPr>
      <w:r>
        <w:rPr/>
        <w:t>用软件开发及计算机信息系统集成工作，</w:t>
      </w:r>
      <w:r>
        <w:rPr>
          <w:rFonts w:ascii="Arial" w:hAnsi="Arial" w:cs="Arial" w:eastAsia="Arial" w:hint="default"/>
        </w:rPr>
        <w:t>1993</w:t>
      </w:r>
      <w:r>
        <w:rPr/>
        <w:t>年参与创建福建榕基软件开发有限公司，主持业务、研发和技术管理工作。</w:t>
      </w:r>
    </w:p>
    <w:p>
      <w:pPr>
        <w:pStyle w:val="BodyText"/>
        <w:spacing w:line="302" w:lineRule="auto" w:before="63"/>
        <w:ind w:left="153" w:right="0"/>
        <w:jc w:val="left"/>
      </w:pPr>
      <w:r>
        <w:rPr>
          <w:rFonts w:ascii="Arial" w:hAnsi="Arial" w:cs="Arial" w:eastAsia="Arial" w:hint="default"/>
          <w:spacing w:val="-3"/>
        </w:rPr>
        <w:t>2004</w:t>
      </w:r>
      <w:r>
        <w:rPr>
          <w:spacing w:val="-3"/>
        </w:rPr>
        <w:t>年，荣获福建省人事厅、信息产业厅颁发的</w:t>
      </w:r>
      <w:r>
        <w:rPr>
          <w:rFonts w:ascii="Arial" w:hAnsi="Arial" w:cs="Arial" w:eastAsia="Arial" w:hint="default"/>
          <w:spacing w:val="-3"/>
        </w:rPr>
        <w:t>“</w:t>
      </w:r>
      <w:r>
        <w:rPr>
          <w:spacing w:val="-3"/>
        </w:rPr>
        <w:t>首届福建省软件杰出人才</w:t>
      </w:r>
      <w:r>
        <w:rPr>
          <w:rFonts w:ascii="Arial" w:hAnsi="Arial" w:cs="Arial" w:eastAsia="Arial" w:hint="default"/>
          <w:spacing w:val="-3"/>
        </w:rPr>
        <w:t>”</w:t>
      </w:r>
      <w:r>
        <w:rPr>
          <w:spacing w:val="-3"/>
        </w:rPr>
        <w:t>荣誉称号。</w:t>
      </w:r>
      <w:r>
        <w:rPr>
          <w:rFonts w:ascii="Arial" w:hAnsi="Arial" w:cs="Arial" w:eastAsia="Arial" w:hint="default"/>
          <w:spacing w:val="-3"/>
        </w:rPr>
        <w:t>2006</w:t>
      </w:r>
      <w:r>
        <w:rPr>
          <w:spacing w:val="-3"/>
        </w:rPr>
        <w:t>年，荣获福建省</w:t>
      </w:r>
      <w:r>
        <w:rPr>
          <w:rFonts w:ascii="Arial" w:hAnsi="Arial" w:cs="Arial" w:eastAsia="Arial" w:hint="default"/>
          <w:spacing w:val="-3"/>
        </w:rPr>
        <w:t>“</w:t>
      </w:r>
      <w:r>
        <w:rPr>
          <w:spacing w:val="-3"/>
        </w:rPr>
        <w:t>五一</w:t>
      </w:r>
      <w:r>
        <w:rPr>
          <w:rFonts w:ascii="Arial" w:hAnsi="Arial" w:cs="Arial" w:eastAsia="Arial" w:hint="default"/>
          <w:spacing w:val="-3"/>
        </w:rPr>
        <w:t>”</w:t>
      </w:r>
      <w:r>
        <w:rPr>
          <w:spacing w:val="-3"/>
        </w:rPr>
        <w:t>劳动奖章，</w:t>
      </w:r>
      <w:r>
        <w:rPr>
          <w:spacing w:val="-46"/>
        </w:rPr>
        <w:t> </w:t>
      </w:r>
      <w:r>
        <w:rPr/>
        <w:t>获得福建省</w:t>
      </w:r>
      <w:r>
        <w:rPr>
          <w:rFonts w:ascii="Arial" w:hAnsi="Arial" w:cs="Arial" w:eastAsia="Arial" w:hint="default"/>
        </w:rPr>
        <w:t>“</w:t>
      </w:r>
      <w:r>
        <w:rPr/>
        <w:t>新长征突击手</w:t>
      </w:r>
      <w:r>
        <w:rPr>
          <w:rFonts w:ascii="Arial" w:hAnsi="Arial" w:cs="Arial" w:eastAsia="Arial" w:hint="default"/>
        </w:rPr>
        <w:t>”</w:t>
      </w:r>
      <w:r>
        <w:rPr/>
        <w:t>和</w:t>
      </w:r>
      <w:r>
        <w:rPr>
          <w:rFonts w:ascii="Arial" w:hAnsi="Arial" w:cs="Arial" w:eastAsia="Arial" w:hint="default"/>
        </w:rPr>
        <w:t>“2006</w:t>
      </w:r>
      <w:r>
        <w:rPr/>
        <w:t>中国信息产业年度</w:t>
      </w:r>
      <w:r>
        <w:rPr>
          <w:rFonts w:ascii="Arial" w:hAnsi="Arial" w:cs="Arial" w:eastAsia="Arial" w:hint="default"/>
        </w:rPr>
        <w:t>10</w:t>
      </w:r>
      <w:r>
        <w:rPr/>
        <w:t>大新锐人物</w:t>
      </w:r>
      <w:r>
        <w:rPr>
          <w:rFonts w:ascii="Arial" w:hAnsi="Arial" w:cs="Arial" w:eastAsia="Arial" w:hint="default"/>
        </w:rPr>
        <w:t>”</w:t>
      </w:r>
      <w:r>
        <w:rPr>
          <w:rFonts w:ascii="Arial" w:hAnsi="Arial" w:cs="Arial" w:eastAsia="Arial" w:hint="default"/>
          <w:spacing w:val="38"/>
        </w:rPr>
        <w:t> </w:t>
      </w:r>
      <w:r>
        <w:rPr/>
        <w:t>、第四届</w:t>
      </w:r>
      <w:r>
        <w:rPr>
          <w:rFonts w:ascii="Arial" w:hAnsi="Arial" w:cs="Arial" w:eastAsia="Arial" w:hint="default"/>
        </w:rPr>
        <w:t>“</w:t>
      </w:r>
      <w:r>
        <w:rPr/>
        <w:t>中国软件行业杰出青年</w:t>
      </w:r>
      <w:r>
        <w:rPr>
          <w:rFonts w:ascii="Arial" w:hAnsi="Arial" w:cs="Arial" w:eastAsia="Arial" w:hint="default"/>
        </w:rPr>
        <w:t>”</w:t>
      </w:r>
      <w:r>
        <w:rPr/>
        <w:t>、</w:t>
      </w:r>
      <w:r>
        <w:rPr>
          <w:rFonts w:ascii="Arial" w:hAnsi="Arial" w:cs="Arial" w:eastAsia="Arial" w:hint="default"/>
        </w:rPr>
        <w:t>“</w:t>
      </w:r>
      <w:r>
        <w:rPr/>
        <w:t>中国优秀民营企 业家</w:t>
      </w:r>
      <w:r>
        <w:rPr>
          <w:rFonts w:ascii="Arial" w:hAnsi="Arial" w:cs="Arial" w:eastAsia="Arial" w:hint="default"/>
        </w:rPr>
        <w:t>”</w:t>
      </w:r>
      <w:r>
        <w:rPr/>
        <w:t>、</w:t>
      </w:r>
      <w:r>
        <w:rPr>
          <w:rFonts w:ascii="Arial" w:hAnsi="Arial" w:cs="Arial" w:eastAsia="Arial" w:hint="default"/>
        </w:rPr>
        <w:t>2012</w:t>
      </w:r>
      <w:r>
        <w:rPr/>
        <w:t>年获评</w:t>
      </w:r>
      <w:r>
        <w:rPr>
          <w:rFonts w:ascii="Arial" w:hAnsi="Arial" w:cs="Arial" w:eastAsia="Arial" w:hint="default"/>
        </w:rPr>
        <w:t>“</w:t>
      </w:r>
      <w:r>
        <w:rPr/>
        <w:t>海西创业英才</w:t>
      </w:r>
      <w:r>
        <w:rPr>
          <w:rFonts w:ascii="Arial" w:hAnsi="Arial" w:cs="Arial" w:eastAsia="Arial" w:hint="default"/>
        </w:rPr>
        <w:t>”</w:t>
      </w:r>
      <w:r>
        <w:rPr/>
        <w:t>、</w:t>
      </w:r>
      <w:r>
        <w:rPr>
          <w:rFonts w:ascii="Arial" w:hAnsi="Arial" w:cs="Arial" w:eastAsia="Arial" w:hint="default"/>
        </w:rPr>
        <w:t>2015</w:t>
      </w:r>
      <w:r>
        <w:rPr/>
        <w:t>年获评</w:t>
      </w:r>
      <w:r>
        <w:rPr>
          <w:rFonts w:ascii="Arial" w:hAnsi="Arial" w:cs="Arial" w:eastAsia="Arial" w:hint="default"/>
        </w:rPr>
        <w:t>“</w:t>
      </w:r>
      <w:r>
        <w:rPr/>
        <w:t>福建省互联网优秀人才</w:t>
      </w:r>
      <w:r>
        <w:rPr>
          <w:rFonts w:ascii="Arial" w:hAnsi="Arial" w:cs="Arial" w:eastAsia="Arial" w:hint="default"/>
        </w:rPr>
        <w:t>”</w:t>
      </w:r>
      <w:r>
        <w:rPr/>
        <w:t>等荣誉称号。现任公司董事长、总裁、上海榕基 软件开发有限公司执行董事、福建亿榕信息技术有限公司董事。</w:t>
      </w:r>
    </w:p>
    <w:p>
      <w:pPr>
        <w:pStyle w:val="BodyText"/>
        <w:spacing w:line="309" w:lineRule="auto" w:before="68"/>
        <w:ind w:left="153" w:right="1130" w:firstLine="360"/>
        <w:jc w:val="both"/>
      </w:pPr>
      <w:r>
        <w:rPr/>
        <w:t>侯伟：中国国籍，男，</w:t>
      </w:r>
      <w:r>
        <w:rPr>
          <w:rFonts w:ascii="Arial" w:hAnsi="Arial" w:cs="Arial" w:eastAsia="Arial" w:hint="default"/>
        </w:rPr>
        <w:t>1966</w:t>
      </w:r>
      <w:r>
        <w:rPr/>
        <w:t>年生，毕业于郑州大学，本科学历，学士学位。</w:t>
      </w:r>
      <w:r>
        <w:rPr>
          <w:rFonts w:ascii="Arial" w:hAnsi="Arial" w:cs="Arial" w:eastAsia="Arial" w:hint="default"/>
        </w:rPr>
        <w:t>1993</w:t>
      </w:r>
      <w:r>
        <w:rPr/>
        <w:t>年至今在公司工作，长期从事公司内 </w:t>
      </w:r>
      <w:r>
        <w:rPr>
          <w:spacing w:val="-2"/>
        </w:rPr>
        <w:t>务管理和市场管理工作，荣获福建省第三批企业高级经营管理人才。现任公司副董事长、常务副总裁、浙江榕基信息技术有</w:t>
      </w:r>
      <w:r>
        <w:rPr>
          <w:spacing w:val="-66"/>
        </w:rPr>
        <w:t> </w:t>
      </w:r>
      <w:r>
        <w:rPr>
          <w:spacing w:val="-66"/>
        </w:rPr>
      </w:r>
      <w:r>
        <w:rPr/>
        <w:t>限公司董事长、福建亿榕信息技术有限公司董事、星榕基董事长。</w:t>
      </w:r>
    </w:p>
    <w:p>
      <w:pPr>
        <w:pStyle w:val="BodyText"/>
        <w:spacing w:line="240" w:lineRule="auto" w:before="64"/>
        <w:ind w:left="513" w:right="0"/>
        <w:jc w:val="left"/>
      </w:pPr>
      <w:r>
        <w:rPr/>
        <w:t>陈明平：中国国籍，无境外永久居留权，男，</w:t>
      </w:r>
      <w:r>
        <w:rPr>
          <w:rFonts w:ascii="Arial" w:hAnsi="Arial" w:cs="Arial" w:eastAsia="Arial" w:hint="default"/>
        </w:rPr>
        <w:t>1974</w:t>
      </w:r>
      <w:r>
        <w:rPr/>
        <w:t>年生，毕业于北京理工大学，本科学历，高级工程师。长期从事行</w:t>
      </w:r>
    </w:p>
    <w:p>
      <w:pPr>
        <w:spacing w:after="0" w:line="240"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02" w:lineRule="auto" w:before="44"/>
        <w:ind w:left="153" w:right="0"/>
        <w:jc w:val="left"/>
      </w:pPr>
      <w:r>
        <w:rPr>
          <w:spacing w:val="-1"/>
        </w:rPr>
        <w:t>业应用软件开发及计算机信息系统集成工作，</w:t>
      </w:r>
      <w:r>
        <w:rPr>
          <w:rFonts w:ascii="Arial" w:hAnsi="Arial" w:cs="Arial" w:eastAsia="Arial" w:hint="default"/>
          <w:spacing w:val="-1"/>
        </w:rPr>
        <w:t>2001</w:t>
      </w:r>
      <w:r>
        <w:rPr>
          <w:spacing w:val="-1"/>
        </w:rPr>
        <w:t>年加入公司，负责企业技术开发及管理工作。具有较强的技术管理能力，</w:t>
      </w:r>
      <w:r>
        <w:rPr>
          <w:spacing w:val="-69"/>
        </w:rPr>
        <w:t> </w:t>
      </w:r>
      <w:r>
        <w:rPr>
          <w:spacing w:val="-69"/>
        </w:rPr>
      </w:r>
      <w:r>
        <w:rPr>
          <w:spacing w:val="-2"/>
        </w:rPr>
        <w:t>负责公司技术管理体系的建设和维护，对软件行业具有深入的理解和丰富的实践经验，曾获</w:t>
      </w:r>
      <w:r>
        <w:rPr>
          <w:rFonts w:ascii="Arial" w:hAnsi="Arial" w:cs="Arial" w:eastAsia="Arial" w:hint="default"/>
          <w:spacing w:val="-2"/>
        </w:rPr>
        <w:t>“</w:t>
      </w:r>
      <w:r>
        <w:rPr>
          <w:spacing w:val="-2"/>
        </w:rPr>
        <w:t>首届福建</w:t>
      </w:r>
      <w:r>
        <w:rPr>
          <w:rFonts w:ascii="Arial" w:hAnsi="Arial" w:cs="Arial" w:eastAsia="Arial" w:hint="default"/>
          <w:spacing w:val="-2"/>
        </w:rPr>
        <w:t>IT</w:t>
      </w:r>
      <w:r>
        <w:rPr>
          <w:spacing w:val="-2"/>
        </w:rPr>
        <w:t>行业十大杰出青年</w:t>
      </w:r>
      <w:r>
        <w:rPr>
          <w:rFonts w:ascii="Arial" w:hAnsi="Arial" w:cs="Arial" w:eastAsia="Arial" w:hint="default"/>
          <w:spacing w:val="-2"/>
        </w:rPr>
        <w:t>”</w:t>
      </w:r>
      <w:r>
        <w:rPr>
          <w:spacing w:val="-2"/>
        </w:rPr>
        <w:t>、</w:t>
      </w:r>
      <w:r>
        <w:rPr>
          <w:spacing w:val="-69"/>
        </w:rPr>
        <w:t> </w:t>
      </w:r>
      <w:r>
        <w:rPr>
          <w:rFonts w:ascii="Arial" w:hAnsi="Arial" w:cs="Arial" w:eastAsia="Arial" w:hint="default"/>
        </w:rPr>
        <w:t>“</w:t>
      </w:r>
      <w:r>
        <w:rPr/>
        <w:t>第二届福建省软件杰出人才</w:t>
      </w:r>
      <w:r>
        <w:rPr>
          <w:rFonts w:ascii="Arial" w:hAnsi="Arial" w:cs="Arial" w:eastAsia="Arial" w:hint="default"/>
        </w:rPr>
        <w:t>”</w:t>
      </w:r>
      <w:r>
        <w:rPr/>
        <w:t>、</w:t>
      </w:r>
      <w:r>
        <w:rPr>
          <w:rFonts w:ascii="Arial" w:hAnsi="Arial" w:cs="Arial" w:eastAsia="Arial" w:hint="default"/>
        </w:rPr>
        <w:t>“</w:t>
      </w:r>
      <w:r>
        <w:rPr/>
        <w:t>第二届福州市杰出科技人员</w:t>
      </w:r>
      <w:r>
        <w:rPr>
          <w:rFonts w:ascii="Arial" w:hAnsi="Arial" w:cs="Arial" w:eastAsia="Arial" w:hint="default"/>
        </w:rPr>
        <w:t>”</w:t>
      </w:r>
      <w:r>
        <w:rPr/>
        <w:t>、</w:t>
      </w:r>
      <w:r>
        <w:rPr>
          <w:rFonts w:ascii="Arial" w:hAnsi="Arial" w:cs="Arial" w:eastAsia="Arial" w:hint="default"/>
        </w:rPr>
        <w:t>“</w:t>
      </w:r>
      <w:r>
        <w:rPr/>
        <w:t>第十二届福建青年科技奖</w:t>
      </w:r>
      <w:r>
        <w:rPr>
          <w:rFonts w:ascii="Arial" w:hAnsi="Arial" w:cs="Arial" w:eastAsia="Arial" w:hint="default"/>
        </w:rPr>
        <w:t>”</w:t>
      </w:r>
      <w:r>
        <w:rPr/>
        <w:t>、</w:t>
      </w:r>
      <w:r>
        <w:rPr>
          <w:rFonts w:ascii="Arial" w:hAnsi="Arial" w:cs="Arial" w:eastAsia="Arial" w:hint="default"/>
        </w:rPr>
        <w:t>“</w:t>
      </w:r>
      <w:r>
        <w:rPr/>
        <w:t>中国电子学会电子信息科学技 </w:t>
      </w:r>
      <w:r>
        <w:rPr>
          <w:spacing w:val="-2"/>
        </w:rPr>
        <w:t>术奖二等奖</w:t>
      </w:r>
      <w:r>
        <w:rPr>
          <w:rFonts w:ascii="Arial" w:hAnsi="Arial" w:cs="Arial" w:eastAsia="Arial" w:hint="default"/>
          <w:spacing w:val="-2"/>
        </w:rPr>
        <w:t>”</w:t>
      </w:r>
      <w:r>
        <w:rPr>
          <w:spacing w:val="-2"/>
        </w:rPr>
        <w:t>、</w:t>
      </w:r>
      <w:r>
        <w:rPr>
          <w:rFonts w:ascii="Arial" w:hAnsi="Arial" w:cs="Arial" w:eastAsia="Arial" w:hint="default"/>
          <w:spacing w:val="-2"/>
        </w:rPr>
        <w:t>“</w:t>
      </w:r>
      <w:r>
        <w:rPr>
          <w:spacing w:val="-2"/>
        </w:rPr>
        <w:t>福建省职工优秀技术创新成果二等奖</w:t>
      </w:r>
      <w:r>
        <w:rPr>
          <w:rFonts w:ascii="Arial" w:hAnsi="Arial" w:cs="Arial" w:eastAsia="Arial" w:hint="default"/>
          <w:spacing w:val="-2"/>
        </w:rPr>
        <w:t>”</w:t>
      </w:r>
      <w:r>
        <w:rPr>
          <w:spacing w:val="-2"/>
        </w:rPr>
        <w:t>和</w:t>
      </w:r>
      <w:r>
        <w:rPr>
          <w:rFonts w:ascii="Arial" w:hAnsi="Arial" w:cs="Arial" w:eastAsia="Arial" w:hint="default"/>
          <w:spacing w:val="-2"/>
        </w:rPr>
        <w:t>“</w:t>
      </w:r>
      <w:r>
        <w:rPr>
          <w:spacing w:val="-2"/>
        </w:rPr>
        <w:t>福建省优秀新产品二等奖</w:t>
      </w:r>
      <w:r>
        <w:rPr>
          <w:rFonts w:ascii="Arial" w:hAnsi="Arial" w:cs="Arial" w:eastAsia="Arial" w:hint="default"/>
          <w:spacing w:val="-2"/>
        </w:rPr>
        <w:t>”</w:t>
      </w:r>
      <w:r>
        <w:rPr>
          <w:spacing w:val="-2"/>
        </w:rPr>
        <w:t>，</w:t>
      </w:r>
      <w:r>
        <w:rPr>
          <w:rFonts w:ascii="Arial" w:hAnsi="Arial" w:cs="Arial" w:eastAsia="Arial" w:hint="default"/>
          <w:spacing w:val="-2"/>
        </w:rPr>
        <w:t>2007</w:t>
      </w:r>
      <w:r>
        <w:rPr>
          <w:spacing w:val="-2"/>
        </w:rPr>
        <w:t>年至今获得省、市科学技术奖共</w:t>
      </w:r>
      <w:r>
        <w:rPr>
          <w:rFonts w:ascii="Arial" w:hAnsi="Arial" w:cs="Arial" w:eastAsia="Arial" w:hint="default"/>
          <w:spacing w:val="-2"/>
        </w:rPr>
        <w:t>11</w:t>
      </w:r>
      <w:r>
        <w:rPr>
          <w:rFonts w:ascii="Arial" w:hAnsi="Arial" w:cs="Arial" w:eastAsia="Arial" w:hint="default"/>
          <w:spacing w:val="-18"/>
        </w:rPr>
        <w:t> </w:t>
      </w:r>
      <w:r>
        <w:rPr/>
        <w:t>项。现任公司董事、副总裁、福建榕基软件工程有限公司执行董事兼总经理。</w:t>
      </w:r>
    </w:p>
    <w:p>
      <w:pPr>
        <w:pStyle w:val="BodyText"/>
        <w:spacing w:line="302" w:lineRule="auto" w:before="68"/>
        <w:ind w:left="153" w:right="1130" w:firstLine="360"/>
        <w:jc w:val="left"/>
      </w:pPr>
      <w:r>
        <w:rPr/>
        <w:t>刘景燕：中国国籍，女，</w:t>
      </w:r>
      <w:r>
        <w:rPr>
          <w:rFonts w:ascii="Arial" w:hAnsi="Arial" w:cs="Arial" w:eastAsia="Arial" w:hint="default"/>
        </w:rPr>
        <w:t>1973</w:t>
      </w:r>
      <w:r>
        <w:rPr/>
        <w:t>年生，工程硕士。</w:t>
      </w:r>
      <w:r>
        <w:rPr>
          <w:rFonts w:ascii="Arial" w:hAnsi="Arial" w:cs="Arial" w:eastAsia="Arial" w:hint="default"/>
        </w:rPr>
        <w:t>1999</w:t>
      </w:r>
      <w:r>
        <w:rPr/>
        <w:t>年加入公司，先后担任项目管理部经理，运营总监。具有较强的 经营管理能力，负责公司企业运营管理工作。现任公司董事。</w:t>
      </w:r>
    </w:p>
    <w:p>
      <w:pPr>
        <w:pStyle w:val="BodyText"/>
        <w:spacing w:line="304" w:lineRule="auto" w:before="69"/>
        <w:ind w:left="153" w:right="1031" w:firstLine="360"/>
        <w:jc w:val="left"/>
      </w:pPr>
      <w:r>
        <w:rPr/>
        <w:t>赵坚：中国国籍，男，</w:t>
      </w:r>
      <w:r>
        <w:rPr>
          <w:rFonts w:ascii="Arial" w:hAnsi="Arial" w:cs="Arial" w:eastAsia="Arial" w:hint="default"/>
        </w:rPr>
        <w:t>1972</w:t>
      </w:r>
      <w:r>
        <w:rPr/>
        <w:t>年生，毕业于福州大学工业电气自动化专业，本科学历。</w:t>
      </w:r>
      <w:r>
        <w:rPr>
          <w:rFonts w:ascii="Arial" w:hAnsi="Arial" w:cs="Arial" w:eastAsia="Arial" w:hint="default"/>
        </w:rPr>
        <w:t>1997</w:t>
      </w:r>
      <w:r>
        <w:rPr/>
        <w:t>年加入公司，先后担任系统 集成工程师、项目经理、系统集成部经理、业务副总监。现负责企业计算机系统集成、音视频系统集成、办公自动化软件、 定制</w:t>
      </w:r>
      <w:r>
        <w:rPr>
          <w:rFonts w:ascii="Arial" w:hAnsi="Arial" w:cs="Arial" w:eastAsia="Arial" w:hint="default"/>
        </w:rPr>
        <w:t>MIS</w:t>
      </w:r>
      <w:r>
        <w:rPr/>
        <w:t>软件等工程项目的实施及服务管理工作。具有较强的技术管理能力，承担公司工程项目管理体系的建设和维护，对 </w:t>
      </w:r>
      <w:r>
        <w:rPr>
          <w:rFonts w:ascii="Arial" w:hAnsi="Arial" w:cs="Arial" w:eastAsia="Arial" w:hint="default"/>
          <w:spacing w:val="-2"/>
        </w:rPr>
        <w:t>IT</w:t>
      </w:r>
      <w:r>
        <w:rPr>
          <w:spacing w:val="-2"/>
        </w:rPr>
        <w:t>行业的工程管理具有深入的理解和丰富的实践经验，具有较强的大型系统集成项目分析和整合规划能力，主持了公司多个</w:t>
      </w:r>
      <w:r>
        <w:rPr>
          <w:spacing w:val="-46"/>
        </w:rPr>
        <w:t> </w:t>
      </w:r>
      <w:r>
        <w:rPr>
          <w:spacing w:val="-46"/>
        </w:rPr>
      </w:r>
      <w:r>
        <w:rPr/>
        <w:t>重点项目的规划、实施工作。现任公司董事、工程中心总经理。</w:t>
      </w:r>
    </w:p>
    <w:p>
      <w:pPr>
        <w:pStyle w:val="BodyText"/>
        <w:spacing w:line="304" w:lineRule="auto" w:before="66"/>
        <w:ind w:left="153" w:right="1068" w:firstLine="360"/>
        <w:jc w:val="left"/>
      </w:pPr>
      <w:r>
        <w:rPr/>
        <w:t>靳谊：中国国籍，男，</w:t>
      </w:r>
      <w:r>
        <w:rPr>
          <w:rFonts w:ascii="Arial" w:hAnsi="Arial" w:cs="Arial" w:eastAsia="Arial" w:hint="default"/>
        </w:rPr>
        <w:t>1975</w:t>
      </w:r>
      <w:r>
        <w:rPr/>
        <w:t>年生，毕业于武汉理工大学计算机科学与技术专业。</w:t>
      </w:r>
      <w:r>
        <w:rPr>
          <w:rFonts w:ascii="Arial" w:hAnsi="Arial" w:cs="Arial" w:eastAsia="Arial" w:hint="default"/>
        </w:rPr>
        <w:t>1998</w:t>
      </w:r>
      <w:r>
        <w:rPr/>
        <w:t>年加入公司，先后担任工程师、 </w:t>
      </w:r>
      <w:r>
        <w:rPr>
          <w:spacing w:val="-2"/>
        </w:rPr>
        <w:t>项目经理、资深工程师、副主任工程师、主任工程师、协同管理事业部经理。具有较强的研发管理能力与大型企业管理信息</w:t>
      </w:r>
      <w:r>
        <w:rPr>
          <w:spacing w:val="-66"/>
        </w:rPr>
        <w:t> </w:t>
      </w:r>
      <w:r>
        <w:rPr>
          <w:spacing w:val="-66"/>
        </w:rPr>
      </w:r>
      <w:r>
        <w:rPr/>
        <w:t>系统分析和整合规划能力，负责协同管理业务技术管理以及企业内部信息系统建设工作，主持设计研发了</w:t>
      </w:r>
      <w:r>
        <w:rPr>
          <w:rFonts w:ascii="Arial" w:hAnsi="Arial" w:cs="Arial" w:eastAsia="Arial" w:hint="default"/>
        </w:rPr>
        <w:t>“</w:t>
      </w:r>
      <w:r>
        <w:rPr/>
        <w:t>榕基电子单证系 统</w:t>
      </w:r>
      <w:r>
        <w:rPr>
          <w:rFonts w:ascii="Arial" w:hAnsi="Arial" w:cs="Arial" w:eastAsia="Arial" w:hint="default"/>
        </w:rPr>
        <w:t>”</w:t>
      </w:r>
      <w:r>
        <w:rPr/>
        <w:t>、</w:t>
      </w:r>
      <w:r>
        <w:rPr>
          <w:rFonts w:ascii="Arial" w:hAnsi="Arial" w:cs="Arial" w:eastAsia="Arial" w:hint="default"/>
        </w:rPr>
        <w:t>“</w:t>
      </w:r>
      <w:r>
        <w:rPr/>
        <w:t>榕基</w:t>
      </w:r>
      <w:r>
        <w:rPr>
          <w:rFonts w:ascii="Arial" w:hAnsi="Arial" w:cs="Arial" w:eastAsia="Arial" w:hint="default"/>
        </w:rPr>
        <w:t>I-TASK</w:t>
      </w:r>
      <w:r>
        <w:rPr/>
        <w:t>任务管理平台</w:t>
      </w:r>
      <w:r>
        <w:rPr>
          <w:rFonts w:ascii="Arial" w:hAnsi="Arial" w:cs="Arial" w:eastAsia="Arial" w:hint="default"/>
        </w:rPr>
        <w:t>”</w:t>
      </w:r>
      <w:r>
        <w:rPr/>
        <w:t>等公司战略产品以及能源、质检等行业十多项软件产品，曾获</w:t>
      </w:r>
      <w:r>
        <w:rPr>
          <w:rFonts w:ascii="Arial" w:hAnsi="Arial" w:cs="Arial" w:eastAsia="Arial" w:hint="default"/>
        </w:rPr>
        <w:t>“</w:t>
      </w:r>
      <w:r>
        <w:rPr/>
        <w:t>福州市科学技术奖三等奖</w:t>
      </w:r>
      <w:r>
        <w:rPr>
          <w:rFonts w:ascii="Arial" w:hAnsi="Arial" w:cs="Arial" w:eastAsia="Arial" w:hint="default"/>
        </w:rPr>
        <w:t>”</w:t>
      </w:r>
      <w:r>
        <w:rPr/>
        <w:t>、 </w:t>
      </w:r>
      <w:r>
        <w:rPr>
          <w:rFonts w:ascii="Arial" w:hAnsi="Arial" w:cs="Arial" w:eastAsia="Arial" w:hint="default"/>
        </w:rPr>
        <w:t>“</w:t>
      </w:r>
      <w:r>
        <w:rPr/>
        <w:t>福建省优秀信息主管</w:t>
      </w:r>
      <w:r>
        <w:rPr>
          <w:rFonts w:ascii="Arial" w:hAnsi="Arial" w:cs="Arial" w:eastAsia="Arial" w:hint="default"/>
        </w:rPr>
        <w:t>(CIO)</w:t>
      </w:r>
      <w:r>
        <w:rPr>
          <w:rFonts w:ascii="Arial" w:hAnsi="Arial" w:cs="Arial" w:eastAsia="Arial" w:hint="default"/>
          <w:spacing w:val="-2"/>
        </w:rPr>
        <w:t> </w:t>
      </w:r>
      <w:r>
        <w:rPr>
          <w:rFonts w:ascii="Arial" w:hAnsi="Arial" w:cs="Arial" w:eastAsia="Arial" w:hint="default"/>
        </w:rPr>
        <w:t>”</w:t>
      </w:r>
      <w:r>
        <w:rPr/>
        <w:t>、</w:t>
      </w:r>
      <w:r>
        <w:rPr>
          <w:rFonts w:ascii="Arial" w:hAnsi="Arial" w:cs="Arial" w:eastAsia="Arial" w:hint="default"/>
        </w:rPr>
        <w:t>“2009</w:t>
      </w:r>
      <w:r>
        <w:rPr/>
        <w:t>信息化年度贡献人物</w:t>
      </w:r>
      <w:r>
        <w:rPr>
          <w:rFonts w:ascii="Arial" w:hAnsi="Arial" w:cs="Arial" w:eastAsia="Arial" w:hint="default"/>
        </w:rPr>
        <w:t>”</w:t>
      </w:r>
      <w:r>
        <w:rPr/>
        <w:t>。现任公司董事、副总裁、首席信息官、研发总监、北京中榕基 信息技术有限公司总经理。</w:t>
      </w:r>
    </w:p>
    <w:p>
      <w:pPr>
        <w:pStyle w:val="BodyText"/>
        <w:spacing w:line="302" w:lineRule="auto" w:before="66"/>
        <w:ind w:left="153" w:right="1137" w:firstLine="360"/>
        <w:jc w:val="both"/>
      </w:pPr>
      <w:r>
        <w:rPr/>
        <w:t>孙敏：中国国籍，女，</w:t>
      </w:r>
      <w:r>
        <w:rPr>
          <w:rFonts w:ascii="Arial" w:hAnsi="Arial" w:cs="Arial" w:eastAsia="Arial" w:hint="default"/>
        </w:rPr>
        <w:t>1967</w:t>
      </w:r>
      <w:r>
        <w:rPr/>
        <w:t>年生，毕业于厦门大学法律系。法学学士学位</w:t>
      </w:r>
      <w:r>
        <w:rPr>
          <w:rFonts w:ascii="Arial" w:hAnsi="Arial" w:cs="Arial" w:eastAsia="Arial" w:hint="default"/>
        </w:rPr>
        <w:t>,</w:t>
      </w:r>
      <w:r>
        <w:rPr/>
        <w:t>律师资格。历任福州铁路运输法院书记员、 助理员</w:t>
      </w:r>
      <w:r>
        <w:rPr>
          <w:rFonts w:ascii="Arial" w:hAnsi="Arial" w:cs="Arial" w:eastAsia="Arial" w:hint="default"/>
        </w:rPr>
        <w:t>,</w:t>
      </w:r>
      <w:r>
        <w:rPr/>
        <w:t>天津</w:t>
      </w:r>
      <w:r>
        <w:rPr>
          <w:rFonts w:ascii="Arial" w:hAnsi="Arial" w:cs="Arial" w:eastAsia="Arial" w:hint="default"/>
        </w:rPr>
        <w:t>OTIS</w:t>
      </w:r>
      <w:r>
        <w:rPr/>
        <w:t>电梯有限公司福州分公司法务员</w:t>
      </w:r>
      <w:r>
        <w:rPr>
          <w:rFonts w:ascii="Arial" w:hAnsi="Arial" w:cs="Arial" w:eastAsia="Arial" w:hint="default"/>
        </w:rPr>
        <w:t>,</w:t>
      </w:r>
      <w:r>
        <w:rPr/>
        <w:t>福州众智律师事务所执业律师</w:t>
      </w:r>
      <w:r>
        <w:rPr>
          <w:rFonts w:ascii="Arial" w:hAnsi="Arial" w:cs="Arial" w:eastAsia="Arial" w:hint="default"/>
        </w:rPr>
        <w:t>,</w:t>
      </w:r>
      <w:r>
        <w:rPr/>
        <w:t>福建融成律师事务所任执业律师，现任福 建汇德律师事务所执业律师、合伙人。现任本公司独立董事。</w:t>
      </w:r>
    </w:p>
    <w:p>
      <w:pPr>
        <w:pStyle w:val="BodyText"/>
        <w:spacing w:line="312" w:lineRule="auto" w:before="69"/>
        <w:ind w:left="153" w:right="0" w:firstLine="360"/>
        <w:jc w:val="left"/>
      </w:pPr>
      <w:r>
        <w:rPr/>
        <w:t>叶东毅：中国国籍，男，</w:t>
      </w:r>
      <w:r>
        <w:rPr>
          <w:rFonts w:ascii="Arial" w:hAnsi="Arial" w:cs="Arial" w:eastAsia="Arial" w:hint="default"/>
        </w:rPr>
        <w:t>1964</w:t>
      </w:r>
      <w:r>
        <w:rPr/>
        <w:t>年生</w:t>
      </w:r>
      <w:r>
        <w:rPr>
          <w:rFonts w:ascii="Arial" w:hAnsi="Arial" w:cs="Arial" w:eastAsia="Arial" w:hint="default"/>
        </w:rPr>
        <w:t>,</w:t>
      </w:r>
      <w:r>
        <w:rPr/>
        <w:t>博士</w:t>
      </w:r>
      <w:r>
        <w:rPr>
          <w:rFonts w:ascii="Arial" w:hAnsi="Arial" w:cs="Arial" w:eastAsia="Arial" w:hint="default"/>
        </w:rPr>
        <w:t>,</w:t>
      </w:r>
      <w:r>
        <w:rPr/>
        <w:t>历任福州大学计算机系讲师、教授、系主任和副院长</w:t>
      </w:r>
      <w:r>
        <w:rPr>
          <w:rFonts w:ascii="Arial" w:hAnsi="Arial" w:cs="Arial" w:eastAsia="Arial" w:hint="default"/>
        </w:rPr>
        <w:t>,</w:t>
      </w:r>
      <w:r>
        <w:rPr/>
        <w:t>现任福州大学数学与计 </w:t>
      </w:r>
      <w:r>
        <w:rPr>
          <w:spacing w:val="-2"/>
        </w:rPr>
        <w:t>算机科学学院教授、博士生导师、福建省信息产业专家委员会委员、福建省计算机学会副理事长、福建省人工智能学会常务</w:t>
      </w:r>
      <w:r>
        <w:rPr>
          <w:spacing w:val="-66"/>
        </w:rPr>
        <w:t> </w:t>
      </w:r>
      <w:r>
        <w:rPr>
          <w:spacing w:val="-66"/>
        </w:rPr>
      </w:r>
      <w:r>
        <w:rPr>
          <w:spacing w:val="-2"/>
        </w:rPr>
        <w:t>理事、福建省软件行业协会理事，福建福昕软件开发股份有限公司独立董事、星网锐捷独立董事、顶点软件独立董事。现任</w:t>
      </w:r>
      <w:r>
        <w:rPr>
          <w:spacing w:val="-66"/>
        </w:rPr>
        <w:t> </w:t>
      </w:r>
      <w:r>
        <w:rPr>
          <w:spacing w:val="-66"/>
        </w:rPr>
      </w:r>
      <w:r>
        <w:rPr/>
        <w:t>公司独立董事。</w:t>
      </w:r>
    </w:p>
    <w:p>
      <w:pPr>
        <w:pStyle w:val="BodyText"/>
        <w:spacing w:line="302" w:lineRule="auto" w:before="61"/>
        <w:ind w:left="153" w:right="1131" w:firstLine="360"/>
        <w:jc w:val="both"/>
      </w:pPr>
      <w:r>
        <w:rPr/>
        <w:t>胡继荣：中国国籍，男，</w:t>
      </w:r>
      <w:r>
        <w:rPr>
          <w:rFonts w:ascii="Arial" w:hAnsi="Arial" w:cs="Arial" w:eastAsia="Arial" w:hint="default"/>
        </w:rPr>
        <w:t>1956</w:t>
      </w:r>
      <w:r>
        <w:rPr/>
        <w:t>年生，工商管理学硕士，教授，注册会计师。曾任扬州大学助教、讲师</w:t>
      </w:r>
      <w:r>
        <w:rPr>
          <w:rFonts w:ascii="Arial" w:hAnsi="Arial" w:cs="Arial" w:eastAsia="Arial" w:hint="default"/>
        </w:rPr>
        <w:t>,</w:t>
      </w:r>
      <w:r>
        <w:rPr/>
        <w:t>福州大学至诚学 </w:t>
      </w:r>
      <w:r>
        <w:rPr>
          <w:spacing w:val="-1"/>
        </w:rPr>
        <w:t>院副院长、教授</w:t>
      </w:r>
      <w:r>
        <w:rPr>
          <w:rFonts w:ascii="Arial" w:hAnsi="Arial" w:cs="Arial" w:eastAsia="Arial" w:hint="default"/>
          <w:spacing w:val="-1"/>
        </w:rPr>
        <w:t>,</w:t>
      </w:r>
      <w:r>
        <w:rPr>
          <w:spacing w:val="-1"/>
        </w:rPr>
        <w:t>福建水泥股份有限公司、海欣食品股份有限公司、昇兴集团股份有限公司独立董事；现任中国绿色食品</w:t>
      </w:r>
      <w:r>
        <w:rPr>
          <w:rFonts w:ascii="Arial" w:hAnsi="Arial" w:cs="Arial" w:eastAsia="Arial" w:hint="default"/>
          <w:spacing w:val="-1"/>
        </w:rPr>
        <w:t>(</w:t>
      </w:r>
      <w:r>
        <w:rPr>
          <w:spacing w:val="-1"/>
        </w:rPr>
        <w:t>控</w:t>
      </w:r>
      <w:r>
        <w:rPr>
          <w:spacing w:val="-53"/>
        </w:rPr>
        <w:t> </w:t>
      </w:r>
      <w:r>
        <w:rPr/>
        <w:t>股</w:t>
      </w:r>
      <w:r>
        <w:rPr>
          <w:rFonts w:ascii="Arial" w:hAnsi="Arial" w:cs="Arial" w:eastAsia="Arial" w:hint="default"/>
        </w:rPr>
        <w:t>)</w:t>
      </w:r>
      <w:r>
        <w:rPr/>
        <w:t>有限公司、福建永福电力设计股份有限公司、四川福蓉科技股份有限公司、福建福光股份有限公司独立董事、福州大学 经济与管理学院教授。现任公司独立董事。</w:t>
      </w:r>
    </w:p>
    <w:p>
      <w:pPr>
        <w:pStyle w:val="BodyText"/>
        <w:spacing w:line="309" w:lineRule="auto" w:before="68"/>
        <w:ind w:left="153" w:right="1131" w:firstLine="360"/>
        <w:jc w:val="both"/>
      </w:pPr>
      <w:r>
        <w:rPr/>
        <w:t>周仁锟：中国国籍，男，</w:t>
      </w:r>
      <w:r>
        <w:rPr>
          <w:rFonts w:ascii="Arial" w:hAnsi="Arial" w:cs="Arial" w:eastAsia="Arial" w:hint="default"/>
        </w:rPr>
        <w:t>1976</w:t>
      </w:r>
      <w:r>
        <w:rPr/>
        <w:t>年生，毕业于中南工业大学管理信息系统专业，本科学历。</w:t>
      </w:r>
      <w:r>
        <w:rPr>
          <w:rFonts w:ascii="Arial" w:hAnsi="Arial" w:cs="Arial" w:eastAsia="Arial" w:hint="default"/>
        </w:rPr>
        <w:t>1999</w:t>
      </w:r>
      <w:r>
        <w:rPr/>
        <w:t>年加入公司，曾任公司 </w:t>
      </w:r>
      <w:r>
        <w:rPr>
          <w:spacing w:val="-2"/>
        </w:rPr>
        <w:t>项目经理、资深工程师、副主任工程师。具有较强的项目组织管理和产品研发能力，在管理信息系统、电子政务等领域有着</w:t>
      </w:r>
      <w:r>
        <w:rPr>
          <w:spacing w:val="-66"/>
        </w:rPr>
        <w:t> </w:t>
      </w:r>
      <w:r>
        <w:rPr>
          <w:spacing w:val="-66"/>
        </w:rPr>
      </w:r>
      <w:r>
        <w:rPr/>
        <w:t>深入的技术研究和丰富的实践经验，参与研制了</w:t>
      </w:r>
      <w:r>
        <w:rPr>
          <w:rFonts w:ascii="Arial" w:hAnsi="Arial" w:cs="Arial" w:eastAsia="Arial" w:hint="default"/>
        </w:rPr>
        <w:t>“</w:t>
      </w:r>
      <w:r>
        <w:rPr/>
        <w:t>榕基政务信息化系统（</w:t>
      </w:r>
      <w:r>
        <w:rPr>
          <w:rFonts w:ascii="Arial" w:hAnsi="Arial" w:cs="Arial" w:eastAsia="Arial" w:hint="default"/>
        </w:rPr>
        <w:t>RJ-eGov</w:t>
      </w:r>
      <w:r>
        <w:rPr/>
        <w:t>）</w:t>
      </w:r>
      <w:r>
        <w:rPr>
          <w:rFonts w:ascii="Arial" w:hAnsi="Arial" w:cs="Arial" w:eastAsia="Arial" w:hint="default"/>
        </w:rPr>
        <w:t>”</w:t>
      </w:r>
      <w:r>
        <w:rPr/>
        <w:t>、</w:t>
      </w:r>
      <w:r>
        <w:rPr>
          <w:rFonts w:ascii="Arial" w:hAnsi="Arial" w:cs="Arial" w:eastAsia="Arial" w:hint="default"/>
        </w:rPr>
        <w:t>“</w:t>
      </w:r>
      <w:r>
        <w:rPr/>
        <w:t>榕基电子公文传输交换系统</w:t>
      </w:r>
    </w:p>
    <w:p>
      <w:pPr>
        <w:pStyle w:val="BodyText"/>
        <w:spacing w:line="302" w:lineRule="auto" w:before="5"/>
        <w:ind w:left="153" w:right="0"/>
        <w:jc w:val="left"/>
      </w:pPr>
      <w:r>
        <w:rPr>
          <w:spacing w:val="-1"/>
        </w:rPr>
        <w:t>（</w:t>
      </w:r>
      <w:r>
        <w:rPr>
          <w:rFonts w:ascii="Arial" w:hAnsi="Arial" w:cs="Arial" w:eastAsia="Arial" w:hint="default"/>
          <w:spacing w:val="-1"/>
        </w:rPr>
        <w:t>RJ-Exchange</w:t>
      </w:r>
      <w:r>
        <w:rPr>
          <w:spacing w:val="-1"/>
        </w:rPr>
        <w:t>）</w:t>
      </w:r>
      <w:r>
        <w:rPr>
          <w:rFonts w:ascii="Arial" w:hAnsi="Arial" w:cs="Arial" w:eastAsia="Arial" w:hint="default"/>
          <w:spacing w:val="-1"/>
        </w:rPr>
        <w:t>”</w:t>
      </w:r>
      <w:r>
        <w:rPr>
          <w:spacing w:val="-1"/>
        </w:rPr>
        <w:t>、</w:t>
      </w:r>
      <w:r>
        <w:rPr>
          <w:rFonts w:ascii="Arial" w:hAnsi="Arial" w:cs="Arial" w:eastAsia="Arial" w:hint="default"/>
          <w:spacing w:val="-1"/>
        </w:rPr>
        <w:t>“</w:t>
      </w:r>
      <w:r>
        <w:rPr>
          <w:spacing w:val="-1"/>
        </w:rPr>
        <w:t>榕基内容管理系统（</w:t>
      </w:r>
      <w:r>
        <w:rPr>
          <w:rFonts w:ascii="Arial" w:hAnsi="Arial" w:cs="Arial" w:eastAsia="Arial" w:hint="default"/>
          <w:spacing w:val="-1"/>
        </w:rPr>
        <w:t>RJ-CMS</w:t>
      </w:r>
      <w:r>
        <w:rPr>
          <w:spacing w:val="-1"/>
        </w:rPr>
        <w:t>）</w:t>
      </w:r>
      <w:r>
        <w:rPr>
          <w:rFonts w:ascii="Arial" w:hAnsi="Arial" w:cs="Arial" w:eastAsia="Arial" w:hint="default"/>
          <w:spacing w:val="-1"/>
        </w:rPr>
        <w:t>”</w:t>
      </w:r>
      <w:r>
        <w:rPr>
          <w:spacing w:val="-1"/>
        </w:rPr>
        <w:t>、</w:t>
      </w:r>
      <w:r>
        <w:rPr>
          <w:rFonts w:ascii="Arial" w:hAnsi="Arial" w:cs="Arial" w:eastAsia="Arial" w:hint="default"/>
          <w:spacing w:val="-1"/>
        </w:rPr>
        <w:t>“</w:t>
      </w:r>
      <w:r>
        <w:rPr>
          <w:spacing w:val="-1"/>
        </w:rPr>
        <w:t>榕基法院审判业务管理系统（</w:t>
      </w:r>
      <w:r>
        <w:rPr>
          <w:rFonts w:ascii="Arial" w:hAnsi="Arial" w:cs="Arial" w:eastAsia="Arial" w:hint="default"/>
          <w:spacing w:val="-1"/>
        </w:rPr>
        <w:t>RJ-Court</w:t>
      </w:r>
      <w:r>
        <w:rPr>
          <w:spacing w:val="-1"/>
        </w:rPr>
        <w:t>）</w:t>
      </w:r>
      <w:r>
        <w:rPr>
          <w:rFonts w:ascii="Arial" w:hAnsi="Arial" w:cs="Arial" w:eastAsia="Arial" w:hint="default"/>
          <w:spacing w:val="-1"/>
        </w:rPr>
        <w:t>”</w:t>
      </w:r>
      <w:r>
        <w:rPr>
          <w:spacing w:val="-1"/>
        </w:rPr>
        <w:t>等公司产品，曾获</w:t>
      </w:r>
      <w:r>
        <w:rPr>
          <w:rFonts w:ascii="Arial" w:hAnsi="Arial" w:cs="Arial" w:eastAsia="Arial" w:hint="default"/>
          <w:spacing w:val="-1"/>
        </w:rPr>
        <w:t>“</w:t>
      </w:r>
      <w:r>
        <w:rPr>
          <w:spacing w:val="-1"/>
        </w:rPr>
        <w:t>福建</w:t>
      </w:r>
      <w:r>
        <w:rPr>
          <w:spacing w:val="-82"/>
        </w:rPr>
        <w:t> </w:t>
      </w:r>
      <w:r>
        <w:rPr/>
        <w:t>省职工优秀技术创新成果二等奖</w:t>
      </w:r>
      <w:r>
        <w:rPr>
          <w:rFonts w:ascii="Arial" w:hAnsi="Arial" w:cs="Arial" w:eastAsia="Arial" w:hint="default"/>
        </w:rPr>
        <w:t>”</w:t>
      </w:r>
      <w:r>
        <w:rPr/>
        <w:t>和</w:t>
      </w:r>
      <w:r>
        <w:rPr>
          <w:rFonts w:ascii="Arial" w:hAnsi="Arial" w:cs="Arial" w:eastAsia="Arial" w:hint="default"/>
        </w:rPr>
        <w:t>“</w:t>
      </w:r>
      <w:r>
        <w:rPr/>
        <w:t>福建省优秀新产品二等奖</w:t>
      </w:r>
      <w:r>
        <w:rPr>
          <w:rFonts w:ascii="Arial" w:hAnsi="Arial" w:cs="Arial" w:eastAsia="Arial" w:hint="default"/>
        </w:rPr>
        <w:t>”</w:t>
      </w:r>
      <w:r>
        <w:rPr/>
        <w:t>。 现任公司监事会主席。</w:t>
      </w:r>
    </w:p>
    <w:p>
      <w:pPr>
        <w:pStyle w:val="BodyText"/>
        <w:spacing w:line="302" w:lineRule="auto" w:before="51"/>
        <w:ind w:left="153" w:right="0" w:firstLine="360"/>
        <w:jc w:val="left"/>
      </w:pPr>
      <w:r>
        <w:rPr>
          <w:spacing w:val="-2"/>
        </w:rPr>
        <w:t>陈威：中国国籍，女，</w:t>
      </w:r>
      <w:r>
        <w:rPr>
          <w:rFonts w:ascii="Arial" w:hAnsi="Arial" w:cs="Arial" w:eastAsia="Arial" w:hint="default"/>
          <w:spacing w:val="-2"/>
        </w:rPr>
        <w:t>1983</w:t>
      </w:r>
      <w:r>
        <w:rPr>
          <w:spacing w:val="-2"/>
        </w:rPr>
        <w:t>年生，毕业于福州大学国际贸易专业，本科学历、工商管理硕士学位、高级职称。</w:t>
      </w:r>
      <w:r>
        <w:rPr>
          <w:rFonts w:ascii="Arial" w:hAnsi="Arial" w:cs="Arial" w:eastAsia="Arial" w:hint="default"/>
          <w:spacing w:val="-2"/>
        </w:rPr>
        <w:t>2004</w:t>
      </w:r>
      <w:r>
        <w:rPr>
          <w:spacing w:val="-2"/>
        </w:rPr>
        <w:t>年</w:t>
      </w:r>
      <w:r>
        <w:rPr>
          <w:rFonts w:ascii="Arial" w:hAnsi="Arial" w:cs="Arial" w:eastAsia="Arial" w:hint="default"/>
          <w:spacing w:val="-2"/>
        </w:rPr>
        <w:t>9</w:t>
      </w:r>
      <w:r>
        <w:rPr>
          <w:rFonts w:ascii="Arial" w:hAnsi="Arial" w:cs="Arial" w:eastAsia="Arial" w:hint="default"/>
        </w:rPr>
        <w:t> </w:t>
      </w:r>
      <w:r>
        <w:rPr/>
        <w:t>月至今就职于公司，负责企业公共发展相关工作。现任公司监事。</w:t>
      </w:r>
    </w:p>
    <w:p>
      <w:pPr>
        <w:pStyle w:val="BodyText"/>
        <w:spacing w:line="302" w:lineRule="auto" w:before="68"/>
        <w:ind w:left="153" w:right="0" w:firstLine="360"/>
        <w:jc w:val="left"/>
      </w:pPr>
      <w:r>
        <w:rPr>
          <w:spacing w:val="-4"/>
        </w:rPr>
        <w:t>叶剑波：中国国籍，无境外永久居留权，男，</w:t>
      </w:r>
      <w:r>
        <w:rPr>
          <w:rFonts w:ascii="Arial" w:hAnsi="Arial" w:cs="Arial" w:eastAsia="Arial" w:hint="default"/>
          <w:spacing w:val="-4"/>
        </w:rPr>
        <w:t>1958</w:t>
      </w:r>
      <w:r>
        <w:rPr>
          <w:spacing w:val="-4"/>
        </w:rPr>
        <w:t>年生，毕业于福建广播电视大学英语专业，大专学历。</w:t>
      </w:r>
      <w:r>
        <w:rPr>
          <w:rFonts w:ascii="Arial" w:hAnsi="Arial" w:cs="Arial" w:eastAsia="Arial" w:hint="default"/>
          <w:spacing w:val="-4"/>
        </w:rPr>
        <w:t>1995</w:t>
      </w:r>
      <w:r>
        <w:rPr>
          <w:spacing w:val="-4"/>
        </w:rPr>
        <w:t>年至</w:t>
      </w:r>
      <w:r>
        <w:rPr>
          <w:rFonts w:ascii="Arial" w:hAnsi="Arial" w:cs="Arial" w:eastAsia="Arial" w:hint="default"/>
          <w:spacing w:val="-4"/>
        </w:rPr>
        <w:t>2001</w:t>
      </w:r>
      <w:r>
        <w:rPr>
          <w:rFonts w:ascii="Arial" w:hAnsi="Arial" w:cs="Arial" w:eastAsia="Arial" w:hint="default"/>
        </w:rPr>
        <w:t> </w:t>
      </w:r>
      <w:r>
        <w:rPr/>
        <w:t>年任职于福建之窗网络有限公司，</w:t>
      </w:r>
      <w:r>
        <w:rPr>
          <w:rFonts w:ascii="Arial" w:hAnsi="Arial" w:cs="Arial" w:eastAsia="Arial" w:hint="default"/>
        </w:rPr>
        <w:t>2001</w:t>
      </w:r>
      <w:r>
        <w:rPr/>
        <w:t>年加入公司，一直从事</w:t>
      </w:r>
      <w:r>
        <w:rPr>
          <w:rFonts w:ascii="Arial" w:hAnsi="Arial" w:cs="Arial" w:eastAsia="Arial" w:hint="default"/>
        </w:rPr>
        <w:t>UI</w:t>
      </w:r>
      <w:r>
        <w:rPr/>
        <w:t>设计工作。现任电子政务部</w:t>
      </w:r>
      <w:r>
        <w:rPr>
          <w:rFonts w:ascii="Arial" w:hAnsi="Arial" w:cs="Arial" w:eastAsia="Arial" w:hint="default"/>
        </w:rPr>
        <w:t>UI</w:t>
      </w:r>
      <w:r>
        <w:rPr/>
        <w:t>设计经理、公司监事。</w:t>
      </w:r>
    </w:p>
    <w:p>
      <w:pPr>
        <w:pStyle w:val="BodyText"/>
        <w:spacing w:line="304" w:lineRule="auto" w:before="49"/>
        <w:ind w:left="153" w:right="1041" w:firstLine="359"/>
        <w:jc w:val="left"/>
      </w:pPr>
      <w:r>
        <w:rPr>
          <w:spacing w:val="-2"/>
        </w:rPr>
        <w:t>万孝雄：中国国籍，男，</w:t>
      </w:r>
      <w:r>
        <w:rPr>
          <w:rFonts w:ascii="Arial" w:hAnsi="Arial" w:cs="Arial" w:eastAsia="Arial" w:hint="default"/>
          <w:spacing w:val="-2"/>
        </w:rPr>
        <w:t>1977</w:t>
      </w:r>
      <w:r>
        <w:rPr>
          <w:spacing w:val="-2"/>
        </w:rPr>
        <w:t>年生，研究生学历，工商管理硕士。</w:t>
      </w:r>
      <w:r>
        <w:rPr>
          <w:rFonts w:ascii="Arial" w:hAnsi="Arial" w:cs="Arial" w:eastAsia="Arial" w:hint="default"/>
          <w:spacing w:val="-2"/>
        </w:rPr>
        <w:t>2001</w:t>
      </w:r>
      <w:r>
        <w:rPr>
          <w:spacing w:val="-2"/>
        </w:rPr>
        <w:t>年加入公司，先后担任研发副总监，营销总监。</w:t>
      </w:r>
      <w:r>
        <w:rPr/>
        <w:t> </w:t>
      </w:r>
      <w:r>
        <w:rPr>
          <w:spacing w:val="-2"/>
        </w:rPr>
        <w:t>具有较强的技术管理能力，负责公司信息安全业务技术管理工作，对信息安全具有深入的理解，具有丰富的安全管理、安全</w:t>
      </w:r>
      <w:r>
        <w:rPr>
          <w:spacing w:val="-66"/>
        </w:rPr>
        <w:t> </w:t>
      </w:r>
      <w:r>
        <w:rPr>
          <w:spacing w:val="-66"/>
        </w:rPr>
      </w:r>
      <w:r>
        <w:rPr/>
        <w:t>服务、安全培训等实践经验，主持研发了</w:t>
      </w:r>
      <w:r>
        <w:rPr>
          <w:rFonts w:ascii="Arial" w:hAnsi="Arial" w:cs="Arial" w:eastAsia="Arial" w:hint="default"/>
        </w:rPr>
        <w:t>“</w:t>
      </w:r>
      <w:r>
        <w:rPr/>
        <w:t>榕基网络隐患扫描系统（</w:t>
      </w:r>
      <w:r>
        <w:rPr>
          <w:rFonts w:ascii="Arial" w:hAnsi="Arial" w:cs="Arial" w:eastAsia="Arial" w:hint="default"/>
        </w:rPr>
        <w:t>RJ-iTop</w:t>
      </w:r>
      <w:r>
        <w:rPr/>
        <w:t>）</w:t>
      </w:r>
      <w:r>
        <w:rPr>
          <w:rFonts w:ascii="Arial" w:hAnsi="Arial" w:cs="Arial" w:eastAsia="Arial" w:hint="default"/>
        </w:rPr>
        <w:t>”</w:t>
      </w:r>
      <w:r>
        <w:rPr/>
        <w:t>、</w:t>
      </w:r>
      <w:r>
        <w:rPr>
          <w:rFonts w:ascii="Arial" w:hAnsi="Arial" w:cs="Arial" w:eastAsia="Arial" w:hint="default"/>
        </w:rPr>
        <w:t>“</w:t>
      </w:r>
      <w:r>
        <w:rPr/>
        <w:t>榕基风险管理系统（</w:t>
      </w:r>
      <w:r>
        <w:rPr>
          <w:rFonts w:ascii="Arial" w:hAnsi="Arial" w:cs="Arial" w:eastAsia="Arial" w:hint="default"/>
        </w:rPr>
        <w:t>RJ-RMS</w:t>
      </w:r>
      <w:r>
        <w:rPr/>
        <w:t>）</w:t>
      </w:r>
      <w:r>
        <w:rPr>
          <w:rFonts w:ascii="Arial" w:hAnsi="Arial" w:cs="Arial" w:eastAsia="Arial" w:hint="default"/>
        </w:rPr>
        <w:t>”</w:t>
      </w:r>
      <w:r>
        <w:rPr/>
        <w:t>等公司信 息安全战略产品，其中：</w:t>
      </w:r>
      <w:r>
        <w:rPr>
          <w:rFonts w:ascii="Arial" w:hAnsi="Arial" w:cs="Arial" w:eastAsia="Arial" w:hint="default"/>
        </w:rPr>
        <w:t>“</w:t>
      </w:r>
      <w:r>
        <w:rPr/>
        <w:t>榕基网络隐患扫描系统（</w:t>
      </w:r>
      <w:r>
        <w:rPr>
          <w:rFonts w:ascii="Arial" w:hAnsi="Arial" w:cs="Arial" w:eastAsia="Arial" w:hint="default"/>
        </w:rPr>
        <w:t>RJ-iTop</w:t>
      </w:r>
      <w:r>
        <w:rPr/>
        <w:t>）</w:t>
      </w:r>
      <w:r>
        <w:rPr>
          <w:rFonts w:ascii="Arial" w:hAnsi="Arial" w:cs="Arial" w:eastAsia="Arial" w:hint="default"/>
        </w:rPr>
        <w:t>”2011</w:t>
      </w:r>
      <w:r>
        <w:rPr/>
        <w:t>年获得</w:t>
      </w:r>
      <w:r>
        <w:rPr>
          <w:rFonts w:ascii="Arial" w:hAnsi="Arial" w:cs="Arial" w:eastAsia="Arial" w:hint="default"/>
        </w:rPr>
        <w:t>“</w:t>
      </w:r>
      <w:r>
        <w:rPr/>
        <w:t>福州市科学技术二等奖</w:t>
      </w:r>
      <w:r>
        <w:rPr>
          <w:rFonts w:ascii="Arial" w:hAnsi="Arial" w:cs="Arial" w:eastAsia="Arial" w:hint="default"/>
        </w:rPr>
        <w:t>”</w:t>
      </w:r>
      <w:r>
        <w:rPr/>
        <w:t>、</w:t>
      </w:r>
      <w:r>
        <w:rPr>
          <w:rFonts w:ascii="Arial" w:hAnsi="Arial" w:cs="Arial" w:eastAsia="Arial" w:hint="default"/>
        </w:rPr>
        <w:t>2012</w:t>
      </w:r>
      <w:r>
        <w:rPr/>
        <w:t>年获得</w:t>
      </w:r>
      <w:r>
        <w:rPr>
          <w:rFonts w:ascii="Arial" w:hAnsi="Arial" w:cs="Arial" w:eastAsia="Arial" w:hint="default"/>
        </w:rPr>
        <w:t>“</w:t>
      </w:r>
      <w:r>
        <w:rPr/>
        <w:t>福建省科 学技术三等奖</w:t>
      </w:r>
      <w:r>
        <w:rPr>
          <w:rFonts w:ascii="Arial" w:hAnsi="Arial" w:cs="Arial" w:eastAsia="Arial" w:hint="default"/>
        </w:rPr>
        <w:t>”</w:t>
      </w:r>
      <w:r>
        <w:rPr/>
        <w:t>，</w:t>
      </w:r>
      <w:r>
        <w:rPr>
          <w:rFonts w:ascii="Arial" w:hAnsi="Arial" w:cs="Arial" w:eastAsia="Arial" w:hint="default"/>
        </w:rPr>
        <w:t>“</w:t>
      </w:r>
      <w:r>
        <w:rPr/>
        <w:t>榕基风险管理系统（</w:t>
      </w:r>
      <w:r>
        <w:rPr>
          <w:rFonts w:ascii="Arial" w:hAnsi="Arial" w:cs="Arial" w:eastAsia="Arial" w:hint="default"/>
        </w:rPr>
        <w:t>RJ-RMS</w:t>
      </w:r>
      <w:r>
        <w:rPr/>
        <w:t>）</w:t>
      </w:r>
      <w:r>
        <w:rPr>
          <w:rFonts w:ascii="Arial" w:hAnsi="Arial" w:cs="Arial" w:eastAsia="Arial" w:hint="default"/>
        </w:rPr>
        <w:t>”2008</w:t>
      </w:r>
      <w:r>
        <w:rPr/>
        <w:t>年获得</w:t>
      </w:r>
      <w:r>
        <w:rPr>
          <w:rFonts w:ascii="Arial" w:hAnsi="Arial" w:cs="Arial" w:eastAsia="Arial" w:hint="default"/>
        </w:rPr>
        <w:t>“</w:t>
      </w:r>
      <w:r>
        <w:rPr/>
        <w:t>福建省科学技术三等奖</w:t>
      </w:r>
      <w:r>
        <w:rPr>
          <w:rFonts w:ascii="Arial" w:hAnsi="Arial" w:cs="Arial" w:eastAsia="Arial" w:hint="default"/>
        </w:rPr>
        <w:t>”</w:t>
      </w:r>
      <w:r>
        <w:rPr/>
        <w:t>、</w:t>
      </w:r>
      <w:r>
        <w:rPr>
          <w:rFonts w:ascii="Arial" w:hAnsi="Arial" w:cs="Arial" w:eastAsia="Arial" w:hint="default"/>
        </w:rPr>
        <w:t>“</w:t>
      </w:r>
      <w:r>
        <w:rPr/>
        <w:t>福州市科学技术二等奖</w:t>
      </w:r>
      <w:r>
        <w:rPr>
          <w:rFonts w:ascii="Arial" w:hAnsi="Arial" w:cs="Arial" w:eastAsia="Arial" w:hint="default"/>
        </w:rPr>
        <w:t>”</w:t>
      </w:r>
      <w:r>
        <w:rPr/>
        <w:t>。现任公</w:t>
      </w:r>
    </w:p>
    <w:p>
      <w:pPr>
        <w:spacing w:after="0" w:line="304" w:lineRule="auto"/>
        <w:jc w:val="left"/>
        <w:sectPr>
          <w:pgSz w:w="11910" w:h="16840"/>
          <w:pgMar w:header="747" w:footer="982" w:top="1060" w:bottom="1180" w:left="980" w:right="0"/>
        </w:sectPr>
      </w:pPr>
    </w:p>
    <w:p>
      <w:pPr>
        <w:spacing w:line="240" w:lineRule="auto" w:before="13"/>
        <w:rPr>
          <w:rFonts w:ascii="宋体" w:hAnsi="宋体" w:cs="宋体" w:eastAsia="宋体" w:hint="default"/>
          <w:sz w:val="25"/>
          <w:szCs w:val="25"/>
        </w:rPr>
      </w:pPr>
    </w:p>
    <w:p>
      <w:pPr>
        <w:pStyle w:val="BodyText"/>
        <w:spacing w:line="357" w:lineRule="auto" w:before="44"/>
        <w:ind w:left="513" w:right="0" w:hanging="360"/>
        <w:jc w:val="left"/>
      </w:pPr>
      <w:r>
        <w:rPr/>
        <w:t>司副总裁、董事会秘书、福建榕基投资有限公司总经理、榕基国际控股有限公司董事、福建文鑫莲业有限责任公司董事。 </w:t>
      </w:r>
      <w:r>
        <w:rPr>
          <w:spacing w:val="-2"/>
        </w:rPr>
        <w:t>镇千金：中国国籍，女，</w:t>
      </w:r>
      <w:r>
        <w:rPr>
          <w:rFonts w:ascii="Arial" w:hAnsi="Arial" w:cs="Arial" w:eastAsia="Arial" w:hint="default"/>
          <w:spacing w:val="-2"/>
        </w:rPr>
        <w:t>1978</w:t>
      </w:r>
      <w:r>
        <w:rPr>
          <w:spacing w:val="-2"/>
        </w:rPr>
        <w:t>年生，毕业于福州大学，研究生学历，工商管理硕士。</w:t>
      </w:r>
      <w:r>
        <w:rPr>
          <w:rFonts w:ascii="Arial" w:hAnsi="Arial" w:cs="Arial" w:eastAsia="Arial" w:hint="default"/>
          <w:spacing w:val="-2"/>
        </w:rPr>
        <w:t>2002</w:t>
      </w:r>
      <w:r>
        <w:rPr>
          <w:spacing w:val="-2"/>
        </w:rPr>
        <w:t>年加入公司，先后在客服部、</w:t>
      </w:r>
    </w:p>
    <w:p>
      <w:pPr>
        <w:pStyle w:val="BodyText"/>
        <w:spacing w:line="213" w:lineRule="exact"/>
        <w:ind w:left="153" w:right="0"/>
        <w:jc w:val="left"/>
      </w:pPr>
      <w:r>
        <w:rPr/>
        <w:t>技术部及财务部工作，</w:t>
      </w:r>
      <w:r>
        <w:rPr>
          <w:rFonts w:ascii="Arial" w:hAnsi="Arial" w:cs="Arial" w:eastAsia="Arial" w:hint="default"/>
        </w:rPr>
        <w:t>2019</w:t>
      </w:r>
      <w:r>
        <w:rPr/>
        <w:t>年获得福建省五一劳动奖章。曾任公司工程师、会计、财务部经理、监事。现任公司财务总监、</w:t>
      </w:r>
    </w:p>
    <w:p>
      <w:pPr>
        <w:pStyle w:val="BodyText"/>
        <w:spacing w:line="357" w:lineRule="auto" w:before="65"/>
        <w:ind w:left="514" w:right="1129" w:hanging="360"/>
        <w:jc w:val="left"/>
      </w:pPr>
      <w:r>
        <w:rPr/>
        <w:t>榕基国际控股有限公司董事。 尚大斌：中国国籍，男，</w:t>
      </w:r>
      <w:r>
        <w:rPr>
          <w:rFonts w:ascii="Arial" w:hAnsi="Arial" w:cs="Arial" w:eastAsia="Arial" w:hint="default"/>
        </w:rPr>
        <w:t>1978</w:t>
      </w:r>
      <w:r>
        <w:rPr/>
        <w:t>年生，研究生学历，软件工程硕士专业。</w:t>
      </w:r>
      <w:r>
        <w:rPr>
          <w:rFonts w:ascii="Arial" w:hAnsi="Arial" w:cs="Arial" w:eastAsia="Arial" w:hint="default"/>
        </w:rPr>
        <w:t>2003</w:t>
      </w:r>
      <w:r>
        <w:rPr/>
        <w:t>年加入公司，先后担任浙江榕基信息技术</w:t>
      </w:r>
    </w:p>
    <w:p>
      <w:pPr>
        <w:pStyle w:val="BodyText"/>
        <w:spacing w:line="213" w:lineRule="exact"/>
        <w:ind w:right="0"/>
        <w:jc w:val="left"/>
      </w:pPr>
      <w:r>
        <w:rPr/>
        <w:t>有限公司总经理助理、副总经理，</w:t>
      </w:r>
      <w:r>
        <w:rPr>
          <w:rFonts w:ascii="Arial" w:hAnsi="Arial" w:cs="Arial" w:eastAsia="Arial" w:hint="default"/>
        </w:rPr>
        <w:t>2007</w:t>
      </w:r>
      <w:r>
        <w:rPr/>
        <w:t>年</w:t>
      </w:r>
      <w:r>
        <w:rPr>
          <w:rFonts w:ascii="Arial" w:hAnsi="Arial" w:cs="Arial" w:eastAsia="Arial" w:hint="default"/>
        </w:rPr>
        <w:t>2</w:t>
      </w:r>
      <w:r>
        <w:rPr/>
        <w:t>月至今担任浙江榕基信息技术有限公司总经理。具有较丰富的团队管理经验，负</w:t>
      </w:r>
    </w:p>
    <w:p>
      <w:pPr>
        <w:pStyle w:val="BodyText"/>
        <w:spacing w:line="319" w:lineRule="auto" w:before="63"/>
        <w:ind w:right="0"/>
        <w:jc w:val="left"/>
      </w:pPr>
      <w:r>
        <w:rPr>
          <w:spacing w:val="-2"/>
        </w:rPr>
        <w:t>责浙江榕基信息技术有限公司的管理工作，对政务信息化领域有比较深刻的理解及实践经验。现任公司副总裁、浙江榕基信</w:t>
      </w:r>
      <w:r>
        <w:rPr>
          <w:spacing w:val="-66"/>
        </w:rPr>
        <w:t> </w:t>
      </w:r>
      <w:r>
        <w:rPr>
          <w:spacing w:val="-66"/>
        </w:rPr>
      </w:r>
      <w:r>
        <w:rPr/>
        <w:t>息技术有限公司总经理。</w:t>
      </w:r>
    </w:p>
    <w:p>
      <w:pPr>
        <w:pStyle w:val="BodyText"/>
        <w:spacing w:line="309" w:lineRule="auto" w:before="55"/>
        <w:ind w:right="1131" w:firstLine="360"/>
        <w:jc w:val="both"/>
      </w:pPr>
      <w:r>
        <w:rPr/>
        <w:t>宾壮兴：中国国籍，男，</w:t>
      </w:r>
      <w:r>
        <w:rPr>
          <w:rFonts w:ascii="Arial" w:hAnsi="Arial" w:cs="Arial" w:eastAsia="Arial" w:hint="default"/>
        </w:rPr>
        <w:t>1960</w:t>
      </w:r>
      <w:r>
        <w:rPr/>
        <w:t>年生，毕业于深圳大学人事管理专业。</w:t>
      </w:r>
      <w:r>
        <w:rPr>
          <w:rFonts w:ascii="Arial" w:hAnsi="Arial" w:cs="Arial" w:eastAsia="Arial" w:hint="default"/>
        </w:rPr>
        <w:t>2000</w:t>
      </w:r>
      <w:r>
        <w:rPr/>
        <w:t>年加入公司，先后担任榕基软件深圳分公司 </w:t>
      </w:r>
      <w:r>
        <w:rPr>
          <w:spacing w:val="-2"/>
        </w:rPr>
        <w:t>办公室主任、副总经理。长期从事质检行业应用软件产品的开发及推广管理工作，对质检行业的信息化建设有一定的了解和</w:t>
      </w:r>
      <w:r>
        <w:rPr>
          <w:spacing w:val="-66"/>
        </w:rPr>
        <w:t> </w:t>
      </w:r>
      <w:r>
        <w:rPr>
          <w:spacing w:val="-66"/>
        </w:rPr>
      </w:r>
      <w:r>
        <w:rPr/>
        <w:t>丰富的实验经验。具有较强的的市场开拓及企业管理能力。现任公司副总裁。</w:t>
      </w:r>
    </w:p>
    <w:p>
      <w:pPr>
        <w:pStyle w:val="BodyText"/>
        <w:spacing w:line="302" w:lineRule="auto" w:before="62"/>
        <w:ind w:right="1129" w:firstLine="360"/>
        <w:jc w:val="both"/>
      </w:pPr>
      <w:r>
        <w:rPr/>
        <w:t>李惠钦：中国国籍，女，</w:t>
      </w:r>
      <w:r>
        <w:rPr>
          <w:rFonts w:ascii="Arial" w:hAnsi="Arial" w:cs="Arial" w:eastAsia="Arial" w:hint="default"/>
        </w:rPr>
        <w:t>1975</w:t>
      </w:r>
      <w:r>
        <w:rPr/>
        <w:t>年生，毕业于闽江学院。</w:t>
      </w:r>
      <w:r>
        <w:rPr>
          <w:rFonts w:ascii="Arial" w:hAnsi="Arial" w:cs="Arial" w:eastAsia="Arial" w:hint="default"/>
        </w:rPr>
        <w:t>1997</w:t>
      </w:r>
      <w:r>
        <w:rPr/>
        <w:t>年加入公司，先后担任行政部经理、总裁助理，长期从事 市场开拓工作。现任公司副总裁。</w:t>
      </w:r>
    </w:p>
    <w:p>
      <w:pPr>
        <w:pStyle w:val="BodyText"/>
        <w:spacing w:line="240" w:lineRule="auto" w:before="70"/>
        <w:ind w:right="2239"/>
        <w:jc w:val="left"/>
      </w:pPr>
      <w:r>
        <w:rPr/>
        <w:t>在股东单位任职情况</w:t>
      </w:r>
    </w:p>
    <w:p>
      <w:pPr>
        <w:pStyle w:val="BodyText"/>
        <w:spacing w:line="340" w:lineRule="auto" w:before="116"/>
        <w:ind w:right="913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在其他单位任职情况</w:t>
      </w:r>
    </w:p>
    <w:p>
      <w:pPr>
        <w:pStyle w:val="BodyText"/>
        <w:spacing w:line="240" w:lineRule="auto" w:before="41"/>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13"/>
        <w:rPr>
          <w:rFonts w:ascii="宋体" w:hAnsi="宋体" w:cs="宋体" w:eastAsia="宋体" w:hint="default"/>
          <w:sz w:val="6"/>
          <w:szCs w:val="6"/>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714" w:hRule="exact"/>
        </w:trPr>
        <w:tc>
          <w:tcPr>
            <w:tcW w:w="12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0"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其他单位名称</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91" w:right="89"/>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34"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3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42" w:right="53" w:hanging="90"/>
              <w:jc w:val="left"/>
              <w:rPr>
                <w:rFonts w:ascii="宋体" w:hAnsi="宋体" w:cs="宋体" w:eastAsia="宋体" w:hint="default"/>
                <w:sz w:val="18"/>
                <w:szCs w:val="18"/>
              </w:rPr>
            </w:pPr>
            <w:r>
              <w:rPr>
                <w:rFonts w:ascii="宋体" w:hAnsi="宋体" w:cs="宋体" w:eastAsia="宋体" w:hint="default"/>
                <w:sz w:val="18"/>
                <w:szCs w:val="18"/>
              </w:rPr>
              <w:t>在其他单位是否 领取报酬津贴</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上海榕基软件开发有限公司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福建容大物联网科技有限公司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侯伟</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福建星榕基信息科技有限责任公司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陈明平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福建榕基软件工程有限公司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尚大斌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浙江榕基信息技术有限公司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尚大斌</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福州榕易付网络科技有限公司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刘微芳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福州大学经济与管理学院会计系</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副教授，硕士</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生导师</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刘微芳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昇兴集团股份有限公司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刘微芳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海欣食品股份有限公司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刘微芳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江苏博信投资控股股份有限公司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刘微芳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好事达（福建）股份有限公司（未上市）</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刘微芳</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福建三鑫隆信息科技开发股份有限公司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黄旭明</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福建师范大学数学与计算机科学学院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3" w:right="0"/>
              <w:jc w:val="left"/>
              <w:rPr>
                <w:rFonts w:ascii="宋体" w:hAnsi="宋体" w:cs="宋体" w:eastAsia="宋体" w:hint="default"/>
                <w:sz w:val="18"/>
                <w:szCs w:val="18"/>
              </w:rPr>
            </w:pPr>
            <w:r>
              <w:rPr>
                <w:rFonts w:ascii="宋体" w:hAnsi="宋体" w:cs="宋体" w:eastAsia="宋体" w:hint="default"/>
                <w:spacing w:val="-8"/>
                <w:sz w:val="18"/>
                <w:szCs w:val="18"/>
              </w:rPr>
              <w:t>副教授，硕士</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34"/>
        <w:gridCol w:w="3276"/>
        <w:gridCol w:w="1092"/>
        <w:gridCol w:w="1230"/>
        <w:gridCol w:w="1360"/>
        <w:gridCol w:w="1376"/>
      </w:tblGrid>
      <w:tr>
        <w:trPr>
          <w:trHeight w:val="362" w:hRule="exact"/>
        </w:trPr>
        <w:tc>
          <w:tcPr>
            <w:tcW w:w="1234" w:type="dxa"/>
            <w:tcBorders>
              <w:top w:val="single" w:sz="4" w:space="0" w:color="000000"/>
              <w:left w:val="single" w:sz="4" w:space="0" w:color="000000"/>
              <w:bottom w:val="single" w:sz="4" w:space="0" w:color="000000"/>
              <w:right w:val="single" w:sz="4" w:space="0" w:color="000000"/>
            </w:tcBorders>
          </w:tcPr>
          <w:p>
            <w:pPr/>
          </w:p>
        </w:tc>
        <w:tc>
          <w:tcPr>
            <w:tcW w:w="3276"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3" w:right="0"/>
              <w:jc w:val="left"/>
              <w:rPr>
                <w:rFonts w:ascii="宋体" w:hAnsi="宋体" w:cs="宋体" w:eastAsia="宋体" w:hint="default"/>
                <w:sz w:val="18"/>
                <w:szCs w:val="18"/>
              </w:rPr>
            </w:pPr>
            <w:r>
              <w:rPr>
                <w:rFonts w:ascii="宋体" w:hAnsi="宋体" w:cs="宋体" w:eastAsia="宋体" w:hint="default"/>
                <w:sz w:val="18"/>
                <w:szCs w:val="18"/>
              </w:rPr>
              <w:t>生导师</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苏小榕</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福建拓维律师事务所</w:t>
            </w:r>
          </w:p>
        </w:tc>
        <w:tc>
          <w:tcPr>
            <w:tcW w:w="1092" w:type="dxa"/>
            <w:tcBorders>
              <w:top w:val="single" w:sz="4" w:space="0" w:color="000000"/>
              <w:left w:val="single" w:sz="4" w:space="0" w:color="000000"/>
              <w:bottom w:val="single" w:sz="4" w:space="0" w:color="000000"/>
              <w:right w:val="single" w:sz="13" w:space="0" w:color="FFFFFF"/>
            </w:tcBorders>
          </w:tcPr>
          <w:p>
            <w:pPr>
              <w:pStyle w:val="TableParagraph"/>
              <w:spacing w:line="316" w:lineRule="auto" w:before="51"/>
              <w:ind w:left="23" w:right="-34"/>
              <w:jc w:val="left"/>
              <w:rPr>
                <w:rFonts w:ascii="宋体" w:hAnsi="宋体" w:cs="宋体" w:eastAsia="宋体" w:hint="default"/>
                <w:sz w:val="18"/>
                <w:szCs w:val="18"/>
              </w:rPr>
            </w:pPr>
            <w:r>
              <w:rPr>
                <w:rFonts w:ascii="宋体" w:hAnsi="宋体" w:cs="宋体" w:eastAsia="宋体" w:hint="default"/>
                <w:sz w:val="18"/>
                <w:szCs w:val="18"/>
              </w:rPr>
              <w:t>高级合伙人、 律师</w:t>
            </w:r>
          </w:p>
        </w:tc>
        <w:tc>
          <w:tcPr>
            <w:tcW w:w="1230" w:type="dxa"/>
            <w:tcBorders>
              <w:top w:val="single" w:sz="4" w:space="0" w:color="000000"/>
              <w:left w:val="single" w:sz="13" w:space="0" w:color="FFFFFF"/>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苏小榕</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EGLA</w:t>
            </w:r>
            <w:r>
              <w:rPr>
                <w:rFonts w:ascii="Arial" w:hAnsi="Arial" w:cs="Arial" w:eastAsia="Arial" w:hint="default"/>
                <w:spacing w:val="-8"/>
                <w:sz w:val="18"/>
                <w:szCs w:val="18"/>
              </w:rPr>
              <w:t> </w:t>
            </w:r>
            <w:r>
              <w:rPr>
                <w:rFonts w:ascii="宋体" w:hAnsi="宋体" w:cs="宋体" w:eastAsia="宋体" w:hint="default"/>
                <w:sz w:val="18"/>
                <w:szCs w:val="18"/>
              </w:rPr>
              <w:t>全球精品律所联盟执行委员会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副主席</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苏小榕</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中国法学会财税法学研究会理事会</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理事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苏小榕</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国脉科技股份有限公司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苏小榕</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富春通信股份有限公司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万孝雄</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福建榕基投资有限公司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56"/>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万孝雄</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福建星榕基信息科技有限责任公司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万孝雄</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榕基国际控股有限公司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万孝雄</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福建文鑫莲业有限责任公司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镇千金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榕基国际控股有限公司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镇千金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福建容大物联网科技有限公司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镇千金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福州榕易付网络科技有限公司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镇千金</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福建闽光软件股份有限公司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靳谊</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北京中榕基信息技术有限公司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执行董事、总</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经理</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福建星榕基信息科技有限责任公司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赵坚</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福建榕基软件工程有限公司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刘景燕</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上海榕基软件开发有限公司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孙敏</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福建汇德律师事务所</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执业律师</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胡继荣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福州大学经济与管理学院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pacing w:val="-8"/>
                <w:sz w:val="18"/>
                <w:szCs w:val="18"/>
              </w:rPr>
              <w:t>副教授、教授</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胡继荣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福建永福电力设计股份有限公司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胡继荣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福建福光股份有限公司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胡继荣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四川福蓉科技股份公司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胡继荣</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中国绿色食品（控股）有限公司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4"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叶东毅</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福州大学数学与计算机科学学院</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20"/>
              <w:jc w:val="left"/>
              <w:rPr>
                <w:rFonts w:ascii="宋体" w:hAnsi="宋体" w:cs="宋体" w:eastAsia="宋体" w:hint="default"/>
                <w:sz w:val="18"/>
                <w:szCs w:val="18"/>
              </w:rPr>
            </w:pPr>
            <w:r>
              <w:rPr>
                <w:rFonts w:ascii="宋体" w:hAnsi="宋体" w:cs="宋体" w:eastAsia="宋体" w:hint="default"/>
                <w:spacing w:val="-8"/>
                <w:sz w:val="18"/>
                <w:szCs w:val="18"/>
              </w:rPr>
              <w:t>教授、博士生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导师</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叶东毅</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福建顶点软件股份有限公司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叶东毅</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福建福昕软件开发股份有限公司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2" w:hRule="exact"/>
        </w:trPr>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叶东毅</w:t>
            </w:r>
          </w:p>
        </w:tc>
        <w:tc>
          <w:tcPr>
            <w:tcW w:w="3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福建星网锐捷通讯股份有限公司，</w:t>
            </w: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230" w:type="dxa"/>
            <w:tcBorders>
              <w:top w:val="single" w:sz="4" w:space="0" w:color="000000"/>
              <w:left w:val="single" w:sz="4" w:space="0" w:color="000000"/>
              <w:bottom w:val="single" w:sz="4" w:space="0" w:color="000000"/>
              <w:right w:val="single" w:sz="4" w:space="0" w:color="000000"/>
            </w:tcBorders>
          </w:tcPr>
          <w:p>
            <w:pPr/>
          </w:p>
        </w:tc>
        <w:tc>
          <w:tcPr>
            <w:tcW w:w="1360" w:type="dxa"/>
            <w:tcBorders>
              <w:top w:val="single" w:sz="4" w:space="0" w:color="000000"/>
              <w:left w:val="single" w:sz="4" w:space="0" w:color="000000"/>
              <w:bottom w:val="single" w:sz="4" w:space="0" w:color="000000"/>
              <w:right w:val="single" w:sz="4" w:space="0" w:color="000000"/>
            </w:tcBorders>
          </w:tcPr>
          <w:p>
            <w:pPr/>
          </w:p>
        </w:tc>
        <w:tc>
          <w:tcPr>
            <w:tcW w:w="13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是</w:t>
            </w:r>
          </w:p>
        </w:tc>
      </w:tr>
    </w:tbl>
    <w:p>
      <w:pPr>
        <w:pStyle w:val="BodyText"/>
        <w:spacing w:line="240" w:lineRule="auto" w:before="51"/>
        <w:ind w:right="2239"/>
        <w:jc w:val="left"/>
      </w:pPr>
      <w:r>
        <w:rPr/>
        <w:t>公司现任及报告期内离任董事、监事和高级管理人员近三年证券监管机构处罚的情况</w:t>
      </w:r>
    </w:p>
    <w:p>
      <w:pPr>
        <w:pStyle w:val="BodyText"/>
        <w:spacing w:line="240" w:lineRule="auto" w:before="117"/>
        <w:ind w:left="153"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after="0" w:line="240" w:lineRule="auto"/>
        <w:jc w:val="left"/>
        <w:sectPr>
          <w:pgSz w:w="11910" w:h="16840"/>
          <w:pgMar w:header="747" w:footer="982" w:top="1060" w:bottom="118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2239"/>
        <w:jc w:val="left"/>
        <w:rPr>
          <w:b w:val="0"/>
          <w:bCs w:val="0"/>
        </w:rPr>
      </w:pPr>
      <w:r>
        <w:rPr/>
        <w:t>四、董事、监事、高级管理人员报酬情况</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513" w:right="0" w:hanging="360"/>
        <w:jc w:val="left"/>
      </w:pPr>
      <w:r>
        <w:rPr/>
        <w:t>董事、监事、高级管理人员报酬的决策程序、确定依据、实际支付情况 </w:t>
      </w:r>
      <w:r>
        <w:rPr>
          <w:spacing w:val="-2"/>
        </w:rPr>
        <w:t>报告期内公司根据《公司章程》及《公司董事会薪酬与考核委员会实施细则》，结合公司经营规模等实际情况并参照行</w:t>
      </w:r>
    </w:p>
    <w:p>
      <w:pPr>
        <w:pStyle w:val="BodyText"/>
        <w:spacing w:line="237" w:lineRule="exact"/>
        <w:ind w:left="153" w:right="0"/>
        <w:jc w:val="left"/>
      </w:pPr>
      <w:r>
        <w:rPr/>
        <w:t>业薪酬水平，制定《公司</w:t>
      </w:r>
      <w:r>
        <w:rPr>
          <w:rFonts w:ascii="Arial" w:hAnsi="Arial" w:cs="Arial" w:eastAsia="Arial" w:hint="default"/>
        </w:rPr>
        <w:t>2019</w:t>
      </w:r>
      <w:r>
        <w:rPr/>
        <w:t>年度董事、高级管理人员薪酬方案》，并由公司第四届董事会第十六次会议及公司</w:t>
      </w:r>
      <w:r>
        <w:rPr>
          <w:rFonts w:ascii="Arial" w:hAnsi="Arial" w:cs="Arial" w:eastAsia="Arial" w:hint="default"/>
        </w:rPr>
        <w:t>2018</w:t>
      </w:r>
      <w:r>
        <w:rPr/>
        <w:t>年度</w:t>
      </w:r>
    </w:p>
    <w:p>
      <w:pPr>
        <w:pStyle w:val="BodyText"/>
        <w:spacing w:line="360" w:lineRule="auto" w:before="63"/>
        <w:ind w:left="153" w:right="6791"/>
        <w:jc w:val="left"/>
      </w:pPr>
      <w:r>
        <w:rPr/>
        <w:t>股东大会审议通过后执行。 公司报告期内董事、监事和高级管理人员报酬情况</w:t>
      </w:r>
    </w:p>
    <w:p>
      <w:pPr>
        <w:pStyle w:val="BodyText"/>
        <w:spacing w:line="240" w:lineRule="auto" w:before="27"/>
        <w:ind w:left="0" w:right="1131"/>
        <w:jc w:val="right"/>
      </w:pPr>
      <w:r>
        <w:rPr/>
        <w:t>单位：万元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713"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姓名</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职务</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性别</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年龄</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7" w:right="47" w:hanging="180"/>
              <w:jc w:val="left"/>
              <w:rPr>
                <w:rFonts w:ascii="宋体" w:hAnsi="宋体" w:cs="宋体" w:eastAsia="宋体" w:hint="default"/>
                <w:sz w:val="18"/>
                <w:szCs w:val="18"/>
              </w:rPr>
            </w:pPr>
            <w:r>
              <w:rPr>
                <w:rFonts w:ascii="宋体" w:hAnsi="宋体" w:cs="宋体" w:eastAsia="宋体" w:hint="default"/>
                <w:sz w:val="18"/>
                <w:szCs w:val="18"/>
              </w:rPr>
              <w:t>从公司获得的税 前报酬总额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8" w:right="47" w:hanging="180"/>
              <w:jc w:val="left"/>
              <w:rPr>
                <w:rFonts w:ascii="宋体" w:hAnsi="宋体" w:cs="宋体" w:eastAsia="宋体" w:hint="default"/>
                <w:sz w:val="18"/>
                <w:szCs w:val="18"/>
              </w:rPr>
            </w:pPr>
            <w:r>
              <w:rPr>
                <w:rFonts w:ascii="宋体" w:hAnsi="宋体" w:cs="宋体" w:eastAsia="宋体" w:hint="default"/>
                <w:sz w:val="18"/>
                <w:szCs w:val="18"/>
              </w:rPr>
              <w:t>是否在公司关联 方获取报酬</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董事长、总裁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53</w:t>
            </w:r>
            <w:r>
              <w:rPr>
                <w:rFonts w:ascii="Arial"/>
                <w:w w:val="95"/>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61</w:t>
            </w:r>
            <w:r>
              <w:rPr>
                <w:rFonts w:ascii="Arial"/>
                <w:w w:val="95"/>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侯伟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副董事长、常务 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18"/>
                <w:szCs w:val="18"/>
              </w:rPr>
            </w:pPr>
            <w:r>
              <w:rPr>
                <w:rFonts w:ascii="Arial"/>
                <w:spacing w:val="-1"/>
                <w:w w:val="95"/>
                <w:sz w:val="18"/>
              </w:rPr>
              <w:t>54</w:t>
            </w:r>
            <w:r>
              <w:rPr>
                <w:rFonts w:ascii="Arial"/>
                <w:w w:val="95"/>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18"/>
                <w:szCs w:val="18"/>
              </w:rPr>
            </w:pPr>
            <w:r>
              <w:rPr>
                <w:rFonts w:ascii="Arial"/>
                <w:spacing w:val="-1"/>
                <w:w w:val="95"/>
                <w:sz w:val="18"/>
              </w:rPr>
              <w:t>52</w:t>
            </w:r>
            <w:r>
              <w:rPr>
                <w:rFonts w:ascii="Arial"/>
                <w:w w:val="95"/>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陈明平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44</w:t>
            </w:r>
            <w:r>
              <w:rPr>
                <w:rFonts w:ascii="Arial"/>
                <w:w w:val="95"/>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43</w:t>
            </w:r>
            <w:r>
              <w:rPr>
                <w:rFonts w:ascii="Arial"/>
                <w:w w:val="95"/>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赵坚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48</w:t>
            </w:r>
            <w:r>
              <w:rPr>
                <w:rFonts w:ascii="Arial"/>
                <w:w w:val="95"/>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39</w:t>
            </w:r>
            <w:r>
              <w:rPr>
                <w:rFonts w:ascii="Arial"/>
                <w:w w:val="95"/>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刘景燕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47</w:t>
            </w:r>
            <w:r>
              <w:rPr>
                <w:rFonts w:ascii="Arial"/>
                <w:w w:val="95"/>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27</w:t>
            </w:r>
            <w:r>
              <w:rPr>
                <w:rFonts w:ascii="Arial"/>
                <w:w w:val="95"/>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靳谊</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董事、副总裁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45</w:t>
            </w:r>
            <w:r>
              <w:rPr>
                <w:rFonts w:ascii="Arial"/>
                <w:w w:val="95"/>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38</w:t>
            </w:r>
            <w:r>
              <w:rPr>
                <w:rFonts w:ascii="Arial"/>
                <w:w w:val="95"/>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刘微芳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50</w:t>
            </w:r>
            <w:r>
              <w:rPr>
                <w:rFonts w:ascii="Arial"/>
                <w:w w:val="95"/>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z w:val="18"/>
              </w:rPr>
              <w: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黄旭明</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60</w:t>
            </w:r>
            <w:r>
              <w:rPr>
                <w:rFonts w:ascii="Arial"/>
                <w:w w:val="95"/>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z w:val="18"/>
              </w:rPr>
              <w: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苏小榕</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47</w:t>
            </w:r>
            <w:r>
              <w:rPr>
                <w:rFonts w:ascii="Arial"/>
                <w:w w:val="95"/>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z w:val="18"/>
              </w:rPr>
              <w:t>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魏建光</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40</w:t>
            </w:r>
            <w:r>
              <w:rPr>
                <w:rFonts w:ascii="Arial"/>
                <w:w w:val="95"/>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21</w:t>
            </w:r>
            <w:r>
              <w:rPr>
                <w:rFonts w:ascii="Arial"/>
                <w:w w:val="95"/>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邬海峰</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47</w:t>
            </w:r>
            <w:r>
              <w:rPr>
                <w:rFonts w:ascii="Arial"/>
                <w:w w:val="95"/>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18</w:t>
            </w:r>
            <w:r>
              <w:rPr>
                <w:rFonts w:ascii="Arial"/>
                <w:w w:val="95"/>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周仁锟</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44</w:t>
            </w:r>
            <w:r>
              <w:rPr>
                <w:rFonts w:ascii="Arial"/>
                <w:w w:val="95"/>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24</w:t>
            </w:r>
            <w:r>
              <w:rPr>
                <w:rFonts w:ascii="Arial"/>
                <w:w w:val="95"/>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4"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万孝雄</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72"/>
              <w:jc w:val="left"/>
              <w:rPr>
                <w:rFonts w:ascii="宋体" w:hAnsi="宋体" w:cs="宋体" w:eastAsia="宋体" w:hint="default"/>
                <w:sz w:val="18"/>
                <w:szCs w:val="18"/>
              </w:rPr>
            </w:pPr>
            <w:r>
              <w:rPr>
                <w:rFonts w:ascii="宋体" w:hAnsi="宋体" w:cs="宋体" w:eastAsia="宋体" w:hint="default"/>
                <w:sz w:val="18"/>
                <w:szCs w:val="18"/>
              </w:rPr>
              <w:t>副总裁、董事会 秘书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18"/>
                <w:szCs w:val="18"/>
              </w:rPr>
            </w:pPr>
            <w:r>
              <w:rPr>
                <w:rFonts w:ascii="Arial"/>
                <w:spacing w:val="-1"/>
                <w:w w:val="95"/>
                <w:sz w:val="18"/>
              </w:rPr>
              <w:t>43</w:t>
            </w:r>
            <w:r>
              <w:rPr>
                <w:rFonts w:ascii="Arial"/>
                <w:w w:val="95"/>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18"/>
                <w:szCs w:val="18"/>
              </w:rPr>
            </w:pPr>
            <w:r>
              <w:rPr>
                <w:rFonts w:ascii="Arial"/>
                <w:spacing w:val="-1"/>
                <w:w w:val="95"/>
                <w:sz w:val="18"/>
              </w:rPr>
              <w:t>36</w:t>
            </w:r>
            <w:r>
              <w:rPr>
                <w:rFonts w:ascii="Arial"/>
                <w:w w:val="95"/>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镇千金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42</w:t>
            </w:r>
            <w:r>
              <w:rPr>
                <w:rFonts w:ascii="Arial"/>
                <w:w w:val="95"/>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36</w:t>
            </w:r>
            <w:r>
              <w:rPr>
                <w:rFonts w:ascii="Arial"/>
                <w:w w:val="95"/>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尚大斌</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42</w:t>
            </w:r>
            <w:r>
              <w:rPr>
                <w:rFonts w:ascii="Arial"/>
                <w:w w:val="95"/>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29</w:t>
            </w:r>
            <w:r>
              <w:rPr>
                <w:rFonts w:ascii="Arial"/>
                <w:w w:val="95"/>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宾壮兴</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60</w:t>
            </w:r>
            <w:r>
              <w:rPr>
                <w:rFonts w:ascii="Arial"/>
                <w:w w:val="95"/>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28</w:t>
            </w:r>
            <w:r>
              <w:rPr>
                <w:rFonts w:ascii="Arial"/>
                <w:w w:val="95"/>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李惠钦</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45</w:t>
            </w:r>
            <w:r>
              <w:rPr>
                <w:rFonts w:ascii="Arial"/>
                <w:w w:val="95"/>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38</w:t>
            </w:r>
            <w:r>
              <w:rPr>
                <w:rFonts w:ascii="Arial"/>
                <w:w w:val="95"/>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孙敏</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53</w:t>
            </w:r>
            <w:r>
              <w:rPr>
                <w:rFonts w:ascii="Arial"/>
                <w:w w:val="95"/>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叶东毅</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56</w:t>
            </w:r>
            <w:r>
              <w:rPr>
                <w:rFonts w:ascii="Arial"/>
                <w:w w:val="95"/>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胡继荣</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64</w:t>
            </w:r>
            <w:r>
              <w:rPr>
                <w:rFonts w:ascii="Arial"/>
                <w:w w:val="95"/>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叶剑波</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62</w:t>
            </w:r>
            <w:r>
              <w:rPr>
                <w:rFonts w:ascii="Arial"/>
                <w:w w:val="95"/>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15</w:t>
            </w:r>
            <w:r>
              <w:rPr>
                <w:rFonts w:ascii="Arial"/>
                <w:w w:val="95"/>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陈威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37</w:t>
            </w:r>
            <w:r>
              <w:rPr>
                <w:rFonts w:ascii="Arial"/>
                <w:w w:val="95"/>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23</w:t>
            </w:r>
            <w:r>
              <w:rPr>
                <w:rFonts w:ascii="Arial"/>
                <w:w w:val="95"/>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倪时龙</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42</w:t>
            </w:r>
            <w:r>
              <w:rPr>
                <w:rFonts w:ascii="Arial"/>
                <w:w w:val="95"/>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z w:val="18"/>
              </w:rPr>
              <w:t>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Arial" w:hAnsi="Arial" w:cs="Arial" w:eastAsia="Arial" w:hint="default"/>
                <w:sz w:val="18"/>
                <w:szCs w:val="18"/>
              </w:rPr>
            </w:pPr>
            <w:r>
              <w:rPr>
                <w:rFonts w:ascii="Arial"/>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Arial" w:hAnsi="Arial" w:cs="Arial" w:eastAsia="Arial" w:hint="default"/>
                <w:sz w:val="18"/>
                <w:szCs w:val="18"/>
              </w:rPr>
            </w:pPr>
            <w:r>
              <w:rPr>
                <w:rFonts w:ascii="Arial"/>
                <w:sz w:val="18"/>
              </w:rPr>
              <w:t>--</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Arial" w:hAnsi="Arial" w:cs="Arial" w:eastAsia="Arial" w:hint="default"/>
                <w:sz w:val="18"/>
                <w:szCs w:val="18"/>
              </w:rPr>
            </w:pPr>
            <w:r>
              <w:rPr>
                <w:rFonts w:ascii="Arial"/>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Arial" w:hAnsi="Arial" w:cs="Arial" w:eastAsia="Arial" w:hint="default"/>
                <w:sz w:val="18"/>
                <w:szCs w:val="18"/>
              </w:rPr>
            </w:pPr>
            <w:r>
              <w:rPr>
                <w:rFonts w:ascii="Arial"/>
                <w:sz w:val="18"/>
              </w:rPr>
              <w:t>--</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549</w:t>
            </w:r>
            <w:r>
              <w:rPr>
                <w:rFonts w:ascii="Arial"/>
                <w:w w:val="95"/>
                <w:sz w:val="18"/>
              </w:rPr>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Arial" w:hAnsi="Arial" w:cs="Arial" w:eastAsia="Arial" w:hint="default"/>
                <w:sz w:val="18"/>
                <w:szCs w:val="18"/>
              </w:rPr>
            </w:pPr>
            <w:r>
              <w:rPr>
                <w:rFonts w:ascii="Arial"/>
                <w:sz w:val="18"/>
              </w:rPr>
              <w:t>--</w:t>
            </w:r>
          </w:p>
        </w:tc>
      </w:tr>
    </w:tbl>
    <w:p>
      <w:pPr>
        <w:pStyle w:val="BodyText"/>
        <w:spacing w:line="240" w:lineRule="auto" w:before="52"/>
        <w:ind w:right="2239"/>
        <w:jc w:val="left"/>
      </w:pPr>
      <w:r>
        <w:rPr/>
        <w:t>公司董事、高级管理人员报告期内被授予的股权激励情况</w:t>
      </w:r>
    </w:p>
    <w:p>
      <w:pPr>
        <w:spacing w:after="0" w:line="240" w:lineRule="auto"/>
        <w:jc w:val="left"/>
        <w:sectPr>
          <w:pgSz w:w="11910" w:h="16840"/>
          <w:pgMar w:header="747" w:footer="982" w:top="1060" w:bottom="118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153"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2239"/>
        <w:jc w:val="left"/>
        <w:rPr>
          <w:b w:val="0"/>
          <w:bCs w:val="0"/>
        </w:rPr>
      </w:pPr>
      <w:r>
        <w:rPr/>
        <w:t>五、公司员工情况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1</w:t>
      </w:r>
      <w:r>
        <w:rPr/>
        <w:t>、员工数量、专业构成及教育程度</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4765"/>
        <w:gridCol w:w="4791"/>
      </w:tblGrid>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母公司在职员工的数量（人）</w:t>
            </w:r>
          </w:p>
        </w:tc>
        <w:tc>
          <w:tcPr>
            <w:tcW w:w="47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516</w:t>
            </w:r>
            <w:r>
              <w:rPr>
                <w:rFonts w:ascii="Arial"/>
                <w:w w:val="95"/>
                <w:sz w:val="18"/>
              </w:rPr>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主要子公司在职员工的数量（人）</w:t>
            </w:r>
          </w:p>
        </w:tc>
        <w:tc>
          <w:tcPr>
            <w:tcW w:w="47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542</w:t>
            </w:r>
            <w:r>
              <w:rPr>
                <w:rFonts w:ascii="Arial"/>
                <w:w w:val="95"/>
                <w:sz w:val="18"/>
              </w:rPr>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在职员工的数量合计（人）</w:t>
            </w:r>
          </w:p>
        </w:tc>
        <w:tc>
          <w:tcPr>
            <w:tcW w:w="47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1,058</w:t>
            </w:r>
            <w:r>
              <w:rPr>
                <w:rFonts w:ascii="Arial"/>
                <w:w w:val="95"/>
                <w:sz w:val="18"/>
              </w:rPr>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当期领取薪酬员工总人数（人）</w:t>
            </w:r>
          </w:p>
        </w:tc>
        <w:tc>
          <w:tcPr>
            <w:tcW w:w="47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1,058</w:t>
            </w:r>
            <w:r>
              <w:rPr>
                <w:rFonts w:ascii="Arial"/>
                <w:w w:val="95"/>
                <w:sz w:val="18"/>
              </w:rPr>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母公司及主要子公司需承担费用的离退休职工人数（人）</w:t>
            </w:r>
          </w:p>
        </w:tc>
        <w:tc>
          <w:tcPr>
            <w:tcW w:w="47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r>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专业构成</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
              <w:jc w:val="center"/>
              <w:rPr>
                <w:rFonts w:ascii="宋体" w:hAnsi="宋体" w:cs="宋体" w:eastAsia="宋体" w:hint="default"/>
                <w:sz w:val="18"/>
                <w:szCs w:val="18"/>
              </w:rPr>
            </w:pPr>
            <w:r>
              <w:rPr>
                <w:rFonts w:ascii="宋体" w:hAnsi="宋体" w:cs="宋体" w:eastAsia="宋体" w:hint="default"/>
                <w:sz w:val="18"/>
                <w:szCs w:val="18"/>
              </w:rPr>
              <w:t>专业构成类别</w:t>
            </w:r>
          </w:p>
        </w:tc>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584" w:right="0"/>
              <w:jc w:val="left"/>
              <w:rPr>
                <w:rFonts w:ascii="宋体" w:hAnsi="宋体" w:cs="宋体" w:eastAsia="宋体" w:hint="default"/>
                <w:sz w:val="18"/>
                <w:szCs w:val="18"/>
              </w:rPr>
            </w:pPr>
            <w:r>
              <w:rPr>
                <w:rFonts w:ascii="宋体" w:hAnsi="宋体" w:cs="宋体" w:eastAsia="宋体" w:hint="default"/>
                <w:sz w:val="18"/>
                <w:szCs w:val="18"/>
              </w:rPr>
              <w:t>专业构成人数（人）</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生产人员</w:t>
            </w:r>
          </w:p>
        </w:tc>
        <w:tc>
          <w:tcPr>
            <w:tcW w:w="47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460</w:t>
            </w:r>
            <w:r>
              <w:rPr>
                <w:rFonts w:ascii="Arial"/>
                <w:w w:val="95"/>
                <w:sz w:val="18"/>
              </w:rPr>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销售人员</w:t>
            </w:r>
          </w:p>
        </w:tc>
        <w:tc>
          <w:tcPr>
            <w:tcW w:w="47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165</w:t>
            </w:r>
            <w:r>
              <w:rPr>
                <w:rFonts w:ascii="Arial"/>
                <w:w w:val="95"/>
                <w:sz w:val="18"/>
              </w:rPr>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技术人员</w:t>
            </w:r>
          </w:p>
        </w:tc>
        <w:tc>
          <w:tcPr>
            <w:tcW w:w="47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327</w:t>
            </w:r>
            <w:r>
              <w:rPr>
                <w:rFonts w:ascii="Arial"/>
                <w:w w:val="95"/>
                <w:sz w:val="18"/>
              </w:rPr>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财务人员</w:t>
            </w:r>
          </w:p>
        </w:tc>
        <w:tc>
          <w:tcPr>
            <w:tcW w:w="47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37</w:t>
            </w:r>
            <w:r>
              <w:rPr>
                <w:rFonts w:ascii="Arial"/>
                <w:w w:val="95"/>
                <w:sz w:val="18"/>
              </w:rPr>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行政人员</w:t>
            </w:r>
          </w:p>
        </w:tc>
        <w:tc>
          <w:tcPr>
            <w:tcW w:w="47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69</w:t>
            </w:r>
            <w:r>
              <w:rPr>
                <w:rFonts w:ascii="Arial"/>
                <w:w w:val="95"/>
                <w:sz w:val="18"/>
              </w:rPr>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1,058</w:t>
            </w:r>
            <w:r>
              <w:rPr>
                <w:rFonts w:ascii="Arial"/>
                <w:w w:val="95"/>
                <w:sz w:val="18"/>
              </w:rPr>
            </w:r>
          </w:p>
        </w:tc>
      </w:tr>
      <w:tr>
        <w:trPr>
          <w:trHeight w:val="402"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教育程度</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教育程度类别</w:t>
            </w:r>
          </w:p>
        </w:tc>
        <w:tc>
          <w:tcPr>
            <w:tcW w:w="47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 w:right="0"/>
              <w:jc w:val="left"/>
              <w:rPr>
                <w:rFonts w:ascii="宋体" w:hAnsi="宋体" w:cs="宋体" w:eastAsia="宋体" w:hint="default"/>
                <w:sz w:val="18"/>
                <w:szCs w:val="18"/>
              </w:rPr>
            </w:pPr>
            <w:r>
              <w:rPr>
                <w:rFonts w:ascii="宋体" w:hAnsi="宋体" w:cs="宋体" w:eastAsia="宋体" w:hint="default"/>
                <w:sz w:val="18"/>
                <w:szCs w:val="18"/>
              </w:rPr>
              <w:t>数量（人）</w:t>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硕士及以上</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68</w:t>
            </w:r>
            <w:r>
              <w:rPr>
                <w:rFonts w:ascii="Arial"/>
                <w:w w:val="95"/>
                <w:sz w:val="18"/>
              </w:rPr>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本科</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755</w:t>
            </w:r>
            <w:r>
              <w:rPr>
                <w:rFonts w:ascii="Arial"/>
                <w:w w:val="95"/>
                <w:sz w:val="18"/>
              </w:rPr>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大专</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207</w:t>
            </w:r>
            <w:r>
              <w:rPr>
                <w:rFonts w:ascii="Arial"/>
                <w:w w:val="95"/>
                <w:sz w:val="18"/>
              </w:rPr>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高中及以下</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28</w:t>
            </w:r>
            <w:r>
              <w:rPr>
                <w:rFonts w:ascii="Arial"/>
                <w:w w:val="95"/>
                <w:sz w:val="18"/>
              </w:rPr>
            </w:r>
          </w:p>
        </w:tc>
      </w:tr>
      <w:tr>
        <w:trPr>
          <w:trHeight w:val="402" w:hRule="exact"/>
        </w:trPr>
        <w:tc>
          <w:tcPr>
            <w:tcW w:w="47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1,058</w:t>
            </w:r>
            <w:r>
              <w:rPr>
                <w:rFonts w:ascii="Arial"/>
                <w:w w:val="95"/>
                <w:sz w:val="18"/>
              </w:rPr>
            </w:r>
          </w:p>
        </w:tc>
      </w:tr>
    </w:tbl>
    <w:p>
      <w:pPr>
        <w:spacing w:line="240" w:lineRule="auto" w:before="2"/>
        <w:rPr>
          <w:rFonts w:ascii="宋体" w:hAnsi="宋体" w:cs="宋体" w:eastAsia="宋体" w:hint="default"/>
          <w:b/>
          <w:bCs/>
          <w:sz w:val="19"/>
          <w:szCs w:val="19"/>
        </w:rPr>
      </w:pPr>
    </w:p>
    <w:p>
      <w:pPr>
        <w:pStyle w:val="Heading4"/>
        <w:spacing w:line="240" w:lineRule="auto" w:before="35"/>
        <w:ind w:right="2239"/>
        <w:jc w:val="left"/>
        <w:rPr>
          <w:b w:val="0"/>
          <w:bCs w:val="0"/>
        </w:rPr>
      </w:pPr>
      <w:r>
        <w:rPr>
          <w:rFonts w:ascii="Arial" w:hAnsi="Arial" w:cs="Arial" w:eastAsia="Arial" w:hint="default"/>
        </w:rPr>
        <w:t>2</w:t>
      </w:r>
      <w:r>
        <w:rPr/>
        <w:t>、薪酬政策</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0" w:firstLine="360"/>
        <w:jc w:val="left"/>
      </w:pPr>
      <w:r>
        <w:rPr>
          <w:spacing w:val="-2"/>
        </w:rPr>
        <w:t>公司严格按照《中华人民共和国劳动合同法》和有关劳动法律法规的规定，向员工提供稳定而具有竞争力的薪酬，以充</w:t>
      </w:r>
      <w:r>
        <w:rPr/>
        <w:t> 分调动员工的积极性和创造性。</w:t>
      </w:r>
    </w:p>
    <w:p>
      <w:pPr>
        <w:pStyle w:val="BodyText"/>
        <w:spacing w:line="338" w:lineRule="auto" w:before="59"/>
        <w:ind w:left="514" w:right="0" w:hanging="360"/>
        <w:jc w:val="left"/>
      </w:pPr>
      <w:r>
        <w:rPr/>
        <w:t>公司需遵守《深圳证券交易所行业信息披露指引第</w:t>
      </w:r>
      <w:r>
        <w:rPr>
          <w:spacing w:val="-46"/>
        </w:rPr>
        <w:t> </w:t>
      </w:r>
      <w:r>
        <w:rPr>
          <w:rFonts w:ascii="Arial" w:hAnsi="Arial" w:cs="Arial" w:eastAsia="Arial" w:hint="default"/>
        </w:rPr>
        <w:t>12</w:t>
      </w:r>
      <w:r>
        <w:rPr>
          <w:rFonts w:ascii="Arial" w:hAnsi="Arial" w:cs="Arial" w:eastAsia="Arial" w:hint="default"/>
          <w:spacing w:val="-7"/>
        </w:rPr>
        <w:t> </w:t>
      </w:r>
      <w:r>
        <w:rPr/>
        <w:t>号</w:t>
      </w:r>
      <w:r>
        <w:rPr>
          <w:rFonts w:ascii="Arial" w:hAnsi="Arial" w:cs="Arial" w:eastAsia="Arial" w:hint="default"/>
        </w:rPr>
        <w:t>——</w:t>
      </w:r>
      <w:r>
        <w:rPr/>
        <w:t>上市公司从事软件与信息技术服务业务》的披露要求 </w:t>
      </w:r>
      <w:r>
        <w:rPr>
          <w:spacing w:val="-2"/>
        </w:rPr>
        <w:t>报告期内，职工薪酬总额（计入成本部分）为</w:t>
      </w:r>
      <w:r>
        <w:rPr>
          <w:rFonts w:ascii="Arial" w:hAnsi="Arial" w:cs="Arial" w:eastAsia="Arial" w:hint="default"/>
          <w:spacing w:val="-2"/>
        </w:rPr>
        <w:t>545</w:t>
      </w:r>
      <w:r>
        <w:rPr>
          <w:spacing w:val="-2"/>
        </w:rPr>
        <w:t>万元，占公司营业成本的</w:t>
      </w:r>
      <w:r>
        <w:rPr>
          <w:rFonts w:ascii="Arial" w:hAnsi="Arial" w:cs="Arial" w:eastAsia="Arial" w:hint="default"/>
          <w:spacing w:val="-2"/>
        </w:rPr>
        <w:t>1.19%</w:t>
      </w:r>
      <w:r>
        <w:rPr>
          <w:spacing w:val="-2"/>
        </w:rPr>
        <w:t>。截至</w:t>
      </w:r>
      <w:r>
        <w:rPr>
          <w:rFonts w:ascii="Arial" w:hAnsi="Arial" w:cs="Arial" w:eastAsia="Arial" w:hint="default"/>
          <w:spacing w:val="-2"/>
        </w:rPr>
        <w:t>2019</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日，公司核心技</w:t>
      </w:r>
    </w:p>
    <w:p>
      <w:pPr>
        <w:pStyle w:val="BodyText"/>
        <w:spacing w:line="230" w:lineRule="exact"/>
        <w:ind w:right="0"/>
        <w:jc w:val="left"/>
      </w:pPr>
      <w:r>
        <w:rPr/>
        <w:t>术人员为</w:t>
      </w:r>
      <w:r>
        <w:rPr>
          <w:rFonts w:ascii="Arial" w:hAnsi="Arial" w:cs="Arial" w:eastAsia="Arial" w:hint="default"/>
        </w:rPr>
        <w:t>6</w:t>
      </w:r>
      <w:r>
        <w:rPr/>
        <w:t>人，占全体员工人数的</w:t>
      </w:r>
      <w:r>
        <w:rPr>
          <w:rFonts w:ascii="Arial" w:hAnsi="Arial" w:cs="Arial" w:eastAsia="Arial" w:hint="default"/>
        </w:rPr>
        <w:t>0.57%</w:t>
      </w:r>
      <w:r>
        <w:rPr/>
        <w:t>，上年同期核心技术人员为</w:t>
      </w:r>
      <w:r>
        <w:rPr>
          <w:rFonts w:ascii="Arial" w:hAnsi="Arial" w:cs="Arial" w:eastAsia="Arial" w:hint="default"/>
        </w:rPr>
        <w:t>6</w:t>
      </w:r>
      <w:r>
        <w:rPr/>
        <w:t>人，占全体员工人数的</w:t>
      </w:r>
      <w:r>
        <w:rPr>
          <w:rFonts w:ascii="Arial" w:hAnsi="Arial" w:cs="Arial" w:eastAsia="Arial" w:hint="default"/>
        </w:rPr>
        <w:t>0.58%</w:t>
      </w:r>
      <w:r>
        <w:rPr/>
        <w:t>；截至报告期末，核心技</w:t>
      </w:r>
    </w:p>
    <w:p>
      <w:pPr>
        <w:pStyle w:val="BodyText"/>
        <w:spacing w:line="240" w:lineRule="auto" w:before="63"/>
        <w:ind w:left="153" w:right="2239"/>
        <w:jc w:val="left"/>
      </w:pPr>
      <w:r>
        <w:rPr/>
        <w:t>术人员薪酬占全体员工薪酬的</w:t>
      </w:r>
      <w:r>
        <w:rPr>
          <w:rFonts w:ascii="Arial" w:hAnsi="Arial" w:cs="Arial" w:eastAsia="Arial" w:hint="default"/>
        </w:rPr>
        <w:t>1.91%</w:t>
      </w:r>
      <w:r>
        <w:rPr/>
        <w:t>，上年同期为</w:t>
      </w:r>
      <w:r>
        <w:rPr>
          <w:rFonts w:ascii="Arial" w:hAnsi="Arial" w:cs="Arial" w:eastAsia="Arial" w:hint="default"/>
        </w:rPr>
        <w:t>1.58%</w:t>
      </w:r>
      <w:r>
        <w:rPr/>
        <w:t>。</w:t>
      </w:r>
    </w:p>
    <w:p>
      <w:pPr>
        <w:spacing w:line="240" w:lineRule="auto" w:before="12"/>
        <w:rPr>
          <w:rFonts w:ascii="宋体" w:hAnsi="宋体" w:cs="宋体" w:eastAsia="宋体" w:hint="default"/>
          <w:sz w:val="25"/>
          <w:szCs w:val="25"/>
        </w:rPr>
      </w:pPr>
    </w:p>
    <w:p>
      <w:pPr>
        <w:pStyle w:val="Heading4"/>
        <w:spacing w:line="240" w:lineRule="auto"/>
        <w:ind w:right="2239"/>
        <w:jc w:val="left"/>
        <w:rPr>
          <w:b w:val="0"/>
          <w:bCs w:val="0"/>
        </w:rPr>
      </w:pPr>
      <w:r>
        <w:rPr>
          <w:rFonts w:ascii="Arial" w:hAnsi="Arial" w:cs="Arial" w:eastAsia="Arial" w:hint="default"/>
        </w:rPr>
        <w:t>3</w:t>
      </w:r>
      <w:r>
        <w:rPr/>
        <w:t>、培训计划</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公司非常注重员工的培训工作，积极寻求各种培训资源和渠道，搭建完善的培训体系，包括新员工入职培训、在职人员</w:t>
      </w:r>
    </w:p>
    <w:p>
      <w:pPr>
        <w:spacing w:after="0" w:line="240"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3" w:right="0"/>
        <w:jc w:val="left"/>
      </w:pPr>
      <w:r>
        <w:rPr>
          <w:spacing w:val="-2"/>
        </w:rPr>
        <w:t>业务培训、管理者提升培训、普法培训、安全培训等。通过培训提高业务能力和管理水平，既能促进公司整体战略目标的实</w:t>
      </w:r>
      <w:r>
        <w:rPr>
          <w:spacing w:val="-66"/>
        </w:rPr>
        <w:t> </w:t>
      </w:r>
      <w:r>
        <w:rPr>
          <w:spacing w:val="-66"/>
        </w:rPr>
      </w:r>
      <w:r>
        <w:rPr/>
        <w:t>施，又能满足员工个人能力和职业发展的需求，实现企业和员工的双赢。</w:t>
      </w:r>
    </w:p>
    <w:p>
      <w:pPr>
        <w:spacing w:line="240" w:lineRule="auto" w:before="7"/>
        <w:rPr>
          <w:rFonts w:ascii="宋体" w:hAnsi="宋体" w:cs="宋体" w:eastAsia="宋体" w:hint="default"/>
          <w:sz w:val="22"/>
          <w:szCs w:val="22"/>
        </w:rPr>
      </w:pPr>
    </w:p>
    <w:p>
      <w:pPr>
        <w:pStyle w:val="Heading4"/>
        <w:spacing w:line="240" w:lineRule="auto"/>
        <w:ind w:right="2239"/>
        <w:jc w:val="left"/>
        <w:rPr>
          <w:b w:val="0"/>
          <w:bCs w:val="0"/>
        </w:rPr>
      </w:pPr>
      <w:r>
        <w:rPr>
          <w:rFonts w:ascii="Arial" w:hAnsi="Arial" w:cs="Arial" w:eastAsia="Arial" w:hint="default"/>
        </w:rPr>
        <w:t>4</w:t>
      </w:r>
      <w:r>
        <w:rPr/>
        <w:t>、劳务外包情况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after="0" w:line="240"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right="2617"/>
        <w:jc w:val="center"/>
        <w:rPr>
          <w:b w:val="0"/>
          <w:bCs w:val="0"/>
        </w:rPr>
      </w:pPr>
      <w:bookmarkStart w:name="_TOC_250003" w:id="10"/>
      <w:r>
        <w:rPr/>
        <w:t>第十节公司治理</w:t>
      </w:r>
      <w:bookmarkEnd w:id="10"/>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2239"/>
        <w:jc w:val="left"/>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1128" w:firstLine="360"/>
        <w:jc w:val="both"/>
      </w:pPr>
      <w:r>
        <w:rPr>
          <w:spacing w:val="-2"/>
        </w:rPr>
        <w:t>报告期内，公司严格按照《公司法》、《证券法》、《上市公司治理准则》、《深圳证券交易所上市规则》、《深圳证</w:t>
      </w:r>
      <w:r>
        <w:rPr/>
        <w:t> </w:t>
      </w:r>
      <w:r>
        <w:rPr>
          <w:spacing w:val="-2"/>
        </w:rPr>
        <w:t>券交易所中小板上市公司规范运作指引》等法律、行政法规、部门规章、规范性文件的要求，完善公司治理机构，建立健全</w:t>
      </w:r>
      <w:r>
        <w:rPr>
          <w:spacing w:val="-68"/>
        </w:rPr>
        <w:t> </w:t>
      </w:r>
      <w:r>
        <w:rPr>
          <w:spacing w:val="-68"/>
        </w:rPr>
      </w:r>
      <w:r>
        <w:rPr/>
        <w:t>内部管理和控制制度，不断提高公司的治理水平。</w:t>
      </w:r>
    </w:p>
    <w:p>
      <w:pPr>
        <w:pStyle w:val="BodyText"/>
        <w:spacing w:line="316" w:lineRule="auto" w:before="59"/>
        <w:ind w:left="153" w:right="1038" w:firstLine="360"/>
        <w:jc w:val="both"/>
      </w:pPr>
      <w:r>
        <w:rPr>
          <w:spacing w:val="-2"/>
        </w:rPr>
        <w:t>公司建立完善了以股东大会为最高权力机构、董事会为决策机构、董事会专业委员会为决策支持机构、监事会为监督机</w:t>
      </w:r>
      <w:r>
        <w:rPr/>
        <w:t> </w:t>
      </w:r>
      <w:r>
        <w:rPr>
          <w:spacing w:val="-7"/>
        </w:rPr>
        <w:t>构、经理层及各子公司为执行机构的治理结构，完善了公司《章程》、《公司股东大会议事规则》、《公司董事会议事规则》、</w:t>
      </w:r>
    </w:p>
    <w:p>
      <w:pPr>
        <w:pStyle w:val="BodyText"/>
        <w:spacing w:line="319" w:lineRule="auto" w:before="19"/>
        <w:ind w:left="153" w:right="0"/>
        <w:jc w:val="left"/>
      </w:pPr>
      <w:r>
        <w:rPr>
          <w:spacing w:val="-2"/>
        </w:rPr>
        <w:t>《公司监事会议事规则》、《公司总裁工作细则》及各专业委员会工作细则等基本管理制度。公司股东大会、董事会、监事</w:t>
      </w:r>
      <w:r>
        <w:rPr>
          <w:spacing w:val="-65"/>
        </w:rPr>
        <w:t> </w:t>
      </w:r>
      <w:r>
        <w:rPr>
          <w:spacing w:val="-65"/>
        </w:rPr>
      </w:r>
      <w:r>
        <w:rPr>
          <w:spacing w:val="-4"/>
        </w:rPr>
        <w:t>会和经营管理层责权分明、各司其职、有效制衡、科学决策、协调运营，为公司持续、稳定、健康地发展奠定了坚实的基础。</w:t>
      </w:r>
      <w:r>
        <w:rPr>
          <w:spacing w:val="-48"/>
        </w:rPr>
        <w:t> </w:t>
      </w:r>
      <w:r>
        <w:rPr>
          <w:spacing w:val="-48"/>
        </w:rPr>
      </w:r>
      <w:r>
        <w:rPr/>
        <w:t>截至报告期末，公司治理的实际状况符合前述法律、行政法规、部门规章、规范性文件关于上市公司治理的相关要求。</w:t>
      </w:r>
    </w:p>
    <w:p>
      <w:pPr>
        <w:pStyle w:val="BodyText"/>
        <w:spacing w:line="240" w:lineRule="auto" w:before="56"/>
        <w:ind w:left="153" w:right="2239"/>
        <w:jc w:val="left"/>
      </w:pPr>
      <w:r>
        <w:rPr/>
        <w:t>公司治理的实际状况与中国证监会发布的有关上市公司治理的规范性文件是否存在重大差异</w:t>
      </w:r>
    </w:p>
    <w:p>
      <w:pPr>
        <w:pStyle w:val="BodyText"/>
        <w:spacing w:line="340" w:lineRule="auto" w:before="116"/>
        <w:ind w:right="3550"/>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29"/>
        </w:rPr>
        <w:t> </w:t>
      </w:r>
      <w:r>
        <w:rPr/>
        <w:t>否 公司治理的实际状况与中国证监会发布的有关上市公司治理的规范性文件不存在重大差异。</w:t>
      </w:r>
    </w:p>
    <w:p>
      <w:pPr>
        <w:spacing w:line="240" w:lineRule="auto" w:before="3"/>
        <w:rPr>
          <w:rFonts w:ascii="宋体" w:hAnsi="宋体" w:cs="宋体" w:eastAsia="宋体" w:hint="default"/>
          <w:sz w:val="19"/>
          <w:szCs w:val="19"/>
        </w:rPr>
      </w:pPr>
    </w:p>
    <w:p>
      <w:pPr>
        <w:pStyle w:val="Heading2"/>
        <w:spacing w:line="240" w:lineRule="auto"/>
        <w:ind w:right="2239"/>
        <w:jc w:val="left"/>
        <w:rPr>
          <w:b w:val="0"/>
          <w:bCs w:val="0"/>
        </w:rPr>
      </w:pPr>
      <w:r>
        <w:rPr/>
        <w:t>二、公司相对于控股股东在业务、人员、资产、机构、财务等方面的独立情况</w:t>
      </w:r>
      <w:r>
        <w:rPr>
          <w:b w:val="0"/>
          <w:bCs w:val="0"/>
        </w:rPr>
      </w:r>
    </w:p>
    <w:p>
      <w:pPr>
        <w:spacing w:line="240" w:lineRule="auto" w:before="7"/>
        <w:rPr>
          <w:rFonts w:ascii="宋体" w:hAnsi="宋体" w:cs="宋体" w:eastAsia="宋体" w:hint="default"/>
          <w:b/>
          <w:bCs/>
          <w:sz w:val="26"/>
          <w:szCs w:val="26"/>
        </w:rPr>
      </w:pPr>
    </w:p>
    <w:p>
      <w:pPr>
        <w:pStyle w:val="BodyText"/>
        <w:spacing w:line="319" w:lineRule="auto"/>
        <w:ind w:right="1048" w:firstLine="360"/>
        <w:jc w:val="both"/>
      </w:pPr>
      <w:r>
        <w:rPr/>
        <w:t>公司严格按照《公司法》和《公司章程》规范运作，逐步建立健全公司的法人治理结构，在业务、资产、人员、机构、 财务等方面均具备独立运营能力。</w:t>
      </w:r>
    </w:p>
    <w:p>
      <w:pPr>
        <w:pStyle w:val="BodyText"/>
        <w:spacing w:line="314" w:lineRule="auto" w:before="55"/>
        <w:ind w:left="153" w:right="1128" w:firstLine="360"/>
        <w:jc w:val="both"/>
      </w:pPr>
      <w:r>
        <w:rPr>
          <w:rFonts w:ascii="Arial" w:hAnsi="Arial" w:cs="Arial" w:eastAsia="Arial" w:hint="default"/>
        </w:rPr>
        <w:t>1</w:t>
      </w:r>
      <w:r>
        <w:rPr/>
        <w:t>、业务独立情况本公司主营业务为软件产品的开发与销售、计算机系统集成及技术支持与服务。公司独立进行产品的 </w:t>
      </w:r>
      <w:r>
        <w:rPr>
          <w:spacing w:val="-2"/>
        </w:rPr>
        <w:t>技术研发、生产和销售，具有独立的软件开发技术，拥有具有自主知识产权的软件产品，拥有独立的注册商标，具备相关业</w:t>
      </w:r>
      <w:r>
        <w:rPr>
          <w:spacing w:val="-66"/>
        </w:rPr>
        <w:t> </w:t>
      </w:r>
      <w:r>
        <w:rPr>
          <w:spacing w:val="-66"/>
        </w:rPr>
      </w:r>
      <w:r>
        <w:rPr>
          <w:spacing w:val="-2"/>
        </w:rPr>
        <w:t>务市场的准入资质。公司已建立了完整的职能部门架构，拥有独立的采购、生产、销售和研发系统，能独立开展业务；公司</w:t>
      </w:r>
      <w:r>
        <w:rPr>
          <w:spacing w:val="-67"/>
        </w:rPr>
        <w:t> </w:t>
      </w:r>
      <w:r>
        <w:rPr>
          <w:spacing w:val="-67"/>
        </w:rPr>
      </w:r>
      <w:r>
        <w:rPr>
          <w:spacing w:val="-2"/>
        </w:rPr>
        <w:t>生产经营所需技术为公司合法独立拥有，没有产权争议；公司独立对外签订所有合同，具有独立生产经营决策，独立从事生</w:t>
      </w:r>
      <w:r>
        <w:rPr>
          <w:spacing w:val="-66"/>
        </w:rPr>
        <w:t> </w:t>
      </w:r>
      <w:r>
        <w:rPr>
          <w:spacing w:val="-66"/>
        </w:rPr>
      </w:r>
      <w:r>
        <w:rPr/>
        <w:t>产经营活动的能力，所有业务环节不存在依赖控股股东及主要股东的情况。</w:t>
      </w:r>
    </w:p>
    <w:p>
      <w:pPr>
        <w:pStyle w:val="BodyText"/>
        <w:spacing w:line="307" w:lineRule="auto" w:before="59"/>
        <w:ind w:left="153" w:right="0" w:firstLine="360"/>
        <w:jc w:val="left"/>
      </w:pPr>
      <w:r>
        <w:rPr>
          <w:rFonts w:ascii="Arial" w:hAnsi="Arial" w:cs="Arial" w:eastAsia="Arial" w:hint="default"/>
          <w:spacing w:val="-2"/>
        </w:rPr>
        <w:t>2</w:t>
      </w:r>
      <w:r>
        <w:rPr>
          <w:spacing w:val="-2"/>
        </w:rPr>
        <w:t>、人员独立情况本公司的研发、生产、采购、销售和行政管理人员均完全独立。截至</w:t>
      </w:r>
      <w:r>
        <w:rPr>
          <w:rFonts w:ascii="Arial" w:hAnsi="Arial" w:cs="Arial" w:eastAsia="Arial" w:hint="default"/>
          <w:spacing w:val="-2"/>
        </w:rPr>
        <w:t>2019</w:t>
      </w:r>
      <w:r>
        <w:rPr>
          <w:spacing w:val="-2"/>
        </w:rPr>
        <w:t>年</w:t>
      </w:r>
      <w:r>
        <w:rPr>
          <w:rFonts w:ascii="Arial" w:hAnsi="Arial" w:cs="Arial" w:eastAsia="Arial" w:hint="default"/>
          <w:spacing w:val="-2"/>
        </w:rPr>
        <w:t>12</w:t>
      </w:r>
      <w:r>
        <w:rPr>
          <w:spacing w:val="-2"/>
        </w:rPr>
        <w:t>月</w:t>
      </w:r>
      <w:r>
        <w:rPr>
          <w:rFonts w:ascii="Arial" w:hAnsi="Arial" w:cs="Arial" w:eastAsia="Arial" w:hint="default"/>
          <w:spacing w:val="-2"/>
        </w:rPr>
        <w:t>31</w:t>
      </w:r>
      <w:r>
        <w:rPr>
          <w:spacing w:val="-2"/>
        </w:rPr>
        <w:t>日，本公司共有正</w:t>
      </w:r>
      <w:r>
        <w:rPr/>
        <w:t> 式员工</w:t>
      </w:r>
      <w:r>
        <w:rPr>
          <w:rFonts w:ascii="Arial" w:hAnsi="Arial" w:cs="Arial" w:eastAsia="Arial" w:hint="default"/>
        </w:rPr>
        <w:t>1,058</w:t>
      </w:r>
      <w:r>
        <w:rPr/>
        <w:t>人，均与公司签订了劳动聘用合同，公司根据工资管理制度发放工资。公司总裁、副总裁、财务负责人、董事 会秘书及核心技术人员均专职于公司工作，并领取报酬，目前并无在持有公司</w:t>
      </w:r>
      <w:r>
        <w:rPr>
          <w:rFonts w:ascii="Arial" w:hAnsi="Arial" w:cs="Arial" w:eastAsia="Arial" w:hint="default"/>
        </w:rPr>
        <w:t>5%</w:t>
      </w:r>
      <w:r>
        <w:rPr/>
        <w:t>以上股份的股东下属企业担任董事、监事 </w:t>
      </w:r>
      <w:r>
        <w:rPr>
          <w:spacing w:val="-4"/>
        </w:rPr>
        <w:t>以外的其他职务的情况。公司董事、监事及其他高级管理人员均依《公司法》、《公司章程》等规定的合法程序选举或聘任，</w:t>
      </w:r>
      <w:r>
        <w:rPr>
          <w:spacing w:val="-47"/>
        </w:rPr>
        <w:t> </w:t>
      </w:r>
      <w:r>
        <w:rPr>
          <w:spacing w:val="-47"/>
        </w:rPr>
      </w:r>
      <w:r>
        <w:rPr>
          <w:spacing w:val="-2"/>
        </w:rPr>
        <w:t>公司具有独立的人事任免权力，不存在控股股东及主要股东干预公司董事会和股东大会，或是超越董事会和股东大会做出人</w:t>
      </w:r>
      <w:r>
        <w:rPr>
          <w:spacing w:val="-64"/>
        </w:rPr>
        <w:t> </w:t>
      </w:r>
      <w:r>
        <w:rPr>
          <w:spacing w:val="-64"/>
        </w:rPr>
      </w:r>
      <w:r>
        <w:rPr/>
        <w:t>事任免决定的情况。</w:t>
      </w:r>
    </w:p>
    <w:p>
      <w:pPr>
        <w:pStyle w:val="BodyText"/>
        <w:spacing w:line="312" w:lineRule="auto" w:before="65"/>
        <w:ind w:left="153" w:right="1128" w:firstLine="360"/>
        <w:jc w:val="both"/>
      </w:pPr>
      <w:r>
        <w:rPr>
          <w:rFonts w:ascii="Arial" w:hAnsi="Arial" w:cs="Arial" w:eastAsia="Arial" w:hint="default"/>
        </w:rPr>
        <w:t>3</w:t>
      </w:r>
      <w:r>
        <w:rPr/>
        <w:t>、资产独立情况公司资产与股东资产严格分开，权属明确，并完全独立运营，公司目前业务和生产经营必需的机器设 </w:t>
      </w:r>
      <w:r>
        <w:rPr>
          <w:spacing w:val="-2"/>
        </w:rPr>
        <w:t>备、房屋、土地使用权、商标、专利及其他资产的权属完全由公司独立享有，不存在与股东共用的情况。公司对所有资产拥</w:t>
      </w:r>
      <w:r>
        <w:rPr>
          <w:spacing w:val="-68"/>
        </w:rPr>
        <w:t> </w:t>
      </w:r>
      <w:r>
        <w:rPr>
          <w:spacing w:val="-68"/>
        </w:rPr>
      </w:r>
      <w:r>
        <w:rPr>
          <w:spacing w:val="-2"/>
        </w:rPr>
        <w:t>有完全的控制和支配权，不存在资产、资金被股东占用而损害公司利益的情况。公司不存在为股东和其他个人提供担保的情</w:t>
      </w:r>
      <w:r>
        <w:rPr>
          <w:spacing w:val="-66"/>
        </w:rPr>
        <w:t> </w:t>
      </w:r>
      <w:r>
        <w:rPr>
          <w:spacing w:val="-66"/>
        </w:rPr>
      </w:r>
      <w:r>
        <w:rPr/>
        <w:t>形。</w:t>
      </w:r>
    </w:p>
    <w:p>
      <w:pPr>
        <w:pStyle w:val="BodyText"/>
        <w:spacing w:line="302" w:lineRule="auto" w:before="61"/>
        <w:ind w:left="153" w:right="1128" w:firstLine="360"/>
        <w:jc w:val="both"/>
      </w:pPr>
      <w:r>
        <w:rPr>
          <w:rFonts w:ascii="Arial" w:hAnsi="Arial" w:cs="Arial" w:eastAsia="Arial" w:hint="default"/>
        </w:rPr>
        <w:t>4</w:t>
      </w:r>
      <w:r>
        <w:rPr/>
        <w:t>、机构独立情况公司设有独立的职能部门，组织结构健全，独立运作，在机构设置上完全分开，不存在与控股股东混 合经营、合署办公等情况。</w:t>
      </w:r>
    </w:p>
    <w:p>
      <w:pPr>
        <w:pStyle w:val="BodyText"/>
        <w:spacing w:line="312" w:lineRule="auto" w:before="68"/>
        <w:ind w:left="153" w:right="1128" w:firstLine="360"/>
        <w:jc w:val="both"/>
      </w:pPr>
      <w:r>
        <w:rPr>
          <w:rFonts w:ascii="Arial" w:hAnsi="Arial" w:cs="Arial" w:eastAsia="Arial" w:hint="default"/>
        </w:rPr>
        <w:t>5</w:t>
      </w:r>
      <w:r>
        <w:rPr/>
        <w:t>、财务独立情况公司设立了独立的财务部门，配备了专职财务人员，建立了独立的会计核算体系。公司具有独立作出 </w:t>
      </w:r>
      <w:r>
        <w:rPr>
          <w:spacing w:val="-2"/>
        </w:rPr>
        <w:t>财务决策的能力。公司经营活动和重大资产处置行为的财务会计处理，均以股东大会决议、董事会决议及相关合同文本为依</w:t>
      </w:r>
      <w:r>
        <w:rPr>
          <w:spacing w:val="-66"/>
        </w:rPr>
        <w:t> </w:t>
      </w:r>
      <w:r>
        <w:rPr>
          <w:spacing w:val="-66"/>
        </w:rPr>
      </w:r>
      <w:r>
        <w:rPr>
          <w:spacing w:val="-2"/>
        </w:rPr>
        <w:t>据，未出现股东干预公司财务部门业务开展的情形。公司对所拥有资产有完全控制支配权，不存在股东占用公司资产而损害</w:t>
      </w:r>
      <w:r>
        <w:rPr>
          <w:spacing w:val="-66"/>
        </w:rPr>
        <w:t> </w:t>
      </w:r>
      <w:r>
        <w:rPr>
          <w:spacing w:val="-66"/>
        </w:rPr>
      </w:r>
      <w:r>
        <w:rPr/>
        <w:t>公司利益的情况。公司独立纳税，独立开设银行账户。</w:t>
      </w:r>
    </w:p>
    <w:p>
      <w:pPr>
        <w:spacing w:after="0" w:line="312" w:lineRule="auto"/>
        <w:jc w:val="both"/>
        <w:sectPr>
          <w:pgSz w:w="11910" w:h="16840"/>
          <w:pgMar w:header="747" w:footer="982" w:top="1060" w:bottom="118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2239"/>
        <w:jc w:val="left"/>
        <w:rPr>
          <w:b w:val="0"/>
          <w:bCs w:val="0"/>
        </w:rPr>
      </w:pPr>
      <w:r>
        <w:rPr/>
        <w:t>三、同业竞争情况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2239"/>
        <w:jc w:val="left"/>
        <w:rPr>
          <w:b w:val="0"/>
          <w:bCs w:val="0"/>
        </w:rPr>
      </w:pPr>
      <w:r>
        <w:rPr/>
        <w:t>四、报告期内召开的年度股东大会和临时股东大会的有关情况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1</w:t>
      </w:r>
      <w:r>
        <w:rPr/>
        <w:t>、本报告期股东大会情况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会议类型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63" w:right="0"/>
              <w:jc w:val="left"/>
              <w:rPr>
                <w:rFonts w:ascii="宋体" w:hAnsi="宋体" w:cs="宋体" w:eastAsia="宋体" w:hint="default"/>
                <w:sz w:val="18"/>
                <w:szCs w:val="18"/>
              </w:rPr>
            </w:pPr>
            <w:r>
              <w:rPr>
                <w:rFonts w:ascii="宋体" w:hAnsi="宋体" w:cs="宋体" w:eastAsia="宋体" w:hint="default"/>
                <w:sz w:val="18"/>
                <w:szCs w:val="18"/>
              </w:rPr>
              <w:t>投资者参与比例</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披露日期</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898"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13"/>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年度股东大会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年度股东大会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w w:val="95"/>
                <w:sz w:val="18"/>
              </w:rPr>
              <w:t>2.78%</w:t>
            </w:r>
            <w:r>
              <w:rPr>
                <w:rFonts w:ascii="Arial"/>
                <w:w w:val="95"/>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1"/>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w:hAnsi="Arial" w:cs="Arial" w:eastAsia="Arial" w:hint="default"/>
                <w:sz w:val="18"/>
                <w:szCs w:val="18"/>
              </w:rPr>
              <w:t>04</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25</w:t>
            </w:r>
            <w:r>
              <w:rPr>
                <w:rFonts w:ascii="Arial" w:hAnsi="Arial" w:cs="Arial" w:eastAsia="Arial" w:hint="default"/>
                <w:spacing w:val="-1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1"/>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w:hAnsi="Arial" w:cs="Arial" w:eastAsia="Arial" w:hint="default"/>
                <w:sz w:val="18"/>
                <w:szCs w:val="18"/>
              </w:rPr>
              <w:t>04</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26</w:t>
            </w:r>
            <w:r>
              <w:rPr>
                <w:rFonts w:ascii="Arial" w:hAnsi="Arial" w:cs="Arial" w:eastAsia="Arial" w:hint="default"/>
                <w:spacing w:val="-12"/>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3" w:right="34"/>
              <w:jc w:val="left"/>
              <w:rPr>
                <w:rFonts w:ascii="Arial" w:hAnsi="Arial" w:cs="Arial" w:eastAsia="Arial" w:hint="default"/>
                <w:sz w:val="18"/>
                <w:szCs w:val="18"/>
              </w:rPr>
            </w:pPr>
            <w:hyperlink r:id="rId19">
              <w:r>
                <w:rPr>
                  <w:rFonts w:ascii="Arial"/>
                  <w:sz w:val="18"/>
                </w:rPr>
                <w:t>http://www.cninfo.c</w:t>
              </w:r>
            </w:hyperlink>
            <w:r>
              <w:rPr>
                <w:rFonts w:ascii="Arial"/>
                <w:sz w:val="18"/>
              </w:rPr>
              <w:t> om.cn/new/disclos</w:t>
            </w:r>
            <w:r>
              <w:rPr>
                <w:rFonts w:ascii="Arial"/>
                <w:spacing w:val="-1"/>
                <w:sz w:val="18"/>
              </w:rPr>
              <w:t> </w:t>
            </w:r>
            <w:r>
              <w:rPr>
                <w:rFonts w:ascii="Arial"/>
                <w:sz w:val="18"/>
              </w:rPr>
              <w:t>ure/detail?plate=sz</w:t>
            </w:r>
            <w:r>
              <w:rPr>
                <w:rFonts w:ascii="Arial"/>
                <w:spacing w:val="-1"/>
                <w:sz w:val="18"/>
              </w:rPr>
              <w:t> </w:t>
            </w:r>
            <w:r>
              <w:rPr>
                <w:rFonts w:ascii="Arial"/>
                <w:sz w:val="18"/>
              </w:rPr>
              <w:t>se&amp;orgId=9900014</w:t>
            </w:r>
            <w:r>
              <w:rPr>
                <w:rFonts w:ascii="Arial"/>
                <w:spacing w:val="-1"/>
                <w:sz w:val="18"/>
              </w:rPr>
              <w:t> </w:t>
            </w:r>
            <w:r>
              <w:rPr>
                <w:rFonts w:ascii="Arial"/>
                <w:sz w:val="18"/>
              </w:rPr>
              <w:t>447&amp;stockCode=0</w:t>
            </w:r>
            <w:r>
              <w:rPr>
                <w:rFonts w:ascii="Arial"/>
                <w:sz w:val="18"/>
              </w:rPr>
              <w:t> 02474&amp;announce mentId=12061004</w:t>
            </w:r>
            <w:r>
              <w:rPr>
                <w:rFonts w:ascii="Arial"/>
                <w:spacing w:val="-1"/>
                <w:sz w:val="18"/>
              </w:rPr>
              <w:t> </w:t>
            </w:r>
            <w:r>
              <w:rPr>
                <w:rFonts w:ascii="Arial"/>
                <w:sz w:val="18"/>
              </w:rPr>
              <w:t>58&amp;announcement</w:t>
            </w:r>
            <w:r>
              <w:rPr>
                <w:rFonts w:ascii="Arial"/>
                <w:spacing w:val="-1"/>
                <w:sz w:val="18"/>
              </w:rPr>
              <w:t> </w:t>
            </w:r>
            <w:r>
              <w:rPr>
                <w:rFonts w:ascii="Arial"/>
                <w:sz w:val="18"/>
              </w:rPr>
              <w:t>Time=2019-04-26</w:t>
            </w:r>
          </w:p>
        </w:tc>
      </w:tr>
      <w:tr>
        <w:trPr>
          <w:trHeight w:val="2899"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02" w:lineRule="auto"/>
              <w:ind w:left="22" w:right="36"/>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年第一次临时 股东大会</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left="22" w:right="0"/>
              <w:jc w:val="left"/>
              <w:rPr>
                <w:rFonts w:ascii="宋体" w:hAnsi="宋体" w:cs="宋体" w:eastAsia="宋体" w:hint="default"/>
                <w:sz w:val="18"/>
                <w:szCs w:val="18"/>
              </w:rPr>
            </w:pPr>
            <w:r>
              <w:rPr>
                <w:rFonts w:ascii="宋体" w:hAnsi="宋体" w:cs="宋体" w:eastAsia="宋体" w:hint="default"/>
                <w:sz w:val="18"/>
                <w:szCs w:val="18"/>
              </w:rPr>
              <w:t>临时股东大会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w w:val="95"/>
                <w:sz w:val="18"/>
              </w:rPr>
              <w:t>0.10%</w:t>
            </w:r>
            <w:r>
              <w:rPr>
                <w:rFonts w:ascii="Arial"/>
                <w:w w:val="95"/>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1"/>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w:hAnsi="Arial" w:cs="Arial" w:eastAsia="Arial" w:hint="default"/>
                <w:sz w:val="18"/>
                <w:szCs w:val="18"/>
              </w:rPr>
              <w:t>12</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31</w:t>
            </w:r>
            <w:r>
              <w:rPr>
                <w:rFonts w:ascii="Arial" w:hAnsi="Arial" w:cs="Arial" w:eastAsia="Arial" w:hint="default"/>
                <w:spacing w:val="-1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3"/>
              <w:ind w:right="1"/>
              <w:jc w:val="center"/>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12"/>
                <w:sz w:val="18"/>
                <w:szCs w:val="18"/>
              </w:rPr>
              <w:t> </w:t>
            </w:r>
            <w:r>
              <w:rPr>
                <w:rFonts w:ascii="宋体" w:hAnsi="宋体" w:cs="宋体" w:eastAsia="宋体" w:hint="default"/>
                <w:sz w:val="18"/>
                <w:szCs w:val="18"/>
              </w:rPr>
              <w:t>年</w:t>
            </w:r>
            <w:r>
              <w:rPr>
                <w:rFonts w:ascii="宋体" w:hAnsi="宋体" w:cs="宋体" w:eastAsia="宋体" w:hint="default"/>
                <w:spacing w:val="-52"/>
                <w:sz w:val="18"/>
                <w:szCs w:val="18"/>
              </w:rPr>
              <w:t> </w:t>
            </w:r>
            <w:r>
              <w:rPr>
                <w:rFonts w:ascii="Arial" w:hAnsi="Arial" w:cs="Arial" w:eastAsia="Arial" w:hint="default"/>
                <w:sz w:val="18"/>
                <w:szCs w:val="18"/>
              </w:rPr>
              <w:t>01</w:t>
            </w:r>
            <w:r>
              <w:rPr>
                <w:rFonts w:ascii="Arial" w:hAnsi="Arial" w:cs="Arial" w:eastAsia="Arial"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Arial" w:hAnsi="Arial" w:cs="Arial" w:eastAsia="Arial" w:hint="default"/>
                <w:sz w:val="18"/>
                <w:szCs w:val="18"/>
              </w:rPr>
              <w:t>02</w:t>
            </w:r>
            <w:r>
              <w:rPr>
                <w:rFonts w:ascii="Arial" w:hAnsi="Arial" w:cs="Arial" w:eastAsia="Arial" w:hint="default"/>
                <w:spacing w:val="-12"/>
                <w:sz w:val="18"/>
                <w:szCs w:val="18"/>
              </w:rPr>
              <w:t> </w:t>
            </w:r>
            <w:r>
              <w:rPr>
                <w:rFonts w:ascii="宋体" w:hAnsi="宋体" w:cs="宋体" w:eastAsia="宋体" w:hint="default"/>
                <w:sz w:val="18"/>
                <w:szCs w:val="18"/>
              </w:rPr>
              <w:t>日</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2"/>
              <w:ind w:left="23" w:right="34"/>
              <w:jc w:val="left"/>
              <w:rPr>
                <w:rFonts w:ascii="Arial" w:hAnsi="Arial" w:cs="Arial" w:eastAsia="Arial" w:hint="default"/>
                <w:sz w:val="18"/>
                <w:szCs w:val="18"/>
              </w:rPr>
            </w:pPr>
            <w:hyperlink r:id="rId19">
              <w:r>
                <w:rPr>
                  <w:rFonts w:ascii="Arial"/>
                  <w:sz w:val="18"/>
                </w:rPr>
                <w:t>http://www.cninfo.c</w:t>
              </w:r>
            </w:hyperlink>
            <w:r>
              <w:rPr>
                <w:rFonts w:ascii="Arial"/>
                <w:sz w:val="18"/>
              </w:rPr>
              <w:t> om.cn/new/disclos</w:t>
            </w:r>
            <w:r>
              <w:rPr>
                <w:rFonts w:ascii="Arial"/>
                <w:spacing w:val="-1"/>
                <w:sz w:val="18"/>
              </w:rPr>
              <w:t> </w:t>
            </w:r>
            <w:r>
              <w:rPr>
                <w:rFonts w:ascii="Arial"/>
                <w:sz w:val="18"/>
              </w:rPr>
              <w:t>ure/detail?plate=sz</w:t>
            </w:r>
            <w:r>
              <w:rPr>
                <w:rFonts w:ascii="Arial"/>
                <w:spacing w:val="-1"/>
                <w:sz w:val="18"/>
              </w:rPr>
              <w:t> </w:t>
            </w:r>
            <w:r>
              <w:rPr>
                <w:rFonts w:ascii="Arial"/>
                <w:sz w:val="18"/>
              </w:rPr>
              <w:t>se&amp;orgId=9900014</w:t>
            </w:r>
            <w:r>
              <w:rPr>
                <w:rFonts w:ascii="Arial"/>
                <w:spacing w:val="-1"/>
                <w:sz w:val="18"/>
              </w:rPr>
              <w:t> </w:t>
            </w:r>
            <w:r>
              <w:rPr>
                <w:rFonts w:ascii="Arial"/>
                <w:sz w:val="18"/>
              </w:rPr>
              <w:t>447&amp;stockCode=0</w:t>
            </w:r>
            <w:r>
              <w:rPr>
                <w:rFonts w:ascii="Arial"/>
                <w:sz w:val="18"/>
              </w:rPr>
              <w:t> 02474&amp;announce mentId=12072150</w:t>
            </w:r>
            <w:r>
              <w:rPr>
                <w:rFonts w:ascii="Arial"/>
                <w:spacing w:val="-1"/>
                <w:sz w:val="18"/>
              </w:rPr>
              <w:t> </w:t>
            </w:r>
            <w:r>
              <w:rPr>
                <w:rFonts w:ascii="Arial"/>
                <w:sz w:val="18"/>
              </w:rPr>
              <w:t>22&amp;announcement</w:t>
            </w:r>
            <w:r>
              <w:rPr>
                <w:rFonts w:ascii="Arial"/>
                <w:spacing w:val="-1"/>
                <w:sz w:val="18"/>
              </w:rPr>
              <w:t> </w:t>
            </w:r>
            <w:r>
              <w:rPr>
                <w:rFonts w:ascii="Arial"/>
                <w:sz w:val="18"/>
              </w:rPr>
              <w:t>Time=2020-01-02</w:t>
            </w:r>
          </w:p>
        </w:tc>
      </w:tr>
    </w:tbl>
    <w:p>
      <w:pPr>
        <w:spacing w:line="240" w:lineRule="auto" w:before="2"/>
        <w:rPr>
          <w:rFonts w:ascii="宋体" w:hAnsi="宋体" w:cs="宋体" w:eastAsia="宋体" w:hint="default"/>
          <w:b/>
          <w:bCs/>
          <w:sz w:val="19"/>
          <w:szCs w:val="19"/>
        </w:rPr>
      </w:pPr>
    </w:p>
    <w:p>
      <w:pPr>
        <w:pStyle w:val="Heading4"/>
        <w:spacing w:line="240" w:lineRule="auto" w:before="35"/>
        <w:ind w:right="2239"/>
        <w:jc w:val="left"/>
        <w:rPr>
          <w:b w:val="0"/>
          <w:bCs w:val="0"/>
        </w:rPr>
      </w:pPr>
      <w:r>
        <w:rPr>
          <w:rFonts w:ascii="Arial" w:hAnsi="Arial" w:cs="Arial" w:eastAsia="Arial" w:hint="default"/>
        </w:rPr>
        <w:t>2</w:t>
      </w:r>
      <w:r>
        <w:rPr/>
        <w:t>、表决权恢复的优先股股东请求召开临时股东大会</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13"/>
        <w:rPr>
          <w:rFonts w:ascii="宋体" w:hAnsi="宋体" w:cs="宋体" w:eastAsia="宋体" w:hint="default"/>
          <w:sz w:val="23"/>
          <w:szCs w:val="23"/>
        </w:rPr>
      </w:pPr>
    </w:p>
    <w:p>
      <w:pPr>
        <w:pStyle w:val="Heading2"/>
        <w:spacing w:line="240" w:lineRule="auto"/>
        <w:ind w:right="2239"/>
        <w:jc w:val="left"/>
        <w:rPr>
          <w:b w:val="0"/>
          <w:bCs w:val="0"/>
        </w:rPr>
      </w:pPr>
      <w:r>
        <w:rPr/>
        <w:t>五、报告期内独立董事履行职责的情况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1</w:t>
      </w:r>
      <w:r>
        <w:rPr/>
        <w:t>、独立董事出席董事会及股东大会的情况</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9570"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独立董事出席董事会及股东大会的情况</w:t>
            </w:r>
          </w:p>
        </w:tc>
      </w:tr>
      <w:tr>
        <w:trPr>
          <w:trHeight w:val="1026" w:hRule="exact"/>
        </w:trPr>
        <w:tc>
          <w:tcPr>
            <w:tcW w:w="142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7"/>
              <w:ind w:left="167" w:right="0"/>
              <w:jc w:val="left"/>
              <w:rPr>
                <w:rFonts w:ascii="宋体" w:hAnsi="宋体" w:cs="宋体" w:eastAsia="宋体" w:hint="default"/>
                <w:sz w:val="18"/>
                <w:szCs w:val="18"/>
              </w:rPr>
            </w:pPr>
            <w:r>
              <w:rPr>
                <w:rFonts w:ascii="宋体" w:hAnsi="宋体" w:cs="宋体" w:eastAsia="宋体" w:hint="default"/>
                <w:sz w:val="18"/>
                <w:szCs w:val="18"/>
              </w:rPr>
              <w:t>独立董事姓名</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6" w:right="36"/>
              <w:jc w:val="left"/>
              <w:rPr>
                <w:rFonts w:ascii="宋体" w:hAnsi="宋体" w:cs="宋体" w:eastAsia="宋体" w:hint="default"/>
                <w:sz w:val="18"/>
                <w:szCs w:val="18"/>
              </w:rPr>
            </w:pPr>
            <w:r>
              <w:rPr>
                <w:rFonts w:ascii="宋体" w:hAnsi="宋体" w:cs="宋体" w:eastAsia="宋体" w:hint="default"/>
                <w:sz w:val="18"/>
                <w:szCs w:val="18"/>
              </w:rPr>
              <w:t>本报告期应参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5" w:right="36" w:hanging="270"/>
              <w:jc w:val="left"/>
              <w:rPr>
                <w:rFonts w:ascii="宋体" w:hAnsi="宋体" w:cs="宋体" w:eastAsia="宋体" w:hint="default"/>
                <w:sz w:val="18"/>
                <w:szCs w:val="18"/>
              </w:rPr>
            </w:pPr>
            <w:r>
              <w:rPr>
                <w:rFonts w:ascii="宋体" w:hAnsi="宋体" w:cs="宋体" w:eastAsia="宋体" w:hint="default"/>
                <w:sz w:val="18"/>
                <w:szCs w:val="18"/>
              </w:rPr>
              <w:t>现场出席董事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5" w:right="35"/>
              <w:jc w:val="left"/>
              <w:rPr>
                <w:rFonts w:ascii="宋体" w:hAnsi="宋体" w:cs="宋体" w:eastAsia="宋体" w:hint="default"/>
                <w:sz w:val="18"/>
                <w:szCs w:val="18"/>
              </w:rPr>
            </w:pPr>
            <w:r>
              <w:rPr>
                <w:rFonts w:ascii="宋体" w:hAnsi="宋体" w:cs="宋体" w:eastAsia="宋体" w:hint="default"/>
                <w:sz w:val="18"/>
                <w:szCs w:val="18"/>
              </w:rPr>
              <w:t>以通讯方式参 加董事会次数</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07" w:right="35" w:hanging="270"/>
              <w:jc w:val="left"/>
              <w:rPr>
                <w:rFonts w:ascii="宋体" w:hAnsi="宋体" w:cs="宋体" w:eastAsia="宋体" w:hint="default"/>
                <w:sz w:val="18"/>
                <w:szCs w:val="18"/>
              </w:rPr>
            </w:pPr>
            <w:r>
              <w:rPr>
                <w:rFonts w:ascii="宋体" w:hAnsi="宋体" w:cs="宋体" w:eastAsia="宋体" w:hint="default"/>
                <w:sz w:val="18"/>
                <w:szCs w:val="18"/>
              </w:rPr>
              <w:t>委托出席董事 会次数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485" w:right="35" w:hanging="450"/>
              <w:jc w:val="left"/>
              <w:rPr>
                <w:rFonts w:ascii="宋体" w:hAnsi="宋体" w:cs="宋体" w:eastAsia="宋体" w:hint="default"/>
                <w:sz w:val="18"/>
                <w:szCs w:val="18"/>
              </w:rPr>
            </w:pPr>
            <w:r>
              <w:rPr>
                <w:rFonts w:ascii="宋体" w:hAnsi="宋体" w:cs="宋体" w:eastAsia="宋体" w:hint="default"/>
                <w:sz w:val="18"/>
                <w:szCs w:val="18"/>
              </w:rPr>
              <w:t>缺席董事会次 数</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6" w:right="35"/>
              <w:jc w:val="center"/>
              <w:rPr>
                <w:rFonts w:ascii="宋体" w:hAnsi="宋体" w:cs="宋体" w:eastAsia="宋体" w:hint="default"/>
                <w:sz w:val="18"/>
                <w:szCs w:val="18"/>
              </w:rPr>
            </w:pPr>
            <w:r>
              <w:rPr>
                <w:rFonts w:ascii="宋体" w:hAnsi="宋体" w:cs="宋体" w:eastAsia="宋体" w:hint="default"/>
                <w:sz w:val="18"/>
                <w:szCs w:val="18"/>
              </w:rPr>
              <w:t>是否连续两次 未亲自参加董 事会会议</w:t>
            </w:r>
          </w:p>
        </w:tc>
        <w:tc>
          <w:tcPr>
            <w:tcW w:w="11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95" w:right="35" w:hanging="360"/>
              <w:jc w:val="left"/>
              <w:rPr>
                <w:rFonts w:ascii="宋体" w:hAnsi="宋体" w:cs="宋体" w:eastAsia="宋体" w:hint="default"/>
                <w:sz w:val="18"/>
                <w:szCs w:val="18"/>
              </w:rPr>
            </w:pPr>
            <w:r>
              <w:rPr>
                <w:rFonts w:ascii="宋体" w:hAnsi="宋体" w:cs="宋体" w:eastAsia="宋体" w:hint="default"/>
                <w:sz w:val="18"/>
                <w:szCs w:val="18"/>
              </w:rPr>
              <w:t>出席股东大会 次数</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刘微芳</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z w:val="18"/>
              </w:rPr>
              <w:t>5</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黄旭明</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1</w:t>
            </w:r>
          </w:p>
        </w:tc>
      </w:tr>
    </w:tbl>
    <w:p>
      <w:pPr>
        <w:spacing w:after="0" w:line="240" w:lineRule="auto"/>
        <w:jc w:val="right"/>
        <w:rPr>
          <w:rFonts w:ascii="Arial" w:hAnsi="Arial" w:cs="Arial" w:eastAsia="Arial"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b/>
          <w:bCs/>
          <w:sz w:val="28"/>
          <w:szCs w:val="28"/>
        </w:rPr>
      </w:pPr>
    </w:p>
    <w:tbl>
      <w:tblPr>
        <w:tblW w:w="0" w:type="auto"/>
        <w:jc w:val="left"/>
        <w:tblInd w:w="149" w:type="dxa"/>
        <w:tblLayout w:type="fixed"/>
        <w:tblCellMar>
          <w:top w:w="0" w:type="dxa"/>
          <w:left w:w="0" w:type="dxa"/>
          <w:bottom w:w="0" w:type="dxa"/>
          <w:right w:w="0" w:type="dxa"/>
        </w:tblCellMar>
        <w:tblLook w:val="01E0"/>
      </w:tblPr>
      <w:tblGrid>
        <w:gridCol w:w="1427"/>
        <w:gridCol w:w="1164"/>
        <w:gridCol w:w="1164"/>
        <w:gridCol w:w="1163"/>
        <w:gridCol w:w="1164"/>
        <w:gridCol w:w="1163"/>
        <w:gridCol w:w="1163"/>
        <w:gridCol w:w="1163"/>
      </w:tblGrid>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苏小榕</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z w:val="18"/>
              </w:rPr>
              <w:t>5</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z w:val="18"/>
              </w:rPr>
              <w:t>4</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孙敏</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叶东毅</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1</w:t>
            </w:r>
          </w:p>
        </w:tc>
      </w:tr>
      <w:tr>
        <w:trPr>
          <w:trHeight w:val="402" w:hRule="exact"/>
        </w:trPr>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胡继荣</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z w:val="18"/>
              </w:rPr>
              <w:t>1</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z w:val="18"/>
              </w:rPr>
              <w:t>1</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1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1</w:t>
            </w:r>
          </w:p>
        </w:tc>
      </w:tr>
    </w:tbl>
    <w:p>
      <w:pPr>
        <w:pStyle w:val="BodyText"/>
        <w:spacing w:line="240" w:lineRule="auto" w:before="51"/>
        <w:ind w:right="0"/>
        <w:jc w:val="both"/>
      </w:pPr>
      <w:r>
        <w:rPr/>
        <w:t>连续两次未亲自出席董事会的说明</w:t>
      </w:r>
    </w:p>
    <w:p>
      <w:pPr>
        <w:spacing w:line="240" w:lineRule="auto" w:before="11"/>
        <w:rPr>
          <w:rFonts w:ascii="宋体" w:hAnsi="宋体" w:cs="宋体" w:eastAsia="宋体" w:hint="default"/>
          <w:sz w:val="26"/>
          <w:szCs w:val="26"/>
        </w:rPr>
      </w:pPr>
    </w:p>
    <w:p>
      <w:pPr>
        <w:pStyle w:val="Heading4"/>
        <w:spacing w:line="240" w:lineRule="auto"/>
        <w:ind w:right="0"/>
        <w:jc w:val="both"/>
        <w:rPr>
          <w:b w:val="0"/>
          <w:bCs w:val="0"/>
        </w:rPr>
      </w:pPr>
      <w:r>
        <w:rPr>
          <w:rFonts w:ascii="Arial" w:hAnsi="Arial" w:cs="Arial" w:eastAsia="Arial" w:hint="default"/>
        </w:rPr>
        <w:t>2</w:t>
      </w:r>
      <w:r>
        <w:rPr/>
        <w:t>、独立董事对公司有关事项提出异议的情况</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0"/>
        <w:jc w:val="both"/>
      </w:pPr>
      <w:r>
        <w:rPr/>
        <w:t>独立董事对公司有关事项是否提出异议</w:t>
      </w:r>
    </w:p>
    <w:p>
      <w:pPr>
        <w:pStyle w:val="BodyText"/>
        <w:spacing w:line="340" w:lineRule="auto" w:before="116"/>
        <w:ind w:right="6970"/>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29"/>
        </w:rPr>
        <w:t> </w:t>
      </w:r>
      <w:r>
        <w:rPr/>
        <w:t>否 报告期内独立董事对公司有关事项未提出异议。</w:t>
      </w:r>
    </w:p>
    <w:p>
      <w:pPr>
        <w:spacing w:line="240" w:lineRule="auto" w:before="1"/>
        <w:rPr>
          <w:rFonts w:ascii="宋体" w:hAnsi="宋体" w:cs="宋体" w:eastAsia="宋体" w:hint="default"/>
          <w:sz w:val="21"/>
          <w:szCs w:val="21"/>
        </w:rPr>
      </w:pPr>
    </w:p>
    <w:p>
      <w:pPr>
        <w:pStyle w:val="Heading4"/>
        <w:spacing w:line="240" w:lineRule="auto"/>
        <w:ind w:right="0"/>
        <w:jc w:val="both"/>
        <w:rPr>
          <w:b w:val="0"/>
          <w:bCs w:val="0"/>
        </w:rPr>
      </w:pPr>
      <w:r>
        <w:rPr>
          <w:rFonts w:ascii="Arial" w:hAnsi="Arial" w:cs="Arial" w:eastAsia="Arial" w:hint="default"/>
        </w:rPr>
        <w:t>3</w:t>
      </w:r>
      <w:r>
        <w:rPr/>
        <w:t>、独立董事履行职责的其他说明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独立董事对公司有关建议是否被采纳</w:t>
      </w:r>
    </w:p>
    <w:p>
      <w:pPr>
        <w:pStyle w:val="BodyText"/>
        <w:spacing w:line="340" w:lineRule="auto" w:before="117"/>
        <w:ind w:right="6790"/>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29"/>
        </w:rPr>
        <w:t> </w:t>
      </w:r>
      <w:r>
        <w:rPr/>
        <w:t>否 独立董事对公司有关建议被采纳或未被采纳的说明</w:t>
      </w:r>
    </w:p>
    <w:p>
      <w:pPr>
        <w:pStyle w:val="BodyText"/>
        <w:spacing w:line="316" w:lineRule="auto" w:before="39"/>
        <w:ind w:right="1115" w:firstLine="360"/>
        <w:jc w:val="left"/>
      </w:pPr>
      <w:r>
        <w:rPr>
          <w:spacing w:val="-5"/>
        </w:rPr>
        <w:t>报告期内，公司独立董事严格按照《深圳证券交易所上市公司规范运作指引》、《深圳证券交易所股票上市规则》、《关</w:t>
      </w:r>
      <w:r>
        <w:rPr/>
        <w:t> </w:t>
      </w:r>
      <w:r>
        <w:rPr>
          <w:spacing w:val="-2"/>
        </w:rPr>
        <w:t>于在上市公司建立独立董事制度的指导意见》、《深圳证券交易所中小企业板块上市公司董事行为指引》等相关法律法规及</w:t>
      </w:r>
    </w:p>
    <w:p>
      <w:pPr>
        <w:pStyle w:val="BodyText"/>
        <w:spacing w:line="316" w:lineRule="auto" w:before="19"/>
        <w:ind w:right="1129"/>
        <w:jc w:val="both"/>
      </w:pPr>
      <w:r>
        <w:rPr>
          <w:spacing w:val="-2"/>
        </w:rPr>
        <w:t>《公司章程》等规定，出席公司董事会和股东大会，认真履行职责，对公司的发展决策提出了建设性的意见或建议，就公司</w:t>
      </w:r>
      <w:r>
        <w:rPr>
          <w:spacing w:val="-66"/>
        </w:rPr>
        <w:t> </w:t>
      </w:r>
      <w:r>
        <w:rPr>
          <w:spacing w:val="-66"/>
        </w:rPr>
      </w:r>
      <w:r>
        <w:rPr>
          <w:spacing w:val="-2"/>
        </w:rPr>
        <w:t>聘任高管、选举董事、年度报告、半年度报告等重大事项进行审核并出具了独立董事意见，有效保证了公司董事会决策的公</w:t>
      </w:r>
      <w:r>
        <w:rPr>
          <w:spacing w:val="-66"/>
        </w:rPr>
        <w:t> </w:t>
      </w:r>
      <w:r>
        <w:rPr>
          <w:spacing w:val="-66"/>
        </w:rPr>
      </w:r>
      <w:r>
        <w:rPr/>
        <w:t>正性和客观性，维护了公司整体利益和广大中小股东的合法权益，为公司的规范运作和健康发展发挥了积极作用。》</w:t>
      </w:r>
    </w:p>
    <w:p>
      <w:pPr>
        <w:spacing w:line="240" w:lineRule="auto" w:before="10"/>
        <w:rPr>
          <w:rFonts w:ascii="宋体" w:hAnsi="宋体" w:cs="宋体" w:eastAsia="宋体" w:hint="default"/>
          <w:sz w:val="20"/>
          <w:szCs w:val="20"/>
        </w:rPr>
      </w:pPr>
    </w:p>
    <w:p>
      <w:pPr>
        <w:pStyle w:val="Heading2"/>
        <w:spacing w:line="240" w:lineRule="auto"/>
        <w:ind w:right="0"/>
        <w:jc w:val="both"/>
        <w:rPr>
          <w:b w:val="0"/>
          <w:bCs w:val="0"/>
        </w:rPr>
      </w:pPr>
      <w:r>
        <w:rPr/>
        <w:t>六、董事会下设专门委员会在报告期内履行职责情况</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left="153" w:right="1170" w:firstLine="360"/>
        <w:jc w:val="left"/>
      </w:pPr>
      <w:r>
        <w:rPr/>
        <w:t>公司董事会下设四个专门委员会，分别为审计委员会、提名委员会、战略委员会、薪酬与考核委员会。</w:t>
      </w:r>
      <w:r>
        <w:rPr>
          <w:rFonts w:ascii="Arial" w:hAnsi="Arial" w:cs="Arial" w:eastAsia="Arial" w:hint="default"/>
        </w:rPr>
        <w:t>2019</w:t>
      </w:r>
      <w:r>
        <w:rPr/>
        <w:t>年度各专 门委员会本着勤勉尽责的原则，按照有关法律法规、规范性文件及公司各专门委员会工作细则的有关规定开展相关工作。</w:t>
      </w:r>
    </w:p>
    <w:p>
      <w:pPr>
        <w:pStyle w:val="BodyText"/>
        <w:spacing w:line="338" w:lineRule="auto" w:before="69"/>
        <w:ind w:left="604" w:right="1120"/>
        <w:jc w:val="left"/>
      </w:pPr>
      <w:r>
        <w:rPr>
          <w:rFonts w:ascii="Arial" w:hAnsi="Arial" w:cs="Arial" w:eastAsia="Arial" w:hint="default"/>
        </w:rPr>
        <w:t>1</w:t>
      </w:r>
      <w:r>
        <w:rPr/>
        <w:t>、 战略委员会 报告期内，公司董事会战略委员会结合国内外宏观经济环境以及公司所在行业现状，深入分析公司经营现状和发展前</w:t>
      </w:r>
    </w:p>
    <w:p>
      <w:pPr>
        <w:pStyle w:val="BodyText"/>
        <w:spacing w:line="240" w:lineRule="auto" w:before="4"/>
        <w:ind w:right="0"/>
        <w:jc w:val="both"/>
      </w:pPr>
      <w:r>
        <w:rPr/>
        <w:t>景，对公司长期发展战略决策以及重大投资决策进行研究并提出建议。</w:t>
      </w:r>
    </w:p>
    <w:p>
      <w:pPr>
        <w:pStyle w:val="BodyText"/>
        <w:spacing w:line="338" w:lineRule="auto" w:before="117"/>
        <w:ind w:left="604" w:right="1120"/>
        <w:jc w:val="left"/>
      </w:pPr>
      <w:r>
        <w:rPr>
          <w:rFonts w:ascii="Arial" w:hAnsi="Arial" w:cs="Arial" w:eastAsia="Arial" w:hint="default"/>
        </w:rPr>
        <w:t>2</w:t>
      </w:r>
      <w:r>
        <w:rPr/>
        <w:t>、 审计委员会 报告期内，公司董事会审计委员会认真审阅了公司定期报告以及审计部门定期提交的各项内部审计报告，听取了审计</w:t>
      </w:r>
    </w:p>
    <w:p>
      <w:pPr>
        <w:pStyle w:val="BodyText"/>
        <w:spacing w:line="357" w:lineRule="auto" w:before="4"/>
        <w:ind w:left="514" w:right="1169" w:hanging="360"/>
        <w:jc w:val="left"/>
      </w:pPr>
      <w:r>
        <w:rPr/>
        <w:t>部门上年度工作总结及本年度工作计划，监督公司内部控制制度的建立健全及执行情况，指导审计部开展各项工作。 在公司</w:t>
      </w:r>
      <w:r>
        <w:rPr>
          <w:rFonts w:ascii="Arial" w:hAnsi="Arial" w:cs="Arial" w:eastAsia="Arial" w:hint="default"/>
        </w:rPr>
        <w:t>2019</w:t>
      </w:r>
      <w:r>
        <w:rPr/>
        <w:t>年年度审计工作中，审计委员会积极履行职责，在公司年度财务审计机构会计师进场前认真审阅了公司编</w:t>
      </w:r>
    </w:p>
    <w:p>
      <w:pPr>
        <w:pStyle w:val="BodyText"/>
        <w:spacing w:line="201" w:lineRule="exact"/>
        <w:ind w:right="0"/>
        <w:jc w:val="both"/>
      </w:pPr>
      <w:r>
        <w:rPr/>
        <w:t>制的财务会计报表，与会计师进行充分沟通，督促年审会计师按时提交审计报告，并于年审会计师出具初步审计意见后重新</w:t>
      </w:r>
    </w:p>
    <w:p>
      <w:pPr>
        <w:pStyle w:val="BodyText"/>
        <w:spacing w:line="240" w:lineRule="auto" w:before="77"/>
        <w:ind w:right="0"/>
        <w:jc w:val="both"/>
      </w:pPr>
      <w:r>
        <w:rPr/>
        <w:t>审阅公司财务会计报表，与年审注册会计师交流后决议提交公司董事会审议。</w:t>
      </w:r>
    </w:p>
    <w:p>
      <w:pPr>
        <w:pStyle w:val="BodyText"/>
        <w:spacing w:line="338" w:lineRule="auto" w:before="117"/>
        <w:ind w:left="514" w:right="0"/>
        <w:jc w:val="left"/>
      </w:pPr>
      <w:r>
        <w:rPr>
          <w:rFonts w:ascii="Arial" w:hAnsi="Arial" w:cs="Arial" w:eastAsia="Arial" w:hint="default"/>
        </w:rPr>
        <w:t>3</w:t>
      </w:r>
      <w:r>
        <w:rPr/>
        <w:t>、提名委员会 </w:t>
      </w:r>
      <w:r>
        <w:rPr>
          <w:spacing w:val="-2"/>
        </w:rPr>
        <w:t>报告期内，公司董事会提名委员会根据《公司章程》等有关规定，对公司新增董事、高级管理人员人选、选择标准和程</w:t>
      </w:r>
    </w:p>
    <w:p>
      <w:pPr>
        <w:pStyle w:val="BodyText"/>
        <w:spacing w:line="240" w:lineRule="auto" w:before="4"/>
        <w:ind w:right="0"/>
        <w:jc w:val="both"/>
      </w:pPr>
      <w:r>
        <w:rPr/>
        <w:t>序进行审查，对其任职资格认真审查后发表审查意见和建议，提交董事会审议。</w:t>
      </w:r>
    </w:p>
    <w:p>
      <w:pPr>
        <w:pStyle w:val="BodyText"/>
        <w:spacing w:line="338" w:lineRule="auto" w:before="116"/>
        <w:ind w:left="514" w:right="1030"/>
        <w:jc w:val="left"/>
      </w:pPr>
      <w:r>
        <w:rPr>
          <w:rFonts w:ascii="Arial" w:hAnsi="Arial" w:cs="Arial" w:eastAsia="Arial" w:hint="default"/>
        </w:rPr>
        <w:t>4</w:t>
      </w:r>
      <w:r>
        <w:rPr/>
        <w:t>、 薪酬与考核委员会 报告期内，公司董事会薪酬与考核委员会根据绩效考核办法对公司董事、监事和高级管理人员进行考核，确认其薪酬、</w:t>
      </w:r>
    </w:p>
    <w:p>
      <w:pPr>
        <w:spacing w:after="0" w:line="338" w:lineRule="auto"/>
        <w:jc w:val="left"/>
        <w:sectPr>
          <w:pgSz w:w="11910" w:h="16840"/>
          <w:pgMar w:header="747" w:footer="982" w:top="1060" w:bottom="118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153" w:right="2239"/>
        <w:jc w:val="left"/>
      </w:pPr>
      <w:r>
        <w:rPr/>
        <w:t>奖金及津贴情况，认为公司董事、监事、高级管理人员薪酬水平合理、合法。</w:t>
      </w:r>
    </w:p>
    <w:p>
      <w:pPr>
        <w:spacing w:line="240" w:lineRule="auto" w:before="13"/>
        <w:rPr>
          <w:rFonts w:ascii="宋体" w:hAnsi="宋体" w:cs="宋体" w:eastAsia="宋体" w:hint="default"/>
          <w:sz w:val="24"/>
          <w:szCs w:val="24"/>
        </w:rPr>
      </w:pPr>
    </w:p>
    <w:p>
      <w:pPr>
        <w:pStyle w:val="Heading2"/>
        <w:spacing w:line="240" w:lineRule="auto"/>
        <w:ind w:right="2239"/>
        <w:jc w:val="left"/>
        <w:rPr>
          <w:b w:val="0"/>
          <w:bCs w:val="0"/>
        </w:rPr>
      </w:pPr>
      <w:r>
        <w:rPr/>
        <w:t>七、监事会工作情况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2239"/>
        <w:jc w:val="left"/>
      </w:pPr>
      <w:r>
        <w:rPr/>
        <w:t>监事会在报告期内的监督活动中发现公司是否存在风险</w:t>
      </w:r>
    </w:p>
    <w:p>
      <w:pPr>
        <w:pStyle w:val="BodyText"/>
        <w:spacing w:line="340" w:lineRule="auto" w:before="116"/>
        <w:ind w:right="7690"/>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29"/>
        </w:rPr>
        <w:t> </w:t>
      </w:r>
      <w:r>
        <w:rPr/>
        <w:t>否 监事会对报告期内的监督事项无异议。</w:t>
      </w:r>
    </w:p>
    <w:p>
      <w:pPr>
        <w:spacing w:line="240" w:lineRule="auto" w:before="3"/>
        <w:rPr>
          <w:rFonts w:ascii="宋体" w:hAnsi="宋体" w:cs="宋体" w:eastAsia="宋体" w:hint="default"/>
          <w:sz w:val="19"/>
          <w:szCs w:val="19"/>
        </w:rPr>
      </w:pPr>
    </w:p>
    <w:p>
      <w:pPr>
        <w:pStyle w:val="Heading2"/>
        <w:spacing w:line="240" w:lineRule="auto"/>
        <w:ind w:right="2239"/>
        <w:jc w:val="left"/>
        <w:rPr>
          <w:b w:val="0"/>
          <w:bCs w:val="0"/>
        </w:rPr>
      </w:pPr>
      <w:r>
        <w:rPr/>
        <w:t>八、高级管理人员的考评及激励情况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公司的高级管理人员依据《公司章程》和岗位职责开展工作。公司董事会薪酬与考核委员会依据董事、监事及高级管理</w:t>
      </w:r>
      <w:r>
        <w:rPr/>
        <w:t> 人员职责履行情况及业绩，对其进行考评，并依据考评结果提出薪酬方案，并提交董事会、股东大会审议。</w:t>
      </w:r>
    </w:p>
    <w:p>
      <w:pPr>
        <w:spacing w:line="240" w:lineRule="auto" w:before="10"/>
        <w:rPr>
          <w:rFonts w:ascii="宋体" w:hAnsi="宋体" w:cs="宋体" w:eastAsia="宋体" w:hint="default"/>
          <w:sz w:val="20"/>
          <w:szCs w:val="20"/>
        </w:rPr>
      </w:pPr>
    </w:p>
    <w:p>
      <w:pPr>
        <w:pStyle w:val="Heading2"/>
        <w:spacing w:line="240" w:lineRule="auto"/>
        <w:ind w:right="2239"/>
        <w:jc w:val="left"/>
        <w:rPr>
          <w:b w:val="0"/>
          <w:bCs w:val="0"/>
        </w:rPr>
      </w:pPr>
      <w:r>
        <w:rPr/>
        <w:t>九、内部控制评价报告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1</w:t>
      </w:r>
      <w:r>
        <w:rPr/>
        <w:t>、报告期内发现的内部控制重大缺陷的具体情况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2239"/>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29"/>
        </w:rPr>
        <w:t> </w:t>
      </w:r>
      <w:r>
        <w:rPr/>
        <w:t>否</w:t>
      </w:r>
    </w:p>
    <w:p>
      <w:pPr>
        <w:spacing w:line="240" w:lineRule="auto" w:before="10"/>
        <w:rPr>
          <w:rFonts w:ascii="宋体" w:hAnsi="宋体" w:cs="宋体" w:eastAsia="宋体" w:hint="default"/>
          <w:sz w:val="25"/>
          <w:szCs w:val="25"/>
        </w:rPr>
      </w:pPr>
    </w:p>
    <w:p>
      <w:pPr>
        <w:pStyle w:val="Heading4"/>
        <w:spacing w:line="240" w:lineRule="auto"/>
        <w:ind w:right="2239"/>
        <w:jc w:val="left"/>
        <w:rPr>
          <w:b w:val="0"/>
          <w:bCs w:val="0"/>
        </w:rPr>
      </w:pPr>
      <w:r>
        <w:rPr>
          <w:rFonts w:ascii="Arial" w:hAnsi="Arial" w:cs="Arial" w:eastAsia="Arial" w:hint="default"/>
        </w:rPr>
        <w:t>2</w:t>
      </w:r>
      <w:r>
        <w:rPr/>
        <w:t>、内控自我评价报告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7"/>
          <w:szCs w:val="17"/>
        </w:rPr>
      </w:pPr>
    </w:p>
    <w:p>
      <w:pPr>
        <w:pStyle w:val="BodyText"/>
        <w:spacing w:line="240" w:lineRule="auto" w:before="44"/>
        <w:ind w:left="0" w:right="1139"/>
        <w:jc w:val="right"/>
      </w:pPr>
      <w:r>
        <w:rPr/>
        <w:pict>
          <v:shape style="position:absolute;margin-left:56.459999pt;margin-top:-20.947948pt;width:479.1pt;height:357.6pt;mso-position-horizontal-relative:page;mso-position-vertical-relative:paragraph;z-index:14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88"/>
                    <w:gridCol w:w="3757"/>
                    <w:gridCol w:w="2622"/>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内部控制评价报告全文披露日期</w:t>
                        </w:r>
                      </w:p>
                    </w:tc>
                    <w:tc>
                      <w:tcPr>
                        <w:tcW w:w="63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6" w:right="0"/>
                          <w:jc w:val="left"/>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04</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29</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内部控制评价报告全文披露索引</w:t>
                        </w:r>
                      </w:p>
                    </w:tc>
                    <w:tc>
                      <w:tcPr>
                        <w:tcW w:w="63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51"/>
                          <w:ind w:left="16" w:right="0"/>
                          <w:jc w:val="left"/>
                          <w:rPr>
                            <w:rFonts w:ascii="Arial" w:hAnsi="Arial" w:cs="Arial" w:eastAsia="Arial" w:hint="default"/>
                            <w:sz w:val="18"/>
                            <w:szCs w:val="18"/>
                          </w:rPr>
                        </w:pPr>
                        <w:r>
                          <w:rPr>
                            <w:rFonts w:ascii="宋体" w:hAnsi="宋体" w:cs="宋体" w:eastAsia="宋体" w:hint="default"/>
                            <w:sz w:val="18"/>
                            <w:szCs w:val="18"/>
                          </w:rPr>
                          <w:t>《</w:t>
                        </w:r>
                        <w:r>
                          <w:rPr>
                            <w:rFonts w:ascii="Arial" w:hAnsi="Arial" w:cs="Arial" w:eastAsia="Arial" w:hint="default"/>
                            <w:spacing w:val="-1"/>
                            <w:sz w:val="18"/>
                            <w:szCs w:val="18"/>
                          </w:rPr>
                          <w:t>20</w:t>
                        </w:r>
                        <w:r>
                          <w:rPr>
                            <w:rFonts w:ascii="Arial" w:hAnsi="Arial" w:cs="Arial" w:eastAsia="Arial" w:hint="default"/>
                            <w:sz w:val="18"/>
                            <w:szCs w:val="18"/>
                          </w:rPr>
                          <w:t>19</w:t>
                        </w:r>
                        <w:r>
                          <w:rPr>
                            <w:rFonts w:ascii="Arial" w:hAnsi="Arial" w:cs="Arial" w:eastAsia="Arial" w:hint="default"/>
                            <w:spacing w:val="-7"/>
                            <w:sz w:val="18"/>
                            <w:szCs w:val="18"/>
                          </w:rPr>
                          <w:t> </w:t>
                        </w:r>
                        <w:r>
                          <w:rPr>
                            <w:rFonts w:ascii="宋体" w:hAnsi="宋体" w:cs="宋体" w:eastAsia="宋体" w:hint="default"/>
                            <w:sz w:val="18"/>
                            <w:szCs w:val="18"/>
                          </w:rPr>
                          <w:t>年度</w:t>
                        </w:r>
                        <w:r>
                          <w:rPr>
                            <w:rFonts w:ascii="宋体" w:hAnsi="宋体" w:cs="宋体" w:eastAsia="宋体" w:hint="default"/>
                            <w:spacing w:val="1"/>
                            <w:sz w:val="18"/>
                            <w:szCs w:val="18"/>
                          </w:rPr>
                          <w:t>内</w:t>
                        </w:r>
                        <w:r>
                          <w:rPr>
                            <w:rFonts w:ascii="宋体" w:hAnsi="宋体" w:cs="宋体" w:eastAsia="宋体" w:hint="default"/>
                            <w:sz w:val="18"/>
                            <w:szCs w:val="18"/>
                          </w:rPr>
                          <w:t>部控制自我评价报告</w:t>
                        </w:r>
                        <w:r>
                          <w:rPr>
                            <w:rFonts w:ascii="宋体" w:hAnsi="宋体" w:cs="宋体" w:eastAsia="宋体" w:hint="default"/>
                            <w:spacing w:val="-84"/>
                            <w:sz w:val="18"/>
                            <w:szCs w:val="18"/>
                          </w:rPr>
                          <w:t>》</w:t>
                        </w:r>
                        <w:r>
                          <w:rPr>
                            <w:rFonts w:ascii="宋体" w:hAnsi="宋体" w:cs="宋体" w:eastAsia="宋体" w:hint="default"/>
                            <w:sz w:val="18"/>
                            <w:szCs w:val="18"/>
                          </w:rPr>
                          <w:t>详见巨潮资讯</w:t>
                        </w:r>
                        <w:r>
                          <w:rPr>
                            <w:rFonts w:ascii="宋体" w:hAnsi="宋体" w:cs="宋体" w:eastAsia="宋体" w:hint="default"/>
                            <w:spacing w:val="-84"/>
                            <w:sz w:val="18"/>
                            <w:szCs w:val="18"/>
                          </w:rPr>
                          <w:t>网</w:t>
                        </w:r>
                        <w:r>
                          <w:rPr>
                            <w:rFonts w:ascii="宋体" w:hAnsi="宋体" w:cs="宋体" w:eastAsia="宋体" w:hint="default"/>
                            <w:sz w:val="18"/>
                            <w:szCs w:val="18"/>
                          </w:rPr>
                          <w:t>（</w:t>
                        </w:r>
                        <w:hyperlink r:id="rId13">
                          <w:r>
                            <w:rPr>
                              <w:rFonts w:ascii="Arial" w:hAnsi="Arial" w:cs="Arial" w:eastAsia="Arial" w:hint="default"/>
                              <w:sz w:val="18"/>
                              <w:szCs w:val="18"/>
                            </w:rPr>
                            <w:t>http:</w:t>
                          </w:r>
                          <w:r>
                            <w:rPr>
                              <w:rFonts w:ascii="Arial" w:hAnsi="Arial" w:cs="Arial" w:eastAsia="Arial" w:hint="default"/>
                              <w:spacing w:val="-1"/>
                              <w:sz w:val="18"/>
                              <w:szCs w:val="18"/>
                            </w:rPr>
                            <w:t>/</w:t>
                          </w:r>
                          <w:r>
                            <w:rPr>
                              <w:rFonts w:ascii="Arial" w:hAnsi="Arial" w:cs="Arial" w:eastAsia="Arial" w:hint="default"/>
                              <w:spacing w:val="1"/>
                              <w:sz w:val="18"/>
                              <w:szCs w:val="18"/>
                            </w:rPr>
                            <w:t>/</w:t>
                          </w:r>
                          <w:r>
                            <w:rPr>
                              <w:rFonts w:ascii="Arial" w:hAnsi="Arial" w:cs="Arial" w:eastAsia="Arial" w:hint="default"/>
                              <w:spacing w:val="-2"/>
                              <w:sz w:val="18"/>
                              <w:szCs w:val="18"/>
                            </w:rPr>
                            <w:t>w</w:t>
                          </w:r>
                          <w:r>
                            <w:rPr>
                              <w:rFonts w:ascii="Arial" w:hAnsi="Arial" w:cs="Arial" w:eastAsia="Arial" w:hint="default"/>
                              <w:sz w:val="18"/>
                              <w:szCs w:val="18"/>
                            </w:rPr>
                            <w:t>w</w:t>
                          </w:r>
                          <w:r>
                            <w:rPr>
                              <w:rFonts w:ascii="Arial" w:hAnsi="Arial" w:cs="Arial" w:eastAsia="Arial" w:hint="default"/>
                              <w:spacing w:val="-13"/>
                              <w:sz w:val="18"/>
                              <w:szCs w:val="18"/>
                            </w:rPr>
                            <w:t>w</w:t>
                          </w:r>
                          <w:r>
                            <w:rPr>
                              <w:rFonts w:ascii="Arial" w:hAnsi="Arial" w:cs="Arial" w:eastAsia="Arial" w:hint="default"/>
                              <w:spacing w:val="1"/>
                              <w:sz w:val="18"/>
                              <w:szCs w:val="18"/>
                            </w:rPr>
                            <w:t>.</w:t>
                          </w:r>
                          <w:r>
                            <w:rPr>
                              <w:rFonts w:ascii="Arial" w:hAnsi="Arial" w:cs="Arial" w:eastAsia="Arial" w:hint="default"/>
                              <w:sz w:val="18"/>
                              <w:szCs w:val="18"/>
                            </w:rPr>
                            <w:t>cninfo.com.cn</w:t>
                          </w:r>
                        </w:hyperlink>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纳入评价范围单位资产总额占公司合并 财务报表资产总额的比例</w:t>
                        </w:r>
                      </w:p>
                    </w:tc>
                    <w:tc>
                      <w:tcPr>
                        <w:tcW w:w="63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100.00%</w:t>
                        </w:r>
                      </w:p>
                    </w:tc>
                  </w:tr>
                  <w:tr>
                    <w:trPr>
                      <w:trHeight w:val="714"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5"/>
                          <w:jc w:val="left"/>
                          <w:rPr>
                            <w:rFonts w:ascii="宋体" w:hAnsi="宋体" w:cs="宋体" w:eastAsia="宋体" w:hint="default"/>
                            <w:sz w:val="18"/>
                            <w:szCs w:val="18"/>
                          </w:rPr>
                        </w:pPr>
                        <w:r>
                          <w:rPr>
                            <w:rFonts w:ascii="宋体" w:hAnsi="宋体" w:cs="宋体" w:eastAsia="宋体" w:hint="default"/>
                            <w:sz w:val="18"/>
                            <w:szCs w:val="18"/>
                          </w:rPr>
                          <w:t>纳入评价范围单位营业收入占公司合并 财务报表营业收入的比例</w:t>
                        </w:r>
                      </w:p>
                    </w:tc>
                    <w:tc>
                      <w:tcPr>
                        <w:tcW w:w="6379" w:type="dxa"/>
                        <w:gridSpan w:val="2"/>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100.00%</w:t>
                        </w:r>
                      </w:p>
                    </w:tc>
                  </w:tr>
                  <w:tr>
                    <w:trPr>
                      <w:trHeight w:val="402"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缺陷认定标准</w:t>
                        </w:r>
                      </w:p>
                    </w:tc>
                  </w:tr>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7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center"/>
                          <w:rPr>
                            <w:rFonts w:ascii="宋体" w:hAnsi="宋体" w:cs="宋体" w:eastAsia="宋体" w:hint="default"/>
                            <w:sz w:val="18"/>
                            <w:szCs w:val="18"/>
                          </w:rPr>
                        </w:pPr>
                        <w:r>
                          <w:rPr>
                            <w:rFonts w:ascii="宋体" w:hAnsi="宋体" w:cs="宋体" w:eastAsia="宋体" w:hint="default"/>
                            <w:sz w:val="18"/>
                            <w:szCs w:val="18"/>
                          </w:rPr>
                          <w:t>财务报告</w:t>
                        </w:r>
                      </w:p>
                    </w:tc>
                    <w:tc>
                      <w:tcPr>
                        <w:tcW w:w="262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56" w:right="0"/>
                          <w:jc w:val="left"/>
                          <w:rPr>
                            <w:rFonts w:ascii="宋体" w:hAnsi="宋体" w:cs="宋体" w:eastAsia="宋体" w:hint="default"/>
                            <w:sz w:val="18"/>
                            <w:szCs w:val="18"/>
                          </w:rPr>
                        </w:pPr>
                        <w:r>
                          <w:rPr>
                            <w:rFonts w:ascii="宋体" w:hAnsi="宋体" w:cs="宋体" w:eastAsia="宋体" w:hint="default"/>
                            <w:sz w:val="18"/>
                            <w:szCs w:val="18"/>
                          </w:rPr>
                          <w:t>非财务报告</w:t>
                        </w:r>
                      </w:p>
                    </w:tc>
                  </w:tr>
                  <w:tr>
                    <w:trPr>
                      <w:trHeight w:val="361" w:hRule="exact"/>
                    </w:trPr>
                    <w:tc>
                      <w:tcPr>
                        <w:tcW w:w="3188" w:type="dxa"/>
                        <w:vMerge w:val="restart"/>
                        <w:tcBorders>
                          <w:top w:val="single" w:sz="4" w:space="0" w:color="000000"/>
                          <w:left w:val="single" w:sz="4" w:space="0" w:color="000000"/>
                          <w:right w:val="single" w:sz="4" w:space="0" w:color="000000"/>
                        </w:tcBorders>
                        <w:shd w:val="clear" w:color="auto" w:fill="D3D3D3"/>
                      </w:tcPr>
                      <w:p>
                        <w:pPr/>
                      </w:p>
                    </w:tc>
                    <w:tc>
                      <w:tcPr>
                        <w:tcW w:w="375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8" w:right="0"/>
                          <w:jc w:val="left"/>
                          <w:rPr>
                            <w:rFonts w:ascii="宋体" w:hAnsi="宋体" w:cs="宋体" w:eastAsia="宋体" w:hint="default"/>
                            <w:sz w:val="18"/>
                            <w:szCs w:val="18"/>
                          </w:rPr>
                        </w:pPr>
                        <w:r>
                          <w:rPr>
                            <w:rFonts w:ascii="宋体" w:hAnsi="宋体" w:cs="宋体" w:eastAsia="宋体" w:hint="default"/>
                            <w:sz w:val="18"/>
                            <w:szCs w:val="18"/>
                          </w:rPr>
                          <w:t>公司确定的财务报告内部控制缺陷评价的定性</w:t>
                        </w:r>
                      </w:p>
                    </w:tc>
                    <w:tc>
                      <w:tcPr>
                        <w:tcW w:w="2622" w:type="dxa"/>
                        <w:tcBorders>
                          <w:top w:val="single" w:sz="4" w:space="0" w:color="000000"/>
                          <w:left w:val="single" w:sz="4" w:space="0" w:color="000000"/>
                          <w:bottom w:val="nil" w:sz="6" w:space="0" w:color="auto"/>
                          <w:right w:val="single" w:sz="4" w:space="0" w:color="000000"/>
                        </w:tcBorders>
                      </w:tcPr>
                      <w:p>
                        <w:pPr/>
                      </w:p>
                    </w:tc>
                  </w:tr>
                  <w:tr>
                    <w:trPr>
                      <w:trHeight w:val="320" w:hRule="exact"/>
                    </w:trPr>
                    <w:tc>
                      <w:tcPr>
                        <w:tcW w:w="3188" w:type="dxa"/>
                        <w:vMerge/>
                        <w:tcBorders>
                          <w:left w:val="single" w:sz="4" w:space="0" w:color="000000"/>
                          <w:right w:val="single" w:sz="4" w:space="0" w:color="000000"/>
                        </w:tcBorders>
                        <w:shd w:val="clear" w:color="auto" w:fill="D3D3D3"/>
                      </w:tcPr>
                      <w:p>
                        <w:pPr/>
                      </w:p>
                    </w:tc>
                    <w:tc>
                      <w:tcPr>
                        <w:tcW w:w="3757"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8" w:right="0"/>
                          <w:jc w:val="left"/>
                          <w:rPr>
                            <w:rFonts w:ascii="宋体" w:hAnsi="宋体" w:cs="宋体" w:eastAsia="宋体" w:hint="default"/>
                            <w:sz w:val="18"/>
                            <w:szCs w:val="18"/>
                          </w:rPr>
                        </w:pPr>
                        <w:r>
                          <w:rPr>
                            <w:rFonts w:ascii="宋体" w:hAnsi="宋体" w:cs="宋体" w:eastAsia="宋体" w:hint="default"/>
                            <w:sz w:val="18"/>
                            <w:szCs w:val="18"/>
                          </w:rPr>
                          <w:t>标准如下：</w:t>
                        </w:r>
                        <w:r>
                          <w:rPr>
                            <w:rFonts w:ascii="Arial" w:hAnsi="Arial" w:cs="Arial" w:eastAsia="Arial" w:hint="default"/>
                            <w:sz w:val="18"/>
                            <w:szCs w:val="18"/>
                          </w:rPr>
                          <w:t>1</w:t>
                        </w:r>
                        <w:r>
                          <w:rPr>
                            <w:rFonts w:ascii="宋体" w:hAnsi="宋体" w:cs="宋体" w:eastAsia="宋体" w:hint="default"/>
                            <w:sz w:val="18"/>
                            <w:szCs w:val="18"/>
                          </w:rPr>
                          <w:t>、重大缺陷的认定标准：</w:t>
                        </w:r>
                        <w:r>
                          <w:rPr>
                            <w:rFonts w:ascii="微软雅黑" w:hAnsi="微软雅黑" w:cs="微软雅黑" w:eastAsia="微软雅黑" w:hint="default"/>
                            <w:sz w:val="18"/>
                            <w:szCs w:val="18"/>
                          </w:rPr>
                          <w:t>①</w:t>
                        </w:r>
                        <w:r>
                          <w:rPr>
                            <w:rFonts w:ascii="宋体" w:hAnsi="宋体" w:cs="宋体" w:eastAsia="宋体" w:hint="default"/>
                            <w:sz w:val="18"/>
                            <w:szCs w:val="18"/>
                          </w:rPr>
                          <w:t>公司高</w:t>
                        </w:r>
                      </w:p>
                    </w:tc>
                    <w:tc>
                      <w:tcPr>
                        <w:tcW w:w="2622"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88" w:type="dxa"/>
                        <w:vMerge/>
                        <w:tcBorders>
                          <w:left w:val="single" w:sz="4" w:space="0" w:color="000000"/>
                          <w:right w:val="single" w:sz="4" w:space="0" w:color="000000"/>
                        </w:tcBorders>
                        <w:shd w:val="clear" w:color="auto" w:fill="D3D3D3"/>
                      </w:tcPr>
                      <w:p>
                        <w:pPr/>
                      </w:p>
                    </w:tc>
                    <w:tc>
                      <w:tcPr>
                        <w:tcW w:w="3757" w:type="dxa"/>
                        <w:tcBorders>
                          <w:top w:val="nil" w:sz="6" w:space="0" w:color="auto"/>
                          <w:left w:val="single" w:sz="4" w:space="0" w:color="000000"/>
                          <w:bottom w:val="nil" w:sz="6" w:space="0" w:color="auto"/>
                          <w:right w:val="single" w:sz="4" w:space="0" w:color="000000"/>
                        </w:tcBorders>
                      </w:tcPr>
                      <w:p>
                        <w:pPr>
                          <w:pStyle w:val="TableParagraph"/>
                          <w:spacing w:line="263" w:lineRule="exact"/>
                          <w:ind w:left="28" w:right="0"/>
                          <w:jc w:val="left"/>
                          <w:rPr>
                            <w:rFonts w:ascii="宋体" w:hAnsi="宋体" w:cs="宋体" w:eastAsia="宋体" w:hint="default"/>
                            <w:sz w:val="18"/>
                            <w:szCs w:val="18"/>
                          </w:rPr>
                        </w:pPr>
                        <w:r>
                          <w:rPr>
                            <w:rFonts w:ascii="宋体" w:hAnsi="宋体" w:cs="宋体" w:eastAsia="宋体" w:hint="default"/>
                            <w:sz w:val="18"/>
                            <w:szCs w:val="18"/>
                          </w:rPr>
                          <w:t>级管理人员舞弊；</w:t>
                        </w:r>
                        <w:r>
                          <w:rPr>
                            <w:rFonts w:ascii="微软雅黑" w:hAnsi="微软雅黑" w:cs="微软雅黑" w:eastAsia="微软雅黑" w:hint="default"/>
                            <w:sz w:val="18"/>
                            <w:szCs w:val="18"/>
                          </w:rPr>
                          <w:t>②</w:t>
                        </w:r>
                        <w:r>
                          <w:rPr>
                            <w:rFonts w:ascii="宋体" w:hAnsi="宋体" w:cs="宋体" w:eastAsia="宋体" w:hint="default"/>
                            <w:sz w:val="18"/>
                            <w:szCs w:val="18"/>
                          </w:rPr>
                          <w:t>公司更正已公布的财务报</w:t>
                        </w:r>
                      </w:p>
                    </w:tc>
                    <w:tc>
                      <w:tcPr>
                        <w:tcW w:w="2622" w:type="dxa"/>
                        <w:tcBorders>
                          <w:top w:val="nil" w:sz="6" w:space="0" w:color="auto"/>
                          <w:left w:val="single" w:sz="4" w:space="0" w:color="000000"/>
                          <w:bottom w:val="nil" w:sz="6" w:space="0" w:color="auto"/>
                          <w:right w:val="single" w:sz="4" w:space="0" w:color="000000"/>
                        </w:tcBorders>
                      </w:tcPr>
                      <w:p>
                        <w:pPr/>
                      </w:p>
                    </w:tc>
                  </w:tr>
                  <w:tr>
                    <w:trPr>
                      <w:trHeight w:val="299" w:hRule="exact"/>
                    </w:trPr>
                    <w:tc>
                      <w:tcPr>
                        <w:tcW w:w="3188" w:type="dxa"/>
                        <w:vMerge/>
                        <w:tcBorders>
                          <w:left w:val="single" w:sz="4" w:space="0" w:color="000000"/>
                          <w:right w:val="single" w:sz="4" w:space="0" w:color="000000"/>
                        </w:tcBorders>
                        <w:shd w:val="clear" w:color="auto" w:fill="D3D3D3"/>
                      </w:tcPr>
                      <w:p>
                        <w:pPr/>
                      </w:p>
                    </w:tc>
                    <w:tc>
                      <w:tcPr>
                        <w:tcW w:w="3757" w:type="dxa"/>
                        <w:tcBorders>
                          <w:top w:val="nil" w:sz="6" w:space="0" w:color="auto"/>
                          <w:left w:val="single" w:sz="4" w:space="0" w:color="000000"/>
                          <w:bottom w:val="nil" w:sz="6" w:space="0" w:color="auto"/>
                          <w:right w:val="single" w:sz="13" w:space="0" w:color="FFFFFF"/>
                        </w:tcBorders>
                      </w:tcPr>
                      <w:p>
                        <w:pPr>
                          <w:pStyle w:val="TableParagraph"/>
                          <w:spacing w:line="263" w:lineRule="exact"/>
                          <w:ind w:left="28" w:right="0"/>
                          <w:jc w:val="left"/>
                          <w:rPr>
                            <w:rFonts w:ascii="宋体" w:hAnsi="宋体" w:cs="宋体" w:eastAsia="宋体" w:hint="default"/>
                            <w:sz w:val="18"/>
                            <w:szCs w:val="18"/>
                          </w:rPr>
                        </w:pPr>
                        <w:r>
                          <w:rPr>
                            <w:rFonts w:ascii="宋体" w:hAnsi="宋体" w:cs="宋体" w:eastAsia="宋体" w:hint="default"/>
                            <w:sz w:val="18"/>
                            <w:szCs w:val="18"/>
                          </w:rPr>
                          <w:t>告</w:t>
                        </w:r>
                        <w:r>
                          <w:rPr>
                            <w:rFonts w:ascii="宋体" w:hAnsi="宋体" w:cs="宋体" w:eastAsia="宋体" w:hint="default"/>
                            <w:spacing w:val="-84"/>
                            <w:sz w:val="18"/>
                            <w:szCs w:val="18"/>
                          </w:rPr>
                          <w:t>；</w:t>
                        </w:r>
                        <w:r>
                          <w:rPr>
                            <w:rFonts w:ascii="微软雅黑" w:hAnsi="微软雅黑" w:cs="微软雅黑" w:eastAsia="微软雅黑" w:hint="default"/>
                            <w:sz w:val="18"/>
                            <w:szCs w:val="18"/>
                          </w:rPr>
                          <w:t>③</w:t>
                        </w:r>
                        <w:r>
                          <w:rPr>
                            <w:rFonts w:ascii="宋体" w:hAnsi="宋体" w:cs="宋体" w:eastAsia="宋体" w:hint="default"/>
                            <w:sz w:val="18"/>
                            <w:szCs w:val="18"/>
                          </w:rPr>
                          <w:t>注册会计师发现当期财务报告存在重大错</w:t>
                        </w:r>
                      </w:p>
                    </w:tc>
                    <w:tc>
                      <w:tcPr>
                        <w:tcW w:w="2622" w:type="dxa"/>
                        <w:tcBorders>
                          <w:top w:val="nil" w:sz="6" w:space="0" w:color="auto"/>
                          <w:left w:val="single" w:sz="13" w:space="0" w:color="FFFFFF"/>
                          <w:bottom w:val="nil" w:sz="6" w:space="0" w:color="auto"/>
                          <w:right w:val="single" w:sz="4" w:space="0" w:color="000000"/>
                        </w:tcBorders>
                      </w:tcPr>
                      <w:p>
                        <w:pPr/>
                      </w:p>
                    </w:tc>
                  </w:tr>
                  <w:tr>
                    <w:trPr>
                      <w:trHeight w:val="303" w:hRule="exact"/>
                    </w:trPr>
                    <w:tc>
                      <w:tcPr>
                        <w:tcW w:w="3188" w:type="dxa"/>
                        <w:vMerge/>
                        <w:tcBorders>
                          <w:left w:val="single" w:sz="4" w:space="0" w:color="000000"/>
                          <w:right w:val="single" w:sz="4" w:space="0" w:color="000000"/>
                        </w:tcBorders>
                        <w:shd w:val="clear" w:color="auto" w:fill="D3D3D3"/>
                      </w:tcPr>
                      <w:p>
                        <w:pPr/>
                      </w:p>
                    </w:tc>
                    <w:tc>
                      <w:tcPr>
                        <w:tcW w:w="3757" w:type="dxa"/>
                        <w:tcBorders>
                          <w:top w:val="nil" w:sz="6" w:space="0" w:color="auto"/>
                          <w:left w:val="single" w:sz="4" w:space="0" w:color="000000"/>
                          <w:bottom w:val="nil" w:sz="6" w:space="0" w:color="auto"/>
                          <w:right w:val="single" w:sz="13" w:space="0" w:color="FFFFFF"/>
                        </w:tcBorders>
                      </w:tcPr>
                      <w:p>
                        <w:pPr>
                          <w:pStyle w:val="TableParagraph"/>
                          <w:spacing w:line="240" w:lineRule="auto" w:before="12"/>
                          <w:ind w:left="28" w:right="-46"/>
                          <w:jc w:val="left"/>
                          <w:rPr>
                            <w:rFonts w:ascii="宋体" w:hAnsi="宋体" w:cs="宋体" w:eastAsia="宋体" w:hint="default"/>
                            <w:sz w:val="18"/>
                            <w:szCs w:val="18"/>
                          </w:rPr>
                        </w:pPr>
                        <w:r>
                          <w:rPr>
                            <w:rFonts w:ascii="宋体" w:hAnsi="宋体" w:cs="宋体" w:eastAsia="宋体" w:hint="default"/>
                            <w:spacing w:val="-2"/>
                            <w:sz w:val="18"/>
                            <w:szCs w:val="18"/>
                          </w:rPr>
                          <w:t>报，而内部控制在运行过程中未能发现该错报；</w:t>
                        </w:r>
                        <w:r>
                          <w:rPr>
                            <w:rFonts w:ascii="宋体" w:hAnsi="宋体" w:cs="宋体" w:eastAsia="宋体" w:hint="default"/>
                            <w:sz w:val="18"/>
                            <w:szCs w:val="18"/>
                          </w:rPr>
                        </w:r>
                      </w:p>
                    </w:tc>
                    <w:tc>
                      <w:tcPr>
                        <w:tcW w:w="2622" w:type="dxa"/>
                        <w:tcBorders>
                          <w:top w:val="nil" w:sz="6" w:space="0" w:color="auto"/>
                          <w:left w:val="single" w:sz="13" w:space="0" w:color="FFFFFF"/>
                          <w:bottom w:val="nil" w:sz="6" w:space="0" w:color="auto"/>
                          <w:right w:val="single" w:sz="4" w:space="0" w:color="000000"/>
                        </w:tcBorders>
                      </w:tcPr>
                      <w:p>
                        <w:pPr>
                          <w:pStyle w:val="TableParagraph"/>
                          <w:spacing w:line="228" w:lineRule="exact"/>
                          <w:ind w:right="66"/>
                          <w:jc w:val="right"/>
                          <w:rPr>
                            <w:rFonts w:ascii="宋体" w:hAnsi="宋体" w:cs="宋体" w:eastAsia="宋体" w:hint="default"/>
                            <w:sz w:val="18"/>
                            <w:szCs w:val="18"/>
                          </w:rPr>
                        </w:pPr>
                        <w:r>
                          <w:rPr>
                            <w:rFonts w:ascii="宋体" w:hAnsi="宋体" w:cs="宋体" w:eastAsia="宋体" w:hint="default"/>
                            <w:sz w:val="18"/>
                            <w:szCs w:val="18"/>
                          </w:rPr>
                          <w:t>公司确定的非财务报告内部控制</w:t>
                        </w:r>
                      </w:p>
                    </w:tc>
                  </w:tr>
                  <w:tr>
                    <w:trPr>
                      <w:trHeight w:val="262" w:hRule="exact"/>
                    </w:trPr>
                    <w:tc>
                      <w:tcPr>
                        <w:tcW w:w="3188" w:type="dxa"/>
                        <w:vMerge/>
                        <w:tcBorders>
                          <w:left w:val="single" w:sz="4" w:space="0" w:color="000000"/>
                          <w:bottom w:val="nil" w:sz="6" w:space="0" w:color="auto"/>
                          <w:right w:val="single" w:sz="4" w:space="0" w:color="000000"/>
                        </w:tcBorders>
                        <w:shd w:val="clear" w:color="auto" w:fill="D3D3D3"/>
                      </w:tcPr>
                      <w:p>
                        <w:pPr/>
                      </w:p>
                    </w:tc>
                    <w:tc>
                      <w:tcPr>
                        <w:tcW w:w="3757" w:type="dxa"/>
                        <w:tcBorders>
                          <w:top w:val="nil" w:sz="6" w:space="0" w:color="auto"/>
                          <w:left w:val="single" w:sz="4" w:space="0" w:color="000000"/>
                          <w:bottom w:val="nil" w:sz="6" w:space="0" w:color="auto"/>
                          <w:right w:val="single" w:sz="13" w:space="0" w:color="FFFFFF"/>
                        </w:tcBorders>
                      </w:tcPr>
                      <w:p>
                        <w:pPr>
                          <w:pStyle w:val="TableParagraph"/>
                          <w:spacing w:line="284" w:lineRule="exact"/>
                          <w:ind w:left="28" w:right="0"/>
                          <w:jc w:val="left"/>
                          <w:rPr>
                            <w:rFonts w:ascii="宋体" w:hAnsi="宋体" w:cs="宋体" w:eastAsia="宋体" w:hint="default"/>
                            <w:sz w:val="18"/>
                            <w:szCs w:val="18"/>
                          </w:rPr>
                        </w:pPr>
                        <w:r>
                          <w:rPr>
                            <w:rFonts w:ascii="微软雅黑" w:hAnsi="微软雅黑" w:cs="微软雅黑" w:eastAsia="微软雅黑" w:hint="default"/>
                            <w:sz w:val="18"/>
                            <w:szCs w:val="18"/>
                          </w:rPr>
                          <w:t>④</w:t>
                        </w:r>
                        <w:r>
                          <w:rPr>
                            <w:rFonts w:ascii="宋体" w:hAnsi="宋体" w:cs="宋体" w:eastAsia="宋体" w:hint="default"/>
                            <w:sz w:val="18"/>
                            <w:szCs w:val="18"/>
                          </w:rPr>
                          <w:t>公司审计委员会和内部审计机构对内部控制</w:t>
                        </w:r>
                      </w:p>
                    </w:tc>
                    <w:tc>
                      <w:tcPr>
                        <w:tcW w:w="2622" w:type="dxa"/>
                        <w:tcBorders>
                          <w:top w:val="nil" w:sz="6" w:space="0" w:color="auto"/>
                          <w:left w:val="single" w:sz="13" w:space="0" w:color="FFFFFF"/>
                          <w:bottom w:val="nil" w:sz="6" w:space="0" w:color="auto"/>
                          <w:right w:val="single" w:sz="4" w:space="0" w:color="000000"/>
                        </w:tcBorders>
                      </w:tcPr>
                      <w:p>
                        <w:pPr>
                          <w:pStyle w:val="TableParagraph"/>
                          <w:spacing w:line="240" w:lineRule="auto"/>
                          <w:ind w:right="66"/>
                          <w:jc w:val="right"/>
                          <w:rPr>
                            <w:rFonts w:ascii="宋体" w:hAnsi="宋体" w:cs="宋体" w:eastAsia="宋体" w:hint="default"/>
                            <w:sz w:val="18"/>
                            <w:szCs w:val="18"/>
                          </w:rPr>
                        </w:pPr>
                        <w:r>
                          <w:rPr>
                            <w:rFonts w:ascii="宋体" w:hAnsi="宋体" w:cs="宋体" w:eastAsia="宋体" w:hint="default"/>
                            <w:sz w:val="18"/>
                            <w:szCs w:val="18"/>
                          </w:rPr>
                          <w:t>缺陷评价的定量标准如下：非财</w:t>
                        </w:r>
                      </w:p>
                    </w:tc>
                  </w:tr>
                  <w:tr>
                    <w:trPr>
                      <w:trHeight w:val="392" w:hRule="exact"/>
                    </w:trPr>
                    <w:tc>
                      <w:tcPr>
                        <w:tcW w:w="31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定性标准</w:t>
                        </w:r>
                      </w:p>
                    </w:tc>
                    <w:tc>
                      <w:tcPr>
                        <w:tcW w:w="3757" w:type="dxa"/>
                        <w:tcBorders>
                          <w:top w:val="nil" w:sz="6" w:space="0" w:color="auto"/>
                          <w:left w:val="single" w:sz="13" w:space="0" w:color="D3D3D3"/>
                          <w:bottom w:val="nil" w:sz="6" w:space="0" w:color="auto"/>
                          <w:right w:val="single" w:sz="13" w:space="0" w:color="FFFFFF"/>
                        </w:tcBorders>
                      </w:tcPr>
                      <w:p>
                        <w:pPr>
                          <w:pStyle w:val="TableParagraph"/>
                          <w:spacing w:line="240" w:lineRule="auto" w:before="18"/>
                          <w:ind w:left="16" w:right="0"/>
                          <w:jc w:val="left"/>
                          <w:rPr>
                            <w:rFonts w:ascii="宋体" w:hAnsi="宋体" w:cs="宋体" w:eastAsia="宋体" w:hint="default"/>
                            <w:sz w:val="18"/>
                            <w:szCs w:val="18"/>
                          </w:rPr>
                        </w:pPr>
                        <w:r>
                          <w:rPr>
                            <w:rFonts w:ascii="宋体" w:hAnsi="宋体" w:cs="宋体" w:eastAsia="宋体" w:hint="default"/>
                            <w:sz w:val="18"/>
                            <w:szCs w:val="18"/>
                          </w:rPr>
                          <w:t>的监督无效。</w:t>
                        </w:r>
                        <w:r>
                          <w:rPr>
                            <w:rFonts w:ascii="Arial" w:hAnsi="Arial" w:cs="Arial" w:eastAsia="Arial" w:hint="default"/>
                            <w:sz w:val="18"/>
                            <w:szCs w:val="18"/>
                          </w:rPr>
                          <w:t>2</w:t>
                        </w:r>
                        <w:r>
                          <w:rPr>
                            <w:rFonts w:ascii="宋体" w:hAnsi="宋体" w:cs="宋体" w:eastAsia="宋体" w:hint="default"/>
                            <w:sz w:val="18"/>
                            <w:szCs w:val="18"/>
                          </w:rPr>
                          <w:t>、重要缺陷的认定标准：</w:t>
                        </w:r>
                        <w:r>
                          <w:rPr>
                            <w:rFonts w:ascii="微软雅黑" w:hAnsi="微软雅黑" w:cs="微软雅黑" w:eastAsia="微软雅黑" w:hint="default"/>
                            <w:sz w:val="18"/>
                            <w:szCs w:val="18"/>
                          </w:rPr>
                          <w:t>①</w:t>
                        </w:r>
                        <w:r>
                          <w:rPr>
                            <w:rFonts w:ascii="宋体" w:hAnsi="宋体" w:cs="宋体" w:eastAsia="宋体" w:hint="default"/>
                            <w:sz w:val="18"/>
                            <w:szCs w:val="18"/>
                          </w:rPr>
                          <w:t>未依</w:t>
                        </w:r>
                      </w:p>
                    </w:tc>
                    <w:tc>
                      <w:tcPr>
                        <w:tcW w:w="2622" w:type="dxa"/>
                        <w:tcBorders>
                          <w:top w:val="nil" w:sz="6" w:space="0" w:color="auto"/>
                          <w:left w:val="single" w:sz="13" w:space="0" w:color="FFFFFF"/>
                          <w:bottom w:val="nil" w:sz="6" w:space="0" w:color="auto"/>
                          <w:right w:val="single" w:sz="4" w:space="0" w:color="000000"/>
                        </w:tcBorders>
                      </w:tcPr>
                      <w:p>
                        <w:pPr>
                          <w:pStyle w:val="TableParagraph"/>
                          <w:spacing w:line="240" w:lineRule="auto" w:before="45"/>
                          <w:ind w:right="66"/>
                          <w:jc w:val="right"/>
                          <w:rPr>
                            <w:rFonts w:ascii="宋体" w:hAnsi="宋体" w:cs="宋体" w:eastAsia="宋体" w:hint="default"/>
                            <w:sz w:val="18"/>
                            <w:szCs w:val="18"/>
                          </w:rPr>
                        </w:pPr>
                        <w:r>
                          <w:rPr>
                            <w:rFonts w:ascii="宋体" w:hAnsi="宋体" w:cs="宋体" w:eastAsia="宋体" w:hint="default"/>
                            <w:sz w:val="18"/>
                            <w:szCs w:val="18"/>
                          </w:rPr>
                          <w:t>务报告内部控制缺陷评价的定量</w:t>
                        </w:r>
                      </w:p>
                    </w:tc>
                  </w:tr>
                  <w:tr>
                    <w:trPr>
                      <w:trHeight w:val="283" w:hRule="exact"/>
                    </w:trPr>
                    <w:tc>
                      <w:tcPr>
                        <w:tcW w:w="3188" w:type="dxa"/>
                        <w:vMerge w:val="restart"/>
                        <w:tcBorders>
                          <w:top w:val="nil" w:sz="6" w:space="0" w:color="auto"/>
                          <w:left w:val="single" w:sz="4" w:space="0" w:color="000000"/>
                          <w:right w:val="single" w:sz="4" w:space="0" w:color="000000"/>
                        </w:tcBorders>
                        <w:shd w:val="clear" w:color="auto" w:fill="D3D3D3"/>
                      </w:tcPr>
                      <w:p>
                        <w:pPr/>
                      </w:p>
                    </w:tc>
                    <w:tc>
                      <w:tcPr>
                        <w:tcW w:w="3757" w:type="dxa"/>
                        <w:tcBorders>
                          <w:top w:val="nil" w:sz="6" w:space="0" w:color="auto"/>
                          <w:left w:val="single" w:sz="4" w:space="0" w:color="000000"/>
                          <w:bottom w:val="nil" w:sz="6" w:space="0" w:color="auto"/>
                          <w:right w:val="single" w:sz="13" w:space="0" w:color="FFFFFF"/>
                        </w:tcBorders>
                      </w:tcPr>
                      <w:p>
                        <w:pPr>
                          <w:pStyle w:val="TableParagraph"/>
                          <w:spacing w:line="227" w:lineRule="exact"/>
                          <w:ind w:left="28" w:right="0"/>
                          <w:jc w:val="left"/>
                          <w:rPr>
                            <w:rFonts w:ascii="宋体" w:hAnsi="宋体" w:cs="宋体" w:eastAsia="宋体" w:hint="default"/>
                            <w:sz w:val="18"/>
                            <w:szCs w:val="18"/>
                          </w:rPr>
                        </w:pPr>
                        <w:r>
                          <w:rPr>
                            <w:rFonts w:ascii="宋体" w:hAnsi="宋体" w:cs="宋体" w:eastAsia="宋体" w:hint="default"/>
                            <w:sz w:val="18"/>
                            <w:szCs w:val="18"/>
                          </w:rPr>
                          <w:t>照公认会计准则选择和应用会计政策</w:t>
                        </w:r>
                        <w:r>
                          <w:rPr>
                            <w:rFonts w:ascii="宋体" w:hAnsi="宋体" w:cs="宋体" w:eastAsia="宋体" w:hint="default"/>
                            <w:spacing w:val="-84"/>
                            <w:sz w:val="18"/>
                            <w:szCs w:val="18"/>
                          </w:rPr>
                          <w:t>、</w:t>
                        </w:r>
                        <w:r>
                          <w:rPr>
                            <w:rFonts w:ascii="宋体" w:hAnsi="宋体" w:cs="宋体" w:eastAsia="宋体" w:hint="default"/>
                            <w:sz w:val="18"/>
                            <w:szCs w:val="18"/>
                          </w:rPr>
                          <w:t>未建立反</w:t>
                        </w:r>
                      </w:p>
                    </w:tc>
                    <w:tc>
                      <w:tcPr>
                        <w:tcW w:w="2622" w:type="dxa"/>
                        <w:tcBorders>
                          <w:top w:val="nil" w:sz="6" w:space="0" w:color="auto"/>
                          <w:left w:val="single" w:sz="13" w:space="0" w:color="FFFFFF"/>
                          <w:bottom w:val="nil" w:sz="6" w:space="0" w:color="auto"/>
                          <w:right w:val="single" w:sz="4" w:space="0" w:color="000000"/>
                        </w:tcBorders>
                      </w:tcPr>
                      <w:p>
                        <w:pPr>
                          <w:pStyle w:val="TableParagraph"/>
                          <w:spacing w:line="207" w:lineRule="exact"/>
                          <w:ind w:right="66"/>
                          <w:jc w:val="right"/>
                          <w:rPr>
                            <w:rFonts w:ascii="宋体" w:hAnsi="宋体" w:cs="宋体" w:eastAsia="宋体" w:hint="default"/>
                            <w:sz w:val="18"/>
                            <w:szCs w:val="18"/>
                          </w:rPr>
                        </w:pPr>
                        <w:r>
                          <w:rPr>
                            <w:rFonts w:ascii="宋体" w:hAnsi="宋体" w:cs="宋体" w:eastAsia="宋体" w:hint="default"/>
                            <w:sz w:val="18"/>
                            <w:szCs w:val="18"/>
                          </w:rPr>
                          <w:t>标准参照财务报告内部控制缺陷</w:t>
                        </w:r>
                      </w:p>
                    </w:tc>
                  </w:tr>
                  <w:tr>
                    <w:trPr>
                      <w:trHeight w:val="330" w:hRule="exact"/>
                    </w:trPr>
                    <w:tc>
                      <w:tcPr>
                        <w:tcW w:w="3188" w:type="dxa"/>
                        <w:vMerge/>
                        <w:tcBorders>
                          <w:left w:val="single" w:sz="4" w:space="0" w:color="000000"/>
                          <w:right w:val="single" w:sz="4" w:space="0" w:color="000000"/>
                        </w:tcBorders>
                        <w:shd w:val="clear" w:color="auto" w:fill="D3D3D3"/>
                      </w:tcPr>
                      <w:p>
                        <w:pPr/>
                      </w:p>
                    </w:tc>
                    <w:tc>
                      <w:tcPr>
                        <w:tcW w:w="3757" w:type="dxa"/>
                        <w:tcBorders>
                          <w:top w:val="nil" w:sz="6" w:space="0" w:color="auto"/>
                          <w:left w:val="single" w:sz="4" w:space="0" w:color="000000"/>
                          <w:bottom w:val="nil" w:sz="6" w:space="0" w:color="auto"/>
                          <w:right w:val="single" w:sz="13" w:space="0" w:color="FFFFFF"/>
                        </w:tcBorders>
                      </w:tcPr>
                      <w:p>
                        <w:pPr>
                          <w:pStyle w:val="TableParagraph"/>
                          <w:spacing w:line="283" w:lineRule="exact"/>
                          <w:ind w:left="28" w:right="0"/>
                          <w:jc w:val="left"/>
                          <w:rPr>
                            <w:rFonts w:ascii="宋体" w:hAnsi="宋体" w:cs="宋体" w:eastAsia="宋体" w:hint="default"/>
                            <w:sz w:val="18"/>
                            <w:szCs w:val="18"/>
                          </w:rPr>
                        </w:pPr>
                        <w:r>
                          <w:rPr>
                            <w:rFonts w:ascii="宋体" w:hAnsi="宋体" w:cs="宋体" w:eastAsia="宋体" w:hint="default"/>
                            <w:sz w:val="18"/>
                            <w:szCs w:val="18"/>
                          </w:rPr>
                          <w:t>舞弊程序和控制措施</w:t>
                        </w:r>
                        <w:r>
                          <w:rPr>
                            <w:rFonts w:ascii="宋体" w:hAnsi="宋体" w:cs="宋体" w:eastAsia="宋体" w:hint="default"/>
                            <w:spacing w:val="-84"/>
                            <w:sz w:val="18"/>
                            <w:szCs w:val="18"/>
                          </w:rPr>
                          <w:t>；</w:t>
                        </w:r>
                        <w:r>
                          <w:rPr>
                            <w:rFonts w:ascii="微软雅黑" w:hAnsi="微软雅黑" w:cs="微软雅黑" w:eastAsia="微软雅黑" w:hint="default"/>
                            <w:sz w:val="18"/>
                            <w:szCs w:val="18"/>
                          </w:rPr>
                          <w:t>②</w:t>
                        </w:r>
                        <w:r>
                          <w:rPr>
                            <w:rFonts w:ascii="宋体" w:hAnsi="宋体" w:cs="宋体" w:eastAsia="宋体" w:hint="default"/>
                            <w:sz w:val="18"/>
                            <w:szCs w:val="18"/>
                          </w:rPr>
                          <w:t>对于非常规或特殊交易</w:t>
                        </w:r>
                      </w:p>
                    </w:tc>
                    <w:tc>
                      <w:tcPr>
                        <w:tcW w:w="2622" w:type="dxa"/>
                        <w:tcBorders>
                          <w:top w:val="nil" w:sz="6" w:space="0" w:color="auto"/>
                          <w:left w:val="single" w:sz="13" w:space="0" w:color="FFFFFF"/>
                          <w:bottom w:val="nil" w:sz="6" w:space="0" w:color="auto"/>
                          <w:right w:val="single" w:sz="4" w:space="0" w:color="000000"/>
                        </w:tcBorders>
                      </w:tcPr>
                      <w:p>
                        <w:pPr>
                          <w:pStyle w:val="TableParagraph"/>
                          <w:spacing w:line="240" w:lineRule="auto" w:before="1"/>
                          <w:ind w:left="12" w:right="0"/>
                          <w:jc w:val="left"/>
                          <w:rPr>
                            <w:rFonts w:ascii="宋体" w:hAnsi="宋体" w:cs="宋体" w:eastAsia="宋体" w:hint="default"/>
                            <w:sz w:val="18"/>
                            <w:szCs w:val="18"/>
                          </w:rPr>
                        </w:pPr>
                        <w:r>
                          <w:rPr>
                            <w:rFonts w:ascii="宋体" w:hAnsi="宋体" w:cs="宋体" w:eastAsia="宋体" w:hint="default"/>
                            <w:sz w:val="18"/>
                            <w:szCs w:val="18"/>
                          </w:rPr>
                          <w:t>评价的定量标准执行。</w:t>
                        </w:r>
                      </w:p>
                    </w:tc>
                  </w:tr>
                  <w:tr>
                    <w:trPr>
                      <w:trHeight w:val="307" w:hRule="exact"/>
                    </w:trPr>
                    <w:tc>
                      <w:tcPr>
                        <w:tcW w:w="3188" w:type="dxa"/>
                        <w:vMerge/>
                        <w:tcBorders>
                          <w:left w:val="single" w:sz="4" w:space="0" w:color="000000"/>
                          <w:right w:val="single" w:sz="4" w:space="0" w:color="000000"/>
                        </w:tcBorders>
                        <w:shd w:val="clear" w:color="auto" w:fill="D3D3D3"/>
                      </w:tcPr>
                      <w:p>
                        <w:pPr/>
                      </w:p>
                    </w:tc>
                    <w:tc>
                      <w:tcPr>
                        <w:tcW w:w="375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8" w:right="0"/>
                          <w:jc w:val="left"/>
                          <w:rPr>
                            <w:rFonts w:ascii="宋体" w:hAnsi="宋体" w:cs="宋体" w:eastAsia="宋体" w:hint="default"/>
                            <w:sz w:val="18"/>
                            <w:szCs w:val="18"/>
                          </w:rPr>
                        </w:pPr>
                        <w:r>
                          <w:rPr>
                            <w:rFonts w:ascii="宋体" w:hAnsi="宋体" w:cs="宋体" w:eastAsia="宋体" w:hint="default"/>
                            <w:sz w:val="18"/>
                            <w:szCs w:val="18"/>
                          </w:rPr>
                          <w:t>的账务处理没有建立相应的控制机制或没有实</w:t>
                        </w:r>
                      </w:p>
                    </w:tc>
                    <w:tc>
                      <w:tcPr>
                        <w:tcW w:w="262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88" w:type="dxa"/>
                        <w:vMerge/>
                        <w:tcBorders>
                          <w:left w:val="single" w:sz="4" w:space="0" w:color="000000"/>
                          <w:right w:val="single" w:sz="4" w:space="0" w:color="000000"/>
                        </w:tcBorders>
                        <w:shd w:val="clear" w:color="auto" w:fill="D3D3D3"/>
                      </w:tcPr>
                      <w:p>
                        <w:pPr/>
                      </w:p>
                    </w:tc>
                    <w:tc>
                      <w:tcPr>
                        <w:tcW w:w="3757" w:type="dxa"/>
                        <w:tcBorders>
                          <w:top w:val="nil" w:sz="6" w:space="0" w:color="auto"/>
                          <w:left w:val="single" w:sz="4" w:space="0" w:color="000000"/>
                          <w:bottom w:val="nil" w:sz="6" w:space="0" w:color="auto"/>
                          <w:right w:val="single" w:sz="4" w:space="0" w:color="000000"/>
                        </w:tcBorders>
                      </w:tcPr>
                      <w:p>
                        <w:pPr>
                          <w:pStyle w:val="TableParagraph"/>
                          <w:spacing w:line="271" w:lineRule="exact"/>
                          <w:ind w:left="28" w:right="0"/>
                          <w:jc w:val="left"/>
                          <w:rPr>
                            <w:rFonts w:ascii="宋体" w:hAnsi="宋体" w:cs="宋体" w:eastAsia="宋体" w:hint="default"/>
                            <w:sz w:val="18"/>
                            <w:szCs w:val="18"/>
                          </w:rPr>
                        </w:pPr>
                        <w:r>
                          <w:rPr>
                            <w:rFonts w:ascii="宋体" w:hAnsi="宋体" w:cs="宋体" w:eastAsia="宋体" w:hint="default"/>
                            <w:sz w:val="18"/>
                            <w:szCs w:val="18"/>
                          </w:rPr>
                          <w:t>施且没有相应的补偿性控制</w:t>
                        </w:r>
                        <w:r>
                          <w:rPr>
                            <w:rFonts w:ascii="宋体" w:hAnsi="宋体" w:cs="宋体" w:eastAsia="宋体" w:hint="default"/>
                            <w:spacing w:val="-84"/>
                            <w:sz w:val="18"/>
                            <w:szCs w:val="18"/>
                          </w:rPr>
                          <w:t>；</w:t>
                        </w:r>
                        <w:r>
                          <w:rPr>
                            <w:rFonts w:ascii="微软雅黑" w:hAnsi="微软雅黑" w:cs="微软雅黑" w:eastAsia="微软雅黑" w:hint="default"/>
                            <w:sz w:val="18"/>
                            <w:szCs w:val="18"/>
                          </w:rPr>
                          <w:t>③</w:t>
                        </w:r>
                        <w:r>
                          <w:rPr>
                            <w:rFonts w:ascii="宋体" w:hAnsi="宋体" w:cs="宋体" w:eastAsia="宋体" w:hint="default"/>
                            <w:sz w:val="18"/>
                            <w:szCs w:val="18"/>
                          </w:rPr>
                          <w:t>对于期末财务报</w:t>
                        </w:r>
                      </w:p>
                    </w:tc>
                    <w:tc>
                      <w:tcPr>
                        <w:tcW w:w="2622" w:type="dxa"/>
                        <w:tcBorders>
                          <w:top w:val="nil" w:sz="6" w:space="0" w:color="auto"/>
                          <w:left w:val="single" w:sz="4" w:space="0" w:color="000000"/>
                          <w:bottom w:val="nil" w:sz="6" w:space="0" w:color="auto"/>
                          <w:right w:val="single" w:sz="4" w:space="0" w:color="000000"/>
                        </w:tcBorders>
                      </w:tcPr>
                      <w:p>
                        <w:pPr/>
                      </w:p>
                    </w:tc>
                  </w:tr>
                  <w:tr>
                    <w:trPr>
                      <w:trHeight w:val="304" w:hRule="exact"/>
                    </w:trPr>
                    <w:tc>
                      <w:tcPr>
                        <w:tcW w:w="3188" w:type="dxa"/>
                        <w:vMerge/>
                        <w:tcBorders>
                          <w:left w:val="single" w:sz="4" w:space="0" w:color="000000"/>
                          <w:right w:val="single" w:sz="4" w:space="0" w:color="000000"/>
                        </w:tcBorders>
                        <w:shd w:val="clear" w:color="auto" w:fill="D3D3D3"/>
                      </w:tcPr>
                      <w:p>
                        <w:pPr/>
                      </w:p>
                    </w:tc>
                    <w:tc>
                      <w:tcPr>
                        <w:tcW w:w="3757" w:type="dxa"/>
                        <w:tcBorders>
                          <w:top w:val="nil" w:sz="6" w:space="0" w:color="auto"/>
                          <w:left w:val="single" w:sz="4" w:space="0" w:color="000000"/>
                          <w:bottom w:val="nil" w:sz="6" w:space="0" w:color="auto"/>
                          <w:right w:val="single" w:sz="4" w:space="0" w:color="000000"/>
                        </w:tcBorders>
                      </w:tcPr>
                      <w:p>
                        <w:pPr>
                          <w:pStyle w:val="TableParagraph"/>
                          <w:spacing w:line="240" w:lineRule="auto" w:before="2"/>
                          <w:ind w:left="28" w:right="0"/>
                          <w:jc w:val="left"/>
                          <w:rPr>
                            <w:rFonts w:ascii="宋体" w:hAnsi="宋体" w:cs="宋体" w:eastAsia="宋体" w:hint="default"/>
                            <w:sz w:val="18"/>
                            <w:szCs w:val="18"/>
                          </w:rPr>
                        </w:pPr>
                        <w:r>
                          <w:rPr>
                            <w:rFonts w:ascii="宋体" w:hAnsi="宋体" w:cs="宋体" w:eastAsia="宋体" w:hint="default"/>
                            <w:sz w:val="18"/>
                            <w:szCs w:val="18"/>
                          </w:rPr>
                          <w:t>告过程的控制存在一项或多项缺陷且不能合理</w:t>
                        </w:r>
                      </w:p>
                    </w:tc>
                    <w:tc>
                      <w:tcPr>
                        <w:tcW w:w="2622"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88" w:type="dxa"/>
                        <w:vMerge/>
                        <w:tcBorders>
                          <w:left w:val="single" w:sz="4" w:space="0" w:color="000000"/>
                          <w:bottom w:val="single" w:sz="4" w:space="0" w:color="000000"/>
                          <w:right w:val="single" w:sz="4" w:space="0" w:color="000000"/>
                        </w:tcBorders>
                        <w:shd w:val="clear" w:color="auto" w:fill="D3D3D3"/>
                      </w:tcPr>
                      <w:p>
                        <w:pPr/>
                      </w:p>
                    </w:tc>
                    <w:tc>
                      <w:tcPr>
                        <w:tcW w:w="375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8" w:right="0"/>
                          <w:jc w:val="left"/>
                          <w:rPr>
                            <w:rFonts w:ascii="Arial" w:hAnsi="Arial" w:cs="Arial" w:eastAsia="Arial" w:hint="default"/>
                            <w:sz w:val="18"/>
                            <w:szCs w:val="18"/>
                          </w:rPr>
                        </w:pPr>
                        <w:r>
                          <w:rPr>
                            <w:rFonts w:ascii="宋体" w:hAnsi="宋体" w:cs="宋体" w:eastAsia="宋体" w:hint="default"/>
                            <w:spacing w:val="-5"/>
                            <w:sz w:val="18"/>
                            <w:szCs w:val="18"/>
                          </w:rPr>
                          <w:t>保证编制的财务报表达到真实、准确的目标。</w:t>
                        </w:r>
                        <w:r>
                          <w:rPr>
                            <w:rFonts w:ascii="Arial" w:hAnsi="Arial" w:cs="Arial" w:eastAsia="Arial" w:hint="default"/>
                            <w:spacing w:val="-5"/>
                            <w:sz w:val="18"/>
                            <w:szCs w:val="18"/>
                          </w:rPr>
                          <w:t>3</w:t>
                        </w:r>
                      </w:p>
                    </w:tc>
                    <w:tc>
                      <w:tcPr>
                        <w:tcW w:w="262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123" w:right="0"/>
                          <w:jc w:val="left"/>
                          <w:rPr>
                            <w:rFonts w:ascii="宋体" w:hAnsi="宋体" w:cs="宋体" w:eastAsia="宋体" w:hint="default"/>
                            <w:sz w:val="18"/>
                            <w:szCs w:val="18"/>
                          </w:rPr>
                        </w:pPr>
                        <w:r>
                          <w:rPr>
                            <w:rFonts w:ascii="宋体" w:hAnsi="宋体" w:cs="宋体" w:eastAsia="宋体" w:hint="default"/>
                            <w:sz w:val="18"/>
                            <w:szCs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3"/>
          <w:szCs w:val="13"/>
        </w:rPr>
      </w:pPr>
    </w:p>
    <w:p>
      <w:pPr>
        <w:spacing w:line="351" w:lineRule="exact"/>
        <w:ind w:left="7128" w:right="0" w:firstLine="0"/>
        <w:rPr>
          <w:rFonts w:ascii="宋体" w:hAnsi="宋体" w:cs="宋体" w:eastAsia="宋体" w:hint="default"/>
          <w:sz w:val="20"/>
          <w:szCs w:val="20"/>
        </w:rPr>
      </w:pPr>
      <w:r>
        <w:rPr>
          <w:rFonts w:ascii="宋体" w:hAnsi="宋体" w:cs="宋体" w:eastAsia="宋体" w:hint="default"/>
          <w:position w:val="-6"/>
          <w:sz w:val="20"/>
          <w:szCs w:val="20"/>
        </w:rPr>
        <w:pict>
          <v:group style="width:128.3pt;height:17.6pt;mso-position-horizontal-relative:char;mso-position-vertical-relative:line" coordorigin="0,0" coordsize="2566,352">
            <v:group style="position:absolute;left:0;top:0;width:2566;height:352" coordorigin="0,0" coordsize="2566,352">
              <v:shape style="position:absolute;left:0;top:0;width:2566;height:352" coordorigin="0,0" coordsize="2566,352" path="m0,352l2566,352,2566,0,0,0,0,352xe" filled="true" fillcolor="#ffffff" stroked="false">
                <v:path arrowok="t"/>
                <v:fill type="solid"/>
              </v:shape>
            </v:group>
          </v:group>
        </w:pict>
      </w:r>
      <w:r>
        <w:rPr>
          <w:rFonts w:ascii="宋体" w:hAnsi="宋体" w:cs="宋体" w:eastAsia="宋体" w:hint="default"/>
          <w:position w:val="-6"/>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8"/>
          <w:szCs w:val="18"/>
        </w:rPr>
      </w:pPr>
    </w:p>
    <w:p>
      <w:pPr>
        <w:spacing w:line="1228" w:lineRule="exact"/>
        <w:ind w:left="7105"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130.6pt;height:61.4pt;mso-position-horizontal-relative:char;mso-position-vertical-relative:line" coordorigin="0,0" coordsize="2612,1228">
            <v:group style="position:absolute;left:0;top:0;width:2612;height:1228" coordorigin="0,0" coordsize="2612,1228">
              <v:shape style="position:absolute;left:0;top:0;width:2612;height:1228" coordorigin="0,0" coordsize="2612,1228" path="m0,1228l2611,1228,2611,0,0,0,0,1228xe" filled="true" fillcolor="#ffffff" stroked="false">
                <v:path arrowok="t"/>
                <v:fill type="solid"/>
              </v:shape>
            </v:group>
          </v:group>
        </w:pict>
      </w:r>
      <w:r>
        <w:rPr>
          <w:rFonts w:ascii="宋体" w:hAnsi="宋体" w:cs="宋体" w:eastAsia="宋体" w:hint="default"/>
          <w:position w:val="-24"/>
          <w:sz w:val="20"/>
          <w:szCs w:val="20"/>
        </w:rPr>
      </w:r>
    </w:p>
    <w:p>
      <w:pPr>
        <w:spacing w:after="0" w:line="1228" w:lineRule="exact"/>
        <w:rPr>
          <w:rFonts w:ascii="宋体" w:hAnsi="宋体" w:cs="宋体" w:eastAsia="宋体" w:hint="default"/>
          <w:sz w:val="20"/>
          <w:szCs w:val="20"/>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r>
        <w:rPr/>
        <w:pict>
          <v:group style="position:absolute;margin-left:405.420013pt;margin-top:154.979996pt;width:128.3pt;height:15.6pt;mso-position-horizontal-relative:page;mso-position-vertical-relative:page;z-index:-1406176" coordorigin="8108,3100" coordsize="2566,312">
            <v:shape style="position:absolute;left:8108;top:3100;width:2566;height:312" coordorigin="8108,3100" coordsize="2566,312" path="m8108,3412l10674,3412,10674,3100,8108,3100,8108,3412xe" filled="true" fillcolor="#ffffff" stroked="false">
              <v:path arrowok="t"/>
              <v:fill type="solid"/>
            </v:shape>
            <w10:wrap type="none"/>
          </v:group>
        </w:pict>
      </w:r>
    </w:p>
    <w:tbl>
      <w:tblPr>
        <w:tblW w:w="0" w:type="auto"/>
        <w:jc w:val="left"/>
        <w:tblInd w:w="149" w:type="dxa"/>
        <w:tblLayout w:type="fixed"/>
        <w:tblCellMar>
          <w:top w:w="0" w:type="dxa"/>
          <w:left w:w="0" w:type="dxa"/>
          <w:bottom w:w="0" w:type="dxa"/>
          <w:right w:w="0" w:type="dxa"/>
        </w:tblCellMar>
        <w:tblLook w:val="01E0"/>
      </w:tblPr>
      <w:tblGrid>
        <w:gridCol w:w="3194"/>
        <w:gridCol w:w="3764"/>
        <w:gridCol w:w="2610"/>
      </w:tblGrid>
      <w:tr>
        <w:trPr>
          <w:trHeight w:val="674"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7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10"/>
              <w:ind w:left="23" w:right="32"/>
              <w:jc w:val="left"/>
              <w:rPr>
                <w:rFonts w:ascii="宋体" w:hAnsi="宋体" w:cs="宋体" w:eastAsia="宋体" w:hint="default"/>
                <w:sz w:val="18"/>
                <w:szCs w:val="18"/>
              </w:rPr>
            </w:pPr>
            <w:r>
              <w:rPr>
                <w:rFonts w:ascii="宋体" w:hAnsi="宋体" w:cs="宋体" w:eastAsia="宋体" w:hint="default"/>
                <w:spacing w:val="-4"/>
                <w:sz w:val="18"/>
                <w:szCs w:val="18"/>
              </w:rPr>
              <w:t>财务报告一般缺陷是指除上述重大缺陷、重要缺</w:t>
            </w:r>
            <w:r>
              <w:rPr>
                <w:rFonts w:ascii="宋体" w:hAnsi="宋体" w:cs="宋体" w:eastAsia="宋体" w:hint="default"/>
                <w:sz w:val="18"/>
                <w:szCs w:val="18"/>
              </w:rPr>
              <w:t> 陷之外的其他控制缺陷。</w:t>
            </w:r>
          </w:p>
        </w:tc>
        <w:tc>
          <w:tcPr>
            <w:tcW w:w="2610" w:type="dxa"/>
            <w:tcBorders>
              <w:top w:val="single" w:sz="4" w:space="0" w:color="000000"/>
              <w:left w:val="single" w:sz="4" w:space="0" w:color="000000"/>
              <w:bottom w:val="single" w:sz="4" w:space="0" w:color="000000"/>
              <w:right w:val="single" w:sz="4" w:space="0" w:color="000000"/>
            </w:tcBorders>
          </w:tcPr>
          <w:p>
            <w:pPr/>
          </w:p>
        </w:tc>
      </w:tr>
      <w:tr>
        <w:trPr>
          <w:trHeight w:val="357" w:hRule="exact"/>
        </w:trPr>
        <w:tc>
          <w:tcPr>
            <w:tcW w:w="3194" w:type="dxa"/>
            <w:tcBorders>
              <w:top w:val="single" w:sz="4" w:space="0" w:color="000000"/>
              <w:left w:val="single" w:sz="4" w:space="0" w:color="000000"/>
              <w:bottom w:val="nil" w:sz="6" w:space="0" w:color="auto"/>
              <w:right w:val="single" w:sz="4" w:space="0" w:color="000000"/>
            </w:tcBorders>
            <w:shd w:val="clear" w:color="auto" w:fill="D3D3D3"/>
          </w:tcPr>
          <w:p>
            <w:pPr/>
          </w:p>
        </w:tc>
        <w:tc>
          <w:tcPr>
            <w:tcW w:w="3764"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公司确定的财务报告内部控制缺陷评价的定量</w:t>
            </w:r>
          </w:p>
        </w:tc>
        <w:tc>
          <w:tcPr>
            <w:tcW w:w="2610" w:type="dxa"/>
            <w:tcBorders>
              <w:top w:val="single" w:sz="4" w:space="0" w:color="000000"/>
              <w:left w:val="single" w:sz="4" w:space="0" w:color="000000"/>
              <w:bottom w:val="nil" w:sz="6" w:space="0" w:color="auto"/>
              <w:right w:val="single" w:sz="4" w:space="0" w:color="000000"/>
            </w:tcBorders>
          </w:tcPr>
          <w:p>
            <w:pPr/>
          </w:p>
        </w:tc>
      </w:tr>
      <w:tr>
        <w:trPr>
          <w:trHeight w:val="316"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764" w:type="dxa"/>
            <w:tcBorders>
              <w:top w:val="nil" w:sz="6" w:space="0" w:color="auto"/>
              <w:left w:val="single" w:sz="4" w:space="0" w:color="000000"/>
              <w:bottom w:val="nil" w:sz="6" w:space="0" w:color="auto"/>
              <w:right w:val="single" w:sz="13" w:space="0" w:color="FFFFF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标准如下：</w:t>
            </w:r>
            <w:r>
              <w:rPr>
                <w:rFonts w:ascii="Arial" w:hAnsi="Arial" w:cs="Arial" w:eastAsia="Arial" w:hint="default"/>
                <w:sz w:val="18"/>
                <w:szCs w:val="18"/>
              </w:rPr>
              <w:t>1</w:t>
            </w:r>
            <w:r>
              <w:rPr>
                <w:rFonts w:ascii="宋体" w:hAnsi="宋体" w:cs="宋体" w:eastAsia="宋体" w:hint="default"/>
                <w:sz w:val="18"/>
                <w:szCs w:val="18"/>
              </w:rPr>
              <w:t>、以资产总额指标衡量。如果该缺</w:t>
            </w:r>
          </w:p>
        </w:tc>
        <w:tc>
          <w:tcPr>
            <w:tcW w:w="2610" w:type="dxa"/>
            <w:tcBorders>
              <w:top w:val="nil" w:sz="6" w:space="0" w:color="auto"/>
              <w:left w:val="single" w:sz="13" w:space="0" w:color="FFFFFF"/>
              <w:bottom w:val="nil" w:sz="6" w:space="0" w:color="auto"/>
              <w:right w:val="single" w:sz="4" w:space="0" w:color="000000"/>
            </w:tcBorders>
          </w:tcPr>
          <w:p>
            <w:pPr>
              <w:pStyle w:val="TableParagraph"/>
              <w:spacing w:line="240" w:lineRule="auto" w:before="11"/>
              <w:ind w:left="-1" w:right="0"/>
              <w:jc w:val="left"/>
              <w:rPr>
                <w:rFonts w:ascii="宋体" w:hAnsi="宋体" w:cs="宋体" w:eastAsia="宋体" w:hint="default"/>
                <w:sz w:val="18"/>
                <w:szCs w:val="18"/>
              </w:rPr>
            </w:pPr>
            <w:r>
              <w:rPr>
                <w:rFonts w:ascii="宋体" w:hAnsi="宋体" w:cs="宋体" w:eastAsia="宋体" w:hint="default"/>
                <w:sz w:val="18"/>
                <w:szCs w:val="18"/>
              </w:rPr>
              <w:t>公司确定的非财务报告内部控制</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764" w:type="dxa"/>
            <w:tcBorders>
              <w:top w:val="nil" w:sz="6" w:space="0" w:color="auto"/>
              <w:left w:val="single" w:sz="4" w:space="0" w:color="000000"/>
              <w:bottom w:val="nil" w:sz="6" w:space="0" w:color="auto"/>
              <w:right w:val="single" w:sz="13" w:space="0" w:color="FFFFFF"/>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陷单独或连同其他缺陷可能导致财务报告错报</w:t>
            </w:r>
          </w:p>
        </w:tc>
        <w:tc>
          <w:tcPr>
            <w:tcW w:w="2610" w:type="dxa"/>
            <w:tcBorders>
              <w:top w:val="nil" w:sz="6" w:space="0" w:color="auto"/>
              <w:left w:val="single" w:sz="13" w:space="0" w:color="FFFFFF"/>
              <w:bottom w:val="nil" w:sz="6" w:space="0" w:color="auto"/>
              <w:right w:val="single" w:sz="4" w:space="0" w:color="000000"/>
            </w:tcBorders>
          </w:tcPr>
          <w:p>
            <w:pPr>
              <w:pStyle w:val="TableParagraph"/>
              <w:spacing w:line="240" w:lineRule="auto" w:before="6"/>
              <w:ind w:left="-1" w:right="0"/>
              <w:jc w:val="left"/>
              <w:rPr>
                <w:rFonts w:ascii="宋体" w:hAnsi="宋体" w:cs="宋体" w:eastAsia="宋体" w:hint="default"/>
                <w:sz w:val="18"/>
                <w:szCs w:val="18"/>
              </w:rPr>
            </w:pPr>
            <w:r>
              <w:rPr>
                <w:rFonts w:ascii="宋体" w:hAnsi="宋体" w:cs="宋体" w:eastAsia="宋体" w:hint="default"/>
                <w:spacing w:val="-6"/>
                <w:sz w:val="18"/>
                <w:szCs w:val="18"/>
              </w:rPr>
              <w:t>缺陷评价的定性标准如下：</w:t>
            </w:r>
            <w:r>
              <w:rPr>
                <w:rFonts w:ascii="Arial" w:hAnsi="Arial" w:cs="Arial" w:eastAsia="Arial" w:hint="default"/>
                <w:spacing w:val="-6"/>
                <w:sz w:val="18"/>
                <w:szCs w:val="18"/>
              </w:rPr>
              <w:t>1</w:t>
            </w:r>
            <w:r>
              <w:rPr>
                <w:rFonts w:ascii="宋体" w:hAnsi="宋体" w:cs="宋体" w:eastAsia="宋体" w:hint="default"/>
                <w:spacing w:val="-6"/>
                <w:sz w:val="18"/>
                <w:szCs w:val="18"/>
              </w:rPr>
              <w:t>、重</w:t>
            </w:r>
            <w:r>
              <w:rPr>
                <w:rFonts w:ascii="宋体" w:hAnsi="宋体" w:cs="宋体" w:eastAsia="宋体" w:hint="default"/>
                <w:sz w:val="18"/>
                <w:szCs w:val="18"/>
              </w:rPr>
            </w:r>
          </w:p>
        </w:tc>
      </w:tr>
      <w:tr>
        <w:trPr>
          <w:trHeight w:val="316"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764" w:type="dxa"/>
            <w:tcBorders>
              <w:top w:val="nil" w:sz="6" w:space="0" w:color="auto"/>
              <w:left w:val="single" w:sz="4" w:space="0" w:color="000000"/>
              <w:bottom w:val="nil" w:sz="6" w:space="0" w:color="auto"/>
              <w:right w:val="single" w:sz="13" w:space="0" w:color="FFFFFF"/>
            </w:tcBorders>
          </w:tcPr>
          <w:p>
            <w:pPr>
              <w:pStyle w:val="TableParagraph"/>
              <w:spacing w:line="240" w:lineRule="auto" w:before="6"/>
              <w:ind w:left="23" w:right="-34"/>
              <w:jc w:val="left"/>
              <w:rPr>
                <w:rFonts w:ascii="宋体" w:hAnsi="宋体" w:cs="宋体" w:eastAsia="宋体" w:hint="default"/>
                <w:sz w:val="18"/>
                <w:szCs w:val="18"/>
              </w:rPr>
            </w:pPr>
            <w:r>
              <w:rPr>
                <w:rFonts w:ascii="宋体" w:hAnsi="宋体" w:cs="宋体" w:eastAsia="宋体" w:hint="default"/>
                <w:sz w:val="18"/>
                <w:szCs w:val="18"/>
              </w:rPr>
              <w:t>金额小于资产总额的</w:t>
            </w:r>
            <w:r>
              <w:rPr>
                <w:rFonts w:ascii="宋体" w:hAnsi="宋体" w:cs="宋体" w:eastAsia="宋体" w:hint="default"/>
                <w:spacing w:val="-46"/>
                <w:sz w:val="18"/>
                <w:szCs w:val="18"/>
              </w:rPr>
              <w:t> </w:t>
            </w:r>
            <w:r>
              <w:rPr>
                <w:rFonts w:ascii="Arial" w:hAnsi="Arial" w:cs="Arial" w:eastAsia="Arial" w:hint="default"/>
                <w:spacing w:val="-1"/>
                <w:sz w:val="18"/>
                <w:szCs w:val="18"/>
              </w:rPr>
              <w:t>0.5%</w:t>
            </w:r>
            <w:r>
              <w:rPr>
                <w:rFonts w:ascii="宋体" w:hAnsi="宋体" w:cs="宋体" w:eastAsia="宋体" w:hint="default"/>
                <w:spacing w:val="-88"/>
                <w:sz w:val="18"/>
                <w:szCs w:val="18"/>
              </w:rPr>
              <w:t>，</w:t>
            </w:r>
            <w:r>
              <w:rPr>
                <w:rFonts w:ascii="宋体" w:hAnsi="宋体" w:cs="宋体" w:eastAsia="宋体" w:hint="default"/>
                <w:sz w:val="18"/>
                <w:szCs w:val="18"/>
              </w:rPr>
              <w:t>则认定为一般缺陷</w:t>
            </w:r>
            <w:r>
              <w:rPr>
                <w:rFonts w:ascii="宋体" w:hAnsi="宋体" w:cs="宋体" w:eastAsia="宋体" w:hint="default"/>
                <w:spacing w:val="-34"/>
                <w:sz w:val="18"/>
                <w:szCs w:val="18"/>
              </w:rPr>
              <w:t>；</w:t>
            </w:r>
            <w:r>
              <w:rPr>
                <w:rFonts w:ascii="宋体" w:hAnsi="宋体" w:cs="宋体" w:eastAsia="宋体" w:hint="default"/>
                <w:sz w:val="18"/>
                <w:szCs w:val="18"/>
              </w:rPr>
            </w:r>
          </w:p>
        </w:tc>
        <w:tc>
          <w:tcPr>
            <w:tcW w:w="2610" w:type="dxa"/>
            <w:tcBorders>
              <w:top w:val="nil" w:sz="6" w:space="0" w:color="auto"/>
              <w:left w:val="single" w:sz="13" w:space="0" w:color="FFFFFF"/>
              <w:bottom w:val="nil" w:sz="6" w:space="0" w:color="auto"/>
              <w:right w:val="single" w:sz="4" w:space="0" w:color="000000"/>
            </w:tcBorders>
          </w:tcPr>
          <w:p>
            <w:pPr>
              <w:pStyle w:val="TableParagraph"/>
              <w:spacing w:line="269" w:lineRule="exact"/>
              <w:ind w:left="-1" w:right="0"/>
              <w:jc w:val="left"/>
              <w:rPr>
                <w:rFonts w:ascii="宋体" w:hAnsi="宋体" w:cs="宋体" w:eastAsia="宋体" w:hint="default"/>
                <w:sz w:val="18"/>
                <w:szCs w:val="18"/>
              </w:rPr>
            </w:pPr>
            <w:r>
              <w:rPr>
                <w:rFonts w:ascii="宋体" w:hAnsi="宋体" w:cs="宋体" w:eastAsia="宋体" w:hint="default"/>
                <w:sz w:val="18"/>
                <w:szCs w:val="18"/>
              </w:rPr>
              <w:t>大缺陷的认定标准：</w:t>
            </w:r>
            <w:r>
              <w:rPr>
                <w:rFonts w:ascii="微软雅黑" w:hAnsi="微软雅黑" w:cs="微软雅黑" w:eastAsia="微软雅黑" w:hint="default"/>
                <w:sz w:val="18"/>
                <w:szCs w:val="18"/>
              </w:rPr>
              <w:t>①</w:t>
            </w:r>
            <w:r>
              <w:rPr>
                <w:rFonts w:ascii="宋体" w:hAnsi="宋体" w:cs="宋体" w:eastAsia="宋体" w:hint="default"/>
                <w:sz w:val="18"/>
                <w:szCs w:val="18"/>
              </w:rPr>
              <w:t>公司经营</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764" w:type="dxa"/>
            <w:tcBorders>
              <w:top w:val="nil" w:sz="6" w:space="0" w:color="auto"/>
              <w:left w:val="single" w:sz="4" w:space="0" w:color="000000"/>
              <w:bottom w:val="nil" w:sz="6" w:space="0" w:color="auto"/>
              <w:right w:val="single" w:sz="13" w:space="0" w:color="FFFFFF"/>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如果超过资产总额的</w:t>
            </w:r>
            <w:r>
              <w:rPr>
                <w:rFonts w:ascii="宋体" w:hAnsi="宋体" w:cs="宋体" w:eastAsia="宋体" w:hint="default"/>
                <w:spacing w:val="-48"/>
                <w:sz w:val="18"/>
                <w:szCs w:val="18"/>
              </w:rPr>
              <w:t> </w:t>
            </w:r>
            <w:r>
              <w:rPr>
                <w:rFonts w:ascii="Arial" w:hAnsi="Arial" w:cs="Arial" w:eastAsia="Arial" w:hint="default"/>
                <w:sz w:val="18"/>
                <w:szCs w:val="18"/>
              </w:rPr>
              <w:t>0.5%</w:t>
            </w:r>
            <w:r>
              <w:rPr>
                <w:rFonts w:ascii="宋体" w:hAnsi="宋体" w:cs="宋体" w:eastAsia="宋体" w:hint="default"/>
                <w:sz w:val="18"/>
                <w:szCs w:val="18"/>
              </w:rPr>
              <w:t>但小于</w:t>
            </w:r>
            <w:r>
              <w:rPr>
                <w:rFonts w:ascii="宋体" w:hAnsi="宋体" w:cs="宋体" w:eastAsia="宋体" w:hint="default"/>
                <w:spacing w:val="-48"/>
                <w:sz w:val="18"/>
                <w:szCs w:val="18"/>
              </w:rPr>
              <w:t> </w:t>
            </w:r>
            <w:r>
              <w:rPr>
                <w:rFonts w:ascii="Arial" w:hAnsi="Arial" w:cs="Arial" w:eastAsia="Arial" w:hint="default"/>
                <w:sz w:val="18"/>
                <w:szCs w:val="18"/>
              </w:rPr>
              <w:t>1%</w:t>
            </w:r>
            <w:r>
              <w:rPr>
                <w:rFonts w:ascii="宋体" w:hAnsi="宋体" w:cs="宋体" w:eastAsia="宋体" w:hint="default"/>
                <w:sz w:val="18"/>
                <w:szCs w:val="18"/>
              </w:rPr>
              <w:t>，则认定</w:t>
            </w:r>
          </w:p>
        </w:tc>
        <w:tc>
          <w:tcPr>
            <w:tcW w:w="2610" w:type="dxa"/>
            <w:tcBorders>
              <w:top w:val="nil" w:sz="6" w:space="0" w:color="auto"/>
              <w:left w:val="single" w:sz="13" w:space="0" w:color="FFFFFF"/>
              <w:bottom w:val="nil" w:sz="6" w:space="0" w:color="auto"/>
              <w:right w:val="single" w:sz="4" w:space="0" w:color="000000"/>
            </w:tcBorders>
          </w:tcPr>
          <w:p>
            <w:pPr>
              <w:pStyle w:val="TableParagraph"/>
              <w:spacing w:line="266" w:lineRule="exact"/>
              <w:ind w:left="-1" w:right="0"/>
              <w:jc w:val="left"/>
              <w:rPr>
                <w:rFonts w:ascii="微软雅黑" w:hAnsi="微软雅黑" w:cs="微软雅黑" w:eastAsia="微软雅黑" w:hint="default"/>
                <w:sz w:val="18"/>
                <w:szCs w:val="18"/>
              </w:rPr>
            </w:pPr>
            <w:r>
              <w:rPr>
                <w:rFonts w:ascii="宋体" w:hAnsi="宋体" w:cs="宋体" w:eastAsia="宋体" w:hint="default"/>
                <w:sz w:val="18"/>
                <w:szCs w:val="18"/>
              </w:rPr>
              <w:t>活动严重违反国家法律法规；</w:t>
            </w:r>
            <w:r>
              <w:rPr>
                <w:rFonts w:ascii="微软雅黑" w:hAnsi="微软雅黑" w:cs="微软雅黑" w:eastAsia="微软雅黑" w:hint="default"/>
                <w:sz w:val="18"/>
                <w:szCs w:val="18"/>
              </w:rPr>
              <w:t>②</w:t>
            </w:r>
          </w:p>
        </w:tc>
      </w:tr>
      <w:tr>
        <w:trPr>
          <w:trHeight w:val="308"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764" w:type="dxa"/>
            <w:tcBorders>
              <w:top w:val="nil" w:sz="6" w:space="0" w:color="auto"/>
              <w:left w:val="single" w:sz="4" w:space="0" w:color="000000"/>
              <w:bottom w:val="nil" w:sz="6" w:space="0" w:color="auto"/>
              <w:right w:val="single" w:sz="13" w:space="0" w:color="FFFFFF"/>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为重要缺陷；如果超过资产总额的</w:t>
            </w:r>
            <w:r>
              <w:rPr>
                <w:rFonts w:ascii="宋体" w:hAnsi="宋体" w:cs="宋体" w:eastAsia="宋体" w:hint="default"/>
                <w:spacing w:val="-59"/>
                <w:sz w:val="18"/>
                <w:szCs w:val="18"/>
              </w:rPr>
              <w:t> </w:t>
            </w:r>
            <w:r>
              <w:rPr>
                <w:rFonts w:ascii="Arial" w:hAnsi="Arial" w:cs="Arial" w:eastAsia="Arial" w:hint="default"/>
                <w:spacing w:val="-3"/>
                <w:sz w:val="18"/>
                <w:szCs w:val="18"/>
              </w:rPr>
              <w:t>1%</w:t>
            </w:r>
            <w:r>
              <w:rPr>
                <w:rFonts w:ascii="宋体" w:hAnsi="宋体" w:cs="宋体" w:eastAsia="宋体" w:hint="default"/>
                <w:spacing w:val="-3"/>
                <w:sz w:val="18"/>
                <w:szCs w:val="18"/>
              </w:rPr>
              <w:t>，则认定</w:t>
            </w:r>
          </w:p>
        </w:tc>
        <w:tc>
          <w:tcPr>
            <w:tcW w:w="2610" w:type="dxa"/>
            <w:tcBorders>
              <w:top w:val="nil" w:sz="6" w:space="0" w:color="auto"/>
              <w:left w:val="single" w:sz="13" w:space="0" w:color="FFFFFF"/>
              <w:bottom w:val="nil" w:sz="6" w:space="0" w:color="auto"/>
              <w:right w:val="single" w:sz="4" w:space="0" w:color="000000"/>
            </w:tcBorders>
          </w:tcPr>
          <w:p>
            <w:pPr>
              <w:pStyle w:val="TableParagraph"/>
              <w:spacing w:line="240" w:lineRule="auto" w:before="2"/>
              <w:ind w:left="-1" w:right="0"/>
              <w:jc w:val="left"/>
              <w:rPr>
                <w:rFonts w:ascii="宋体" w:hAnsi="宋体" w:cs="宋体" w:eastAsia="宋体" w:hint="default"/>
                <w:sz w:val="18"/>
                <w:szCs w:val="18"/>
              </w:rPr>
            </w:pPr>
            <w:r>
              <w:rPr>
                <w:rFonts w:ascii="宋体" w:hAnsi="宋体" w:cs="宋体" w:eastAsia="宋体" w:hint="default"/>
                <w:sz w:val="18"/>
                <w:szCs w:val="18"/>
              </w:rPr>
              <w:t>媒体负面新闻频频曝光，对公司</w:t>
            </w:r>
          </w:p>
        </w:tc>
      </w:tr>
      <w:tr>
        <w:trPr>
          <w:trHeight w:val="316"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764" w:type="dxa"/>
            <w:tcBorders>
              <w:top w:val="nil" w:sz="6" w:space="0" w:color="auto"/>
              <w:left w:val="single" w:sz="4" w:space="0" w:color="000000"/>
              <w:bottom w:val="nil" w:sz="6" w:space="0" w:color="auto"/>
              <w:right w:val="single" w:sz="13" w:space="0" w:color="FFFFFF"/>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为重大缺陷。</w:t>
            </w:r>
            <w:r>
              <w:rPr>
                <w:rFonts w:ascii="Arial" w:hAnsi="Arial" w:cs="Arial" w:eastAsia="Arial" w:hint="default"/>
                <w:sz w:val="18"/>
                <w:szCs w:val="18"/>
              </w:rPr>
              <w:t>2</w:t>
            </w:r>
            <w:r>
              <w:rPr>
                <w:rFonts w:ascii="宋体" w:hAnsi="宋体" w:cs="宋体" w:eastAsia="宋体" w:hint="default"/>
                <w:sz w:val="18"/>
                <w:szCs w:val="18"/>
              </w:rPr>
              <w:t>、以营业收入指标衡量。如果该</w:t>
            </w:r>
          </w:p>
        </w:tc>
        <w:tc>
          <w:tcPr>
            <w:tcW w:w="2610" w:type="dxa"/>
            <w:tcBorders>
              <w:top w:val="nil" w:sz="6" w:space="0" w:color="auto"/>
              <w:left w:val="single" w:sz="13" w:space="0" w:color="FFFFFF"/>
              <w:bottom w:val="nil" w:sz="6" w:space="0" w:color="auto"/>
              <w:right w:val="single" w:sz="4" w:space="0" w:color="000000"/>
            </w:tcBorders>
          </w:tcPr>
          <w:p>
            <w:pPr>
              <w:pStyle w:val="TableParagraph"/>
              <w:spacing w:line="269" w:lineRule="exact"/>
              <w:ind w:left="-1" w:right="0"/>
              <w:jc w:val="left"/>
              <w:rPr>
                <w:rFonts w:ascii="宋体" w:hAnsi="宋体" w:cs="宋体" w:eastAsia="宋体" w:hint="default"/>
                <w:sz w:val="18"/>
                <w:szCs w:val="18"/>
              </w:rPr>
            </w:pPr>
            <w:r>
              <w:rPr>
                <w:rFonts w:ascii="宋体" w:hAnsi="宋体" w:cs="宋体" w:eastAsia="宋体" w:hint="default"/>
                <w:sz w:val="18"/>
                <w:szCs w:val="18"/>
              </w:rPr>
              <w:t>声誉造成重大损害；</w:t>
            </w:r>
            <w:r>
              <w:rPr>
                <w:rFonts w:ascii="微软雅黑" w:hAnsi="微软雅黑" w:cs="微软雅黑" w:eastAsia="微软雅黑" w:hint="default"/>
                <w:sz w:val="18"/>
                <w:szCs w:val="18"/>
              </w:rPr>
              <w:t>③</w:t>
            </w:r>
            <w:r>
              <w:rPr>
                <w:rFonts w:ascii="宋体" w:hAnsi="宋体" w:cs="宋体" w:eastAsia="宋体" w:hint="default"/>
                <w:sz w:val="18"/>
                <w:szCs w:val="18"/>
              </w:rPr>
              <w:t>中高级管</w:t>
            </w:r>
          </w:p>
        </w:tc>
      </w:tr>
      <w:tr>
        <w:trPr>
          <w:trHeight w:val="304"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764" w:type="dxa"/>
            <w:tcBorders>
              <w:top w:val="nil" w:sz="6" w:space="0" w:color="auto"/>
              <w:left w:val="single" w:sz="4" w:space="0" w:color="000000"/>
              <w:bottom w:val="nil" w:sz="6" w:space="0" w:color="auto"/>
              <w:right w:val="single" w:sz="13" w:space="0" w:color="FFFFFF"/>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缺陷单独或连同其他缺陷可能导致财务报告错</w:t>
            </w:r>
          </w:p>
        </w:tc>
        <w:tc>
          <w:tcPr>
            <w:tcW w:w="2610" w:type="dxa"/>
            <w:tcBorders>
              <w:top w:val="nil" w:sz="6" w:space="0" w:color="auto"/>
              <w:left w:val="single" w:sz="13" w:space="0" w:color="FFFFFF"/>
              <w:bottom w:val="nil" w:sz="6" w:space="0" w:color="auto"/>
              <w:right w:val="single" w:sz="4" w:space="0" w:color="000000"/>
            </w:tcBorders>
          </w:tcPr>
          <w:p>
            <w:pPr>
              <w:pStyle w:val="TableParagraph"/>
              <w:spacing w:line="240" w:lineRule="auto" w:before="2"/>
              <w:ind w:left="-1" w:right="0"/>
              <w:jc w:val="left"/>
              <w:rPr>
                <w:rFonts w:ascii="宋体" w:hAnsi="宋体" w:cs="宋体" w:eastAsia="宋体" w:hint="default"/>
                <w:sz w:val="18"/>
                <w:szCs w:val="18"/>
              </w:rPr>
            </w:pPr>
            <w:r>
              <w:rPr>
                <w:rFonts w:ascii="宋体" w:hAnsi="宋体" w:cs="宋体" w:eastAsia="宋体" w:hint="default"/>
                <w:sz w:val="18"/>
                <w:szCs w:val="18"/>
              </w:rPr>
              <w:t>理人员和高级技术人员严重流</w:t>
            </w:r>
          </w:p>
        </w:tc>
      </w:tr>
      <w:tr>
        <w:trPr>
          <w:trHeight w:val="320"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定量标准</w:t>
            </w:r>
          </w:p>
        </w:tc>
        <w:tc>
          <w:tcPr>
            <w:tcW w:w="3764" w:type="dxa"/>
            <w:tcBorders>
              <w:top w:val="nil" w:sz="6" w:space="0" w:color="auto"/>
              <w:left w:val="single" w:sz="4" w:space="0" w:color="000000"/>
              <w:bottom w:val="nil" w:sz="6" w:space="0" w:color="auto"/>
              <w:right w:val="single" w:sz="13" w:space="0" w:color="FFFFFF"/>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报金额小于营业收入的</w:t>
            </w:r>
            <w:r>
              <w:rPr>
                <w:rFonts w:ascii="宋体" w:hAnsi="宋体" w:cs="宋体" w:eastAsia="宋体" w:hint="default"/>
                <w:spacing w:val="-47"/>
                <w:sz w:val="18"/>
                <w:szCs w:val="18"/>
              </w:rPr>
              <w:t> </w:t>
            </w:r>
            <w:r>
              <w:rPr>
                <w:rFonts w:ascii="Arial" w:hAnsi="Arial" w:cs="Arial" w:eastAsia="Arial" w:hint="default"/>
                <w:sz w:val="18"/>
                <w:szCs w:val="18"/>
              </w:rPr>
              <w:t>1%</w:t>
            </w:r>
            <w:r>
              <w:rPr>
                <w:rFonts w:ascii="宋体" w:hAnsi="宋体" w:cs="宋体" w:eastAsia="宋体" w:hint="default"/>
                <w:sz w:val="18"/>
                <w:szCs w:val="18"/>
              </w:rPr>
              <w:t>，则认定为一般缺</w:t>
            </w:r>
          </w:p>
        </w:tc>
        <w:tc>
          <w:tcPr>
            <w:tcW w:w="2610" w:type="dxa"/>
            <w:tcBorders>
              <w:top w:val="nil" w:sz="6" w:space="0" w:color="auto"/>
              <w:left w:val="single" w:sz="13" w:space="0" w:color="FFFFFF"/>
              <w:bottom w:val="nil" w:sz="6" w:space="0" w:color="auto"/>
              <w:right w:val="single" w:sz="4" w:space="0" w:color="000000"/>
            </w:tcBorders>
          </w:tcPr>
          <w:p>
            <w:pPr>
              <w:pStyle w:val="TableParagraph"/>
              <w:spacing w:line="274" w:lineRule="exact"/>
              <w:ind w:left="-1" w:right="0"/>
              <w:jc w:val="left"/>
              <w:rPr>
                <w:rFonts w:ascii="宋体" w:hAnsi="宋体" w:cs="宋体" w:eastAsia="宋体" w:hint="default"/>
                <w:sz w:val="18"/>
                <w:szCs w:val="18"/>
              </w:rPr>
            </w:pPr>
            <w:r>
              <w:rPr>
                <w:rFonts w:ascii="宋体" w:hAnsi="宋体" w:cs="宋体" w:eastAsia="宋体" w:hint="default"/>
                <w:sz w:val="18"/>
                <w:szCs w:val="18"/>
              </w:rPr>
              <w:t>失；</w:t>
            </w:r>
            <w:r>
              <w:rPr>
                <w:rFonts w:ascii="微软雅黑" w:hAnsi="微软雅黑" w:cs="微软雅黑" w:eastAsia="微软雅黑" w:hint="default"/>
                <w:sz w:val="18"/>
                <w:szCs w:val="18"/>
              </w:rPr>
              <w:t>④</w:t>
            </w:r>
            <w:r>
              <w:rPr>
                <w:rFonts w:ascii="宋体" w:hAnsi="宋体" w:cs="宋体" w:eastAsia="宋体" w:hint="default"/>
                <w:sz w:val="18"/>
                <w:szCs w:val="18"/>
              </w:rPr>
              <w:t>重要业务缺乏制度控制或</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764" w:type="dxa"/>
            <w:tcBorders>
              <w:top w:val="nil" w:sz="6" w:space="0" w:color="auto"/>
              <w:left w:val="single" w:sz="4" w:space="0" w:color="000000"/>
              <w:bottom w:val="nil" w:sz="6" w:space="0" w:color="auto"/>
              <w:right w:val="single" w:sz="13" w:space="0" w:color="FFFFFF"/>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陷；如果超过营业收入的</w:t>
            </w:r>
            <w:r>
              <w:rPr>
                <w:rFonts w:ascii="宋体" w:hAnsi="宋体" w:cs="宋体" w:eastAsia="宋体" w:hint="default"/>
                <w:spacing w:val="-47"/>
                <w:sz w:val="18"/>
                <w:szCs w:val="18"/>
              </w:rPr>
              <w:t> </w:t>
            </w:r>
            <w:r>
              <w:rPr>
                <w:rFonts w:ascii="Arial" w:hAnsi="Arial" w:cs="Arial" w:eastAsia="Arial" w:hint="default"/>
                <w:sz w:val="18"/>
                <w:szCs w:val="18"/>
              </w:rPr>
              <w:t>1%</w:t>
            </w:r>
            <w:r>
              <w:rPr>
                <w:rFonts w:ascii="宋体" w:hAnsi="宋体" w:cs="宋体" w:eastAsia="宋体" w:hint="default"/>
                <w:sz w:val="18"/>
                <w:szCs w:val="18"/>
              </w:rPr>
              <w:t>但小于</w:t>
            </w:r>
            <w:r>
              <w:rPr>
                <w:rFonts w:ascii="宋体" w:hAnsi="宋体" w:cs="宋体" w:eastAsia="宋体" w:hint="default"/>
                <w:spacing w:val="-47"/>
                <w:sz w:val="18"/>
                <w:szCs w:val="18"/>
              </w:rPr>
              <w:t> </w:t>
            </w:r>
            <w:r>
              <w:rPr>
                <w:rFonts w:ascii="Arial" w:hAnsi="Arial" w:cs="Arial" w:eastAsia="Arial" w:hint="default"/>
                <w:sz w:val="18"/>
                <w:szCs w:val="18"/>
              </w:rPr>
              <w:t>2%</w:t>
            </w:r>
            <w:r>
              <w:rPr>
                <w:rFonts w:ascii="宋体" w:hAnsi="宋体" w:cs="宋体" w:eastAsia="宋体" w:hint="default"/>
                <w:sz w:val="18"/>
                <w:szCs w:val="18"/>
              </w:rPr>
              <w:t>，则认</w:t>
            </w:r>
          </w:p>
        </w:tc>
        <w:tc>
          <w:tcPr>
            <w:tcW w:w="2610" w:type="dxa"/>
            <w:tcBorders>
              <w:top w:val="nil" w:sz="6" w:space="0" w:color="auto"/>
              <w:left w:val="single" w:sz="13" w:space="0" w:color="FFFFFF"/>
              <w:bottom w:val="nil" w:sz="6" w:space="0" w:color="auto"/>
              <w:right w:val="single" w:sz="4" w:space="0" w:color="000000"/>
            </w:tcBorders>
          </w:tcPr>
          <w:p>
            <w:pPr>
              <w:pStyle w:val="TableParagraph"/>
              <w:spacing w:line="266" w:lineRule="exact"/>
              <w:ind w:left="-1" w:right="0"/>
              <w:jc w:val="left"/>
              <w:rPr>
                <w:rFonts w:ascii="宋体" w:hAnsi="宋体" w:cs="宋体" w:eastAsia="宋体" w:hint="default"/>
                <w:sz w:val="18"/>
                <w:szCs w:val="18"/>
              </w:rPr>
            </w:pPr>
            <w:r>
              <w:rPr>
                <w:rFonts w:ascii="宋体" w:hAnsi="宋体" w:cs="宋体" w:eastAsia="宋体" w:hint="default"/>
                <w:sz w:val="18"/>
                <w:szCs w:val="18"/>
              </w:rPr>
              <w:t>制度系统性失效；</w:t>
            </w:r>
            <w:r>
              <w:rPr>
                <w:rFonts w:ascii="微软雅黑" w:hAnsi="微软雅黑" w:cs="微软雅黑" w:eastAsia="微软雅黑" w:hint="default"/>
                <w:sz w:val="18"/>
                <w:szCs w:val="18"/>
              </w:rPr>
              <w:t>⑤</w:t>
            </w:r>
            <w:r>
              <w:rPr>
                <w:rFonts w:ascii="宋体" w:hAnsi="宋体" w:cs="宋体" w:eastAsia="宋体" w:hint="default"/>
                <w:sz w:val="18"/>
                <w:szCs w:val="18"/>
              </w:rPr>
              <w:t>内部控制评</w:t>
            </w:r>
          </w:p>
        </w:tc>
      </w:tr>
      <w:tr>
        <w:trPr>
          <w:trHeight w:val="308"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764" w:type="dxa"/>
            <w:tcBorders>
              <w:top w:val="nil" w:sz="6" w:space="0" w:color="auto"/>
              <w:left w:val="single" w:sz="4" w:space="0" w:color="000000"/>
              <w:bottom w:val="nil" w:sz="6" w:space="0" w:color="auto"/>
              <w:right w:val="single" w:sz="13" w:space="0" w:color="FFFFFF"/>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定为重要缺陷；如果超过营业收入的</w:t>
            </w:r>
            <w:r>
              <w:rPr>
                <w:rFonts w:ascii="宋体" w:hAnsi="宋体" w:cs="宋体" w:eastAsia="宋体" w:hint="default"/>
                <w:spacing w:val="-57"/>
                <w:sz w:val="18"/>
                <w:szCs w:val="18"/>
              </w:rPr>
              <w:t> </w:t>
            </w:r>
            <w:r>
              <w:rPr>
                <w:rFonts w:ascii="Arial" w:hAnsi="Arial" w:cs="Arial" w:eastAsia="Arial" w:hint="default"/>
                <w:spacing w:val="-4"/>
                <w:sz w:val="18"/>
                <w:szCs w:val="18"/>
              </w:rPr>
              <w:t>2%</w:t>
            </w:r>
            <w:r>
              <w:rPr>
                <w:rFonts w:ascii="宋体" w:hAnsi="宋体" w:cs="宋体" w:eastAsia="宋体" w:hint="default"/>
                <w:spacing w:val="-4"/>
                <w:sz w:val="18"/>
                <w:szCs w:val="18"/>
              </w:rPr>
              <w:t>，则认</w:t>
            </w:r>
          </w:p>
        </w:tc>
        <w:tc>
          <w:tcPr>
            <w:tcW w:w="2610" w:type="dxa"/>
            <w:tcBorders>
              <w:top w:val="nil" w:sz="6" w:space="0" w:color="auto"/>
              <w:left w:val="single" w:sz="13" w:space="0" w:color="FFFFFF"/>
              <w:bottom w:val="nil" w:sz="6" w:space="0" w:color="auto"/>
              <w:right w:val="single" w:sz="4" w:space="0" w:color="000000"/>
            </w:tcBorders>
          </w:tcPr>
          <w:p>
            <w:pPr>
              <w:pStyle w:val="TableParagraph"/>
              <w:spacing w:line="240" w:lineRule="auto" w:before="2"/>
              <w:ind w:left="-1" w:right="0"/>
              <w:jc w:val="left"/>
              <w:rPr>
                <w:rFonts w:ascii="宋体" w:hAnsi="宋体" w:cs="宋体" w:eastAsia="宋体" w:hint="default"/>
                <w:sz w:val="18"/>
                <w:szCs w:val="18"/>
              </w:rPr>
            </w:pPr>
            <w:r>
              <w:rPr>
                <w:rFonts w:ascii="宋体" w:hAnsi="宋体" w:cs="宋体" w:eastAsia="宋体" w:hint="default"/>
                <w:sz w:val="18"/>
                <w:szCs w:val="18"/>
              </w:rPr>
              <w:t>价的结果特别是重大缺陷或重要</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764" w:type="dxa"/>
            <w:tcBorders>
              <w:top w:val="nil" w:sz="6" w:space="0" w:color="auto"/>
              <w:left w:val="single" w:sz="4" w:space="0" w:color="000000"/>
              <w:bottom w:val="nil" w:sz="6" w:space="0" w:color="auto"/>
              <w:right w:val="single" w:sz="13" w:space="0" w:color="FFFFFF"/>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定为重大缺陷。</w:t>
            </w:r>
            <w:r>
              <w:rPr>
                <w:rFonts w:ascii="Arial" w:hAnsi="Arial" w:cs="Arial" w:eastAsia="Arial" w:hint="default"/>
                <w:sz w:val="18"/>
                <w:szCs w:val="18"/>
              </w:rPr>
              <w:t>3</w:t>
            </w:r>
            <w:r>
              <w:rPr>
                <w:rFonts w:ascii="宋体" w:hAnsi="宋体" w:cs="宋体" w:eastAsia="宋体" w:hint="default"/>
                <w:sz w:val="18"/>
                <w:szCs w:val="18"/>
              </w:rPr>
              <w:t>、以利润总额指标衡量。如果</w:t>
            </w:r>
          </w:p>
        </w:tc>
        <w:tc>
          <w:tcPr>
            <w:tcW w:w="2610" w:type="dxa"/>
            <w:tcBorders>
              <w:top w:val="nil" w:sz="6" w:space="0" w:color="auto"/>
              <w:left w:val="single" w:sz="13" w:space="0" w:color="FFFFFF"/>
              <w:bottom w:val="nil" w:sz="6" w:space="0" w:color="auto"/>
              <w:right w:val="single" w:sz="4" w:space="0" w:color="000000"/>
            </w:tcBorders>
          </w:tcPr>
          <w:p>
            <w:pPr>
              <w:pStyle w:val="TableParagraph"/>
              <w:spacing w:line="240" w:lineRule="auto" w:before="6"/>
              <w:ind w:left="-1" w:right="0"/>
              <w:jc w:val="left"/>
              <w:rPr>
                <w:rFonts w:ascii="宋体" w:hAnsi="宋体" w:cs="宋体" w:eastAsia="宋体" w:hint="default"/>
                <w:sz w:val="18"/>
                <w:szCs w:val="18"/>
              </w:rPr>
            </w:pPr>
            <w:r>
              <w:rPr>
                <w:rFonts w:ascii="宋体" w:hAnsi="宋体" w:cs="宋体" w:eastAsia="宋体" w:hint="default"/>
                <w:spacing w:val="-4"/>
                <w:sz w:val="18"/>
                <w:szCs w:val="18"/>
              </w:rPr>
              <w:t>缺陷未得到整改。</w:t>
            </w:r>
            <w:r>
              <w:rPr>
                <w:rFonts w:ascii="Arial" w:hAnsi="Arial" w:cs="Arial" w:eastAsia="Arial" w:hint="default"/>
                <w:spacing w:val="-4"/>
                <w:sz w:val="18"/>
                <w:szCs w:val="18"/>
              </w:rPr>
              <w:t>2</w:t>
            </w:r>
            <w:r>
              <w:rPr>
                <w:rFonts w:ascii="宋体" w:hAnsi="宋体" w:cs="宋体" w:eastAsia="宋体" w:hint="default"/>
                <w:spacing w:val="-4"/>
                <w:sz w:val="18"/>
                <w:szCs w:val="18"/>
              </w:rPr>
              <w:t>、重要缺陷的</w:t>
            </w:r>
          </w:p>
        </w:tc>
      </w:tr>
      <w:tr>
        <w:trPr>
          <w:trHeight w:val="316"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764" w:type="dxa"/>
            <w:tcBorders>
              <w:top w:val="nil" w:sz="6" w:space="0" w:color="auto"/>
              <w:left w:val="single" w:sz="4" w:space="0" w:color="000000"/>
              <w:bottom w:val="nil" w:sz="6" w:space="0" w:color="auto"/>
              <w:right w:val="single" w:sz="13" w:space="0" w:color="FFFFFF"/>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该缺陷单独或连同其他缺陷可能导致财务报告</w:t>
            </w:r>
          </w:p>
        </w:tc>
        <w:tc>
          <w:tcPr>
            <w:tcW w:w="2610" w:type="dxa"/>
            <w:tcBorders>
              <w:top w:val="nil" w:sz="6" w:space="0" w:color="auto"/>
              <w:left w:val="single" w:sz="13" w:space="0" w:color="FFFFFF"/>
              <w:bottom w:val="nil" w:sz="6" w:space="0" w:color="auto"/>
              <w:right w:val="single" w:sz="4" w:space="0" w:color="000000"/>
            </w:tcBorders>
          </w:tcPr>
          <w:p>
            <w:pPr>
              <w:pStyle w:val="TableParagraph"/>
              <w:spacing w:line="269" w:lineRule="exact"/>
              <w:ind w:left="-1" w:right="0"/>
              <w:jc w:val="left"/>
              <w:rPr>
                <w:rFonts w:ascii="宋体" w:hAnsi="宋体" w:cs="宋体" w:eastAsia="宋体" w:hint="default"/>
                <w:sz w:val="18"/>
                <w:szCs w:val="18"/>
              </w:rPr>
            </w:pPr>
            <w:r>
              <w:rPr>
                <w:rFonts w:ascii="宋体" w:hAnsi="宋体" w:cs="宋体" w:eastAsia="宋体" w:hint="default"/>
                <w:sz w:val="18"/>
                <w:szCs w:val="18"/>
              </w:rPr>
              <w:t>认定标准：</w:t>
            </w:r>
            <w:r>
              <w:rPr>
                <w:rFonts w:ascii="微软雅黑" w:hAnsi="微软雅黑" w:cs="微软雅黑" w:eastAsia="微软雅黑" w:hint="default"/>
                <w:sz w:val="18"/>
                <w:szCs w:val="18"/>
              </w:rPr>
              <w:t>①</w:t>
            </w:r>
            <w:r>
              <w:rPr>
                <w:rFonts w:ascii="宋体" w:hAnsi="宋体" w:cs="宋体" w:eastAsia="宋体" w:hint="default"/>
                <w:sz w:val="18"/>
                <w:szCs w:val="18"/>
              </w:rPr>
              <w:t>公司违反国家法律</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764" w:type="dxa"/>
            <w:tcBorders>
              <w:top w:val="nil" w:sz="6" w:space="0" w:color="auto"/>
              <w:left w:val="single" w:sz="4" w:space="0" w:color="000000"/>
              <w:bottom w:val="nil" w:sz="6" w:space="0" w:color="auto"/>
              <w:right w:val="single" w:sz="13" w:space="0" w:color="FFFFFF"/>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错报金额小于利润总额的</w:t>
            </w:r>
            <w:r>
              <w:rPr>
                <w:rFonts w:ascii="宋体" w:hAnsi="宋体" w:cs="宋体" w:eastAsia="宋体" w:hint="default"/>
                <w:spacing w:val="-46"/>
                <w:sz w:val="18"/>
                <w:szCs w:val="18"/>
              </w:rPr>
              <w:t> </w:t>
            </w:r>
            <w:r>
              <w:rPr>
                <w:rFonts w:ascii="Arial" w:hAnsi="Arial" w:cs="Arial" w:eastAsia="Arial" w:hint="default"/>
                <w:spacing w:val="-3"/>
                <w:sz w:val="18"/>
                <w:szCs w:val="18"/>
              </w:rPr>
              <w:t>2%</w:t>
            </w:r>
            <w:r>
              <w:rPr>
                <w:rFonts w:ascii="宋体" w:hAnsi="宋体" w:cs="宋体" w:eastAsia="宋体" w:hint="default"/>
                <w:spacing w:val="-3"/>
                <w:sz w:val="18"/>
                <w:szCs w:val="18"/>
              </w:rPr>
              <w:t>，则认定为一般缺</w:t>
            </w:r>
          </w:p>
        </w:tc>
        <w:tc>
          <w:tcPr>
            <w:tcW w:w="2610" w:type="dxa"/>
            <w:tcBorders>
              <w:top w:val="nil" w:sz="6" w:space="0" w:color="auto"/>
              <w:left w:val="single" w:sz="13" w:space="0" w:color="FFFFFF"/>
              <w:bottom w:val="nil" w:sz="6" w:space="0" w:color="auto"/>
              <w:right w:val="single" w:sz="4" w:space="0" w:color="000000"/>
            </w:tcBorders>
          </w:tcPr>
          <w:p>
            <w:pPr>
              <w:pStyle w:val="TableParagraph"/>
              <w:spacing w:line="266" w:lineRule="exact"/>
              <w:ind w:left="-1" w:right="0"/>
              <w:jc w:val="left"/>
              <w:rPr>
                <w:rFonts w:ascii="宋体" w:hAnsi="宋体" w:cs="宋体" w:eastAsia="宋体" w:hint="default"/>
                <w:sz w:val="18"/>
                <w:szCs w:val="18"/>
              </w:rPr>
            </w:pPr>
            <w:r>
              <w:rPr>
                <w:rFonts w:ascii="宋体" w:hAnsi="宋体" w:cs="宋体" w:eastAsia="宋体" w:hint="default"/>
                <w:sz w:val="18"/>
                <w:szCs w:val="18"/>
              </w:rPr>
              <w:t>法规受到轻微处罚；</w:t>
            </w:r>
            <w:r>
              <w:rPr>
                <w:rFonts w:ascii="微软雅黑" w:hAnsi="微软雅黑" w:cs="微软雅黑" w:eastAsia="微软雅黑" w:hint="default"/>
                <w:sz w:val="18"/>
                <w:szCs w:val="18"/>
              </w:rPr>
              <w:t>②</w:t>
            </w:r>
            <w:r>
              <w:rPr>
                <w:rFonts w:ascii="宋体" w:hAnsi="宋体" w:cs="宋体" w:eastAsia="宋体" w:hint="default"/>
                <w:sz w:val="18"/>
                <w:szCs w:val="18"/>
              </w:rPr>
              <w:t>关键岗位</w:t>
            </w:r>
          </w:p>
        </w:tc>
      </w:tr>
      <w:tr>
        <w:trPr>
          <w:trHeight w:val="312"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764" w:type="dxa"/>
            <w:tcBorders>
              <w:top w:val="nil" w:sz="6" w:space="0" w:color="auto"/>
              <w:left w:val="single" w:sz="4" w:space="0" w:color="000000"/>
              <w:bottom w:val="nil" w:sz="6" w:space="0" w:color="auto"/>
              <w:right w:val="single" w:sz="13" w:space="0" w:color="FFFFFF"/>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陷；如果超过利润总额的</w:t>
            </w:r>
            <w:r>
              <w:rPr>
                <w:rFonts w:ascii="宋体" w:hAnsi="宋体" w:cs="宋体" w:eastAsia="宋体" w:hint="default"/>
                <w:spacing w:val="-47"/>
                <w:sz w:val="18"/>
                <w:szCs w:val="18"/>
              </w:rPr>
              <w:t> </w:t>
            </w:r>
            <w:r>
              <w:rPr>
                <w:rFonts w:ascii="Arial" w:hAnsi="Arial" w:cs="Arial" w:eastAsia="Arial" w:hint="default"/>
                <w:sz w:val="18"/>
                <w:szCs w:val="18"/>
              </w:rPr>
              <w:t>2%</w:t>
            </w:r>
            <w:r>
              <w:rPr>
                <w:rFonts w:ascii="宋体" w:hAnsi="宋体" w:cs="宋体" w:eastAsia="宋体" w:hint="default"/>
                <w:sz w:val="18"/>
                <w:szCs w:val="18"/>
              </w:rPr>
              <w:t>但小于</w:t>
            </w:r>
            <w:r>
              <w:rPr>
                <w:rFonts w:ascii="宋体" w:hAnsi="宋体" w:cs="宋体" w:eastAsia="宋体" w:hint="default"/>
                <w:spacing w:val="-47"/>
                <w:sz w:val="18"/>
                <w:szCs w:val="18"/>
              </w:rPr>
              <w:t> </w:t>
            </w:r>
            <w:r>
              <w:rPr>
                <w:rFonts w:ascii="Arial" w:hAnsi="Arial" w:cs="Arial" w:eastAsia="Arial" w:hint="default"/>
                <w:sz w:val="18"/>
                <w:szCs w:val="18"/>
              </w:rPr>
              <w:t>5%</w:t>
            </w:r>
            <w:r>
              <w:rPr>
                <w:rFonts w:ascii="宋体" w:hAnsi="宋体" w:cs="宋体" w:eastAsia="宋体" w:hint="default"/>
                <w:sz w:val="18"/>
                <w:szCs w:val="18"/>
              </w:rPr>
              <w:t>，则认</w:t>
            </w:r>
          </w:p>
        </w:tc>
        <w:tc>
          <w:tcPr>
            <w:tcW w:w="2610" w:type="dxa"/>
            <w:tcBorders>
              <w:top w:val="nil" w:sz="6" w:space="0" w:color="auto"/>
              <w:left w:val="single" w:sz="13" w:space="0" w:color="FFFFFF"/>
              <w:bottom w:val="nil" w:sz="6" w:space="0" w:color="auto"/>
              <w:right w:val="single" w:sz="4" w:space="0" w:color="000000"/>
            </w:tcBorders>
          </w:tcPr>
          <w:p>
            <w:pPr>
              <w:pStyle w:val="TableParagraph"/>
              <w:spacing w:line="266" w:lineRule="exact"/>
              <w:ind w:left="-1" w:right="0"/>
              <w:jc w:val="left"/>
              <w:rPr>
                <w:rFonts w:ascii="宋体" w:hAnsi="宋体" w:cs="宋体" w:eastAsia="宋体" w:hint="default"/>
                <w:sz w:val="18"/>
                <w:szCs w:val="18"/>
              </w:rPr>
            </w:pPr>
            <w:r>
              <w:rPr>
                <w:rFonts w:ascii="宋体" w:hAnsi="宋体" w:cs="宋体" w:eastAsia="宋体" w:hint="default"/>
                <w:sz w:val="18"/>
                <w:szCs w:val="18"/>
              </w:rPr>
              <w:t>业务人员流失严重；</w:t>
            </w:r>
            <w:r>
              <w:rPr>
                <w:rFonts w:ascii="微软雅黑" w:hAnsi="微软雅黑" w:cs="微软雅黑" w:eastAsia="微软雅黑" w:hint="default"/>
                <w:sz w:val="18"/>
                <w:szCs w:val="18"/>
              </w:rPr>
              <w:t>③</w:t>
            </w:r>
            <w:r>
              <w:rPr>
                <w:rFonts w:ascii="宋体" w:hAnsi="宋体" w:cs="宋体" w:eastAsia="宋体" w:hint="default"/>
                <w:sz w:val="18"/>
                <w:szCs w:val="18"/>
              </w:rPr>
              <w:t>媒体出现</w:t>
            </w:r>
          </w:p>
        </w:tc>
      </w:tr>
      <w:tr>
        <w:trPr>
          <w:trHeight w:val="309" w:hRule="exact"/>
        </w:trPr>
        <w:tc>
          <w:tcPr>
            <w:tcW w:w="3194" w:type="dxa"/>
            <w:tcBorders>
              <w:top w:val="nil" w:sz="6" w:space="0" w:color="auto"/>
              <w:left w:val="single" w:sz="4" w:space="0" w:color="000000"/>
              <w:bottom w:val="nil" w:sz="6" w:space="0" w:color="auto"/>
              <w:right w:val="single" w:sz="4" w:space="0" w:color="000000"/>
            </w:tcBorders>
            <w:shd w:val="clear" w:color="auto" w:fill="D3D3D3"/>
          </w:tcPr>
          <w:p>
            <w:pPr/>
          </w:p>
        </w:tc>
        <w:tc>
          <w:tcPr>
            <w:tcW w:w="3764" w:type="dxa"/>
            <w:tcBorders>
              <w:top w:val="nil" w:sz="6" w:space="0" w:color="auto"/>
              <w:left w:val="single" w:sz="4" w:space="0" w:color="000000"/>
              <w:bottom w:val="nil" w:sz="6" w:space="0" w:color="auto"/>
              <w:right w:val="single" w:sz="13" w:space="0" w:color="FFFFFF"/>
            </w:tcBorders>
          </w:tcPr>
          <w:p>
            <w:pPr>
              <w:pStyle w:val="TableParagraph"/>
              <w:spacing w:line="240" w:lineRule="auto" w:before="2"/>
              <w:ind w:left="23" w:right="0"/>
              <w:jc w:val="left"/>
              <w:rPr>
                <w:rFonts w:ascii="宋体" w:hAnsi="宋体" w:cs="宋体" w:eastAsia="宋体" w:hint="default"/>
                <w:sz w:val="18"/>
                <w:szCs w:val="18"/>
              </w:rPr>
            </w:pPr>
            <w:r>
              <w:rPr>
                <w:rFonts w:ascii="宋体" w:hAnsi="宋体" w:cs="宋体" w:eastAsia="宋体" w:hint="default"/>
                <w:sz w:val="18"/>
                <w:szCs w:val="18"/>
              </w:rPr>
              <w:t>定为重要缺陷；如果超过利润总额的</w:t>
            </w:r>
            <w:r>
              <w:rPr>
                <w:rFonts w:ascii="宋体" w:hAnsi="宋体" w:cs="宋体" w:eastAsia="宋体" w:hint="default"/>
                <w:spacing w:val="-57"/>
                <w:sz w:val="18"/>
                <w:szCs w:val="18"/>
              </w:rPr>
              <w:t> </w:t>
            </w:r>
            <w:r>
              <w:rPr>
                <w:rFonts w:ascii="Arial" w:hAnsi="Arial" w:cs="Arial" w:eastAsia="Arial" w:hint="default"/>
                <w:spacing w:val="-4"/>
                <w:sz w:val="18"/>
                <w:szCs w:val="18"/>
              </w:rPr>
              <w:t>5%</w:t>
            </w:r>
            <w:r>
              <w:rPr>
                <w:rFonts w:ascii="宋体" w:hAnsi="宋体" w:cs="宋体" w:eastAsia="宋体" w:hint="default"/>
                <w:spacing w:val="-4"/>
                <w:sz w:val="18"/>
                <w:szCs w:val="18"/>
              </w:rPr>
              <w:t>，则认</w:t>
            </w:r>
          </w:p>
        </w:tc>
        <w:tc>
          <w:tcPr>
            <w:tcW w:w="2610" w:type="dxa"/>
            <w:tcBorders>
              <w:top w:val="nil" w:sz="6" w:space="0" w:color="auto"/>
              <w:left w:val="single" w:sz="13" w:space="0" w:color="FFFFFF"/>
              <w:bottom w:val="nil" w:sz="6" w:space="0" w:color="auto"/>
              <w:right w:val="single" w:sz="4" w:space="0" w:color="000000"/>
            </w:tcBorders>
          </w:tcPr>
          <w:p>
            <w:pPr>
              <w:pStyle w:val="TableParagraph"/>
              <w:spacing w:line="240" w:lineRule="auto" w:before="3"/>
              <w:ind w:left="-1" w:right="0"/>
              <w:jc w:val="left"/>
              <w:rPr>
                <w:rFonts w:ascii="宋体" w:hAnsi="宋体" w:cs="宋体" w:eastAsia="宋体" w:hint="default"/>
                <w:sz w:val="18"/>
                <w:szCs w:val="18"/>
              </w:rPr>
            </w:pPr>
            <w:r>
              <w:rPr>
                <w:rFonts w:ascii="宋体" w:hAnsi="宋体" w:cs="宋体" w:eastAsia="宋体" w:hint="default"/>
                <w:sz w:val="18"/>
                <w:szCs w:val="18"/>
              </w:rPr>
              <w:t>负面新闻。</w:t>
            </w:r>
          </w:p>
        </w:tc>
      </w:tr>
      <w:tr>
        <w:trPr>
          <w:trHeight w:val="352" w:hRule="exact"/>
        </w:trPr>
        <w:tc>
          <w:tcPr>
            <w:tcW w:w="3194" w:type="dxa"/>
            <w:tcBorders>
              <w:top w:val="nil" w:sz="6" w:space="0" w:color="auto"/>
              <w:left w:val="single" w:sz="4" w:space="0" w:color="000000"/>
              <w:bottom w:val="single" w:sz="4" w:space="0" w:color="000000"/>
              <w:right w:val="single" w:sz="4" w:space="0" w:color="000000"/>
            </w:tcBorders>
            <w:shd w:val="clear" w:color="auto" w:fill="D3D3D3"/>
          </w:tcPr>
          <w:p>
            <w:pPr/>
          </w:p>
        </w:tc>
        <w:tc>
          <w:tcPr>
            <w:tcW w:w="3764"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3" w:right="0"/>
              <w:jc w:val="left"/>
              <w:rPr>
                <w:rFonts w:ascii="宋体" w:hAnsi="宋体" w:cs="宋体" w:eastAsia="宋体" w:hint="default"/>
                <w:sz w:val="18"/>
                <w:szCs w:val="18"/>
              </w:rPr>
            </w:pPr>
            <w:r>
              <w:rPr>
                <w:rFonts w:ascii="宋体" w:hAnsi="宋体" w:cs="宋体" w:eastAsia="宋体" w:hint="default"/>
                <w:sz w:val="18"/>
                <w:szCs w:val="18"/>
              </w:rPr>
              <w:t>定为重大缺陷。</w:t>
            </w:r>
          </w:p>
        </w:tc>
        <w:tc>
          <w:tcPr>
            <w:tcW w:w="2610"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非财务报告重大缺陷数量（个）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r>
      <w:tr>
        <w:trPr>
          <w:trHeight w:val="402" w:hRule="exact"/>
        </w:trPr>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非财务报告重要缺陷数量（个）</w:t>
            </w:r>
          </w:p>
        </w:tc>
        <w:tc>
          <w:tcPr>
            <w:tcW w:w="637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z w:val="18"/>
              </w:rPr>
              <w:t>0</w:t>
            </w:r>
          </w:p>
        </w:tc>
      </w:tr>
    </w:tbl>
    <w:p>
      <w:pPr>
        <w:spacing w:line="240" w:lineRule="auto" w:before="2"/>
        <w:rPr>
          <w:rFonts w:ascii="宋体" w:hAnsi="宋体" w:cs="宋体" w:eastAsia="宋体" w:hint="default"/>
          <w:sz w:val="18"/>
          <w:szCs w:val="18"/>
        </w:rPr>
      </w:pPr>
    </w:p>
    <w:p>
      <w:pPr>
        <w:pStyle w:val="Heading2"/>
        <w:spacing w:line="240" w:lineRule="auto" w:before="26"/>
        <w:ind w:right="2239"/>
        <w:jc w:val="left"/>
        <w:rPr>
          <w:b w:val="0"/>
          <w:bCs w:val="0"/>
        </w:rPr>
      </w:pPr>
      <w:r>
        <w:rPr/>
        <w:t>十、内部控制审计报告或鉴证报告</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t>内部控制鉴证报告</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34"/>
        <w:gridCol w:w="6934"/>
      </w:tblGrid>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内部控制鉴证报告中的审议意见段</w:t>
            </w:r>
          </w:p>
        </w:tc>
      </w:tr>
      <w:tr>
        <w:trPr>
          <w:trHeight w:val="714"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302" w:lineRule="auto" w:before="52"/>
              <w:ind w:left="22" w:right="20"/>
              <w:jc w:val="left"/>
              <w:rPr>
                <w:rFonts w:ascii="宋体" w:hAnsi="宋体" w:cs="宋体" w:eastAsia="宋体" w:hint="default"/>
                <w:sz w:val="18"/>
                <w:szCs w:val="18"/>
              </w:rPr>
            </w:pPr>
            <w:r>
              <w:rPr>
                <w:rFonts w:ascii="宋体" w:hAnsi="宋体" w:cs="宋体" w:eastAsia="宋体" w:hint="default"/>
                <w:sz w:val="18"/>
                <w:szCs w:val="18"/>
              </w:rPr>
              <w:t>我们认为，榕基软件公司于</w:t>
            </w:r>
            <w:r>
              <w:rPr>
                <w:rFonts w:ascii="宋体" w:hAnsi="宋体" w:cs="宋体" w:eastAsia="宋体" w:hint="default"/>
                <w:spacing w:val="-49"/>
                <w:sz w:val="18"/>
                <w:szCs w:val="18"/>
              </w:rPr>
              <w:t> </w:t>
            </w:r>
            <w:r>
              <w:rPr>
                <w:rFonts w:ascii="Arial" w:hAnsi="Arial" w:cs="Arial" w:eastAsia="Arial" w:hint="default"/>
                <w:sz w:val="18"/>
                <w:szCs w:val="18"/>
              </w:rPr>
              <w:t>2019</w:t>
            </w:r>
            <w:r>
              <w:rPr>
                <w:rFonts w:ascii="Arial" w:hAnsi="Arial" w:cs="Arial" w:eastAsia="Arial"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Arial" w:hAnsi="Arial" w:cs="Arial" w:eastAsia="Arial" w:hint="default"/>
                <w:sz w:val="18"/>
                <w:szCs w:val="18"/>
              </w:rPr>
              <w:t>12</w:t>
            </w:r>
            <w:r>
              <w:rPr>
                <w:rFonts w:ascii="Arial" w:hAnsi="Arial" w:cs="Arial" w:eastAsia="Arial" w:hint="default"/>
                <w:spacing w:val="-10"/>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Arial" w:hAnsi="Arial" w:cs="Arial" w:eastAsia="Arial" w:hint="default"/>
                <w:sz w:val="18"/>
                <w:szCs w:val="18"/>
              </w:rPr>
              <w:t>31</w:t>
            </w:r>
            <w:r>
              <w:rPr>
                <w:rFonts w:ascii="Arial" w:hAnsi="Arial" w:cs="Arial" w:eastAsia="Arial" w:hint="default"/>
                <w:spacing w:val="-10"/>
                <w:sz w:val="18"/>
                <w:szCs w:val="18"/>
              </w:rPr>
              <w:t> </w:t>
            </w:r>
            <w:r>
              <w:rPr>
                <w:rFonts w:ascii="宋体" w:hAnsi="宋体" w:cs="宋体" w:eastAsia="宋体" w:hint="default"/>
                <w:sz w:val="18"/>
                <w:szCs w:val="18"/>
              </w:rPr>
              <w:t>日在所有重大方面有效地保持了按照《企业内部控制基本规范》建立的与财 务报表相关的内部控制。</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内控鉴证报告披露情况</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40" w:right="0"/>
              <w:jc w:val="left"/>
              <w:rPr>
                <w:rFonts w:ascii="宋体" w:hAnsi="宋体" w:cs="宋体" w:eastAsia="宋体" w:hint="default"/>
                <w:sz w:val="18"/>
                <w:szCs w:val="18"/>
              </w:rPr>
            </w:pPr>
            <w:r>
              <w:rPr>
                <w:rFonts w:ascii="宋体" w:hAnsi="宋体" w:cs="宋体" w:eastAsia="宋体" w:hint="default"/>
                <w:sz w:val="18"/>
                <w:szCs w:val="18"/>
              </w:rPr>
              <w:t>披露</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内部控制鉴证报告全文披露日期</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40" w:right="0"/>
              <w:jc w:val="left"/>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04</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29</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内部控制鉴证报告全文披露索引</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40" w:right="0"/>
              <w:jc w:val="left"/>
              <w:rPr>
                <w:rFonts w:ascii="宋体" w:hAnsi="宋体" w:cs="宋体" w:eastAsia="宋体" w:hint="default"/>
                <w:sz w:val="18"/>
                <w:szCs w:val="18"/>
              </w:rPr>
            </w:pPr>
            <w:r>
              <w:rPr>
                <w:rFonts w:ascii="宋体" w:hAnsi="宋体" w:cs="宋体" w:eastAsia="宋体" w:hint="default"/>
                <w:sz w:val="18"/>
                <w:szCs w:val="18"/>
              </w:rPr>
              <w:t>《内部控制鉴证报告》详见巨潮资讯网（</w:t>
            </w:r>
            <w:hyperlink r:id="rId13">
              <w:r>
                <w:rPr>
                  <w:rFonts w:ascii="Arial" w:hAnsi="Arial" w:cs="Arial" w:eastAsia="Arial" w:hint="default"/>
                  <w:sz w:val="18"/>
                  <w:szCs w:val="18"/>
                </w:rPr>
                <w:t>http://www.cninfo.com.cn</w:t>
              </w:r>
            </w:hyperlink>
            <w:r>
              <w:rPr>
                <w:rFonts w:ascii="宋体" w:hAnsi="宋体" w:cs="宋体" w:eastAsia="宋体" w:hint="default"/>
                <w:sz w:val="18"/>
                <w:szCs w:val="18"/>
              </w:rPr>
              <w:t>）</w:t>
            </w:r>
          </w:p>
        </w:tc>
      </w:tr>
      <w:tr>
        <w:trPr>
          <w:trHeight w:val="402"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内控鉴证报告意见类型</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40" w:right="0"/>
              <w:jc w:val="left"/>
              <w:rPr>
                <w:rFonts w:ascii="宋体" w:hAnsi="宋体" w:cs="宋体" w:eastAsia="宋体" w:hint="default"/>
                <w:sz w:val="18"/>
                <w:szCs w:val="18"/>
              </w:rPr>
            </w:pPr>
            <w:r>
              <w:rPr>
                <w:rFonts w:ascii="宋体" w:hAnsi="宋体" w:cs="宋体" w:eastAsia="宋体" w:hint="default"/>
                <w:sz w:val="18"/>
                <w:szCs w:val="18"/>
              </w:rPr>
              <w:t>无保留意见</w:t>
            </w:r>
          </w:p>
        </w:tc>
      </w:tr>
      <w:tr>
        <w:trPr>
          <w:trHeight w:val="403" w:hRule="exact"/>
        </w:trPr>
        <w:tc>
          <w:tcPr>
            <w:tcW w:w="26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非财务报告是否存在重大缺陷</w:t>
            </w:r>
          </w:p>
        </w:tc>
        <w:tc>
          <w:tcPr>
            <w:tcW w:w="693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4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51"/>
        <w:ind w:right="2239"/>
        <w:jc w:val="left"/>
      </w:pPr>
      <w:r>
        <w:rPr/>
        <w:t>会计师事务所是否出具非标准意见的内部控制鉴证报告</w:t>
      </w:r>
    </w:p>
    <w:p>
      <w:pPr>
        <w:pStyle w:val="BodyText"/>
        <w:spacing w:line="340" w:lineRule="auto" w:before="116"/>
        <w:ind w:right="4630"/>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29"/>
        </w:rPr>
        <w:t> </w:t>
      </w:r>
      <w:r>
        <w:rPr/>
        <w:t>否 会计师事务所出具的内部控制鉴证报告与董事会的自我评价报告意见是否一致</w:t>
      </w:r>
    </w:p>
    <w:p>
      <w:pPr>
        <w:pStyle w:val="BodyText"/>
        <w:spacing w:line="240" w:lineRule="auto" w:before="40"/>
        <w:ind w:right="2239"/>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29"/>
        </w:rPr>
        <w:t> </w:t>
      </w:r>
      <w:r>
        <w:rPr/>
        <w:t>否</w:t>
      </w:r>
    </w:p>
    <w:p>
      <w:pPr>
        <w:spacing w:after="0" w:line="240"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046" w:right="2239"/>
        <w:jc w:val="left"/>
        <w:rPr>
          <w:b w:val="0"/>
          <w:bCs w:val="0"/>
        </w:rPr>
      </w:pPr>
      <w:bookmarkStart w:name="_TOC_250002" w:id="11"/>
      <w:r>
        <w:rPr/>
        <w:t>第十一节公司债券相关情况</w:t>
      </w:r>
      <w:bookmarkEnd w:id="11"/>
      <w:r>
        <w:rPr>
          <w:b w:val="0"/>
          <w:bCs w:val="0"/>
        </w:rPr>
      </w:r>
    </w:p>
    <w:p>
      <w:pPr>
        <w:spacing w:line="240" w:lineRule="auto" w:before="8"/>
        <w:rPr>
          <w:rFonts w:ascii="宋体" w:hAnsi="宋体" w:cs="宋体" w:eastAsia="宋体" w:hint="default"/>
          <w:b/>
          <w:bCs/>
          <w:sz w:val="42"/>
          <w:szCs w:val="42"/>
        </w:rPr>
      </w:pPr>
    </w:p>
    <w:p>
      <w:pPr>
        <w:pStyle w:val="BodyText"/>
        <w:spacing w:line="357" w:lineRule="auto"/>
        <w:ind w:left="153" w:right="2111"/>
        <w:jc w:val="left"/>
      </w:pPr>
      <w:r>
        <w:rPr/>
        <w:t>公司是否存在公开发行并在证券交易所上市，且在年度报告批准报出日未到期或到期未能全额兑付的公司债券 否</w:t>
      </w:r>
    </w:p>
    <w:p>
      <w:pPr>
        <w:spacing w:after="0" w:line="357"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0"/>
          <w:szCs w:val="20"/>
        </w:rPr>
      </w:pPr>
    </w:p>
    <w:p>
      <w:pPr>
        <w:pStyle w:val="Heading1"/>
        <w:spacing w:line="240" w:lineRule="auto"/>
        <w:ind w:left="3607" w:right="2239"/>
        <w:jc w:val="left"/>
        <w:rPr>
          <w:b w:val="0"/>
          <w:bCs w:val="0"/>
        </w:rPr>
      </w:pPr>
      <w:bookmarkStart w:name="_TOC_250001" w:id="12"/>
      <w:r>
        <w:rPr/>
        <w:t>第十二节</w:t>
      </w:r>
      <w:r>
        <w:rPr>
          <w:spacing w:val="-7"/>
        </w:rPr>
        <w:t> </w:t>
      </w:r>
      <w:r>
        <w:rPr/>
        <w:t>财务报告</w:t>
      </w:r>
      <w:bookmarkEnd w:id="12"/>
      <w:r>
        <w:rPr>
          <w:b w:val="0"/>
          <w:bCs w:val="0"/>
        </w:rPr>
      </w:r>
    </w:p>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16"/>
          <w:szCs w:val="16"/>
        </w:rPr>
      </w:pPr>
    </w:p>
    <w:p>
      <w:pPr>
        <w:pStyle w:val="Heading2"/>
        <w:spacing w:line="240" w:lineRule="auto" w:before="26"/>
        <w:ind w:right="2239"/>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4"/>
      </w:tblGrid>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标准的无保留意见</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04</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27</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致同会计师事务所（特殊普通合伙）</w:t>
            </w:r>
          </w:p>
        </w:tc>
      </w:tr>
      <w:tr>
        <w:trPr>
          <w:trHeight w:val="402"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致同审字（</w:t>
            </w:r>
            <w:r>
              <w:rPr>
                <w:rFonts w:ascii="Arial" w:hAnsi="Arial" w:cs="Arial" w:eastAsia="Arial" w:hint="default"/>
                <w:sz w:val="18"/>
                <w:szCs w:val="18"/>
              </w:rPr>
              <w:t>2020</w:t>
            </w:r>
            <w:r>
              <w:rPr>
                <w:rFonts w:ascii="宋体" w:hAnsi="宋体" w:cs="宋体" w:eastAsia="宋体" w:hint="default"/>
                <w:sz w:val="18"/>
                <w:szCs w:val="18"/>
              </w:rPr>
              <w:t>）第</w:t>
            </w:r>
            <w:r>
              <w:rPr>
                <w:rFonts w:ascii="宋体" w:hAnsi="宋体" w:cs="宋体" w:eastAsia="宋体" w:hint="default"/>
                <w:spacing w:val="-50"/>
                <w:sz w:val="18"/>
                <w:szCs w:val="18"/>
              </w:rPr>
              <w:t> </w:t>
            </w:r>
            <w:r>
              <w:rPr>
                <w:rFonts w:ascii="Arial" w:hAnsi="Arial" w:cs="Arial" w:eastAsia="Arial" w:hint="default"/>
                <w:sz w:val="18"/>
                <w:szCs w:val="18"/>
              </w:rPr>
              <w:t>351ZA3706</w:t>
            </w:r>
            <w:r>
              <w:rPr>
                <w:rFonts w:ascii="Arial" w:hAnsi="Arial" w:cs="Arial" w:eastAsia="Arial" w:hint="default"/>
                <w:spacing w:val="-11"/>
                <w:sz w:val="18"/>
                <w:szCs w:val="18"/>
              </w:rPr>
              <w:t> </w:t>
            </w:r>
            <w:r>
              <w:rPr>
                <w:rFonts w:ascii="宋体" w:hAnsi="宋体" w:cs="宋体" w:eastAsia="宋体" w:hint="default"/>
                <w:sz w:val="18"/>
                <w:szCs w:val="18"/>
              </w:rPr>
              <w:t>号</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注册会计师姓名</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林庆瑜、杨莹</w:t>
            </w:r>
          </w:p>
        </w:tc>
      </w:tr>
    </w:tbl>
    <w:p>
      <w:pPr>
        <w:pStyle w:val="BodyText"/>
        <w:spacing w:line="240" w:lineRule="auto" w:before="51"/>
        <w:ind w:left="1640" w:right="2617"/>
        <w:jc w:val="center"/>
      </w:pPr>
      <w:r>
        <w:rPr/>
        <w:t>审计报告正文</w:t>
      </w:r>
    </w:p>
    <w:p>
      <w:pPr>
        <w:spacing w:line="240" w:lineRule="auto" w:before="7"/>
        <w:rPr>
          <w:rFonts w:ascii="宋体" w:hAnsi="宋体" w:cs="宋体" w:eastAsia="宋体" w:hint="default"/>
          <w:sz w:val="11"/>
          <w:szCs w:val="11"/>
        </w:rPr>
      </w:pPr>
    </w:p>
    <w:p>
      <w:pPr>
        <w:pStyle w:val="BodyText"/>
        <w:spacing w:line="439" w:lineRule="auto" w:before="44"/>
        <w:ind w:left="636" w:right="7691" w:hanging="483"/>
        <w:jc w:val="left"/>
      </w:pPr>
      <w:r>
        <w:rPr/>
        <w:t>福建榕基软件股份有限公司全体股东： 一、审计意见</w:t>
      </w:r>
    </w:p>
    <w:p>
      <w:pPr>
        <w:pStyle w:val="BodyText"/>
        <w:spacing w:line="302" w:lineRule="auto" w:before="47"/>
        <w:ind w:right="1129" w:firstLine="480"/>
        <w:jc w:val="right"/>
      </w:pPr>
      <w:r>
        <w:rPr/>
        <w:t>我们审计了福建榕基软件股份有限公司（以下简称榕基软件公司）财务报表，包括</w:t>
      </w:r>
      <w:r>
        <w:rPr>
          <w:rFonts w:ascii="Arial" w:hAnsi="Arial" w:cs="Arial" w:eastAsia="Arial" w:hint="default"/>
        </w:rPr>
        <w:t>2019</w:t>
      </w:r>
      <w:r>
        <w:rPr/>
        <w:t>年</w:t>
      </w:r>
      <w:r>
        <w:rPr>
          <w:rFonts w:ascii="Arial" w:hAnsi="Arial" w:cs="Arial" w:eastAsia="Arial" w:hint="default"/>
        </w:rPr>
        <w:t>12</w:t>
      </w:r>
      <w:r>
        <w:rPr/>
        <w:t>月</w:t>
      </w:r>
      <w:r>
        <w:rPr>
          <w:rFonts w:ascii="Arial" w:hAnsi="Arial" w:cs="Arial" w:eastAsia="Arial" w:hint="default"/>
        </w:rPr>
        <w:t>31</w:t>
      </w:r>
      <w:r>
        <w:rPr/>
        <w:t>日的合并及公司资</w:t>
      </w:r>
      <w:r>
        <w:rPr>
          <w:spacing w:val="1"/>
        </w:rPr>
        <w:t> </w:t>
      </w:r>
      <w:r>
        <w:rPr>
          <w:spacing w:val="-1"/>
        </w:rPr>
        <w:t>产负债表，</w:t>
      </w:r>
      <w:r>
        <w:rPr>
          <w:rFonts w:ascii="Arial" w:hAnsi="Arial" w:cs="Arial" w:eastAsia="Arial" w:hint="default"/>
          <w:spacing w:val="-1"/>
        </w:rPr>
        <w:t>2019</w:t>
      </w:r>
      <w:r>
        <w:rPr>
          <w:spacing w:val="-1"/>
        </w:rPr>
        <w:t>年度的合并及公司利润表、合并及公司现金流量表、合并及公司股东权益变动表以及相关财务报表附注。</w:t>
      </w:r>
    </w:p>
    <w:p>
      <w:pPr>
        <w:pStyle w:val="BodyText"/>
        <w:spacing w:line="302" w:lineRule="auto" w:before="131"/>
        <w:ind w:right="1132" w:firstLine="480"/>
        <w:jc w:val="both"/>
      </w:pPr>
      <w:r>
        <w:rPr/>
        <w:t>我们认为，后附的财务报表在所有重大方面按照企业会计准则的规定编制，公允反映了榕基软件公司</w:t>
      </w:r>
      <w:r>
        <w:rPr>
          <w:rFonts w:ascii="Arial" w:hAnsi="Arial" w:cs="Arial" w:eastAsia="Arial" w:hint="default"/>
        </w:rPr>
        <w:t>2019</w:t>
      </w:r>
      <w:r>
        <w:rPr/>
        <w:t>年</w:t>
      </w:r>
      <w:r>
        <w:rPr>
          <w:rFonts w:ascii="Arial" w:hAnsi="Arial" w:cs="Arial" w:eastAsia="Arial" w:hint="default"/>
        </w:rPr>
        <w:t>12</w:t>
      </w:r>
      <w:r>
        <w:rPr/>
        <w:t>月</w:t>
      </w:r>
      <w:r>
        <w:rPr>
          <w:rFonts w:ascii="Arial" w:hAnsi="Arial" w:cs="Arial" w:eastAsia="Arial" w:hint="default"/>
        </w:rPr>
        <w:t>31</w:t>
      </w:r>
      <w:r>
        <w:rPr>
          <w:rFonts w:ascii="Arial" w:hAnsi="Arial" w:cs="Arial" w:eastAsia="Arial" w:hint="default"/>
          <w:spacing w:val="-1"/>
        </w:rPr>
        <w:t> </w:t>
      </w:r>
      <w:r>
        <w:rPr/>
        <w:t>日的合并及公司财务状况以及</w:t>
      </w:r>
      <w:r>
        <w:rPr>
          <w:rFonts w:ascii="Arial" w:hAnsi="Arial" w:cs="Arial" w:eastAsia="Arial" w:hint="default"/>
        </w:rPr>
        <w:t>2019</w:t>
      </w:r>
      <w:r>
        <w:rPr/>
        <w:t>年度的合并及公司的经营成果和现金流量。</w:t>
      </w:r>
    </w:p>
    <w:p>
      <w:pPr>
        <w:pStyle w:val="BodyText"/>
        <w:spacing w:line="240" w:lineRule="auto" w:before="131"/>
        <w:ind w:left="636" w:right="2239"/>
        <w:jc w:val="left"/>
      </w:pPr>
      <w:r>
        <w:rPr/>
        <w:t>二、形成审计意见的基础</w:t>
      </w:r>
    </w:p>
    <w:p>
      <w:pPr>
        <w:spacing w:line="240" w:lineRule="auto" w:before="0"/>
        <w:rPr>
          <w:rFonts w:ascii="宋体" w:hAnsi="宋体" w:cs="宋体" w:eastAsia="宋体" w:hint="default"/>
          <w:sz w:val="15"/>
          <w:szCs w:val="15"/>
        </w:rPr>
      </w:pPr>
    </w:p>
    <w:p>
      <w:pPr>
        <w:pStyle w:val="BodyText"/>
        <w:spacing w:line="309" w:lineRule="auto"/>
        <w:ind w:right="1131" w:firstLine="495"/>
        <w:jc w:val="both"/>
      </w:pPr>
      <w:r>
        <w:rPr/>
        <w:t>我们按照中国注册会计师审计准则的规定执行了审计工作。审计报告的</w:t>
      </w:r>
      <w:r>
        <w:rPr>
          <w:rFonts w:ascii="Arial" w:hAnsi="Arial" w:cs="Arial" w:eastAsia="Arial" w:hint="default"/>
        </w:rPr>
        <w:t>“</w:t>
      </w:r>
      <w:r>
        <w:rPr/>
        <w:t>注册会计师对财务报表审计的责任</w:t>
      </w:r>
      <w:r>
        <w:rPr>
          <w:rFonts w:ascii="Arial" w:hAnsi="Arial" w:cs="Arial" w:eastAsia="Arial" w:hint="default"/>
        </w:rPr>
        <w:t>”</w:t>
      </w:r>
      <w:r>
        <w:rPr/>
        <w:t>部分进一 </w:t>
      </w:r>
      <w:r>
        <w:rPr>
          <w:spacing w:val="-2"/>
        </w:rPr>
        <w:t>步阐述了我们在这些准则下的责任。按照中国注册会计师职业道德守则，我们独立于榕基软件公司，并履行了职业道德方面</w:t>
      </w:r>
      <w:r>
        <w:rPr>
          <w:spacing w:val="-66"/>
        </w:rPr>
        <w:t> </w:t>
      </w:r>
      <w:r>
        <w:rPr>
          <w:spacing w:val="-66"/>
        </w:rPr>
      </w:r>
      <w:r>
        <w:rPr/>
        <w:t>的其他责任。我们相信，我们获取的审计证据是充分、适当的，为发表审计意见提供了基础。</w:t>
      </w:r>
    </w:p>
    <w:p>
      <w:pPr>
        <w:pStyle w:val="BodyText"/>
        <w:spacing w:line="432" w:lineRule="exact" w:before="9"/>
        <w:ind w:left="649" w:right="1126" w:hanging="14"/>
        <w:jc w:val="left"/>
      </w:pPr>
      <w:r>
        <w:rPr/>
        <w:t>三、关键审计事项 </w:t>
      </w:r>
      <w:r>
        <w:rPr>
          <w:spacing w:val="-1"/>
        </w:rPr>
        <w:t>关键审计事项是我们根据职业判断，认为对本期财务报表审计最为重要的事项。这些事项的应对以对财务报表整体进</w:t>
      </w:r>
    </w:p>
    <w:p>
      <w:pPr>
        <w:pStyle w:val="BodyText"/>
        <w:spacing w:line="240" w:lineRule="auto" w:before="15"/>
        <w:ind w:right="2239"/>
        <w:jc w:val="left"/>
      </w:pPr>
      <w:r>
        <w:rPr/>
        <w:t>行审计并形成审计意见为背景，我们不对这些事项单独发表意见。</w:t>
      </w:r>
    </w:p>
    <w:p>
      <w:pPr>
        <w:spacing w:line="240" w:lineRule="auto" w:before="0"/>
        <w:rPr>
          <w:rFonts w:ascii="宋体" w:hAnsi="宋体" w:cs="宋体" w:eastAsia="宋体" w:hint="default"/>
          <w:sz w:val="15"/>
          <w:szCs w:val="15"/>
        </w:rPr>
      </w:pPr>
    </w:p>
    <w:p>
      <w:pPr>
        <w:pStyle w:val="BodyText"/>
        <w:spacing w:line="429" w:lineRule="auto"/>
        <w:ind w:left="649" w:right="5894"/>
        <w:jc w:val="left"/>
      </w:pPr>
      <w:r>
        <w:rPr/>
        <w:t>（一）开发支出资本化 相关信息披露详见财务报表附注三之</w:t>
      </w:r>
      <w:r>
        <w:rPr>
          <w:rFonts w:ascii="Arial" w:hAnsi="Arial" w:cs="Arial" w:eastAsia="Arial" w:hint="default"/>
        </w:rPr>
        <w:t>19</w:t>
      </w:r>
      <w:r>
        <w:rPr/>
        <w:t>及附注五之</w:t>
      </w:r>
      <w:r>
        <w:rPr>
          <w:rFonts w:ascii="Arial" w:hAnsi="Arial" w:cs="Arial" w:eastAsia="Arial" w:hint="default"/>
        </w:rPr>
        <w:t>16</w:t>
      </w:r>
      <w:r>
        <w:rPr/>
        <w:t>。 </w:t>
      </w:r>
      <w:r>
        <w:rPr>
          <w:rFonts w:ascii="Arial" w:hAnsi="Arial" w:cs="Arial" w:eastAsia="Arial" w:hint="default"/>
        </w:rPr>
        <w:t>1</w:t>
      </w:r>
      <w:r>
        <w:rPr/>
        <w:t>、事项描述</w:t>
      </w:r>
    </w:p>
    <w:p>
      <w:pPr>
        <w:pStyle w:val="BodyText"/>
        <w:spacing w:line="307" w:lineRule="auto" w:before="24"/>
        <w:ind w:right="1129" w:firstLine="495"/>
        <w:jc w:val="both"/>
      </w:pPr>
      <w:r>
        <w:rPr/>
        <w:t>榕基软件公司</w:t>
      </w:r>
      <w:r>
        <w:rPr>
          <w:rFonts w:ascii="Arial" w:hAnsi="Arial" w:cs="Arial" w:eastAsia="Arial" w:hint="default"/>
        </w:rPr>
        <w:t>2019</w:t>
      </w:r>
      <w:r>
        <w:rPr/>
        <w:t>年度研究开发支出总额</w:t>
      </w:r>
      <w:r>
        <w:rPr>
          <w:rFonts w:ascii="Arial" w:hAnsi="Arial" w:cs="Arial" w:eastAsia="Arial" w:hint="default"/>
        </w:rPr>
        <w:t>9,922.70</w:t>
      </w:r>
      <w:r>
        <w:rPr/>
        <w:t>万元，其中符合资本化条件的开发支出</w:t>
      </w:r>
      <w:r>
        <w:rPr>
          <w:rFonts w:ascii="Arial" w:hAnsi="Arial" w:cs="Arial" w:eastAsia="Arial" w:hint="default"/>
        </w:rPr>
        <w:t>2,824.40</w:t>
      </w:r>
      <w:r>
        <w:rPr/>
        <w:t>万元计入</w:t>
      </w:r>
      <w:r>
        <w:rPr>
          <w:rFonts w:ascii="Arial" w:hAnsi="Arial" w:cs="Arial" w:eastAsia="Arial" w:hint="default"/>
        </w:rPr>
        <w:t>“</w:t>
      </w:r>
      <w:r>
        <w:rPr/>
        <w:t>开发支 </w:t>
      </w:r>
      <w:r>
        <w:rPr>
          <w:spacing w:val="-1"/>
        </w:rPr>
        <w:t>出</w:t>
      </w:r>
      <w:r>
        <w:rPr>
          <w:rFonts w:ascii="Arial" w:hAnsi="Arial" w:cs="Arial" w:eastAsia="Arial" w:hint="default"/>
          <w:spacing w:val="-1"/>
        </w:rPr>
        <w:t>”</w:t>
      </w:r>
      <w:r>
        <w:rPr>
          <w:spacing w:val="-1"/>
        </w:rPr>
        <w:t>项目，占研究开发支出总额的</w:t>
      </w:r>
      <w:r>
        <w:rPr>
          <w:rFonts w:ascii="Arial" w:hAnsi="Arial" w:cs="Arial" w:eastAsia="Arial" w:hint="default"/>
          <w:spacing w:val="-1"/>
        </w:rPr>
        <w:t>28.46%</w:t>
      </w:r>
      <w:r>
        <w:rPr>
          <w:spacing w:val="-1"/>
        </w:rPr>
        <w:t>。开发支出只有在同时满足财务报表附注三之</w:t>
      </w:r>
      <w:r>
        <w:rPr>
          <w:rFonts w:ascii="Arial" w:hAnsi="Arial" w:cs="Arial" w:eastAsia="Arial" w:hint="default"/>
          <w:spacing w:val="-1"/>
        </w:rPr>
        <w:t>19</w:t>
      </w:r>
      <w:r>
        <w:rPr>
          <w:spacing w:val="-1"/>
        </w:rPr>
        <w:t>中所列的所有资本化条件时才能予</w:t>
      </w:r>
      <w:r>
        <w:rPr/>
        <w:t> </w:t>
      </w:r>
      <w:r>
        <w:rPr>
          <w:spacing w:val="-2"/>
        </w:rPr>
        <w:t>以资本化。鉴于确定开发支出是否满足所有资本化条件需要管理层进行重大会计判断和估计，因此我们将开发支出资本化确</w:t>
      </w:r>
      <w:r>
        <w:rPr>
          <w:spacing w:val="-64"/>
        </w:rPr>
        <w:t> </w:t>
      </w:r>
      <w:r>
        <w:rPr>
          <w:spacing w:val="-64"/>
        </w:rPr>
      </w:r>
      <w:r>
        <w:rPr/>
        <w:t>定为关键审计事项。</w:t>
      </w:r>
    </w:p>
    <w:p>
      <w:pPr>
        <w:pStyle w:val="BodyText"/>
        <w:spacing w:line="417" w:lineRule="auto" w:before="146"/>
        <w:ind w:left="649" w:right="4675"/>
        <w:jc w:val="left"/>
      </w:pPr>
      <w:r>
        <w:rPr>
          <w:rFonts w:ascii="Arial" w:hAnsi="Arial" w:cs="Arial" w:eastAsia="Arial" w:hint="default"/>
        </w:rPr>
        <w:t>2</w:t>
      </w:r>
      <w:r>
        <w:rPr/>
        <w:t>、审计应对 我们针对开发支出资本化这一关键审计事项实施的审计程序主要包括：</w:t>
      </w:r>
    </w:p>
    <w:p>
      <w:pPr>
        <w:pStyle w:val="BodyText"/>
        <w:spacing w:line="302" w:lineRule="auto" w:before="63"/>
        <w:ind w:right="1132" w:firstLine="495"/>
        <w:jc w:val="both"/>
      </w:pPr>
      <w:r>
        <w:rPr/>
        <w:t>（</w:t>
      </w:r>
      <w:r>
        <w:rPr>
          <w:rFonts w:ascii="Arial" w:hAnsi="Arial" w:cs="Arial" w:eastAsia="Arial" w:hint="default"/>
        </w:rPr>
        <w:t>1</w:t>
      </w:r>
      <w:r>
        <w:rPr/>
        <w:t>）了解及评价开发支出资本化的内部控制设计的有效性，并测试了关键控制运行的有效性，包括可行性研究、项 目立项、项目验收以及资本化的复核和审批等。</w:t>
      </w:r>
    </w:p>
    <w:p>
      <w:pPr>
        <w:spacing w:after="0" w:line="302" w:lineRule="auto"/>
        <w:jc w:val="both"/>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02" w:lineRule="auto" w:before="44"/>
        <w:ind w:right="1131" w:firstLine="495"/>
        <w:jc w:val="both"/>
      </w:pPr>
      <w:r>
        <w:rPr/>
        <w:t>（</w:t>
      </w:r>
      <w:r>
        <w:rPr>
          <w:rFonts w:ascii="Arial" w:hAnsi="Arial" w:cs="Arial" w:eastAsia="Arial" w:hint="default"/>
        </w:rPr>
        <w:t>2</w:t>
      </w:r>
      <w:r>
        <w:rPr/>
        <w:t>）评价管理层确定的开发支出资本化的相关会计政策和会计估计是否符合企业会计准则的规定，并采用一致的会 计处理方法。</w:t>
      </w:r>
    </w:p>
    <w:p>
      <w:pPr>
        <w:pStyle w:val="BodyText"/>
        <w:spacing w:line="302" w:lineRule="auto" w:before="149"/>
        <w:ind w:right="1131" w:firstLine="495"/>
        <w:jc w:val="both"/>
      </w:pPr>
      <w:r>
        <w:rPr/>
        <w:t>（</w:t>
      </w:r>
      <w:r>
        <w:rPr>
          <w:rFonts w:ascii="Arial" w:hAnsi="Arial" w:cs="Arial" w:eastAsia="Arial" w:hint="default"/>
        </w:rPr>
        <w:t>3</w:t>
      </w:r>
      <w:r>
        <w:rPr/>
        <w:t>）获取项目立项书、研发节点报告等文件，检查企业研发活动的立项情况，确定研发项目处于研究阶段还是开发 阶段。</w:t>
      </w:r>
    </w:p>
    <w:p>
      <w:pPr>
        <w:pStyle w:val="BodyText"/>
        <w:spacing w:line="302" w:lineRule="auto" w:before="149"/>
        <w:ind w:right="1131" w:firstLine="495"/>
        <w:jc w:val="both"/>
      </w:pPr>
      <w:r>
        <w:rPr/>
        <w:t>（</w:t>
      </w:r>
      <w:r>
        <w:rPr>
          <w:rFonts w:ascii="Arial" w:hAnsi="Arial" w:cs="Arial" w:eastAsia="Arial" w:hint="default"/>
        </w:rPr>
        <w:t>4</w:t>
      </w:r>
      <w:r>
        <w:rPr/>
        <w:t>）选取项目检查资本化的条件和依据是否合理，包括研究阶段和开发阶段界定时点是否合理，开发完成的时点界 定是否合理；检查资本化支出范围是否合理等。</w:t>
      </w:r>
    </w:p>
    <w:p>
      <w:pPr>
        <w:pStyle w:val="BodyText"/>
        <w:spacing w:line="240" w:lineRule="auto" w:before="149"/>
        <w:ind w:left="649" w:right="2239"/>
        <w:jc w:val="left"/>
      </w:pPr>
      <w:r>
        <w:rPr/>
        <w:t>（</w:t>
      </w:r>
      <w:r>
        <w:rPr>
          <w:rFonts w:ascii="Arial" w:hAnsi="Arial" w:cs="Arial" w:eastAsia="Arial" w:hint="default"/>
        </w:rPr>
        <w:t>5</w:t>
      </w:r>
      <w:r>
        <w:rPr/>
        <w:t>）检查开发支出资本化披露的充分性。</w:t>
      </w:r>
    </w:p>
    <w:p>
      <w:pPr>
        <w:spacing w:line="240" w:lineRule="auto" w:before="0"/>
        <w:rPr>
          <w:rFonts w:ascii="宋体" w:hAnsi="宋体" w:cs="宋体" w:eastAsia="宋体" w:hint="default"/>
          <w:sz w:val="14"/>
          <w:szCs w:val="14"/>
        </w:rPr>
      </w:pPr>
    </w:p>
    <w:p>
      <w:pPr>
        <w:pStyle w:val="BodyText"/>
        <w:spacing w:line="429" w:lineRule="auto"/>
        <w:ind w:left="649" w:right="5894"/>
        <w:jc w:val="left"/>
      </w:pPr>
      <w:r>
        <w:rPr/>
        <w:t>（二）收入确认 相关信息披露详见财务报表附注三之</w:t>
      </w:r>
      <w:r>
        <w:rPr>
          <w:rFonts w:ascii="Arial" w:hAnsi="Arial" w:cs="Arial" w:eastAsia="Arial" w:hint="default"/>
        </w:rPr>
        <w:t>23</w:t>
      </w:r>
      <w:r>
        <w:rPr/>
        <w:t>及附注五之</w:t>
      </w:r>
      <w:r>
        <w:rPr>
          <w:rFonts w:ascii="Arial" w:hAnsi="Arial" w:cs="Arial" w:eastAsia="Arial" w:hint="default"/>
        </w:rPr>
        <w:t>34</w:t>
      </w:r>
      <w:r>
        <w:rPr/>
        <w:t>。 </w:t>
      </w:r>
      <w:r>
        <w:rPr>
          <w:rFonts w:ascii="Arial" w:hAnsi="Arial" w:cs="Arial" w:eastAsia="Arial" w:hint="default"/>
        </w:rPr>
        <w:t>1</w:t>
      </w:r>
      <w:r>
        <w:rPr/>
        <w:t>、事项描述</w:t>
      </w:r>
    </w:p>
    <w:p>
      <w:pPr>
        <w:pStyle w:val="BodyText"/>
        <w:spacing w:line="307" w:lineRule="auto" w:before="24"/>
        <w:ind w:right="1129" w:firstLine="495"/>
        <w:jc w:val="both"/>
      </w:pPr>
      <w:r>
        <w:rPr>
          <w:spacing w:val="5"/>
        </w:rPr>
        <w:t>榕基软件公司</w:t>
      </w:r>
      <w:r>
        <w:rPr>
          <w:rFonts w:ascii="Arial" w:hAnsi="Arial" w:cs="Arial" w:eastAsia="Arial" w:hint="default"/>
          <w:spacing w:val="5"/>
        </w:rPr>
        <w:t>2019</w:t>
      </w:r>
      <w:r>
        <w:rPr>
          <w:spacing w:val="5"/>
        </w:rPr>
        <w:t>年度系统集成、软件产品及服务收入为人民币</w:t>
      </w:r>
      <w:r>
        <w:rPr>
          <w:rFonts w:ascii="Arial" w:hAnsi="Arial" w:cs="Arial" w:eastAsia="Arial" w:hint="default"/>
          <w:spacing w:val="5"/>
        </w:rPr>
        <w:t>72,210.82</w:t>
      </w:r>
      <w:r>
        <w:rPr>
          <w:spacing w:val="5"/>
        </w:rPr>
        <w:t>万元，占</w:t>
      </w:r>
      <w:r>
        <w:rPr>
          <w:rFonts w:ascii="Arial" w:hAnsi="Arial" w:cs="Arial" w:eastAsia="Arial" w:hint="default"/>
          <w:spacing w:val="5"/>
        </w:rPr>
        <w:t>2019</w:t>
      </w:r>
      <w:r>
        <w:rPr>
          <w:spacing w:val="5"/>
        </w:rPr>
        <w:t>年度营业收入的比例为</w:t>
      </w:r>
      <w:r>
        <w:rPr/>
        <w:t> </w:t>
      </w:r>
      <w:r>
        <w:rPr>
          <w:rFonts w:ascii="Arial" w:hAnsi="Arial" w:cs="Arial" w:eastAsia="Arial" w:hint="default"/>
        </w:rPr>
        <w:t>99.28%</w:t>
      </w:r>
      <w:r>
        <w:rPr/>
        <w:t>。榕基软件公司对于系统集成、软件产品及服务收入，均需在产品交付或服务提供并经对方初验或试运行合格后确</w:t>
      </w:r>
      <w:r>
        <w:rPr>
          <w:spacing w:val="-72"/>
        </w:rPr>
        <w:t> </w:t>
      </w:r>
      <w:r>
        <w:rPr>
          <w:spacing w:val="-72"/>
        </w:rPr>
      </w:r>
      <w:r>
        <w:rPr>
          <w:spacing w:val="-2"/>
        </w:rPr>
        <w:t>认收入。鉴于该部分收入金额重大且为关键业绩指标，相关验收单据由分布在国内不同地区的众多客户提供，可能存在管理</w:t>
      </w:r>
      <w:r>
        <w:rPr>
          <w:spacing w:val="-66"/>
        </w:rPr>
        <w:t> </w:t>
      </w:r>
      <w:r>
        <w:rPr>
          <w:spacing w:val="-66"/>
        </w:rPr>
      </w:r>
      <w:r>
        <w:rPr/>
        <w:t>层为了达到特定目标或期望而操纵收入确认时点的固有风险，因此我们将收入确认确定为关键审计事项。</w:t>
      </w:r>
    </w:p>
    <w:p>
      <w:pPr>
        <w:pStyle w:val="BodyText"/>
        <w:spacing w:line="417" w:lineRule="auto" w:before="146"/>
        <w:ind w:left="649" w:right="5215"/>
        <w:jc w:val="left"/>
      </w:pPr>
      <w:r>
        <w:rPr>
          <w:rFonts w:ascii="Arial" w:hAnsi="Arial" w:cs="Arial" w:eastAsia="Arial" w:hint="default"/>
        </w:rPr>
        <w:t>2</w:t>
      </w:r>
      <w:r>
        <w:rPr/>
        <w:t>、审计应对 我们针对收入确认这一关键审计事项实施的审计程序主要包括：</w:t>
      </w:r>
    </w:p>
    <w:p>
      <w:pPr>
        <w:pStyle w:val="BodyText"/>
        <w:spacing w:line="240" w:lineRule="auto" w:before="63"/>
        <w:ind w:left="649" w:right="2239"/>
        <w:jc w:val="left"/>
      </w:pPr>
      <w:r>
        <w:rPr/>
        <w:t>（</w:t>
      </w:r>
      <w:r>
        <w:rPr>
          <w:rFonts w:ascii="Arial" w:hAnsi="Arial" w:cs="Arial" w:eastAsia="Arial" w:hint="default"/>
        </w:rPr>
        <w:t>1</w:t>
      </w:r>
      <w:r>
        <w:rPr/>
        <w:t>）了解及评价与收入确认有关的内部控制设计的有效性，并测试了关键控制运行的有效性。</w:t>
      </w:r>
    </w:p>
    <w:p>
      <w:pPr>
        <w:spacing w:line="240" w:lineRule="auto" w:before="0"/>
        <w:rPr>
          <w:rFonts w:ascii="宋体" w:hAnsi="宋体" w:cs="宋体" w:eastAsia="宋体" w:hint="default"/>
          <w:sz w:val="14"/>
          <w:szCs w:val="14"/>
        </w:rPr>
      </w:pPr>
    </w:p>
    <w:p>
      <w:pPr>
        <w:pStyle w:val="BodyText"/>
        <w:spacing w:line="302" w:lineRule="auto"/>
        <w:ind w:right="1130" w:firstLine="495"/>
        <w:jc w:val="both"/>
      </w:pPr>
      <w:r>
        <w:rPr/>
        <w:t>（</w:t>
      </w:r>
      <w:r>
        <w:rPr>
          <w:rFonts w:ascii="Arial" w:hAnsi="Arial" w:cs="Arial" w:eastAsia="Arial" w:hint="default"/>
        </w:rPr>
        <w:t>2</w:t>
      </w:r>
      <w:r>
        <w:rPr/>
        <w:t>）选取样本检查销售合同及对管理层进行访谈，对与收入确认有关的重大风险及报酬转移时点进行了分析评价， 进而评价公司的收入确认政策是否符合企业会计准则的规定，并采用一致的会计处理方法。</w:t>
      </w:r>
    </w:p>
    <w:p>
      <w:pPr>
        <w:pStyle w:val="BodyText"/>
        <w:spacing w:line="240" w:lineRule="auto" w:before="149"/>
        <w:ind w:left="649" w:right="2239"/>
        <w:jc w:val="left"/>
      </w:pPr>
      <w:r>
        <w:rPr/>
        <w:t>（</w:t>
      </w:r>
      <w:r>
        <w:rPr>
          <w:rFonts w:ascii="Arial" w:hAnsi="Arial" w:cs="Arial" w:eastAsia="Arial" w:hint="default"/>
        </w:rPr>
        <w:t>3</w:t>
      </w:r>
      <w:r>
        <w:rPr/>
        <w:t>）选取样本检查与收入确认相关的支持性文件，包括销售合同、发票、客户验收单据等。</w:t>
      </w:r>
    </w:p>
    <w:p>
      <w:pPr>
        <w:spacing w:line="240" w:lineRule="auto" w:before="0"/>
        <w:rPr>
          <w:rFonts w:ascii="宋体" w:hAnsi="宋体" w:cs="宋体" w:eastAsia="宋体" w:hint="default"/>
          <w:sz w:val="14"/>
          <w:szCs w:val="14"/>
        </w:rPr>
      </w:pPr>
    </w:p>
    <w:p>
      <w:pPr>
        <w:pStyle w:val="BodyText"/>
        <w:spacing w:line="302" w:lineRule="auto"/>
        <w:ind w:right="1130" w:firstLine="495"/>
        <w:jc w:val="both"/>
      </w:pPr>
      <w:r>
        <w:rPr/>
        <w:t>（</w:t>
      </w:r>
      <w:r>
        <w:rPr>
          <w:rFonts w:ascii="Arial" w:hAnsi="Arial" w:cs="Arial" w:eastAsia="Arial" w:hint="default"/>
        </w:rPr>
        <w:t>4</w:t>
      </w:r>
      <w:r>
        <w:rPr/>
        <w:t>）针对资产负债表日前后确认的销售收入核对至客户验收单据等支持性文件，以评价销售收入是否在恰当的期间 确认。</w:t>
      </w:r>
    </w:p>
    <w:p>
      <w:pPr>
        <w:pStyle w:val="BodyText"/>
        <w:spacing w:line="302" w:lineRule="auto" w:before="149"/>
        <w:ind w:right="1130" w:firstLine="495"/>
        <w:jc w:val="both"/>
      </w:pPr>
      <w:r>
        <w:rPr/>
        <w:t>（</w:t>
      </w:r>
      <w:r>
        <w:rPr>
          <w:rFonts w:ascii="Arial" w:hAnsi="Arial" w:cs="Arial" w:eastAsia="Arial" w:hint="default"/>
        </w:rPr>
        <w:t>5</w:t>
      </w:r>
      <w:r>
        <w:rPr/>
        <w:t>）对重大、新增主要客户和与关联方的业务发生情况实施函证程序，并对这些客户进行背景调查等，检查相关业 务的真实性及交易的合理性。</w:t>
      </w:r>
    </w:p>
    <w:p>
      <w:pPr>
        <w:pStyle w:val="BodyText"/>
        <w:spacing w:line="432" w:lineRule="exact" w:before="14"/>
        <w:ind w:left="649" w:right="1030" w:hanging="14"/>
        <w:jc w:val="left"/>
      </w:pPr>
      <w:r>
        <w:rPr/>
        <w:t>四、其他信息 </w:t>
      </w:r>
      <w:r>
        <w:rPr>
          <w:spacing w:val="-2"/>
        </w:rPr>
        <w:t>榕基软件公司管理层对其他信息负责。其他信息包括榕基软件公司</w:t>
      </w:r>
      <w:r>
        <w:rPr>
          <w:rFonts w:ascii="Arial" w:hAnsi="Arial" w:cs="Arial" w:eastAsia="Arial" w:hint="default"/>
          <w:spacing w:val="-2"/>
        </w:rPr>
        <w:t>2019</w:t>
      </w:r>
      <w:r>
        <w:rPr>
          <w:spacing w:val="-2"/>
        </w:rPr>
        <w:t>年年度报告中涵盖的信息，但不包括财务报表</w:t>
      </w:r>
    </w:p>
    <w:p>
      <w:pPr>
        <w:pStyle w:val="BodyText"/>
        <w:spacing w:line="240" w:lineRule="auto" w:before="15"/>
        <w:ind w:right="2239"/>
        <w:jc w:val="left"/>
      </w:pPr>
      <w:r>
        <w:rPr/>
        <w:t>和我们的审计报告。</w:t>
      </w:r>
    </w:p>
    <w:p>
      <w:pPr>
        <w:pStyle w:val="BodyText"/>
        <w:spacing w:line="430" w:lineRule="atLeast" w:before="2"/>
        <w:ind w:left="649" w:right="1126"/>
        <w:jc w:val="left"/>
      </w:pPr>
      <w:r>
        <w:rPr/>
        <w:t>我们对财务报表发表的审计意见不涵盖其他信息，我们也不对其他信息发表任何形式的鉴证结论。 </w:t>
      </w:r>
      <w:r>
        <w:rPr>
          <w:spacing w:val="-1"/>
        </w:rPr>
        <w:t>结合我们对财务报表的审计，我们的责任是阅读其他信息，在此过程中，考虑其他信息是否与财务报表或我们在审计</w:t>
      </w:r>
    </w:p>
    <w:p>
      <w:pPr>
        <w:pStyle w:val="BodyText"/>
        <w:spacing w:line="240" w:lineRule="auto" w:before="76"/>
        <w:ind w:right="2239"/>
        <w:jc w:val="left"/>
      </w:pPr>
      <w:r>
        <w:rPr/>
        <w:t>过程中了解到的情况存在重大不一致或者似乎存在重大错报。</w:t>
      </w:r>
    </w:p>
    <w:p>
      <w:pPr>
        <w:spacing w:line="240" w:lineRule="auto" w:before="0"/>
        <w:rPr>
          <w:rFonts w:ascii="宋体" w:hAnsi="宋体" w:cs="宋体" w:eastAsia="宋体" w:hint="default"/>
          <w:sz w:val="15"/>
          <w:szCs w:val="15"/>
        </w:rPr>
      </w:pPr>
    </w:p>
    <w:p>
      <w:pPr>
        <w:pStyle w:val="BodyText"/>
        <w:spacing w:line="316" w:lineRule="auto"/>
        <w:ind w:right="1131" w:firstLine="495"/>
        <w:jc w:val="both"/>
      </w:pPr>
      <w:r>
        <w:rPr>
          <w:spacing w:val="-1"/>
        </w:rPr>
        <w:t>基于我们已执行的工作，如果我们确定其他信息存在重大错报，我们应当报告该事实。在这方面，我们无任何事项需</w:t>
      </w:r>
      <w:r>
        <w:rPr/>
        <w:t> 要报告。</w:t>
      </w:r>
    </w:p>
    <w:p>
      <w:pPr>
        <w:pStyle w:val="BodyText"/>
        <w:spacing w:line="432" w:lineRule="exact" w:before="3"/>
        <w:ind w:left="649" w:right="1126" w:hanging="14"/>
        <w:jc w:val="left"/>
      </w:pPr>
      <w:r>
        <w:rPr/>
        <w:t>五、管理层和治理层对财务报表的责任 </w:t>
      </w:r>
      <w:r>
        <w:rPr>
          <w:spacing w:val="-1"/>
        </w:rPr>
        <w:t>榕基软件公司管理层负责按照企业会计准则的规定编制财务报表，使其实现公允反映，并设计、执行和维护必要的内</w:t>
      </w:r>
    </w:p>
    <w:p>
      <w:pPr>
        <w:pStyle w:val="BodyText"/>
        <w:spacing w:line="439" w:lineRule="auto" w:before="15"/>
        <w:ind w:left="649" w:right="1126" w:hanging="496"/>
        <w:jc w:val="left"/>
      </w:pPr>
      <w:r>
        <w:rPr/>
        <w:t>部控制，以使财务报表不存在由于舞弊或错误导致的重大错报。 </w:t>
      </w:r>
      <w:r>
        <w:rPr>
          <w:spacing w:val="-1"/>
        </w:rPr>
        <w:t>在编制财务报表时，管理层负责评估榕基软件公司的持续经营能力，披露与持续经营相关的事项（如适用），并运用</w:t>
      </w:r>
    </w:p>
    <w:p>
      <w:pPr>
        <w:spacing w:after="0" w:line="439"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439" w:lineRule="auto" w:before="44"/>
        <w:ind w:left="636" w:right="3911" w:hanging="483"/>
        <w:jc w:val="left"/>
      </w:pPr>
      <w:r>
        <w:rPr/>
        <w:t>持续经营假设，除非管理层计划清算榕基软件公司、终止运营或别无其他现实的选择。 治理层负责监督榕基软件公司的财务报告过程。 六、注册会计师对财务报表审计的责任</w:t>
      </w:r>
    </w:p>
    <w:p>
      <w:pPr>
        <w:pStyle w:val="BodyText"/>
        <w:spacing w:line="316" w:lineRule="auto" w:before="47"/>
        <w:ind w:left="153" w:right="1130" w:firstLine="495"/>
        <w:jc w:val="both"/>
      </w:pPr>
      <w:r>
        <w:rPr>
          <w:spacing w:val="-1"/>
        </w:rPr>
        <w:t>我们的目标是对财务报表整体是否不存在由于舞弊或错误导致的重大错报获取合理保证，并出具包含审计意见的审计</w:t>
      </w:r>
      <w:r>
        <w:rPr/>
        <w:t> </w:t>
      </w:r>
      <w:r>
        <w:rPr>
          <w:spacing w:val="-2"/>
        </w:rPr>
        <w:t>报告。合理保证是高水平的保证，但并不能保证按照审计准则执行的审计在某一重大错报存在时总能发现。错报可能由于舞</w:t>
      </w:r>
      <w:r>
        <w:rPr>
          <w:spacing w:val="-66"/>
        </w:rPr>
        <w:t> </w:t>
      </w:r>
      <w:r>
        <w:rPr>
          <w:spacing w:val="-66"/>
        </w:rPr>
      </w:r>
      <w:r>
        <w:rPr>
          <w:spacing w:val="-2"/>
        </w:rPr>
        <w:t>弊或错误导致，如果合理预期错报单独或汇总起来可能影响财务报表使用者依据财务报表作出的经济决策，则通常认为错报</w:t>
      </w:r>
      <w:r>
        <w:rPr>
          <w:spacing w:val="-64"/>
        </w:rPr>
        <w:t> </w:t>
      </w:r>
      <w:r>
        <w:rPr>
          <w:spacing w:val="-64"/>
        </w:rPr>
      </w:r>
      <w:r>
        <w:rPr/>
        <w:t>是重大的。</w:t>
      </w:r>
    </w:p>
    <w:p>
      <w:pPr>
        <w:pStyle w:val="BodyText"/>
        <w:spacing w:line="240" w:lineRule="auto" w:before="139"/>
        <w:ind w:left="649" w:right="0"/>
        <w:jc w:val="left"/>
      </w:pPr>
      <w:r>
        <w:rPr/>
        <w:t>在按照审计准则执行审计工作的过程中，我们运用职业判断，并保持职业怀疑。同时，我们也执行以下工作：</w:t>
      </w:r>
    </w:p>
    <w:p>
      <w:pPr>
        <w:spacing w:line="240" w:lineRule="auto" w:before="0"/>
        <w:rPr>
          <w:rFonts w:ascii="宋体" w:hAnsi="宋体" w:cs="宋体" w:eastAsia="宋体" w:hint="default"/>
          <w:sz w:val="15"/>
          <w:szCs w:val="15"/>
        </w:rPr>
      </w:pPr>
    </w:p>
    <w:p>
      <w:pPr>
        <w:pStyle w:val="BodyText"/>
        <w:spacing w:line="309" w:lineRule="auto"/>
        <w:ind w:left="153" w:right="1040" w:firstLine="495"/>
        <w:jc w:val="both"/>
      </w:pPr>
      <w:r>
        <w:rPr>
          <w:spacing w:val="-1"/>
        </w:rPr>
        <w:t>（</w:t>
      </w:r>
      <w:r>
        <w:rPr>
          <w:rFonts w:ascii="Arial" w:hAnsi="Arial" w:cs="Arial" w:eastAsia="Arial" w:hint="default"/>
          <w:spacing w:val="-1"/>
        </w:rPr>
        <w:t>1</w:t>
      </w:r>
      <w:r>
        <w:rPr>
          <w:spacing w:val="-1"/>
        </w:rPr>
        <w:t>）识别和评估由于舞弊或错误导致的财务报表重大错报风险，设计和实施审计程序以应对这些风险，并获取充分、</w:t>
      </w:r>
      <w:r>
        <w:rPr/>
        <w:t> 适当的审计证据，作为发表审计意见的基础。由于舞弊可能涉及串通、伪造、故意遗漏、虚假陈述或凌驾于内部控制之上， 未能发现由于舞弊导致的重大错报的风险高于未能发现由于错误导致的重大错报的风险。</w:t>
      </w:r>
    </w:p>
    <w:p>
      <w:pPr>
        <w:pStyle w:val="BodyText"/>
        <w:spacing w:line="240" w:lineRule="auto" w:before="144"/>
        <w:ind w:left="649" w:right="0"/>
        <w:jc w:val="left"/>
      </w:pPr>
      <w:r>
        <w:rPr/>
        <w:t>（</w:t>
      </w:r>
      <w:r>
        <w:rPr>
          <w:rFonts w:ascii="Arial" w:hAnsi="Arial" w:cs="Arial" w:eastAsia="Arial" w:hint="default"/>
        </w:rPr>
        <w:t>2</w:t>
      </w:r>
      <w:r>
        <w:rPr/>
        <w:t>）了解与审计相关的内部控制，以设计恰当的审计程序，但目的并非对内部控制的有效性发表意见。</w:t>
      </w:r>
    </w:p>
    <w:p>
      <w:pPr>
        <w:spacing w:line="240" w:lineRule="auto" w:before="0"/>
        <w:rPr>
          <w:rFonts w:ascii="宋体" w:hAnsi="宋体" w:cs="宋体" w:eastAsia="宋体" w:hint="default"/>
          <w:sz w:val="14"/>
          <w:szCs w:val="14"/>
        </w:rPr>
      </w:pPr>
    </w:p>
    <w:p>
      <w:pPr>
        <w:pStyle w:val="BodyText"/>
        <w:spacing w:line="240" w:lineRule="auto"/>
        <w:ind w:left="649" w:right="2239"/>
        <w:jc w:val="left"/>
      </w:pPr>
      <w:r>
        <w:rPr/>
        <w:t>（</w:t>
      </w:r>
      <w:r>
        <w:rPr>
          <w:rFonts w:ascii="Arial" w:hAnsi="Arial" w:cs="Arial" w:eastAsia="Arial" w:hint="default"/>
        </w:rPr>
        <w:t>3</w:t>
      </w:r>
      <w:r>
        <w:rPr/>
        <w:t>）评价管理层选用会计政策的恰当性和作出会计估计及相关披露的合理性。</w:t>
      </w:r>
    </w:p>
    <w:p>
      <w:pPr>
        <w:spacing w:line="240" w:lineRule="auto" w:before="0"/>
        <w:rPr>
          <w:rFonts w:ascii="宋体" w:hAnsi="宋体" w:cs="宋体" w:eastAsia="宋体" w:hint="default"/>
          <w:sz w:val="14"/>
          <w:szCs w:val="14"/>
        </w:rPr>
      </w:pPr>
    </w:p>
    <w:p>
      <w:pPr>
        <w:pStyle w:val="BodyText"/>
        <w:spacing w:line="312" w:lineRule="auto"/>
        <w:ind w:left="153" w:right="1130" w:firstLine="495"/>
        <w:jc w:val="both"/>
      </w:pPr>
      <w:r>
        <w:rPr/>
        <w:t>（</w:t>
      </w:r>
      <w:r>
        <w:rPr>
          <w:rFonts w:ascii="Arial" w:hAnsi="Arial" w:cs="Arial" w:eastAsia="Arial" w:hint="default"/>
        </w:rPr>
        <w:t>4</w:t>
      </w:r>
      <w:r>
        <w:rPr/>
        <w:t>）对管理层使用持续经营假设的恰当性得出结论。同时，根据获取的审计证据，就可能导致对榕基软件公司的持 </w:t>
      </w:r>
      <w:r>
        <w:rPr>
          <w:spacing w:val="-2"/>
        </w:rPr>
        <w:t>续经营能力产生重大疑虑的事项或情况是否存在重大不确定性得出结论。如果我们得出结论认为存在重大不确定性，审计准</w:t>
      </w:r>
      <w:r>
        <w:rPr>
          <w:spacing w:val="-64"/>
        </w:rPr>
        <w:t> </w:t>
      </w:r>
      <w:r>
        <w:rPr>
          <w:spacing w:val="-64"/>
        </w:rPr>
      </w:r>
      <w:r>
        <w:rPr>
          <w:spacing w:val="-2"/>
        </w:rPr>
        <w:t>则要求我们在审计报告中提请报表使用者注意财务报表中的相关披露；如果披露不充分，我们应当发表非无保留意见。我们</w:t>
      </w:r>
      <w:r>
        <w:rPr>
          <w:spacing w:val="-66"/>
        </w:rPr>
        <w:t> </w:t>
      </w:r>
      <w:r>
        <w:rPr>
          <w:spacing w:val="-66"/>
        </w:rPr>
      </w:r>
      <w:r>
        <w:rPr/>
        <w:t>的结论基于截至审计报告日可获得的信息。然而，未来的事项或情况可能导致榕基软件公司不能持续经营。</w:t>
      </w:r>
    </w:p>
    <w:p>
      <w:pPr>
        <w:pStyle w:val="BodyText"/>
        <w:spacing w:line="240" w:lineRule="auto" w:before="142"/>
        <w:ind w:left="649" w:right="2239"/>
        <w:jc w:val="left"/>
      </w:pPr>
      <w:r>
        <w:rPr/>
        <w:t>（</w:t>
      </w:r>
      <w:r>
        <w:rPr>
          <w:rFonts w:ascii="Arial" w:hAnsi="Arial" w:cs="Arial" w:eastAsia="Arial" w:hint="default"/>
        </w:rPr>
        <w:t>5</w:t>
      </w:r>
      <w:r>
        <w:rPr/>
        <w:t>）评价财务报表的总体列报、结构和内容，并评价财务报表是否公允反映相关交易和事项。</w:t>
      </w:r>
    </w:p>
    <w:p>
      <w:pPr>
        <w:spacing w:line="240" w:lineRule="auto" w:before="0"/>
        <w:rPr>
          <w:rFonts w:ascii="宋体" w:hAnsi="宋体" w:cs="宋体" w:eastAsia="宋体" w:hint="default"/>
          <w:sz w:val="14"/>
          <w:szCs w:val="14"/>
        </w:rPr>
      </w:pPr>
    </w:p>
    <w:p>
      <w:pPr>
        <w:pStyle w:val="BodyText"/>
        <w:spacing w:line="302" w:lineRule="auto"/>
        <w:ind w:left="153" w:right="1131" w:firstLine="495"/>
        <w:jc w:val="both"/>
      </w:pPr>
      <w:r>
        <w:rPr/>
        <w:t>（</w:t>
      </w:r>
      <w:r>
        <w:rPr>
          <w:rFonts w:ascii="Arial" w:hAnsi="Arial" w:cs="Arial" w:eastAsia="Arial" w:hint="default"/>
        </w:rPr>
        <w:t>6</w:t>
      </w:r>
      <w:r>
        <w:rPr/>
        <w:t>）就榕基软件公司中实体或业务活动的财务信息获取充分、适当的审计证据，以对财务报表发表意见。我们负责 指导、监督和执行集团审计，并对审计意见承担全部责任。</w:t>
      </w:r>
    </w:p>
    <w:p>
      <w:pPr>
        <w:pStyle w:val="BodyText"/>
        <w:spacing w:line="316" w:lineRule="auto" w:before="149"/>
        <w:ind w:left="153" w:right="1131" w:firstLine="495"/>
        <w:jc w:val="both"/>
      </w:pPr>
      <w:r>
        <w:rPr>
          <w:spacing w:val="-1"/>
        </w:rPr>
        <w:t>我们与治理层就计划的审计范围、时间安排和重大审计发现等事项进行沟通，包括沟通我们在审计中识别出的值得关</w:t>
      </w:r>
      <w:r>
        <w:rPr/>
        <w:t> 注的内部控制缺陷。</w:t>
      </w:r>
    </w:p>
    <w:p>
      <w:pPr>
        <w:pStyle w:val="BodyText"/>
        <w:spacing w:line="316" w:lineRule="auto" w:before="139"/>
        <w:ind w:left="153" w:right="1131" w:firstLine="495"/>
        <w:jc w:val="both"/>
      </w:pPr>
      <w:r>
        <w:rPr>
          <w:spacing w:val="-1"/>
        </w:rPr>
        <w:t>我们还就已遵守与独立性相关的职业道德要求向治理层提供声明，并与治理层沟通可能被合理认为影响我们独立性的</w:t>
      </w:r>
      <w:r>
        <w:rPr/>
        <w:t> 所有关系和其他事项，以及相关的防范措施（如适用）。</w:t>
      </w:r>
    </w:p>
    <w:p>
      <w:pPr>
        <w:pStyle w:val="BodyText"/>
        <w:spacing w:line="316" w:lineRule="auto" w:before="139"/>
        <w:ind w:left="153" w:right="1131" w:firstLine="360"/>
        <w:jc w:val="both"/>
      </w:pPr>
      <w:r>
        <w:rPr>
          <w:spacing w:val="-2"/>
        </w:rPr>
        <w:t>从与治理层沟通过的事项中，我们确定哪些事项对本期财务报表审计最为重要，因而构成关键审计事项。我们在审计报</w:t>
      </w:r>
      <w:r>
        <w:rPr/>
        <w:t> </w:t>
      </w:r>
      <w:r>
        <w:rPr>
          <w:spacing w:val="-2"/>
        </w:rPr>
        <w:t>告中描述这些事项，除非法律法规禁止公开披露这些事项，或在极少数情形下，如果合理预期在审计报告中沟通某事项造成</w:t>
      </w:r>
      <w:r>
        <w:rPr>
          <w:spacing w:val="-66"/>
        </w:rPr>
        <w:t> </w:t>
      </w:r>
      <w:r>
        <w:rPr>
          <w:spacing w:val="-66"/>
        </w:rPr>
      </w:r>
      <w:r>
        <w:rPr/>
        <w:t>的负面后果超过在公众利益方面产生的益处，我们确定不应在审计报告中沟通该事项。</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10" w:h="16840"/>
          <w:pgMar w:header="747" w:footer="982" w:top="1060" w:bottom="1180" w:left="980" w:right="0"/>
        </w:sectPr>
      </w:pPr>
    </w:p>
    <w:p>
      <w:pPr>
        <w:pStyle w:val="BodyText"/>
        <w:spacing w:line="240" w:lineRule="auto" w:before="44"/>
        <w:ind w:left="163" w:right="-20"/>
        <w:jc w:val="left"/>
      </w:pPr>
      <w:r>
        <w:rPr/>
        <w:t>致同会计师事务所</w:t>
      </w:r>
    </w:p>
    <w:p>
      <w:pPr>
        <w:pStyle w:val="BodyText"/>
        <w:spacing w:line="240" w:lineRule="auto" w:before="76"/>
        <w:ind w:left="163" w:right="-20"/>
        <w:jc w:val="left"/>
      </w:pPr>
      <w:r>
        <w:rPr/>
        <w:t>（特殊普通合伙）</w:t>
      </w:r>
    </w:p>
    <w:p>
      <w:pPr>
        <w:pStyle w:val="BodyText"/>
        <w:spacing w:line="240" w:lineRule="auto" w:before="44"/>
        <w:ind w:left="163" w:right="0"/>
        <w:jc w:val="left"/>
      </w:pPr>
      <w:r>
        <w:rPr/>
        <w:br w:type="column"/>
      </w:r>
      <w:r>
        <w:rPr/>
        <w:t>中国注册会计师</w:t>
      </w:r>
    </w:p>
    <w:p>
      <w:pPr>
        <w:pStyle w:val="BodyText"/>
        <w:spacing w:line="240" w:lineRule="auto" w:before="76"/>
        <w:ind w:left="163" w:right="0"/>
        <w:jc w:val="left"/>
      </w:pPr>
      <w:r>
        <w:rPr/>
        <w:t>（项目合伙人）</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7"/>
        <w:rPr>
          <w:rFonts w:ascii="宋体" w:hAnsi="宋体" w:cs="宋体" w:eastAsia="宋体" w:hint="default"/>
          <w:sz w:val="17"/>
          <w:szCs w:val="17"/>
        </w:rPr>
      </w:pPr>
    </w:p>
    <w:p>
      <w:pPr>
        <w:pStyle w:val="BodyText"/>
        <w:spacing w:line="240" w:lineRule="auto"/>
        <w:ind w:left="163" w:right="0"/>
        <w:jc w:val="left"/>
      </w:pPr>
      <w:r>
        <w:rPr/>
        <w:t>中国注册会计师</w:t>
      </w:r>
    </w:p>
    <w:p>
      <w:pPr>
        <w:spacing w:after="0" w:line="240" w:lineRule="auto"/>
        <w:jc w:val="left"/>
        <w:sectPr>
          <w:type w:val="continuous"/>
          <w:pgSz w:w="11910" w:h="16840"/>
          <w:pgMar w:top="1060" w:bottom="1180" w:left="980" w:right="0"/>
          <w:cols w:num="2" w:equalWidth="0">
            <w:col w:w="1604" w:space="3461"/>
            <w:col w:w="5865"/>
          </w:cols>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5"/>
          <w:szCs w:val="15"/>
        </w:rPr>
      </w:pPr>
    </w:p>
    <w:p>
      <w:pPr>
        <w:pStyle w:val="BodyText"/>
        <w:tabs>
          <w:tab w:pos="4591" w:val="left" w:leader="none"/>
        </w:tabs>
        <w:spacing w:line="240" w:lineRule="auto"/>
        <w:ind w:left="163" w:right="2239"/>
        <w:jc w:val="left"/>
      </w:pPr>
      <w:r>
        <w:rPr/>
        <w:t>中国</w:t>
      </w:r>
      <w:r>
        <w:rPr>
          <w:rFonts w:ascii="Arial" w:hAnsi="Arial" w:cs="Arial" w:eastAsia="Arial" w:hint="default"/>
        </w:rPr>
        <w:t>·</w:t>
      </w:r>
      <w:r>
        <w:rPr/>
        <w:t>北京</w:t>
        <w:tab/>
        <w:t>二〇二〇年 四月二十七日</w:t>
      </w:r>
    </w:p>
    <w:p>
      <w:pPr>
        <w:spacing w:after="0" w:line="240" w:lineRule="auto"/>
        <w:jc w:val="left"/>
        <w:sectPr>
          <w:type w:val="continuous"/>
          <w:pgSz w:w="11910" w:h="16840"/>
          <w:pgMar w:top="1060" w:bottom="118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2239"/>
        <w:jc w:val="left"/>
        <w:rPr>
          <w:b w:val="0"/>
          <w:bCs w:val="0"/>
        </w:rPr>
      </w:pPr>
      <w:r>
        <w:rPr/>
        <w:t>二、财务报表</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t>财务附注中报表的单位为：元</w:t>
      </w:r>
    </w:p>
    <w:p>
      <w:pPr>
        <w:spacing w:line="240" w:lineRule="auto" w:before="10"/>
        <w:rPr>
          <w:rFonts w:ascii="宋体" w:hAnsi="宋体" w:cs="宋体" w:eastAsia="宋体" w:hint="default"/>
          <w:sz w:val="26"/>
          <w:szCs w:val="26"/>
        </w:rPr>
      </w:pPr>
    </w:p>
    <w:p>
      <w:pPr>
        <w:pStyle w:val="Heading4"/>
        <w:spacing w:line="240" w:lineRule="auto"/>
        <w:ind w:right="2239"/>
        <w:jc w:val="left"/>
        <w:rPr>
          <w:b w:val="0"/>
          <w:bCs w:val="0"/>
        </w:rPr>
      </w:pPr>
      <w:r>
        <w:rPr>
          <w:rFonts w:ascii="Arial" w:hAnsi="Arial" w:cs="Arial" w:eastAsia="Arial" w:hint="default"/>
        </w:rPr>
        <w:t>1</w:t>
      </w:r>
      <w:r>
        <w:rPr/>
        <w:t>、合并资产负债表</w:t>
      </w:r>
      <w:r>
        <w:rPr>
          <w:b w:val="0"/>
          <w:bCs w:val="0"/>
        </w:rPr>
      </w:r>
    </w:p>
    <w:p>
      <w:pPr>
        <w:spacing w:line="240" w:lineRule="auto" w:before="5"/>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0"/>
        </w:sectPr>
      </w:pPr>
    </w:p>
    <w:p>
      <w:pPr>
        <w:pStyle w:val="BodyText"/>
        <w:spacing w:line="240" w:lineRule="auto" w:before="44"/>
        <w:ind w:right="-20"/>
        <w:jc w:val="left"/>
      </w:pPr>
      <w:r>
        <w:rPr/>
        <w:t>编制单位：福建榕基软件股份有限公司</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0"/>
        <w:ind w:left="153" w:right="-12"/>
        <w:jc w:val="left"/>
      </w:pPr>
      <w:r>
        <w:rPr>
          <w:rFonts w:ascii="Arial" w:hAnsi="Arial" w:cs="Arial" w:eastAsia="Arial" w:hint="default"/>
        </w:rPr>
        <w:t>2019</w:t>
      </w:r>
      <w:r>
        <w:rPr>
          <w:rFonts w:ascii="Arial" w:hAnsi="Arial" w:cs="Arial" w:eastAsia="Arial" w:hint="default"/>
          <w:spacing w:val="-6"/>
        </w:rPr>
        <w:t> </w:t>
      </w:r>
      <w:r>
        <w:rPr/>
        <w:t>年</w:t>
      </w:r>
      <w:r>
        <w:rPr>
          <w:spacing w:val="-47"/>
        </w:rPr>
        <w:t> </w:t>
      </w:r>
      <w:r>
        <w:rPr>
          <w:rFonts w:ascii="Arial" w:hAnsi="Arial" w:cs="Arial" w:eastAsia="Arial" w:hint="default"/>
        </w:rPr>
        <w:t>12</w:t>
      </w:r>
      <w:r>
        <w:rPr>
          <w:rFonts w:ascii="Arial" w:hAnsi="Arial" w:cs="Arial" w:eastAsia="Arial" w:hint="default"/>
          <w:spacing w:val="-8"/>
        </w:rPr>
        <w:t> </w:t>
      </w:r>
      <w:r>
        <w:rPr/>
        <w:t>月</w:t>
      </w:r>
      <w:r>
        <w:rPr>
          <w:spacing w:val="-46"/>
        </w:rPr>
        <w:t> </w:t>
      </w:r>
      <w:r>
        <w:rPr>
          <w:rFonts w:ascii="Arial" w:hAnsi="Arial" w:cs="Arial" w:eastAsia="Arial" w:hint="default"/>
        </w:rPr>
        <w:t>31</w:t>
      </w:r>
      <w:r>
        <w:rPr>
          <w:rFonts w:ascii="Arial" w:hAnsi="Arial" w:cs="Arial" w:eastAsia="Arial" w:hint="default"/>
          <w:spacing w:val="-8"/>
        </w:rPr>
        <w:t> </w:t>
      </w:r>
      <w:r>
        <w:rPr/>
        <w:t>日</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0"/>
          <w:cols w:num="3" w:equalWidth="0">
            <w:col w:w="3215" w:space="822"/>
            <w:col w:w="1718" w:space="3164"/>
            <w:col w:w="201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3"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62"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364,482,457.37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330,503,276.34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320,820,000.00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10,367,217.87</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176,705,675.62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178,425,721.05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13,728,731.03</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18,545,860.03</w:t>
            </w:r>
            <w:r>
              <w:rPr>
                <w:rFonts w:ascii="Arial"/>
                <w:sz w:val="18"/>
              </w:rPr>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48,013,203.35</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55,049,415.52</w:t>
            </w:r>
            <w:r>
              <w:rPr>
                <w:rFonts w:ascii="Arial"/>
                <w:sz w:val="18"/>
              </w:rPr>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603,902.82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9"/>
              <w:jc w:val="center"/>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9,605,000.00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9,605,000.00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917,363,784.29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814,215,427.15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60,402,163.70</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450,928,507.17</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2"/>
                <w:sz w:val="18"/>
              </w:rPr>
              <w:t>1,911,883,233.23</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1,847,668,207.26</w:t>
            </w:r>
            <w:r>
              <w:rPr>
                <w:rFonts w:ascii="Arial"/>
                <w:sz w:val="18"/>
              </w:rPr>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after="0"/>
        <w:sectPr>
          <w:type w:val="continuous"/>
          <w:pgSz w:w="11910" w:h="16840"/>
          <w:pgMar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47,900,000.00</w:t>
            </w:r>
            <w:r>
              <w:rPr>
                <w:rFonts w:ascii="Arial"/>
                <w:sz w:val="18"/>
              </w:rPr>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2"/>
                <w:sz w:val="18"/>
              </w:rPr>
              <w:t>117,527,819.80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2"/>
                <w:sz w:val="18"/>
              </w:rPr>
              <w:t>117,136,960.65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95,906,363.50</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75,814,987.47</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74,816,244.95</w:t>
            </w:r>
            <w:r>
              <w:rPr>
                <w:rFonts w:ascii="Arial"/>
                <w:sz w:val="18"/>
              </w:rPr>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21,666,791.10</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23,448,537.09</w:t>
            </w:r>
            <w:r>
              <w:rPr>
                <w:rFonts w:ascii="Arial"/>
                <w:sz w:val="18"/>
              </w:rPr>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326,713,347.82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206,642,453.30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169,936,434.19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140,734,710.13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12,798,193.41</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37,558,697.72</w:t>
            </w:r>
            <w:r>
              <w:rPr>
                <w:rFonts w:ascii="Arial"/>
                <w:sz w:val="18"/>
              </w:rPr>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3,449,561.86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4,268,278.06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22,757,653.08</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22,889,269.55</w:t>
            </w:r>
            <w:r>
              <w:rPr>
                <w:rFonts w:ascii="Arial"/>
                <w:sz w:val="18"/>
              </w:rPr>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227,559.63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2,756,000.00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2"/>
                <w:sz w:val="18"/>
              </w:rPr>
              <w:t>846,798,711.86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678,151,151.45</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2,758,681,945.09</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2,525,819,358.71</w:t>
            </w:r>
            <w:r>
              <w:rPr>
                <w:rFonts w:ascii="Arial"/>
                <w:sz w:val="18"/>
              </w:rPr>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501,557,343.75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430,000,000.00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55,490,588.10</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9,189,850.00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219,055,618.78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259,248,841.19</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2"/>
                <w:sz w:val="18"/>
              </w:rPr>
              <w:t>164,196,135.11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151,235,748.51</w:t>
            </w:r>
          </w:p>
        </w:tc>
      </w:tr>
    </w:tbl>
    <w:p>
      <w:pPr>
        <w:spacing w:after="0" w:line="240" w:lineRule="auto"/>
        <w:jc w:val="right"/>
        <w:rPr>
          <w:rFonts w:ascii="Arial" w:hAnsi="Arial" w:cs="Arial" w:eastAsia="Arial"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22,797,684.07</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23,695,144.04</w:t>
            </w:r>
            <w:r>
              <w:rPr>
                <w:rFonts w:ascii="Arial"/>
                <w:sz w:val="18"/>
              </w:rPr>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14,193,325.48</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10,418,355.87</w:t>
            </w:r>
            <w:r>
              <w:rPr>
                <w:rFonts w:ascii="Arial"/>
                <w:sz w:val="18"/>
              </w:rPr>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135,893,708.19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91,575,101.42</w:t>
            </w:r>
            <w:r>
              <w:rPr>
                <w:rFonts w:ascii="Arial"/>
                <w:sz w:val="18"/>
              </w:rPr>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502,012.50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9"/>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16,291,464.35</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19,903,840.08</w:t>
            </w:r>
            <w:r>
              <w:rPr>
                <w:rFonts w:ascii="Arial"/>
                <w:sz w:val="18"/>
              </w:rPr>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1,129,475,867.83</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2"/>
                <w:sz w:val="18"/>
              </w:rPr>
              <w:t>995,266,881.11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9"/>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77,042,789.83</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68,467,959.69</w:t>
            </w:r>
            <w:r>
              <w:rPr>
                <w:rFonts w:ascii="Arial"/>
                <w:sz w:val="18"/>
              </w:rPr>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4,050,636.35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81,093,426.18</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68,467,959.69</w:t>
            </w:r>
            <w:r>
              <w:rPr>
                <w:rFonts w:ascii="Arial"/>
                <w:sz w:val="18"/>
              </w:rPr>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1,210,569,294.01</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1,063,734,840.80</w:t>
            </w:r>
            <w:r>
              <w:rPr>
                <w:rFonts w:ascii="Arial"/>
                <w:sz w:val="18"/>
              </w:rPr>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622,200,000.00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622,200,000.00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39"/>
        <w:gridCol w:w="3329"/>
        <w:gridCol w:w="3300"/>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29"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81"/>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29"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369,358,612.29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369,358,612.29</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29"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45,952,224.52</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7,403,655.99</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29"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71,463,402.20</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2"/>
                <w:sz w:val="18"/>
              </w:rPr>
              <w:t>67,571,711.68</w:t>
            </w:r>
            <w:r>
              <w:rPr>
                <w:rFonts w:ascii="Arial"/>
                <w:sz w:val="18"/>
              </w:rPr>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29"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428,572,874.09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388,870,542.81</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2"/>
                <w:sz w:val="18"/>
              </w:rPr>
              <w:t>1,537,547,113.10</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1,455,404,522.77</w:t>
            </w:r>
            <w:r>
              <w:rPr>
                <w:rFonts w:ascii="Arial"/>
                <w:sz w:val="18"/>
              </w:rPr>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10,565,537.98</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6,679,995.14</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2"/>
                <w:sz w:val="18"/>
              </w:rPr>
              <w:t>1,548,112,651.08</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1,462,084,517.91</w:t>
            </w:r>
            <w:r>
              <w:rPr>
                <w:rFonts w:ascii="Arial"/>
                <w:sz w:val="18"/>
              </w:rPr>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2,758,681,945.09</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2,525,819,358.71</w:t>
            </w:r>
            <w:r>
              <w:rPr>
                <w:rFonts w:ascii="Arial"/>
                <w:sz w:val="18"/>
              </w:rPr>
            </w:r>
          </w:p>
        </w:tc>
      </w:tr>
    </w:tbl>
    <w:p>
      <w:pPr>
        <w:spacing w:line="240" w:lineRule="auto" w:before="3"/>
        <w:rPr>
          <w:rFonts w:ascii="Times New Roman" w:hAnsi="Times New Roman" w:cs="Times New Roman" w:eastAsia="Times New Roman" w:hint="default"/>
          <w:sz w:val="23"/>
          <w:szCs w:val="23"/>
        </w:rPr>
      </w:pPr>
    </w:p>
    <w:p>
      <w:pPr>
        <w:pStyle w:val="BodyText"/>
        <w:tabs>
          <w:tab w:pos="3419" w:val="left" w:leader="none"/>
          <w:tab w:pos="7559" w:val="left" w:leader="none"/>
        </w:tabs>
        <w:spacing w:line="240" w:lineRule="auto" w:before="44"/>
        <w:ind w:left="0" w:right="1228"/>
        <w:jc w:val="right"/>
      </w:pPr>
      <w:r>
        <w:rPr/>
        <w:t>法定代表人：鲁峰</w:t>
        <w:tab/>
        <w:t>主管会计工作负责人：侯伟</w:t>
        <w:tab/>
        <w:t>会计机构负责人：镇千金</w:t>
      </w:r>
    </w:p>
    <w:p>
      <w:pPr>
        <w:spacing w:line="240" w:lineRule="auto" w:before="11"/>
        <w:rPr>
          <w:rFonts w:ascii="宋体" w:hAnsi="宋体" w:cs="宋体" w:eastAsia="宋体" w:hint="default"/>
          <w:sz w:val="26"/>
          <w:szCs w:val="26"/>
        </w:rPr>
      </w:pPr>
    </w:p>
    <w:p>
      <w:pPr>
        <w:pStyle w:val="Heading4"/>
        <w:spacing w:line="240" w:lineRule="auto"/>
        <w:ind w:right="2239"/>
        <w:jc w:val="left"/>
        <w:rPr>
          <w:b w:val="0"/>
          <w:bCs w:val="0"/>
        </w:rPr>
      </w:pPr>
      <w:r>
        <w:rPr>
          <w:rFonts w:ascii="Arial" w:hAnsi="Arial" w:cs="Arial" w:eastAsia="Arial" w:hint="default"/>
        </w:rPr>
        <w:t>2</w:t>
      </w:r>
      <w:r>
        <w:rPr/>
        <w:t>、母公司资产负债表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73"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62"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2"/>
                <w:sz w:val="18"/>
              </w:rPr>
              <w:t>136,113,602.94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160,172,932.62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278,000,000.00</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9,567,217.87</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141,750,093.41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164,739,644.24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96,324,158.44</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40,722,122.77</w:t>
            </w:r>
            <w:r>
              <w:rPr>
                <w:rFonts w:ascii="Arial"/>
                <w:sz w:val="18"/>
              </w:rPr>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1,190,692,299.51</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1,015,266,047.43</w:t>
            </w:r>
            <w:r>
              <w:rPr>
                <w:rFonts w:ascii="Arial"/>
                <w:sz w:val="18"/>
              </w:rPr>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21"/>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48,215.49</w:t>
            </w:r>
            <w:r>
              <w:rPr>
                <w:rFonts w:ascii="Arial"/>
                <w:sz w:val="18"/>
              </w:rPr>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21"/>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2"/>
                <w:sz w:val="18"/>
              </w:rPr>
              <w:t>112,415,649.66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141,620,030.24</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12,842,094.24</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336,560,742.86</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2"/>
                <w:sz w:val="18"/>
              </w:rPr>
              <w:t>1,977,705,116.07</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1,859,081,520.16</w:t>
            </w:r>
            <w:r>
              <w:rPr>
                <w:rFonts w:ascii="Arial"/>
                <w:sz w:val="18"/>
              </w:rPr>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43,400,000.00</w:t>
            </w:r>
            <w:r>
              <w:rPr>
                <w:rFonts w:ascii="Arial"/>
                <w:sz w:val="18"/>
              </w:rPr>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2"/>
                <w:sz w:val="18"/>
              </w:rPr>
              <w:t>692,074,115.51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2"/>
                <w:sz w:val="18"/>
              </w:rPr>
              <w:t>691,760,404.11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83,906,363.50</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9,662,490.64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12,918,264.27</w:t>
            </w:r>
            <w:r>
              <w:rPr>
                <w:rFonts w:ascii="Arial"/>
                <w:sz w:val="18"/>
              </w:rPr>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28,523,955.08</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2"/>
                <w:sz w:val="18"/>
              </w:rPr>
              <w:t>37,897,557.11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12,798,193.41</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8,969,539.01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3,105,906.01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4,202,108.13</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3,341,464.61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2,678,762.48</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833,412,488.76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2"/>
                <w:sz w:val="18"/>
              </w:rPr>
              <w:t>801,826,635.11</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3"/>
                <w:sz w:val="18"/>
              </w:rPr>
              <w:t>2,811,117,604.83</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2,660,908,155.27</w:t>
            </w:r>
            <w:r>
              <w:rPr>
                <w:rFonts w:ascii="Arial"/>
                <w:sz w:val="18"/>
              </w:rPr>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501,557,343.75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430,000,000.00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 期损益的金融负债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3,613,752.00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6,961,650.00</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214,304,056.42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237,303,029.20</w:t>
            </w:r>
          </w:p>
        </w:tc>
      </w:tr>
    </w:tbl>
    <w:p>
      <w:pPr>
        <w:spacing w:after="0" w:line="240" w:lineRule="auto"/>
        <w:jc w:val="right"/>
        <w:rPr>
          <w:rFonts w:ascii="Arial" w:hAnsi="Arial" w:cs="Arial" w:eastAsia="Arial"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9"/>
        <w:gridCol w:w="3317"/>
        <w:gridCol w:w="3300"/>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120,361,644.95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2"/>
                <w:sz w:val="18"/>
              </w:rPr>
              <w:t>115,195,422.00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10,222,816.34</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10,082,456.22</w:t>
            </w:r>
            <w:r>
              <w:rPr>
                <w:rFonts w:ascii="Arial"/>
                <w:sz w:val="18"/>
              </w:rPr>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4,083,884.74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5,399,464.04</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371,014,088.83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340,483,288.98</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其中：应付利息</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502,012.50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4"/>
              <w:jc w:val="center"/>
              <w:rPr>
                <w:rFonts w:ascii="宋体" w:hAnsi="宋体" w:cs="宋体" w:eastAsia="宋体" w:hint="default"/>
                <w:sz w:val="18"/>
                <w:szCs w:val="18"/>
              </w:rPr>
            </w:pPr>
            <w:r>
              <w:rPr>
                <w:rFonts w:ascii="宋体" w:hAnsi="宋体" w:cs="宋体" w:eastAsia="宋体" w:hint="default"/>
                <w:sz w:val="18"/>
                <w:szCs w:val="18"/>
              </w:rPr>
              <w:t>应付股利</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10,407,469.96</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12,791,565.70</w:t>
            </w:r>
            <w:r>
              <w:rPr>
                <w:rFonts w:ascii="Arial"/>
                <w:sz w:val="18"/>
              </w:rPr>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1,235,565,056.99</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1,158,216,876.14</w:t>
            </w:r>
            <w:r>
              <w:rPr>
                <w:rFonts w:ascii="Arial"/>
                <w:sz w:val="18"/>
              </w:rPr>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548,333.33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888,333.33</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4,050,636.35</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4,598,969.68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888,333.33</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1,240,164,026.67</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1,159,105,209.47</w:t>
            </w:r>
            <w:r>
              <w:rPr>
                <w:rFonts w:ascii="Arial"/>
                <w:sz w:val="18"/>
              </w:rPr>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331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622,200,000.00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622,200,000.00</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04"/>
              <w:jc w:val="center"/>
              <w:rPr>
                <w:rFonts w:ascii="宋体" w:hAnsi="宋体" w:cs="宋体" w:eastAsia="宋体" w:hint="default"/>
                <w:sz w:val="18"/>
                <w:szCs w:val="18"/>
              </w:rPr>
            </w:pPr>
            <w:r>
              <w:rPr>
                <w:rFonts w:ascii="宋体" w:hAnsi="宋体" w:cs="宋体" w:eastAsia="宋体" w:hint="default"/>
                <w:sz w:val="18"/>
                <w:szCs w:val="18"/>
              </w:rPr>
              <w:t>永续债</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364,193,237.65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364,193,237.65</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331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36,455,727.15</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7"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39"/>
        <w:gridCol w:w="3329"/>
        <w:gridCol w:w="3300"/>
      </w:tblGrid>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71,463,402.20</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2"/>
                <w:sz w:val="18"/>
              </w:rPr>
              <w:t>67,571,711.68</w:t>
            </w:r>
            <w:r>
              <w:rPr>
                <w:rFonts w:ascii="Arial"/>
                <w:sz w:val="18"/>
              </w:rPr>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2"/>
                <w:sz w:val="18"/>
              </w:rPr>
              <w:t>476,641,211.16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447,837,996.47</w:t>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33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1,570,953,578.16</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1,501,802,945.80</w:t>
            </w:r>
            <w:r>
              <w:rPr>
                <w:rFonts w:ascii="Arial"/>
                <w:sz w:val="18"/>
              </w:rPr>
            </w:r>
          </w:p>
        </w:tc>
      </w:tr>
      <w:tr>
        <w:trPr>
          <w:trHeight w:val="402" w:hRule="exact"/>
        </w:trPr>
        <w:tc>
          <w:tcPr>
            <w:tcW w:w="293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332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3"/>
                <w:sz w:val="18"/>
              </w:rPr>
              <w:t>2,811,117,604.83</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2,660,908,155.27</w:t>
            </w:r>
            <w:r>
              <w:rPr>
                <w:rFonts w:ascii="Arial"/>
                <w:sz w:val="18"/>
              </w:rPr>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2239"/>
        <w:jc w:val="left"/>
        <w:rPr>
          <w:b w:val="0"/>
          <w:bCs w:val="0"/>
        </w:rPr>
      </w:pPr>
      <w:r>
        <w:rPr>
          <w:rFonts w:ascii="Arial" w:hAnsi="Arial" w:cs="Arial" w:eastAsia="Arial" w:hint="default"/>
        </w:rPr>
        <w:t>3</w:t>
      </w:r>
      <w:r>
        <w:rPr/>
        <w:t>、合并利润表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21"/>
        <w:gridCol w:w="2758"/>
        <w:gridCol w:w="3277"/>
      </w:tblGrid>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9"/>
                <w:sz w:val="18"/>
                <w:szCs w:val="18"/>
              </w:rPr>
              <w:t> </w:t>
            </w:r>
            <w:r>
              <w:rPr>
                <w:rFonts w:ascii="宋体" w:hAnsi="宋体" w:cs="宋体" w:eastAsia="宋体" w:hint="default"/>
                <w:sz w:val="18"/>
                <w:szCs w:val="18"/>
              </w:rPr>
              <w:t>年度</w:t>
            </w:r>
          </w:p>
        </w:tc>
        <w:tc>
          <w:tcPr>
            <w:tcW w:w="3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9"/>
                <w:sz w:val="18"/>
                <w:szCs w:val="18"/>
              </w:rPr>
              <w:t> </w:t>
            </w:r>
            <w:r>
              <w:rPr>
                <w:rFonts w:ascii="宋体" w:hAnsi="宋体" w:cs="宋体" w:eastAsia="宋体" w:hint="default"/>
                <w:sz w:val="18"/>
                <w:szCs w:val="18"/>
              </w:rPr>
              <w:t>年度</w:t>
            </w: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27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727,322,833.38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812,488,365.82</w:t>
            </w: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27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727,322,833.38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812,488,365.82</w:t>
            </w: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758"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2758"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2758"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27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719,009,725.84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822,214,742.63</w:t>
            </w: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27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456,312,306.03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547,026,414.46</w:t>
            </w: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2758"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2758"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2758"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2758"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提取保险责任合同准备金净额</w:t>
            </w:r>
          </w:p>
        </w:tc>
        <w:tc>
          <w:tcPr>
            <w:tcW w:w="2758"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2758"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2758"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税金及附加</w:t>
            </w:r>
          </w:p>
        </w:tc>
        <w:tc>
          <w:tcPr>
            <w:tcW w:w="27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5,077,094.72</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5,428,199.03</w:t>
            </w: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27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40,293,457.57</w:t>
            </w:r>
            <w:r>
              <w:rPr>
                <w:rFonts w:ascii="Arial"/>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48,713,440.20</w:t>
            </w:r>
            <w:r>
              <w:rPr>
                <w:rFonts w:ascii="Arial"/>
                <w:sz w:val="18"/>
              </w:rPr>
            </w: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7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93,726,915.81</w:t>
            </w:r>
            <w:r>
              <w:rPr>
                <w:rFonts w:ascii="Arial"/>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96,588,592.43</w:t>
            </w:r>
            <w:r>
              <w:rPr>
                <w:rFonts w:ascii="Arial"/>
                <w:sz w:val="18"/>
              </w:rPr>
            </w: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7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102,917,280.05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106,006,467.08</w:t>
            </w: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27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20,682,671.66</w:t>
            </w:r>
            <w:r>
              <w:rPr>
                <w:rFonts w:ascii="Arial"/>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18,451,629.43</w:t>
            </w:r>
            <w:r>
              <w:rPr>
                <w:rFonts w:ascii="Arial"/>
                <w:sz w:val="18"/>
              </w:rPr>
            </w: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27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23,814,608.03</w:t>
            </w:r>
            <w:r>
              <w:rPr>
                <w:rFonts w:ascii="Arial"/>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21,835,149.17</w:t>
            </w:r>
            <w:r>
              <w:rPr>
                <w:rFonts w:ascii="Arial"/>
                <w:sz w:val="18"/>
              </w:rPr>
            </w: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31"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27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4,210,182.79</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3,362,275.28</w:t>
            </w: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27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2"/>
                <w:sz w:val="18"/>
              </w:rPr>
              <w:t>14,118,416.76</w:t>
            </w:r>
            <w:r>
              <w:rPr>
                <w:rFonts w:ascii="Arial"/>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13,432,099.56</w:t>
            </w:r>
            <w:r>
              <w:rPr>
                <w:rFonts w:ascii="Arial"/>
                <w:sz w:val="18"/>
              </w:rPr>
            </w: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7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20,824,488.19</w:t>
            </w:r>
            <w:r>
              <w:rPr>
                <w:rFonts w:ascii="Arial"/>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32,797,084.65</w:t>
            </w:r>
            <w:r>
              <w:rPr>
                <w:rFonts w:ascii="Arial"/>
                <w:sz w:val="18"/>
              </w:rPr>
            </w:r>
          </w:p>
        </w:tc>
      </w:tr>
      <w:tr>
        <w:trPr>
          <w:trHeight w:val="714"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其中：对联营企业和合营企业的投</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资收益</w:t>
            </w:r>
          </w:p>
        </w:tc>
        <w:tc>
          <w:tcPr>
            <w:tcW w:w="27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1,440,859.15</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2,451,272.88</w:t>
            </w: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1091" w:right="0"/>
              <w:jc w:val="left"/>
              <w:rPr>
                <w:rFonts w:ascii="宋体" w:hAnsi="宋体" w:cs="宋体" w:eastAsia="宋体" w:hint="default"/>
                <w:sz w:val="18"/>
                <w:szCs w:val="18"/>
              </w:rPr>
            </w:pPr>
            <w:r>
              <w:rPr>
                <w:rFonts w:ascii="宋体" w:hAnsi="宋体" w:cs="宋体" w:eastAsia="宋体" w:hint="default"/>
                <w:sz w:val="18"/>
                <w:szCs w:val="18"/>
              </w:rPr>
              <w:t>以摊余成本计量的金融资产终</w:t>
            </w:r>
          </w:p>
        </w:tc>
        <w:tc>
          <w:tcPr>
            <w:tcW w:w="2758"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521"/>
        <w:gridCol w:w="2758"/>
        <w:gridCol w:w="3277"/>
      </w:tblGrid>
      <w:tr>
        <w:trPr>
          <w:trHeight w:val="36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止确认收益</w:t>
            </w:r>
          </w:p>
        </w:tc>
        <w:tc>
          <w:tcPr>
            <w:tcW w:w="2758"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Arial" w:hAnsi="Arial" w:cs="Arial" w:eastAsia="Arial" w:hint="default"/>
                <w:sz w:val="18"/>
                <w:szCs w:val="18"/>
              </w:rPr>
              <w:t>“-”</w:t>
            </w:r>
            <w:r>
              <w:rPr>
                <w:rFonts w:ascii="宋体" w:hAnsi="宋体" w:cs="宋体" w:eastAsia="宋体" w:hint="default"/>
                <w:sz w:val="18"/>
                <w:szCs w:val="18"/>
              </w:rPr>
              <w:t>号填列）</w:t>
            </w:r>
          </w:p>
        </w:tc>
        <w:tc>
          <w:tcPr>
            <w:tcW w:w="2758"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净敞口套期收益（损失以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2758"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pacing w:val="-4"/>
                <w:sz w:val="18"/>
                <w:szCs w:val="18"/>
              </w:rPr>
              <w:t>公允价值变动收益（损失以</w:t>
            </w:r>
            <w:r>
              <w:rPr>
                <w:rFonts w:ascii="Arial" w:hAnsi="Arial" w:cs="Arial" w:eastAsia="Arial" w:hint="default"/>
                <w:spacing w:val="-4"/>
                <w:sz w:val="18"/>
                <w:szCs w:val="18"/>
              </w:rPr>
              <w:t>“</w:t>
            </w:r>
            <w:r>
              <w:rPr>
                <w:rFonts w:ascii="宋体" w:hAnsi="宋体" w:cs="宋体" w:eastAsia="宋体" w:hint="default"/>
                <w:spacing w:val="-4"/>
                <w:sz w:val="18"/>
                <w:szCs w:val="18"/>
              </w:rPr>
              <w:t>－</w:t>
            </w:r>
            <w:r>
              <w:rPr>
                <w:rFonts w:ascii="Arial" w:hAnsi="Arial" w:cs="Arial" w:eastAsia="Arial" w:hint="default"/>
                <w:spacing w:val="-4"/>
                <w:sz w:val="18"/>
                <w:szCs w:val="18"/>
              </w:rPr>
              <w:t>”</w:t>
            </w:r>
            <w:r>
              <w:rPr>
                <w:rFonts w:ascii="宋体" w:hAnsi="宋体" w:cs="宋体" w:eastAsia="宋体" w:hint="default"/>
                <w:spacing w:val="-4"/>
                <w:sz w:val="18"/>
                <w:szCs w:val="18"/>
              </w:rPr>
              <w:t>号填</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列）</w:t>
            </w:r>
          </w:p>
        </w:tc>
        <w:tc>
          <w:tcPr>
            <w:tcW w:w="2758"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Arial" w:hAnsi="Arial" w:cs="Arial" w:eastAsia="Arial" w:hint="default"/>
                <w:sz w:val="18"/>
                <w:szCs w:val="18"/>
              </w:rPr>
              <w:t>“-”</w:t>
            </w:r>
            <w:r>
              <w:rPr>
                <w:rFonts w:ascii="宋体" w:hAnsi="宋体" w:cs="宋体" w:eastAsia="宋体" w:hint="default"/>
                <w:sz w:val="18"/>
                <w:szCs w:val="18"/>
              </w:rPr>
              <w:t>号填列）</w:t>
            </w:r>
          </w:p>
        </w:tc>
        <w:tc>
          <w:tcPr>
            <w:tcW w:w="27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-9,687,401.57</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Arial" w:hAnsi="Arial" w:cs="Arial" w:eastAsia="Arial" w:hint="default"/>
                <w:sz w:val="18"/>
                <w:szCs w:val="18"/>
              </w:rPr>
              <w:t>“-”</w:t>
            </w:r>
            <w:r>
              <w:rPr>
                <w:rFonts w:ascii="宋体" w:hAnsi="宋体" w:cs="宋体" w:eastAsia="宋体" w:hint="default"/>
                <w:sz w:val="18"/>
                <w:szCs w:val="18"/>
              </w:rPr>
              <w:t>号填列）</w:t>
            </w:r>
          </w:p>
        </w:tc>
        <w:tc>
          <w:tcPr>
            <w:tcW w:w="2758"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-3,273,383.60</w:t>
            </w: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77"/>
              <w:jc w:val="righ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Arial" w:hAnsi="Arial" w:cs="Arial" w:eastAsia="Arial" w:hint="default"/>
                <w:sz w:val="18"/>
                <w:szCs w:val="18"/>
              </w:rPr>
              <w:t>“-”</w:t>
            </w:r>
            <w:r>
              <w:rPr>
                <w:rFonts w:ascii="宋体" w:hAnsi="宋体" w:cs="宋体" w:eastAsia="宋体" w:hint="default"/>
                <w:sz w:val="18"/>
                <w:szCs w:val="18"/>
              </w:rPr>
              <w:t>号填列）</w:t>
            </w:r>
          </w:p>
        </w:tc>
        <w:tc>
          <w:tcPr>
            <w:tcW w:w="27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-353,303.23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-64,734.89</w:t>
            </w:r>
            <w:r>
              <w:rPr>
                <w:rFonts w:ascii="Arial"/>
                <w:sz w:val="18"/>
              </w:rPr>
            </w: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7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33,215,307.69</w:t>
            </w:r>
            <w:r>
              <w:rPr>
                <w:rFonts w:ascii="Arial"/>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33,164,688.91</w:t>
            </w:r>
            <w:r>
              <w:rPr>
                <w:rFonts w:ascii="Arial"/>
                <w:sz w:val="18"/>
              </w:rPr>
            </w: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27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23,050,698.78</w:t>
            </w:r>
            <w:r>
              <w:rPr>
                <w:rFonts w:ascii="Arial"/>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29,692.70</w:t>
            </w:r>
            <w:r>
              <w:rPr>
                <w:rFonts w:ascii="Arial"/>
                <w:sz w:val="18"/>
              </w:rPr>
            </w: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27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385,276.83</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1,709,069.10</w:t>
            </w: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7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55,880,729.64</w:t>
            </w:r>
            <w:r>
              <w:rPr>
                <w:rFonts w:ascii="Arial"/>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31,485,312.51</w:t>
            </w:r>
            <w:r>
              <w:rPr>
                <w:rFonts w:ascii="Arial"/>
                <w:sz w:val="18"/>
              </w:rPr>
            </w: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27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2,179,165.00</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1,915,976.23</w:t>
            </w: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27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53,701,564.64</w:t>
            </w:r>
            <w:r>
              <w:rPr>
                <w:rFonts w:ascii="Arial"/>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29,569,336.28</w:t>
            </w:r>
            <w:r>
              <w:rPr>
                <w:rFonts w:ascii="Arial"/>
                <w:sz w:val="18"/>
              </w:rPr>
            </w: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（一）按经营持续性分类</w:t>
            </w:r>
          </w:p>
        </w:tc>
        <w:tc>
          <w:tcPr>
            <w:tcW w:w="275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4"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167" w:firstLine="36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持续经营净利润（净亏损以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 列）</w:t>
            </w:r>
          </w:p>
        </w:tc>
        <w:tc>
          <w:tcPr>
            <w:tcW w:w="27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Arial" w:hAnsi="Arial" w:cs="Arial" w:eastAsia="Arial" w:hint="default"/>
                <w:sz w:val="18"/>
                <w:szCs w:val="18"/>
              </w:rPr>
            </w:pPr>
            <w:r>
              <w:rPr>
                <w:rFonts w:ascii="Arial"/>
                <w:spacing w:val="-1"/>
                <w:sz w:val="18"/>
              </w:rPr>
              <w:t>53,701,564.64</w:t>
            </w:r>
            <w:r>
              <w:rPr>
                <w:rFonts w:ascii="Arial"/>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Arial" w:hAnsi="Arial" w:cs="Arial" w:eastAsia="Arial" w:hint="default"/>
                <w:sz w:val="18"/>
                <w:szCs w:val="18"/>
              </w:rPr>
            </w:pPr>
            <w:r>
              <w:rPr>
                <w:rFonts w:ascii="Arial"/>
                <w:spacing w:val="-1"/>
                <w:sz w:val="18"/>
              </w:rPr>
              <w:t>29,569,336.28</w:t>
            </w:r>
            <w:r>
              <w:rPr>
                <w:rFonts w:ascii="Arial"/>
                <w:sz w:val="18"/>
              </w:rPr>
            </w:r>
          </w:p>
        </w:tc>
      </w:tr>
      <w:tr>
        <w:trPr>
          <w:trHeight w:val="714"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167" w:firstLine="36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终止经营净利润（净亏损以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 列）</w:t>
            </w:r>
          </w:p>
        </w:tc>
        <w:tc>
          <w:tcPr>
            <w:tcW w:w="2758"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（二）按所有权归属分类</w:t>
            </w:r>
          </w:p>
        </w:tc>
        <w:tc>
          <w:tcPr>
            <w:tcW w:w="275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归属于母公司所有者的净利润</w:t>
            </w:r>
          </w:p>
        </w:tc>
        <w:tc>
          <w:tcPr>
            <w:tcW w:w="27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49,816,021.80</w:t>
            </w:r>
            <w:r>
              <w:rPr>
                <w:rFonts w:ascii="Arial"/>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33,287,713.07</w:t>
            </w:r>
            <w:r>
              <w:rPr>
                <w:rFonts w:ascii="Arial"/>
                <w:sz w:val="18"/>
              </w:rPr>
            </w: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少数股东损益</w:t>
            </w:r>
          </w:p>
        </w:tc>
        <w:tc>
          <w:tcPr>
            <w:tcW w:w="27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3,885,542.84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-3,718,376.79</w:t>
            </w: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六、其他综合收益的税后净额</w:t>
            </w:r>
          </w:p>
        </w:tc>
        <w:tc>
          <w:tcPr>
            <w:tcW w:w="27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10,808,290.76</w:t>
            </w:r>
            <w:r>
              <w:rPr>
                <w:rFonts w:ascii="Arial"/>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4,181,079.47</w:t>
            </w:r>
          </w:p>
        </w:tc>
      </w:tr>
      <w:tr>
        <w:trPr>
          <w:trHeight w:val="714"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77" w:firstLine="180"/>
              <w:jc w:val="left"/>
              <w:rPr>
                <w:rFonts w:ascii="宋体" w:hAnsi="宋体" w:cs="宋体" w:eastAsia="宋体" w:hint="default"/>
                <w:sz w:val="18"/>
                <w:szCs w:val="18"/>
              </w:rPr>
            </w:pPr>
            <w:r>
              <w:rPr>
                <w:rFonts w:ascii="宋体" w:hAnsi="宋体" w:cs="宋体" w:eastAsia="宋体" w:hint="default"/>
                <w:sz w:val="18"/>
                <w:szCs w:val="18"/>
              </w:rPr>
              <w:t>归属母公司所有者的其他综合收益的税后 净额</w:t>
            </w:r>
          </w:p>
        </w:tc>
        <w:tc>
          <w:tcPr>
            <w:tcW w:w="27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Arial" w:hAnsi="Arial" w:cs="Arial" w:eastAsia="Arial" w:hint="default"/>
                <w:sz w:val="18"/>
                <w:szCs w:val="18"/>
              </w:rPr>
            </w:pPr>
            <w:r>
              <w:rPr>
                <w:rFonts w:ascii="Arial"/>
                <w:spacing w:val="-1"/>
                <w:sz w:val="18"/>
              </w:rPr>
              <w:t>10,808,290.76</w:t>
            </w:r>
            <w:r>
              <w:rPr>
                <w:rFonts w:ascii="Arial"/>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Arial" w:hAnsi="Arial" w:cs="Arial" w:eastAsia="Arial" w:hint="default"/>
                <w:sz w:val="18"/>
                <w:szCs w:val="18"/>
              </w:rPr>
            </w:pPr>
            <w:r>
              <w:rPr>
                <w:rFonts w:ascii="Arial"/>
                <w:spacing w:val="-1"/>
                <w:sz w:val="18"/>
              </w:rPr>
              <w:t>4,181,079.47</w:t>
            </w:r>
          </w:p>
        </w:tc>
      </w:tr>
      <w:tr>
        <w:trPr>
          <w:trHeight w:val="714"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（一）不能重分类进损益的其他综合收</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益</w:t>
            </w:r>
          </w:p>
        </w:tc>
        <w:tc>
          <w:tcPr>
            <w:tcW w:w="27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8,715,449.38</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7"/>
              <w:jc w:val="right"/>
              <w:rPr>
                <w:rFonts w:ascii="宋体" w:hAnsi="宋体" w:cs="宋体" w:eastAsia="宋体" w:hint="default"/>
                <w:sz w:val="18"/>
                <w:szCs w:val="18"/>
              </w:rPr>
            </w:pPr>
            <w:r>
              <w:rPr>
                <w:rFonts w:ascii="Arial" w:hAnsi="Arial" w:cs="Arial" w:eastAsia="Arial" w:hint="default"/>
                <w:spacing w:val="-1"/>
                <w:sz w:val="18"/>
                <w:szCs w:val="18"/>
              </w:rPr>
              <w:t>1.</w:t>
            </w:r>
            <w:r>
              <w:rPr>
                <w:rFonts w:ascii="宋体" w:hAnsi="宋体" w:cs="宋体" w:eastAsia="宋体" w:hint="default"/>
                <w:spacing w:val="-1"/>
                <w:sz w:val="18"/>
                <w:szCs w:val="18"/>
              </w:rPr>
              <w:t>重新计量设定受益计划变动额</w:t>
            </w:r>
          </w:p>
        </w:tc>
        <w:tc>
          <w:tcPr>
            <w:tcW w:w="2758"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权益法下不能转损益的其他综</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合收益</w:t>
            </w:r>
          </w:p>
        </w:tc>
        <w:tc>
          <w:tcPr>
            <w:tcW w:w="2758"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其他权益工具投资公允价值变</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动</w:t>
            </w:r>
          </w:p>
        </w:tc>
        <w:tc>
          <w:tcPr>
            <w:tcW w:w="27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8,715,449.38</w:t>
            </w: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企业自身信用风险公允价值变</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动</w:t>
            </w:r>
          </w:p>
        </w:tc>
        <w:tc>
          <w:tcPr>
            <w:tcW w:w="2758"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其他</w:t>
            </w:r>
          </w:p>
        </w:tc>
        <w:tc>
          <w:tcPr>
            <w:tcW w:w="2758"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3521"/>
        <w:gridCol w:w="2758"/>
        <w:gridCol w:w="3277"/>
      </w:tblGrid>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（二）将重分类进损益的其他综合收益</w:t>
            </w:r>
          </w:p>
        </w:tc>
        <w:tc>
          <w:tcPr>
            <w:tcW w:w="27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2,092,841.38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4,181,079.47</w:t>
            </w:r>
          </w:p>
        </w:tc>
      </w:tr>
      <w:tr>
        <w:trPr>
          <w:trHeight w:val="714"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权益法下可转损益的其他综合</w:t>
            </w:r>
          </w:p>
          <w:p>
            <w:pPr>
              <w:pStyle w:val="TableParagraph"/>
              <w:spacing w:line="240" w:lineRule="auto" w:before="65"/>
              <w:ind w:left="11" w:right="0"/>
              <w:jc w:val="left"/>
              <w:rPr>
                <w:rFonts w:ascii="宋体" w:hAnsi="宋体" w:cs="宋体" w:eastAsia="宋体" w:hint="default"/>
                <w:sz w:val="18"/>
                <w:szCs w:val="18"/>
              </w:rPr>
            </w:pPr>
            <w:r>
              <w:rPr>
                <w:rFonts w:ascii="宋体" w:hAnsi="宋体" w:cs="宋体" w:eastAsia="宋体" w:hint="default"/>
                <w:sz w:val="18"/>
                <w:szCs w:val="18"/>
              </w:rPr>
              <w:t>收益</w:t>
            </w:r>
          </w:p>
        </w:tc>
        <w:tc>
          <w:tcPr>
            <w:tcW w:w="2758"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其他债权投资公允价值变动</w:t>
            </w:r>
          </w:p>
        </w:tc>
        <w:tc>
          <w:tcPr>
            <w:tcW w:w="2758"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可供出售金融资产公允价值变</w:t>
            </w:r>
          </w:p>
          <w:p>
            <w:pPr>
              <w:pStyle w:val="TableParagraph"/>
              <w:spacing w:line="240" w:lineRule="auto" w:before="65"/>
              <w:ind w:left="11" w:right="0"/>
              <w:jc w:val="left"/>
              <w:rPr>
                <w:rFonts w:ascii="宋体" w:hAnsi="宋体" w:cs="宋体" w:eastAsia="宋体" w:hint="default"/>
                <w:sz w:val="18"/>
                <w:szCs w:val="18"/>
              </w:rPr>
            </w:pPr>
            <w:r>
              <w:rPr>
                <w:rFonts w:ascii="宋体" w:hAnsi="宋体" w:cs="宋体" w:eastAsia="宋体" w:hint="default"/>
                <w:sz w:val="18"/>
                <w:szCs w:val="18"/>
              </w:rPr>
              <w:t>动损益</w:t>
            </w:r>
          </w:p>
        </w:tc>
        <w:tc>
          <w:tcPr>
            <w:tcW w:w="2758"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107" w:firstLine="90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金融资产重分类计入其他综合 收益的金额</w:t>
            </w:r>
          </w:p>
        </w:tc>
        <w:tc>
          <w:tcPr>
            <w:tcW w:w="2758"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107" w:firstLine="90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持有至到期投资重分类为可供 出售金融资产损益</w:t>
            </w:r>
          </w:p>
        </w:tc>
        <w:tc>
          <w:tcPr>
            <w:tcW w:w="2758"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其他债权投资信用减值准备</w:t>
            </w:r>
          </w:p>
        </w:tc>
        <w:tc>
          <w:tcPr>
            <w:tcW w:w="2758"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Arial" w:hAnsi="Arial" w:cs="Arial" w:eastAsia="Arial" w:hint="default"/>
                <w:sz w:val="18"/>
                <w:szCs w:val="18"/>
              </w:rPr>
              <w:t>7.</w:t>
            </w:r>
            <w:r>
              <w:rPr>
                <w:rFonts w:ascii="宋体" w:hAnsi="宋体" w:cs="宋体" w:eastAsia="宋体" w:hint="default"/>
                <w:sz w:val="18"/>
                <w:szCs w:val="18"/>
              </w:rPr>
              <w:t>现金流量套期储备</w:t>
            </w:r>
          </w:p>
        </w:tc>
        <w:tc>
          <w:tcPr>
            <w:tcW w:w="2758"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Arial" w:hAnsi="Arial" w:cs="Arial" w:eastAsia="Arial" w:hint="default"/>
                <w:sz w:val="18"/>
                <w:szCs w:val="18"/>
              </w:rPr>
              <w:t>8.</w:t>
            </w:r>
            <w:r>
              <w:rPr>
                <w:rFonts w:ascii="宋体" w:hAnsi="宋体" w:cs="宋体" w:eastAsia="宋体" w:hint="default"/>
                <w:sz w:val="18"/>
                <w:szCs w:val="18"/>
              </w:rPr>
              <w:t>外币财务报表折算差额</w:t>
            </w:r>
          </w:p>
        </w:tc>
        <w:tc>
          <w:tcPr>
            <w:tcW w:w="27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2,092,841.38</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4,181,079.47</w:t>
            </w: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Arial" w:hAnsi="Arial" w:cs="Arial" w:eastAsia="Arial" w:hint="default"/>
                <w:sz w:val="18"/>
                <w:szCs w:val="18"/>
              </w:rPr>
              <w:t>9.</w:t>
            </w:r>
            <w:r>
              <w:rPr>
                <w:rFonts w:ascii="宋体" w:hAnsi="宋体" w:cs="宋体" w:eastAsia="宋体" w:hint="default"/>
                <w:sz w:val="18"/>
                <w:szCs w:val="18"/>
              </w:rPr>
              <w:t>其他</w:t>
            </w:r>
          </w:p>
        </w:tc>
        <w:tc>
          <w:tcPr>
            <w:tcW w:w="2758"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77" w:firstLine="180"/>
              <w:jc w:val="left"/>
              <w:rPr>
                <w:rFonts w:ascii="宋体" w:hAnsi="宋体" w:cs="宋体" w:eastAsia="宋体" w:hint="default"/>
                <w:sz w:val="18"/>
                <w:szCs w:val="18"/>
              </w:rPr>
            </w:pPr>
            <w:r>
              <w:rPr>
                <w:rFonts w:ascii="宋体" w:hAnsi="宋体" w:cs="宋体" w:eastAsia="宋体" w:hint="default"/>
                <w:sz w:val="18"/>
                <w:szCs w:val="18"/>
              </w:rPr>
              <w:t>归属于少数股东的其他综合收益的税后净 额</w:t>
            </w:r>
          </w:p>
        </w:tc>
        <w:tc>
          <w:tcPr>
            <w:tcW w:w="2758" w:type="dxa"/>
            <w:tcBorders>
              <w:top w:val="single" w:sz="4" w:space="0" w:color="000000"/>
              <w:left w:val="single" w:sz="13" w:space="0" w:color="D3D3D3"/>
              <w:bottom w:val="single" w:sz="4" w:space="0" w:color="000000"/>
              <w:right w:val="single" w:sz="4" w:space="0" w:color="000000"/>
            </w:tcBorders>
          </w:tcPr>
          <w:p>
            <w:pPr/>
          </w:p>
        </w:tc>
        <w:tc>
          <w:tcPr>
            <w:tcW w:w="3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27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64,509,855.40</w:t>
            </w:r>
            <w:r>
              <w:rPr>
                <w:rFonts w:ascii="Arial"/>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33,750,415.75</w:t>
            </w:r>
            <w:r>
              <w:rPr>
                <w:rFonts w:ascii="Arial"/>
                <w:sz w:val="18"/>
              </w:rPr>
            </w: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归属于母公司所有者的综合收益总额</w:t>
            </w:r>
          </w:p>
        </w:tc>
        <w:tc>
          <w:tcPr>
            <w:tcW w:w="27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60,624,312.56</w:t>
            </w:r>
            <w:r>
              <w:rPr>
                <w:rFonts w:ascii="Arial"/>
                <w:sz w:val="18"/>
              </w:rPr>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37,468,792.54</w:t>
            </w:r>
            <w:r>
              <w:rPr>
                <w:rFonts w:ascii="Arial"/>
                <w:sz w:val="18"/>
              </w:rPr>
            </w: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27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3,885,542.84</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-3,718,376.79</w:t>
            </w: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八、每股收益：</w:t>
            </w:r>
          </w:p>
        </w:tc>
        <w:tc>
          <w:tcPr>
            <w:tcW w:w="275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277"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27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0.0801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0.0535</w:t>
            </w:r>
          </w:p>
        </w:tc>
      </w:tr>
      <w:tr>
        <w:trPr>
          <w:trHeight w:val="402" w:hRule="exact"/>
        </w:trPr>
        <w:tc>
          <w:tcPr>
            <w:tcW w:w="352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275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0.0801</w:t>
            </w:r>
          </w:p>
        </w:tc>
        <w:tc>
          <w:tcPr>
            <w:tcW w:w="3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0.0535</w:t>
            </w:r>
          </w:p>
        </w:tc>
      </w:tr>
    </w:tbl>
    <w:p>
      <w:pPr>
        <w:pStyle w:val="BodyText"/>
        <w:tabs>
          <w:tab w:pos="3573" w:val="left" w:leader="none"/>
          <w:tab w:pos="7713" w:val="left" w:leader="none"/>
        </w:tabs>
        <w:spacing w:line="624" w:lineRule="auto" w:before="51"/>
        <w:ind w:left="153" w:right="1228"/>
        <w:jc w:val="left"/>
      </w:pPr>
      <w:r>
        <w:rPr/>
        <w:t>本期发生同一控制下企业合并的，被合并方在合并前实现的净利润为：元，上期被合并方实现的净利润为：元。 法定代表人：鲁峰</w:t>
        <w:tab/>
        <w:t>主管会计工作负责人：侯伟</w:t>
        <w:tab/>
        <w:t>会计机构负责人：镇千金</w:t>
      </w:r>
    </w:p>
    <w:p>
      <w:pPr>
        <w:pStyle w:val="Heading4"/>
        <w:spacing w:line="240" w:lineRule="auto" w:before="63"/>
        <w:ind w:right="2239"/>
        <w:jc w:val="left"/>
        <w:rPr>
          <w:b w:val="0"/>
          <w:bCs w:val="0"/>
        </w:rPr>
      </w:pPr>
      <w:r>
        <w:rPr>
          <w:rFonts w:ascii="Arial" w:hAnsi="Arial" w:cs="Arial" w:eastAsia="Arial" w:hint="default"/>
        </w:rPr>
        <w:t>4</w:t>
      </w:r>
      <w:r>
        <w:rPr/>
        <w:t>、母公司利润表</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56"/>
        <w:gridCol w:w="3301"/>
        <w:gridCol w:w="3300"/>
      </w:tblGrid>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297"/>
              <w:jc w:val="right"/>
              <w:rPr>
                <w:rFonts w:ascii="宋体" w:hAnsi="宋体" w:cs="宋体" w:eastAsia="宋体" w:hint="default"/>
                <w:sz w:val="18"/>
                <w:szCs w:val="18"/>
              </w:rPr>
            </w:pPr>
            <w:r>
              <w:rPr>
                <w:rFonts w:ascii="宋体" w:hAnsi="宋体" w:cs="宋体" w:eastAsia="宋体" w:hint="default"/>
                <w:sz w:val="18"/>
                <w:szCs w:val="18"/>
              </w:rPr>
              <w:t>项目</w:t>
            </w:r>
          </w:p>
        </w:tc>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9"/>
                <w:sz w:val="18"/>
                <w:szCs w:val="18"/>
              </w:rPr>
              <w:t> </w:t>
            </w:r>
            <w:r>
              <w:rPr>
                <w:rFonts w:ascii="宋体" w:hAnsi="宋体" w:cs="宋体" w:eastAsia="宋体" w:hint="default"/>
                <w:sz w:val="18"/>
                <w:szCs w:val="18"/>
              </w:rPr>
              <w:t>年度</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9"/>
                <w:sz w:val="18"/>
                <w:szCs w:val="18"/>
              </w:rPr>
              <w:t> </w:t>
            </w:r>
            <w:r>
              <w:rPr>
                <w:rFonts w:ascii="宋体" w:hAnsi="宋体" w:cs="宋体" w:eastAsia="宋体" w:hint="default"/>
                <w:sz w:val="18"/>
                <w:szCs w:val="18"/>
              </w:rPr>
              <w:t>年度</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522,490,705.10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591,631,890.13</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385,328,900.02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430,645,879.10</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312"/>
              <w:jc w:val="right"/>
              <w:rPr>
                <w:rFonts w:ascii="宋体" w:hAnsi="宋体" w:cs="宋体" w:eastAsia="宋体" w:hint="default"/>
                <w:sz w:val="18"/>
                <w:szCs w:val="18"/>
              </w:rPr>
            </w:pPr>
            <w:r>
              <w:rPr>
                <w:rFonts w:ascii="宋体" w:hAnsi="宋体" w:cs="宋体" w:eastAsia="宋体" w:hint="default"/>
                <w:sz w:val="18"/>
                <w:szCs w:val="18"/>
              </w:rPr>
              <w:t>税金及附加</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1,869,974.28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2,150,188.76</w:t>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20,585,681.17</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24,839,089.45</w:t>
            </w:r>
            <w:r>
              <w:rPr>
                <w:rFonts w:ascii="Arial"/>
                <w:sz w:val="18"/>
              </w:rPr>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37,810,308.09</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35,298,251.03</w:t>
            </w:r>
            <w:r>
              <w:rPr>
                <w:rFonts w:ascii="Arial"/>
                <w:sz w:val="18"/>
              </w:rPr>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60,327,139.78</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62,960,031.63</w:t>
            </w:r>
            <w:r>
              <w:rPr>
                <w:rFonts w:ascii="Arial"/>
                <w:sz w:val="18"/>
              </w:rPr>
            </w:r>
          </w:p>
        </w:tc>
      </w:tr>
      <w:tr>
        <w:trPr>
          <w:trHeight w:val="402" w:hRule="exact"/>
        </w:trPr>
        <w:tc>
          <w:tcPr>
            <w:tcW w:w="2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1"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01"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18,843,872.37</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21,009,120.28</w:t>
            </w:r>
            <w:r>
              <w:rPr>
                <w:rFonts w:ascii="Arial"/>
                <w:sz w:val="18"/>
              </w:rPr>
            </w:r>
          </w:p>
        </w:tc>
      </w:tr>
    </w:tbl>
    <w:p>
      <w:pPr>
        <w:spacing w:after="0" w:line="240" w:lineRule="auto"/>
        <w:jc w:val="right"/>
        <w:rPr>
          <w:rFonts w:ascii="Arial" w:hAnsi="Arial" w:cs="Arial" w:eastAsia="Arial"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205.320007pt;margin-top:211.429993pt;width:164.5pt;height:28pt;mso-position-horizontal-relative:page;mso-position-vertical-relative:page;z-index:-1406152" coordorigin="4106,4229" coordsize="3290,560">
            <v:group style="position:absolute;left:4106;top:4632;width:3290;height:156" coordorigin="4106,4632" coordsize="3290,156">
              <v:shape style="position:absolute;left:4106;top:4632;width:3290;height:156" coordorigin="4106,4632" coordsize="3290,156" path="m4106,4788l7396,4788,7396,4632,4106,4632,4106,4788xe" filled="true" fillcolor="#ffffff" stroked="false">
                <v:path arrowok="t"/>
                <v:fill type="solid"/>
              </v:shape>
            </v:group>
            <v:group style="position:absolute;left:4118;top:4240;width:2;height:392" coordorigin="4118,4240" coordsize="2,392">
              <v:shape style="position:absolute;left:4118;top:4240;width:2;height:392" coordorigin="4118,4240" coordsize="0,392" path="m4118,4240l4118,4632e" filled="false" stroked="true" strokeweight="1.140pt" strokecolor="#ffffff">
                <v:path arrowok="t"/>
              </v:shape>
            </v:group>
            <v:group style="position:absolute;left:4129;top:4240;width:3244;height:393" coordorigin="4129,4240" coordsize="3244,393">
              <v:shape style="position:absolute;left:4129;top:4240;width:3244;height:393" coordorigin="4129,4240" coordsize="3244,393" path="m4129,4632l7373,4632,7373,4240,4129,4240,4129,4632xe" filled="true" fillcolor="#ffffff" stroked="false">
                <v:path arrowok="t"/>
                <v:fill type="solid"/>
              </v:shape>
            </v:group>
            <w10:wrap type="none"/>
          </v:group>
        </w:pict>
      </w:r>
      <w:r>
        <w:rPr/>
        <w:pict>
          <v:group style="position:absolute;margin-left:205.320007pt;margin-top:478.109985pt;width:163.35pt;height:20.8pt;mso-position-horizontal-relative:page;mso-position-vertical-relative:page;z-index:-1406128" coordorigin="4106,9562" coordsize="3267,416">
            <v:group style="position:absolute;left:4118;top:9574;width:2;height:393" coordorigin="4118,9574" coordsize="2,393">
              <v:shape style="position:absolute;left:4118;top:9574;width:2;height:393" coordorigin="4118,9574" coordsize="0,393" path="m4118,9574l4118,9966e" filled="false" stroked="true" strokeweight="1.140pt" strokecolor="#ffffff">
                <v:path arrowok="t"/>
              </v:shape>
            </v:group>
            <v:group style="position:absolute;left:4129;top:9574;width:3244;height:393" coordorigin="4129,9574" coordsize="3244,393">
              <v:shape style="position:absolute;left:4129;top:9574;width:3244;height:393" coordorigin="4129,9574" coordsize="3244,393" path="m4129,9966l7373,9966,7373,9574,4129,9574,4129,9966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7"/>
        <w:gridCol w:w="3301"/>
        <w:gridCol w:w="3300"/>
      </w:tblGrid>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宋体" w:hAnsi="宋体" w:cs="宋体" w:eastAsia="宋体" w:hint="default"/>
                <w:sz w:val="18"/>
                <w:szCs w:val="18"/>
              </w:rPr>
              <w:t>其中：利息费用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19,507,453.45</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21,835,149.17</w:t>
            </w:r>
            <w:r>
              <w:rPr>
                <w:rFonts w:ascii="Arial"/>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46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1,036,732.18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958,829.35</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加：其他收益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9,951,015.55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2"/>
                <w:sz w:val="18"/>
              </w:rPr>
              <w:t>11,133,069.91</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Arial" w:hAnsi="Arial" w:cs="Arial" w:eastAsia="Arial" w:hint="default"/>
                <w:sz w:val="18"/>
                <w:szCs w:val="18"/>
              </w:rPr>
            </w:pPr>
            <w:r>
              <w:rPr>
                <w:rFonts w:ascii="Arial"/>
                <w:spacing w:val="-1"/>
                <w:sz w:val="18"/>
              </w:rPr>
              <w:t>16,722,802.60</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Arial" w:hAnsi="Arial" w:cs="Arial" w:eastAsia="Arial" w:hint="default"/>
                <w:sz w:val="18"/>
                <w:szCs w:val="18"/>
              </w:rPr>
            </w:pPr>
            <w:r>
              <w:rPr>
                <w:rFonts w:ascii="Arial"/>
                <w:spacing w:val="-1"/>
                <w:sz w:val="18"/>
              </w:rPr>
              <w:t>28,368,560.89</w:t>
            </w:r>
            <w:r>
              <w:rPr>
                <w:rFonts w:ascii="Arial"/>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Arial" w:hAnsi="Arial" w:cs="Arial" w:eastAsia="Arial" w:hint="default"/>
                <w:sz w:val="18"/>
                <w:szCs w:val="18"/>
              </w:rPr>
            </w:pPr>
            <w:r>
              <w:rPr>
                <w:rFonts w:ascii="Arial"/>
                <w:spacing w:val="-2"/>
                <w:sz w:val="18"/>
              </w:rPr>
              <w:t>1,363,711.40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1,517,138.04</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firstLine="1080"/>
              <w:jc w:val="left"/>
              <w:rPr>
                <w:rFonts w:ascii="宋体" w:hAnsi="宋体" w:cs="宋体" w:eastAsia="宋体" w:hint="default"/>
                <w:sz w:val="18"/>
                <w:szCs w:val="18"/>
              </w:rPr>
            </w:pPr>
            <w:r>
              <w:rPr>
                <w:rFonts w:ascii="宋体" w:hAnsi="宋体" w:cs="宋体" w:eastAsia="宋体" w:hint="default"/>
                <w:sz w:val="18"/>
                <w:szCs w:val="18"/>
              </w:rPr>
              <w:t>以摊余成本计量的金融 </w:t>
            </w:r>
            <w:r>
              <w:rPr>
                <w:rFonts w:ascii="宋体" w:hAnsi="宋体" w:cs="宋体" w:eastAsia="宋体" w:hint="default"/>
                <w:spacing w:val="-4"/>
                <w:sz w:val="18"/>
                <w:szCs w:val="18"/>
              </w:rPr>
              <w:t>资产终止确认收益（损失以</w:t>
            </w:r>
            <w:r>
              <w:rPr>
                <w:rFonts w:ascii="Arial" w:hAnsi="Arial" w:cs="Arial" w:eastAsia="Arial" w:hint="default"/>
                <w:spacing w:val="-4"/>
                <w:sz w:val="18"/>
                <w:szCs w:val="18"/>
              </w:rPr>
              <w:t>“-”</w:t>
            </w:r>
            <w:r>
              <w:rPr>
                <w:rFonts w:ascii="宋体" w:hAnsi="宋体" w:cs="宋体" w:eastAsia="宋体" w:hint="default"/>
                <w:spacing w:val="-4"/>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124" w:right="0"/>
              <w:jc w:val="left"/>
              <w:rPr>
                <w:rFonts w:ascii="宋体" w:hAnsi="宋体" w:cs="宋体" w:eastAsia="宋体" w:hint="default"/>
                <w:sz w:val="18"/>
                <w:szCs w:val="18"/>
              </w:rPr>
            </w:pPr>
            <w:r>
              <w:rPr>
                <w:rFonts w:ascii="宋体" w:hAnsi="宋体" w:cs="宋体" w:eastAsia="宋体" w:hint="default"/>
                <w:sz w:val="18"/>
                <w:szCs w:val="18"/>
              </w:rPr>
              <w:t>）</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1" w:firstLine="720"/>
              <w:jc w:val="left"/>
              <w:rPr>
                <w:rFonts w:ascii="宋体" w:hAnsi="宋体" w:cs="宋体" w:eastAsia="宋体" w:hint="default"/>
                <w:sz w:val="18"/>
                <w:szCs w:val="18"/>
              </w:rPr>
            </w:pPr>
            <w:r>
              <w:rPr>
                <w:rFonts w:ascii="宋体" w:hAnsi="宋体" w:cs="宋体" w:eastAsia="宋体" w:hint="default"/>
                <w:spacing w:val="-7"/>
                <w:sz w:val="18"/>
                <w:szCs w:val="18"/>
              </w:rPr>
              <w:t>净敞口套期收益（损失以</w:t>
            </w:r>
            <w:r>
              <w:rPr>
                <w:rFonts w:ascii="Arial" w:hAnsi="Arial" w:cs="Arial" w:eastAsia="Arial" w:hint="default"/>
                <w:spacing w:val="-7"/>
                <w:sz w:val="18"/>
                <w:szCs w:val="18"/>
              </w:rPr>
              <w:t>“</w:t>
            </w:r>
            <w:r>
              <w:rPr>
                <w:rFonts w:ascii="宋体" w:hAnsi="宋体" w:cs="宋体" w:eastAsia="宋体" w:hint="default"/>
                <w:spacing w:val="-7"/>
                <w:sz w:val="18"/>
                <w:szCs w:val="18"/>
              </w:rPr>
              <w:t>－</w:t>
            </w:r>
            <w:r>
              <w:rPr>
                <w:rFonts w:ascii="Arial" w:hAnsi="Arial" w:cs="Arial" w:eastAsia="Arial" w:hint="default"/>
                <w:spacing w:val="-7"/>
                <w:sz w:val="18"/>
                <w:szCs w:val="18"/>
              </w:rPr>
              <w:t>”</w:t>
            </w:r>
            <w:r>
              <w:rPr>
                <w:rFonts w:ascii="Arial" w:hAnsi="Arial" w:cs="Arial" w:eastAsia="Arial" w:hint="default"/>
                <w:sz w:val="18"/>
                <w:szCs w:val="18"/>
              </w:rPr>
              <w:t> </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公允价值变动收益（损失以</w:t>
            </w:r>
          </w:p>
          <w:p>
            <w:pPr>
              <w:pStyle w:val="TableParagraph"/>
              <w:spacing w:line="240" w:lineRule="auto" w:before="77"/>
              <w:ind w:left="22"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信用减值损失（损失以</w:t>
            </w:r>
            <w:r>
              <w:rPr>
                <w:rFonts w:ascii="Arial" w:hAnsi="Arial" w:cs="Arial" w:eastAsia="Arial" w:hint="default"/>
                <w:sz w:val="18"/>
                <w:szCs w:val="18"/>
              </w:rPr>
              <w:t>“-”</w:t>
            </w:r>
            <w:r>
              <w:rPr>
                <w:rFonts w:ascii="宋体" w:hAnsi="宋体" w:cs="宋体" w:eastAsia="宋体" w:hint="default"/>
                <w:sz w:val="18"/>
                <w:szCs w:val="18"/>
              </w:rPr>
              <w:t>号</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Arial" w:hAnsi="Arial" w:cs="Arial" w:eastAsia="Arial" w:hint="default"/>
                <w:sz w:val="18"/>
                <w:szCs w:val="18"/>
              </w:rPr>
            </w:pPr>
            <w:r>
              <w:rPr>
                <w:rFonts w:ascii="Arial"/>
                <w:spacing w:val="-1"/>
                <w:sz w:val="18"/>
              </w:rPr>
              <w:t>-7,226,141.51</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资产减值损失（损失以</w:t>
            </w:r>
            <w:r>
              <w:rPr>
                <w:rFonts w:ascii="Arial" w:hAnsi="Arial" w:cs="Arial" w:eastAsia="Arial" w:hint="default"/>
                <w:sz w:val="18"/>
                <w:szCs w:val="18"/>
              </w:rPr>
              <w:t>“-”</w:t>
            </w:r>
            <w:r>
              <w:rPr>
                <w:rFonts w:ascii="宋体" w:hAnsi="宋体" w:cs="宋体" w:eastAsia="宋体" w:hint="default"/>
                <w:sz w:val="18"/>
                <w:szCs w:val="18"/>
              </w:rPr>
              <w:t>号</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2"/>
                <w:sz w:val="18"/>
              </w:rPr>
              <w:t>-1,237,115.89</w:t>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2" w:right="0"/>
              <w:jc w:val="left"/>
              <w:rPr>
                <w:rFonts w:ascii="宋体" w:hAnsi="宋体" w:cs="宋体" w:eastAsia="宋体" w:hint="default"/>
                <w:sz w:val="18"/>
                <w:szCs w:val="18"/>
              </w:rPr>
            </w:pPr>
            <w:r>
              <w:rPr>
                <w:rFonts w:ascii="宋体" w:hAnsi="宋体" w:cs="宋体" w:eastAsia="宋体" w:hint="default"/>
                <w:sz w:val="18"/>
                <w:szCs w:val="18"/>
              </w:rPr>
              <w:t>资产处置收益（损失以</w:t>
            </w:r>
            <w:r>
              <w:rPr>
                <w:rFonts w:ascii="Arial" w:hAnsi="Arial" w:cs="Arial" w:eastAsia="Arial" w:hint="default"/>
                <w:sz w:val="18"/>
                <w:szCs w:val="18"/>
              </w:rPr>
              <w:t>“-”</w:t>
            </w:r>
            <w:r>
              <w:rPr>
                <w:rFonts w:ascii="宋体" w:hAnsi="宋体" w:cs="宋体" w:eastAsia="宋体" w:hint="default"/>
                <w:sz w:val="18"/>
                <w:szCs w:val="18"/>
              </w:rPr>
              <w:t>号</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Arial" w:hAnsi="Arial" w:cs="Arial" w:eastAsia="Arial" w:hint="default"/>
                <w:sz w:val="18"/>
                <w:szCs w:val="18"/>
              </w:rPr>
            </w:pPr>
            <w:r>
              <w:rPr>
                <w:rFonts w:ascii="Arial"/>
                <w:spacing w:val="-1"/>
                <w:sz w:val="18"/>
              </w:rPr>
              <w:t>-81,429.60</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Arial" w:hAnsi="Arial" w:cs="Arial" w:eastAsia="Arial" w:hint="default"/>
                <w:sz w:val="18"/>
                <w:szCs w:val="18"/>
              </w:rPr>
            </w:pPr>
            <w:r>
              <w:rPr>
                <w:rFonts w:ascii="Arial"/>
                <w:spacing w:val="-3"/>
                <w:sz w:val="18"/>
              </w:rPr>
              <w:t>-11,445.54</w:t>
            </w:r>
            <w:r>
              <w:rPr>
                <w:rFonts w:ascii="Arial"/>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17,091,076.43</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52,982,399.25</w:t>
            </w:r>
            <w:r>
              <w:rPr>
                <w:rFonts w:ascii="Arial"/>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23,006,000.01</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0.15</w:t>
            </w:r>
            <w:r>
              <w:rPr>
                <w:rFonts w:ascii="Arial"/>
                <w:w w:val="95"/>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141,339.73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1,678,546.68</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90"/>
                <w:sz w:val="18"/>
                <w:szCs w:val="18"/>
              </w:rPr>
              <w:t>、</w:t>
            </w:r>
            <w:r>
              <w:rPr>
                <w:rFonts w:ascii="宋体" w:hAnsi="宋体" w:cs="宋体" w:eastAsia="宋体" w:hint="default"/>
                <w:sz w:val="18"/>
                <w:szCs w:val="18"/>
              </w:rPr>
              <w:t>利润总</w:t>
            </w:r>
            <w:r>
              <w:rPr>
                <w:rFonts w:ascii="宋体" w:hAnsi="宋体" w:cs="宋体" w:eastAsia="宋体" w:hint="default"/>
                <w:spacing w:val="-90"/>
                <w:sz w:val="18"/>
                <w:szCs w:val="18"/>
              </w:rPr>
              <w:t>额</w:t>
            </w:r>
            <w:r>
              <w:rPr>
                <w:rFonts w:ascii="宋体" w:hAnsi="宋体" w:cs="宋体" w:eastAsia="宋体" w:hint="default"/>
                <w:spacing w:val="1"/>
                <w:sz w:val="18"/>
                <w:szCs w:val="18"/>
              </w:rPr>
              <w:t>（</w:t>
            </w:r>
            <w:r>
              <w:rPr>
                <w:rFonts w:ascii="宋体" w:hAnsi="宋体" w:cs="宋体" w:eastAsia="宋体" w:hint="default"/>
                <w:sz w:val="18"/>
                <w:szCs w:val="18"/>
              </w:rPr>
              <w:t>亏损总额以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tabs>
                <w:tab w:pos="2116" w:val="left" w:leader="none"/>
              </w:tabs>
              <w:spacing w:line="240" w:lineRule="auto" w:before="51"/>
              <w:ind w:left="-124" w:right="0"/>
              <w:jc w:val="left"/>
              <w:rPr>
                <w:rFonts w:ascii="Arial" w:hAnsi="Arial" w:cs="Arial" w:eastAsia="Arial" w:hint="default"/>
                <w:sz w:val="18"/>
                <w:szCs w:val="18"/>
              </w:rPr>
            </w:pPr>
            <w:r>
              <w:rPr>
                <w:rFonts w:ascii="宋体" w:hAnsi="宋体" w:cs="宋体" w:eastAsia="宋体" w:hint="default"/>
                <w:sz w:val="18"/>
                <w:szCs w:val="18"/>
              </w:rPr>
              <w:t>）</w:t>
              <w:tab/>
            </w:r>
            <w:r>
              <w:rPr>
                <w:rFonts w:ascii="Arial" w:hAnsi="Arial" w:cs="Arial" w:eastAsia="Arial" w:hint="default"/>
                <w:sz w:val="18"/>
                <w:szCs w:val="18"/>
              </w:rPr>
              <w:t>39,955,736.71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51,303,852.72</w:t>
            </w:r>
            <w:r>
              <w:rPr>
                <w:rFonts w:ascii="Arial"/>
                <w:sz w:val="18"/>
              </w:rPr>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1,038,831.50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1,035,399.50</w:t>
            </w: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38,916,905.21</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50,268,453.22</w:t>
            </w:r>
            <w:r>
              <w:rPr>
                <w:rFonts w:ascii="Arial"/>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（一）持续经营净利润（净亏损 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Arial" w:hAnsi="Arial" w:cs="Arial" w:eastAsia="Arial" w:hint="default"/>
                <w:sz w:val="18"/>
                <w:szCs w:val="18"/>
              </w:rPr>
            </w:pPr>
            <w:r>
              <w:rPr>
                <w:rFonts w:ascii="Arial"/>
                <w:spacing w:val="-1"/>
                <w:sz w:val="18"/>
              </w:rPr>
              <w:t>38,916,905.21</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Arial" w:hAnsi="Arial" w:cs="Arial" w:eastAsia="Arial" w:hint="default"/>
                <w:sz w:val="18"/>
                <w:szCs w:val="18"/>
              </w:rPr>
            </w:pPr>
            <w:r>
              <w:rPr>
                <w:rFonts w:ascii="Arial"/>
                <w:spacing w:val="-1"/>
                <w:sz w:val="18"/>
              </w:rPr>
              <w:t>50,268,453.22</w:t>
            </w:r>
            <w:r>
              <w:rPr>
                <w:rFonts w:ascii="Arial"/>
                <w:sz w:val="18"/>
              </w:rPr>
            </w: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（二）终止经营净利润（净亏损 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五、其他综合收益的税后净额</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8,715,449.38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2" w:firstLine="360"/>
              <w:jc w:val="left"/>
              <w:rPr>
                <w:rFonts w:ascii="宋体" w:hAnsi="宋体" w:cs="宋体" w:eastAsia="宋体" w:hint="default"/>
                <w:sz w:val="18"/>
                <w:szCs w:val="18"/>
              </w:rPr>
            </w:pPr>
            <w:r>
              <w:rPr>
                <w:rFonts w:ascii="宋体" w:hAnsi="宋体" w:cs="宋体" w:eastAsia="宋体" w:hint="default"/>
                <w:sz w:val="18"/>
                <w:szCs w:val="18"/>
              </w:rPr>
              <w:t>（一）不能重分类进损益的其他 综合收益</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Arial" w:hAnsi="Arial" w:cs="Arial" w:eastAsia="Arial" w:hint="default"/>
                <w:sz w:val="18"/>
                <w:szCs w:val="18"/>
              </w:rPr>
            </w:pPr>
            <w:r>
              <w:rPr>
                <w:rFonts w:ascii="Arial"/>
                <w:spacing w:val="-1"/>
                <w:sz w:val="18"/>
              </w:rPr>
              <w:t>8,715,449.38</w:t>
            </w: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重新计量设定受益计划</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变动额</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82" w:firstLine="90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权益法下不能转损益的 其他综合收益</w:t>
            </w:r>
          </w:p>
        </w:tc>
        <w:tc>
          <w:tcPr>
            <w:tcW w:w="3301" w:type="dxa"/>
            <w:tcBorders>
              <w:top w:val="single" w:sz="4" w:space="0" w:color="000000"/>
              <w:left w:val="single" w:sz="4" w:space="0" w:color="000000"/>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left="9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其他权益工具投资公允</w:t>
            </w:r>
          </w:p>
        </w:tc>
        <w:tc>
          <w:tcPr>
            <w:tcW w:w="33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8,715,449.38</w:t>
            </w: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4"/>
        <w:gridCol w:w="3312"/>
        <w:gridCol w:w="3300"/>
      </w:tblGrid>
      <w:tr>
        <w:trPr>
          <w:trHeight w:val="36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11"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企业自身信用风险公允</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价值变动</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其他</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（二）将重分类进损益的其他综 合收益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71" w:firstLine="90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权益法下可转损益的其 他综合收益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其他债权投资公允价值</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变动</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71" w:firstLine="90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可供出售金融资产公允 价值变动损益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71" w:firstLine="90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金融资产重分类计入其 他综合收益的金额</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71" w:firstLine="90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持有至到期投资重分类 为可供出售金融资产损益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其他债权投资信用减值</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准备</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Arial" w:hAnsi="Arial" w:cs="Arial" w:eastAsia="Arial" w:hint="default"/>
                <w:sz w:val="18"/>
                <w:szCs w:val="18"/>
              </w:rPr>
              <w:t>7.</w:t>
            </w:r>
            <w:r>
              <w:rPr>
                <w:rFonts w:ascii="宋体" w:hAnsi="宋体" w:cs="宋体" w:eastAsia="宋体" w:hint="default"/>
                <w:sz w:val="18"/>
                <w:szCs w:val="18"/>
              </w:rPr>
              <w:t>现金流量套期储备</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Arial" w:hAnsi="Arial" w:cs="Arial" w:eastAsia="Arial" w:hint="default"/>
                <w:sz w:val="18"/>
                <w:szCs w:val="18"/>
              </w:rPr>
              <w:t>8.</w:t>
            </w:r>
            <w:r>
              <w:rPr>
                <w:rFonts w:ascii="宋体" w:hAnsi="宋体" w:cs="宋体" w:eastAsia="宋体" w:hint="default"/>
                <w:sz w:val="18"/>
                <w:szCs w:val="18"/>
              </w:rPr>
              <w:t>外币财务报表折算差额</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1" w:right="0"/>
              <w:jc w:val="left"/>
              <w:rPr>
                <w:rFonts w:ascii="宋体" w:hAnsi="宋体" w:cs="宋体" w:eastAsia="宋体" w:hint="default"/>
                <w:sz w:val="18"/>
                <w:szCs w:val="18"/>
              </w:rPr>
            </w:pPr>
            <w:r>
              <w:rPr>
                <w:rFonts w:ascii="Arial" w:hAnsi="Arial" w:cs="Arial" w:eastAsia="Arial" w:hint="default"/>
                <w:sz w:val="18"/>
                <w:szCs w:val="18"/>
              </w:rPr>
              <w:t>9.</w:t>
            </w:r>
            <w:r>
              <w:rPr>
                <w:rFonts w:ascii="宋体" w:hAnsi="宋体" w:cs="宋体" w:eastAsia="宋体" w:hint="default"/>
                <w:sz w:val="18"/>
                <w:szCs w:val="18"/>
              </w:rPr>
              <w:t>其他</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六、综合收益总额</w:t>
            </w:r>
          </w:p>
        </w:tc>
        <w:tc>
          <w:tcPr>
            <w:tcW w:w="331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115" w:right="0"/>
              <w:jc w:val="left"/>
              <w:rPr>
                <w:rFonts w:ascii="Arial" w:hAnsi="Arial" w:cs="Arial" w:eastAsia="Arial" w:hint="default"/>
                <w:sz w:val="18"/>
                <w:szCs w:val="18"/>
              </w:rPr>
            </w:pPr>
            <w:r>
              <w:rPr>
                <w:rFonts w:ascii="Arial"/>
                <w:sz w:val="18"/>
              </w:rPr>
              <w:t>47,632,354.59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6" w:right="0"/>
              <w:jc w:val="left"/>
              <w:rPr>
                <w:rFonts w:ascii="Arial" w:hAnsi="Arial" w:cs="Arial" w:eastAsia="Arial" w:hint="default"/>
                <w:sz w:val="18"/>
                <w:szCs w:val="18"/>
              </w:rPr>
            </w:pPr>
            <w:r>
              <w:rPr>
                <w:rFonts w:ascii="Arial"/>
                <w:sz w:val="18"/>
              </w:rPr>
              <w:t>50,268,453.22</w:t>
            </w: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七、每股收益：</w:t>
            </w:r>
          </w:p>
        </w:tc>
        <w:tc>
          <w:tcPr>
            <w:tcW w:w="33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2"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2239"/>
        <w:jc w:val="left"/>
        <w:rPr>
          <w:b w:val="0"/>
          <w:bCs w:val="0"/>
        </w:rPr>
      </w:pPr>
      <w:r>
        <w:rPr>
          <w:rFonts w:ascii="Arial" w:hAnsi="Arial" w:cs="Arial" w:eastAsia="Arial" w:hint="default"/>
        </w:rPr>
        <w:t>5</w:t>
      </w:r>
      <w:r>
        <w:rPr/>
        <w:t>、合并现金流量表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9"/>
                <w:sz w:val="18"/>
                <w:szCs w:val="18"/>
              </w:rPr>
              <w:t> </w:t>
            </w:r>
            <w:r>
              <w:rPr>
                <w:rFonts w:ascii="宋体" w:hAnsi="宋体" w:cs="宋体" w:eastAsia="宋体" w:hint="default"/>
                <w:sz w:val="18"/>
                <w:szCs w:val="18"/>
              </w:rPr>
              <w:t>年度</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9"/>
                <w:sz w:val="18"/>
                <w:szCs w:val="18"/>
              </w:rPr>
              <w:t> </w:t>
            </w:r>
            <w:r>
              <w:rPr>
                <w:rFonts w:ascii="宋体" w:hAnsi="宋体" w:cs="宋体" w:eastAsia="宋体" w:hint="default"/>
                <w:sz w:val="18"/>
                <w:szCs w:val="18"/>
              </w:rPr>
              <w:t>年度</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2017" w:right="0"/>
              <w:jc w:val="left"/>
              <w:rPr>
                <w:rFonts w:ascii="Arial" w:hAnsi="Arial" w:cs="Arial" w:eastAsia="Arial" w:hint="default"/>
                <w:sz w:val="18"/>
                <w:szCs w:val="18"/>
              </w:rPr>
            </w:pPr>
            <w:r>
              <w:rPr>
                <w:rFonts w:ascii="Arial"/>
                <w:sz w:val="18"/>
              </w:rPr>
              <w:t>808,763,336.57</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017" w:right="0"/>
              <w:jc w:val="left"/>
              <w:rPr>
                <w:rFonts w:ascii="Arial" w:hAnsi="Arial" w:cs="Arial" w:eastAsia="Arial" w:hint="default"/>
                <w:sz w:val="18"/>
                <w:szCs w:val="18"/>
              </w:rPr>
            </w:pPr>
            <w:r>
              <w:rPr>
                <w:rFonts w:ascii="Arial"/>
                <w:sz w:val="18"/>
              </w:rPr>
              <w:t>785,618,423.84</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收到再保业务现金净额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代理买卖证券收到的现金净额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390,750.30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492,659.52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43,995,097.07</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42,237,963.17</w:t>
            </w:r>
            <w:r>
              <w:rPr>
                <w:rFonts w:ascii="Arial"/>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853,149,183.94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828,349,046.53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496,464,942.33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565,426,690.10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126,801,638.71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spacing w:val="-1"/>
                <w:sz w:val="18"/>
              </w:rPr>
              <w:t>107,302,150.13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21,661,657.48</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20,666,869.60</w:t>
            </w:r>
            <w:r>
              <w:rPr>
                <w:rFonts w:ascii="Arial"/>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99,976,979.09</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108,558,073.67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744,905,217.61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801,953,783.50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108,243,966.33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26,395,263.03</w:t>
            </w:r>
            <w:r>
              <w:rPr>
                <w:rFonts w:ascii="Arial"/>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1,681,788,800.00</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2,350,791,180.00</w:t>
            </w:r>
            <w:r>
              <w:rPr>
                <w:rFonts w:ascii="Arial"/>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20,483,133.13</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36,764,482.12</w:t>
            </w:r>
            <w:r>
              <w:rPr>
                <w:rFonts w:ascii="Arial"/>
                <w:sz w:val="18"/>
              </w:rPr>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Arial" w:hAnsi="Arial" w:cs="Arial" w:eastAsia="Arial" w:hint="default"/>
                <w:sz w:val="18"/>
                <w:szCs w:val="18"/>
              </w:rPr>
            </w:pPr>
            <w:r>
              <w:rPr>
                <w:rFonts w:ascii="Arial"/>
                <w:spacing w:val="-1"/>
                <w:sz w:val="18"/>
              </w:rPr>
              <w:t>530,904.09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420,321.27</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Arial" w:hAnsi="Arial" w:cs="Arial" w:eastAsia="Arial" w:hint="default"/>
                <w:sz w:val="18"/>
                <w:szCs w:val="18"/>
              </w:rPr>
            </w:pPr>
            <w:r>
              <w:rPr>
                <w:rFonts w:ascii="Arial"/>
                <w:spacing w:val="-1"/>
                <w:sz w:val="18"/>
              </w:rPr>
              <w:t>61,000,000.00</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Arial" w:hAnsi="Arial" w:cs="Arial" w:eastAsia="Arial" w:hint="default"/>
                <w:sz w:val="18"/>
                <w:szCs w:val="18"/>
              </w:rPr>
            </w:pPr>
            <w:r>
              <w:rPr>
                <w:rFonts w:ascii="Arial"/>
                <w:spacing w:val="-1"/>
                <w:sz w:val="18"/>
              </w:rPr>
              <w:t>43,000,000.00</w:t>
            </w:r>
            <w:r>
              <w:rPr>
                <w:rFonts w:ascii="Arial"/>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1,763,802,837.22</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2,430,975,983.39</w:t>
            </w:r>
            <w:r>
              <w:rPr>
                <w:rFonts w:ascii="Arial"/>
                <w:sz w:val="18"/>
              </w:rPr>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281,013,289.50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Arial" w:hAnsi="Arial" w:cs="Arial" w:eastAsia="Arial" w:hint="default"/>
                <w:sz w:val="18"/>
                <w:szCs w:val="18"/>
              </w:rPr>
            </w:pPr>
            <w:r>
              <w:rPr>
                <w:rFonts w:ascii="Arial"/>
                <w:spacing w:val="-1"/>
                <w:sz w:val="18"/>
              </w:rPr>
              <w:t>261,998,249.61</w:t>
            </w:r>
          </w:p>
        </w:tc>
      </w:tr>
    </w:tbl>
    <w:p>
      <w:pPr>
        <w:spacing w:after="0" w:line="240" w:lineRule="auto"/>
        <w:jc w:val="right"/>
        <w:rPr>
          <w:rFonts w:ascii="Arial" w:hAnsi="Arial" w:cs="Arial" w:eastAsia="Arial"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1,532,500,000.00</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1,954,608,800.00</w:t>
            </w:r>
            <w:r>
              <w:rPr>
                <w:rFonts w:ascii="Arial"/>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1,813,513,289.50</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2,216,607,049.61</w:t>
            </w:r>
            <w:r>
              <w:rPr>
                <w:rFonts w:ascii="Arial"/>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-49,710,452.28</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214,368,933.78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1,077,092,827.79</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430,000,000.00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1,077,092,827.79</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430,000,000.00</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1,006,092,827.79</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495,000,000.00</w:t>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Arial" w:hAnsi="Arial" w:cs="Arial" w:eastAsia="Arial" w:hint="default"/>
                <w:sz w:val="18"/>
                <w:szCs w:val="18"/>
              </w:rPr>
            </w:pPr>
            <w:r>
              <w:rPr>
                <w:rFonts w:ascii="Arial"/>
                <w:spacing w:val="-1"/>
                <w:sz w:val="18"/>
              </w:rPr>
              <w:t>29,981,276.78</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Arial" w:hAnsi="Arial" w:cs="Arial" w:eastAsia="Arial" w:hint="default"/>
                <w:sz w:val="18"/>
                <w:szCs w:val="18"/>
              </w:rPr>
            </w:pPr>
            <w:r>
              <w:rPr>
                <w:rFonts w:ascii="Arial"/>
                <w:spacing w:val="-1"/>
                <w:sz w:val="18"/>
              </w:rPr>
              <w:t>28,096,167.92</w:t>
            </w:r>
            <w:r>
              <w:rPr>
                <w:rFonts w:ascii="Arial"/>
                <w:sz w:val="18"/>
              </w:rPr>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3"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1,036,074,104.57</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523,096,167.92</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41,018,723.22</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-93,096,167.92</w:t>
            </w:r>
            <w:r>
              <w:rPr>
                <w:rFonts w:ascii="Arial"/>
                <w:sz w:val="18"/>
              </w:rPr>
            </w:r>
          </w:p>
        </w:tc>
      </w:tr>
      <w:tr>
        <w:trPr>
          <w:trHeight w:val="714"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4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Arial" w:hAnsi="Arial" w:cs="Arial" w:eastAsia="Arial" w:hint="default"/>
                <w:sz w:val="18"/>
                <w:szCs w:val="18"/>
              </w:rPr>
            </w:pPr>
            <w:r>
              <w:rPr>
                <w:rFonts w:ascii="Arial"/>
                <w:spacing w:val="-1"/>
                <w:sz w:val="18"/>
              </w:rPr>
              <w:t>1,608,780.45</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4,517,236.28</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101,161,017.72</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152,185,265.17</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244,109,281.19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91,924,016.02</w:t>
            </w:r>
            <w:r>
              <w:rPr>
                <w:rFonts w:ascii="Arial"/>
                <w:sz w:val="18"/>
              </w:rPr>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345,270,298.91</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244,109,281.19</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2239"/>
        <w:jc w:val="left"/>
        <w:rPr>
          <w:b w:val="0"/>
          <w:bCs w:val="0"/>
        </w:rPr>
      </w:pPr>
      <w:r>
        <w:rPr>
          <w:rFonts w:ascii="Arial" w:hAnsi="Arial" w:cs="Arial" w:eastAsia="Arial" w:hint="default"/>
        </w:rPr>
        <w:t>6</w:t>
      </w:r>
      <w:r>
        <w:rPr/>
        <w:t>、母公司现金流量表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3"/>
        <w:gridCol w:w="3313"/>
        <w:gridCol w:w="3300"/>
      </w:tblGrid>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9"/>
                <w:sz w:val="18"/>
                <w:szCs w:val="18"/>
              </w:rPr>
              <w:t> </w:t>
            </w:r>
            <w:r>
              <w:rPr>
                <w:rFonts w:ascii="宋体" w:hAnsi="宋体" w:cs="宋体" w:eastAsia="宋体" w:hint="default"/>
                <w:sz w:val="18"/>
                <w:szCs w:val="18"/>
              </w:rPr>
              <w:t>年度</w:t>
            </w: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9"/>
                <w:sz w:val="18"/>
                <w:szCs w:val="18"/>
              </w:rPr>
              <w:t> </w:t>
            </w:r>
            <w:r>
              <w:rPr>
                <w:rFonts w:ascii="宋体" w:hAnsi="宋体" w:cs="宋体" w:eastAsia="宋体" w:hint="default"/>
                <w:sz w:val="18"/>
                <w:szCs w:val="18"/>
              </w:rPr>
              <w:t>年度</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582,329,314.58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510,026,444.93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172,688.74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385,575.13</w:t>
            </w: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41"/>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33,445,895.78</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2"/>
                <w:sz w:val="18"/>
              </w:rPr>
              <w:t>154,011,377.84</w:t>
            </w:r>
          </w:p>
        </w:tc>
      </w:tr>
    </w:tbl>
    <w:p>
      <w:pPr>
        <w:spacing w:after="0" w:line="240" w:lineRule="auto"/>
        <w:jc w:val="right"/>
        <w:rPr>
          <w:rFonts w:ascii="Arial" w:hAnsi="Arial" w:cs="Arial" w:eastAsia="Arial"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38"/>
        <w:gridCol w:w="3318"/>
        <w:gridCol w:w="3300"/>
      </w:tblGrid>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615,947,899.10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664,423,397.90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472,918,836.46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393,965,030.13</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7"/>
              <w:ind w:left="11"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Arial" w:hAnsi="Arial" w:cs="Arial" w:eastAsia="Arial" w:hint="default"/>
                <w:sz w:val="18"/>
                <w:szCs w:val="18"/>
              </w:rPr>
            </w:pPr>
            <w:r>
              <w:rPr>
                <w:rFonts w:ascii="Arial"/>
                <w:spacing w:val="-1"/>
                <w:sz w:val="18"/>
              </w:rPr>
              <w:t>51,734,814.72</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Arial" w:hAnsi="Arial" w:cs="Arial" w:eastAsia="Arial" w:hint="default"/>
                <w:sz w:val="18"/>
                <w:szCs w:val="18"/>
              </w:rPr>
            </w:pPr>
            <w:r>
              <w:rPr>
                <w:rFonts w:ascii="Arial"/>
                <w:spacing w:val="-1"/>
                <w:sz w:val="18"/>
              </w:rPr>
              <w:t>42,164,792.79</w:t>
            </w:r>
            <w:r>
              <w:rPr>
                <w:rFonts w:ascii="Arial"/>
                <w:sz w:val="18"/>
              </w:rPr>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12,413,452.29</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2"/>
                <w:sz w:val="18"/>
              </w:rPr>
              <w:t>11,983,712.85</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240,206,949.36</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429,146,433.53</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777,274,052.83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877,259,969.30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-161,326,153.73</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-212,836,571.40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1,089,000,000.00</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1,758,000,000.00</w:t>
            </w:r>
            <w:r>
              <w:rPr>
                <w:rFonts w:ascii="Arial"/>
                <w:sz w:val="18"/>
              </w:rPr>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取得投资收益收到的现金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16,409,091.20</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26,816,064.82</w:t>
            </w:r>
            <w:r>
              <w:rPr>
                <w:rFonts w:ascii="Arial"/>
                <w:sz w:val="18"/>
              </w:rPr>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Arial" w:hAnsi="Arial" w:cs="Arial" w:eastAsia="Arial" w:hint="default"/>
                <w:sz w:val="18"/>
                <w:szCs w:val="18"/>
              </w:rPr>
            </w:pPr>
            <w:r>
              <w:rPr>
                <w:rFonts w:ascii="Arial"/>
                <w:spacing w:val="-1"/>
                <w:sz w:val="18"/>
              </w:rPr>
              <w:t>183,000.00</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102,000.00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Arial" w:hAnsi="Arial" w:cs="Arial" w:eastAsia="Arial" w:hint="default"/>
                <w:sz w:val="18"/>
                <w:szCs w:val="18"/>
              </w:rPr>
            </w:pPr>
            <w:r>
              <w:rPr>
                <w:rFonts w:ascii="Arial"/>
                <w:spacing w:val="-1"/>
                <w:sz w:val="18"/>
              </w:rPr>
              <w:t>50,000,000.00</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Arial" w:hAnsi="Arial" w:cs="Arial" w:eastAsia="Arial" w:hint="default"/>
                <w:sz w:val="18"/>
                <w:szCs w:val="18"/>
              </w:rPr>
            </w:pPr>
            <w:r>
              <w:rPr>
                <w:rFonts w:ascii="Arial"/>
                <w:spacing w:val="-1"/>
                <w:sz w:val="18"/>
              </w:rPr>
              <w:t>43,000,000.00</w:t>
            </w:r>
            <w:r>
              <w:rPr>
                <w:rFonts w:ascii="Arial"/>
                <w:sz w:val="18"/>
              </w:rPr>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1,155,592,091.20</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1,827,918,064.82</w:t>
            </w:r>
            <w:r>
              <w:rPr>
                <w:rFonts w:ascii="Arial"/>
                <w:sz w:val="18"/>
              </w:rPr>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Arial" w:hAnsi="Arial" w:cs="Arial" w:eastAsia="Arial" w:hint="default"/>
                <w:sz w:val="18"/>
                <w:szCs w:val="18"/>
              </w:rPr>
            </w:pPr>
            <w:r>
              <w:rPr>
                <w:rFonts w:ascii="Arial"/>
                <w:spacing w:val="-1"/>
                <w:sz w:val="18"/>
              </w:rPr>
              <w:t>16,650,281.47</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Arial" w:hAnsi="Arial" w:cs="Arial" w:eastAsia="Arial" w:hint="default"/>
                <w:sz w:val="18"/>
                <w:szCs w:val="18"/>
              </w:rPr>
            </w:pPr>
            <w:r>
              <w:rPr>
                <w:rFonts w:ascii="Arial"/>
                <w:spacing w:val="-1"/>
                <w:sz w:val="18"/>
              </w:rPr>
              <w:t>17,536,042.70</w:t>
            </w:r>
            <w:r>
              <w:rPr>
                <w:rFonts w:ascii="Arial"/>
                <w:sz w:val="18"/>
              </w:rPr>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1,050,000,000.00</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1,412,000,000.00</w:t>
            </w:r>
            <w:r>
              <w:rPr>
                <w:rFonts w:ascii="Arial"/>
                <w:sz w:val="18"/>
              </w:rPr>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1,066,650,281.47</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1,429,536,042.70</w:t>
            </w:r>
            <w:r>
              <w:rPr>
                <w:rFonts w:ascii="Arial"/>
                <w:sz w:val="18"/>
              </w:rPr>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88,941,809.73</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398,382,022.12</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30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920,999,982.38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430,000,000.00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920,999,982.38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430,000,000.00</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849,999,982.38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495,000,000.00</w:t>
            </w:r>
          </w:p>
        </w:tc>
      </w:tr>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Arial" w:hAnsi="Arial" w:cs="Arial" w:eastAsia="Arial" w:hint="default"/>
                <w:sz w:val="18"/>
                <w:szCs w:val="18"/>
              </w:rPr>
            </w:pPr>
            <w:r>
              <w:rPr>
                <w:rFonts w:ascii="Arial"/>
                <w:spacing w:val="-1"/>
                <w:sz w:val="18"/>
              </w:rPr>
              <w:t>25,674,122.20</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Arial" w:hAnsi="Arial" w:cs="Arial" w:eastAsia="Arial" w:hint="default"/>
                <w:sz w:val="18"/>
                <w:szCs w:val="18"/>
              </w:rPr>
            </w:pPr>
            <w:r>
              <w:rPr>
                <w:rFonts w:ascii="Arial"/>
                <w:spacing w:val="-1"/>
                <w:sz w:val="18"/>
              </w:rPr>
              <w:t>28,096,167.92</w:t>
            </w:r>
            <w:r>
              <w:rPr>
                <w:rFonts w:ascii="Arial"/>
                <w:sz w:val="18"/>
              </w:rPr>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8" w:type="dxa"/>
            <w:tcBorders>
              <w:top w:val="single" w:sz="4" w:space="0" w:color="000000"/>
              <w:left w:val="single" w:sz="13" w:space="0" w:color="D3D3D3"/>
              <w:bottom w:val="single" w:sz="4" w:space="0" w:color="000000"/>
              <w:right w:val="single" w:sz="4" w:space="0" w:color="000000"/>
            </w:tcBorders>
          </w:tcPr>
          <w:p>
            <w:pPr/>
          </w:p>
        </w:tc>
        <w:tc>
          <w:tcPr>
            <w:tcW w:w="330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875,674,104.58</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523,096,167.92</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45,325,877.80</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-93,096,167.92</w:t>
            </w:r>
            <w:r>
              <w:rPr>
                <w:rFonts w:ascii="Arial"/>
                <w:sz w:val="18"/>
              </w:rPr>
            </w:r>
          </w:p>
        </w:tc>
      </w:tr>
    </w:tbl>
    <w:p>
      <w:pPr>
        <w:spacing w:after="0" w:line="240" w:lineRule="auto"/>
        <w:jc w:val="right"/>
        <w:rPr>
          <w:rFonts w:ascii="Arial" w:hAnsi="Arial" w:cs="Arial" w:eastAsia="Arial"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38"/>
        <w:gridCol w:w="3330"/>
        <w:gridCol w:w="3300"/>
      </w:tblGrid>
      <w:tr>
        <w:trPr>
          <w:trHeight w:val="714"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Arial" w:hAnsi="Arial" w:cs="Arial" w:eastAsia="Arial" w:hint="default"/>
                <w:sz w:val="18"/>
                <w:szCs w:val="18"/>
              </w:rPr>
            </w:pPr>
            <w:r>
              <w:rPr>
                <w:rFonts w:ascii="Arial"/>
                <w:spacing w:val="-1"/>
                <w:sz w:val="18"/>
              </w:rPr>
              <w:t>62,903.75</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Arial" w:hAnsi="Arial" w:cs="Arial" w:eastAsia="Arial" w:hint="default"/>
                <w:sz w:val="18"/>
                <w:szCs w:val="18"/>
              </w:rPr>
            </w:pPr>
            <w:r>
              <w:rPr>
                <w:rFonts w:ascii="Arial"/>
                <w:spacing w:val="-1"/>
                <w:sz w:val="18"/>
              </w:rPr>
              <w:t>126,045.39</w:t>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-26,995,562.45</w:t>
            </w:r>
            <w:r>
              <w:rPr>
                <w:rFonts w:ascii="Arial"/>
                <w:sz w:val="18"/>
              </w:rPr>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92,575,328.19</w:t>
            </w:r>
            <w:r>
              <w:rPr>
                <w:rFonts w:ascii="Arial"/>
                <w:sz w:val="18"/>
              </w:rPr>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147,034,098.64</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54,458,770.45</w:t>
            </w:r>
            <w:r>
              <w:rPr>
                <w:rFonts w:ascii="Arial"/>
                <w:sz w:val="18"/>
              </w:rPr>
            </w:r>
          </w:p>
        </w:tc>
      </w:tr>
      <w:tr>
        <w:trPr>
          <w:trHeight w:val="402" w:hRule="exact"/>
        </w:trPr>
        <w:tc>
          <w:tcPr>
            <w:tcW w:w="293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3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120,038,536.19</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147,034,098.64</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2239"/>
        <w:jc w:val="left"/>
        <w:rPr>
          <w:b w:val="0"/>
          <w:bCs w:val="0"/>
        </w:rPr>
      </w:pPr>
      <w:r>
        <w:rPr>
          <w:rFonts w:ascii="Arial" w:hAnsi="Arial" w:cs="Arial" w:eastAsia="Arial" w:hint="default"/>
        </w:rPr>
        <w:t>7</w:t>
      </w:r>
      <w:r>
        <w:rPr/>
        <w:t>、合并所有者权益变动表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2239"/>
        <w:jc w:val="left"/>
      </w:pPr>
      <w:r>
        <w:rPr/>
        <w:t>本期金额</w:t>
      </w:r>
    </w:p>
    <w:p>
      <w:pPr>
        <w:pStyle w:val="BodyText"/>
        <w:spacing w:line="240" w:lineRule="auto" w:before="117"/>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30"/>
        <w:gridCol w:w="505"/>
        <w:gridCol w:w="466"/>
        <w:gridCol w:w="468"/>
        <w:gridCol w:w="468"/>
        <w:gridCol w:w="582"/>
        <w:gridCol w:w="584"/>
        <w:gridCol w:w="584"/>
        <w:gridCol w:w="583"/>
        <w:gridCol w:w="583"/>
        <w:gridCol w:w="584"/>
        <w:gridCol w:w="584"/>
        <w:gridCol w:w="583"/>
        <w:gridCol w:w="584"/>
        <w:gridCol w:w="584"/>
        <w:gridCol w:w="577"/>
      </w:tblGrid>
      <w:tr>
        <w:trPr>
          <w:trHeight w:val="402" w:hRule="exact"/>
        </w:trPr>
        <w:tc>
          <w:tcPr>
            <w:tcW w:w="1230" w:type="dxa"/>
            <w:vMerge w:val="restart"/>
            <w:tcBorders>
              <w:top w:val="single" w:sz="4" w:space="0" w:color="000000"/>
              <w:left w:val="single" w:sz="4" w:space="0" w:color="000000"/>
              <w:right w:val="single" w:sz="4" w:space="0" w:color="000000"/>
            </w:tcBorders>
            <w:shd w:val="clear" w:color="auto" w:fill="D3D3D3"/>
          </w:tcPr>
          <w:p>
            <w:pPr/>
          </w:p>
        </w:tc>
        <w:tc>
          <w:tcPr>
            <w:tcW w:w="8321" w:type="dxa"/>
            <w:gridSpan w:val="1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 w:right="0"/>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9"/>
                <w:sz w:val="18"/>
                <w:szCs w:val="18"/>
              </w:rPr>
              <w:t> </w:t>
            </w:r>
            <w:r>
              <w:rPr>
                <w:rFonts w:ascii="宋体" w:hAnsi="宋体" w:cs="宋体" w:eastAsia="宋体" w:hint="default"/>
                <w:sz w:val="18"/>
                <w:szCs w:val="18"/>
              </w:rPr>
              <w:t>年度</w:t>
            </w:r>
          </w:p>
        </w:tc>
      </w:tr>
      <w:tr>
        <w:trPr>
          <w:trHeight w:val="95" w:hRule="exact"/>
        </w:trPr>
        <w:tc>
          <w:tcPr>
            <w:tcW w:w="1230" w:type="dxa"/>
            <w:vMerge/>
            <w:tcBorders>
              <w:left w:val="single" w:sz="4" w:space="0" w:color="000000"/>
              <w:right w:val="single" w:sz="4" w:space="0" w:color="000000"/>
            </w:tcBorders>
            <w:shd w:val="clear" w:color="auto" w:fill="D3D3D3"/>
          </w:tcPr>
          <w:p>
            <w:pPr/>
          </w:p>
        </w:tc>
        <w:tc>
          <w:tcPr>
            <w:tcW w:w="7160" w:type="dxa"/>
            <w:gridSpan w:val="1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584" w:type="dxa"/>
            <w:vMerge w:val="restart"/>
            <w:tcBorders>
              <w:top w:val="single" w:sz="4" w:space="0" w:color="000000"/>
              <w:left w:val="single" w:sz="4" w:space="0" w:color="000000"/>
              <w:right w:val="single" w:sz="4" w:space="0" w:color="000000"/>
            </w:tcBorders>
            <w:shd w:val="clear" w:color="auto" w:fill="D3D3D3"/>
          </w:tcPr>
          <w:p>
            <w:pPr/>
          </w:p>
        </w:tc>
        <w:tc>
          <w:tcPr>
            <w:tcW w:w="57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6" w:hRule="exact"/>
        </w:trPr>
        <w:tc>
          <w:tcPr>
            <w:tcW w:w="1230" w:type="dxa"/>
            <w:vMerge/>
            <w:tcBorders>
              <w:left w:val="single" w:sz="4" w:space="0" w:color="000000"/>
              <w:right w:val="single" w:sz="4" w:space="0" w:color="000000"/>
            </w:tcBorders>
            <w:shd w:val="clear" w:color="auto" w:fill="D3D3D3"/>
          </w:tcPr>
          <w:p>
            <w:pPr/>
          </w:p>
        </w:tc>
        <w:tc>
          <w:tcPr>
            <w:tcW w:w="7160" w:type="dxa"/>
            <w:gridSpan w:val="13"/>
            <w:vMerge/>
            <w:tcBorders>
              <w:left w:val="single" w:sz="4" w:space="0" w:color="000000"/>
              <w:right w:val="single" w:sz="4" w:space="0" w:color="000000"/>
            </w:tcBorders>
            <w:shd w:val="clear" w:color="auto" w:fill="D3D3D3"/>
          </w:tcPr>
          <w:p>
            <w:pPr/>
          </w:p>
        </w:tc>
        <w:tc>
          <w:tcPr>
            <w:tcW w:w="584" w:type="dxa"/>
            <w:vMerge/>
            <w:tcBorders>
              <w:left w:val="single" w:sz="4" w:space="0" w:color="000000"/>
              <w:bottom w:val="nil" w:sz="6" w:space="0" w:color="auto"/>
              <w:right w:val="single" w:sz="4" w:space="0" w:color="000000"/>
            </w:tcBorders>
            <w:shd w:val="clear" w:color="auto" w:fill="D3D3D3"/>
          </w:tcPr>
          <w:p>
            <w:pPr/>
          </w:p>
        </w:tc>
        <w:tc>
          <w:tcPr>
            <w:tcW w:w="577"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103" w:right="102"/>
              <w:jc w:val="both"/>
              <w:rPr>
                <w:rFonts w:ascii="宋体" w:hAnsi="宋体" w:cs="宋体" w:eastAsia="宋体" w:hint="default"/>
                <w:sz w:val="18"/>
                <w:szCs w:val="18"/>
              </w:rPr>
            </w:pPr>
            <w:r>
              <w:rPr>
                <w:rFonts w:ascii="宋体" w:hAnsi="宋体" w:cs="宋体" w:eastAsia="宋体" w:hint="default"/>
                <w:sz w:val="18"/>
                <w:szCs w:val="18"/>
              </w:rPr>
              <w:t>所有 者权 益合 计</w:t>
            </w:r>
          </w:p>
        </w:tc>
      </w:tr>
      <w:tr>
        <w:trPr>
          <w:trHeight w:val="152" w:hRule="exact"/>
        </w:trPr>
        <w:tc>
          <w:tcPr>
            <w:tcW w:w="1230" w:type="dxa"/>
            <w:vMerge/>
            <w:tcBorders>
              <w:left w:val="single" w:sz="4" w:space="0" w:color="000000"/>
              <w:bottom w:val="nil" w:sz="6" w:space="0" w:color="auto"/>
              <w:right w:val="single" w:sz="4" w:space="0" w:color="000000"/>
            </w:tcBorders>
            <w:shd w:val="clear" w:color="auto" w:fill="D3D3D3"/>
          </w:tcPr>
          <w:p>
            <w:pPr/>
          </w:p>
        </w:tc>
        <w:tc>
          <w:tcPr>
            <w:tcW w:w="7160" w:type="dxa"/>
            <w:gridSpan w:val="13"/>
            <w:vMerge/>
            <w:tcBorders>
              <w:left w:val="single" w:sz="4" w:space="0" w:color="000000"/>
              <w:bottom w:val="single" w:sz="4" w:space="0" w:color="000000"/>
              <w:right w:val="single" w:sz="4" w:space="0" w:color="000000"/>
            </w:tcBorders>
            <w:shd w:val="clear" w:color="auto" w:fill="D3D3D3"/>
          </w:tcPr>
          <w:p>
            <w:pPr/>
          </w:p>
        </w:tc>
        <w:tc>
          <w:tcPr>
            <w:tcW w:w="58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106" w:right="107"/>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577" w:type="dxa"/>
            <w:vMerge/>
            <w:tcBorders>
              <w:left w:val="single" w:sz="4" w:space="0" w:color="000000"/>
              <w:right w:val="single" w:sz="4" w:space="0" w:color="000000"/>
            </w:tcBorders>
            <w:shd w:val="clear" w:color="auto" w:fill="D3D3D3"/>
          </w:tcPr>
          <w:p>
            <w:pPr/>
          </w:p>
        </w:tc>
      </w:tr>
      <w:tr>
        <w:trPr>
          <w:trHeight w:val="206" w:hRule="exact"/>
        </w:trPr>
        <w:tc>
          <w:tcPr>
            <w:tcW w:w="123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05" w:type="dxa"/>
            <w:vMerge w:val="restart"/>
            <w:tcBorders>
              <w:top w:val="single" w:sz="4" w:space="0" w:color="000000"/>
              <w:left w:val="single" w:sz="4" w:space="0" w:color="000000"/>
              <w:right w:val="single" w:sz="4" w:space="0" w:color="000000"/>
            </w:tcBorders>
            <w:shd w:val="clear" w:color="auto" w:fill="D3D3D3"/>
          </w:tcPr>
          <w:p>
            <w:pPr/>
          </w:p>
        </w:tc>
        <w:tc>
          <w:tcPr>
            <w:tcW w:w="140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54"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82" w:type="dxa"/>
            <w:tcBorders>
              <w:top w:val="single" w:sz="4" w:space="0" w:color="000000"/>
              <w:left w:val="single" w:sz="4" w:space="0" w:color="000000"/>
              <w:bottom w:val="nil" w:sz="6" w:space="0" w:color="auto"/>
              <w:right w:val="single" w:sz="4" w:space="0" w:color="000000"/>
            </w:tcBorders>
            <w:shd w:val="clear" w:color="auto" w:fill="D3D3D3"/>
          </w:tcPr>
          <w:p>
            <w:pPr/>
          </w:p>
        </w:tc>
        <w:tc>
          <w:tcPr>
            <w:tcW w:w="584" w:type="dxa"/>
            <w:tcBorders>
              <w:top w:val="single" w:sz="4" w:space="0" w:color="000000"/>
              <w:left w:val="single" w:sz="4" w:space="0" w:color="000000"/>
              <w:bottom w:val="nil" w:sz="6" w:space="0" w:color="auto"/>
              <w:right w:val="single" w:sz="4" w:space="0" w:color="000000"/>
            </w:tcBorders>
            <w:shd w:val="clear" w:color="auto" w:fill="D3D3D3"/>
          </w:tcPr>
          <w:p>
            <w:pPr/>
          </w:p>
        </w:tc>
        <w:tc>
          <w:tcPr>
            <w:tcW w:w="5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06" w:right="107"/>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83" w:type="dxa"/>
            <w:tcBorders>
              <w:top w:val="single" w:sz="4" w:space="0" w:color="000000"/>
              <w:left w:val="single" w:sz="4" w:space="0" w:color="000000"/>
              <w:bottom w:val="nil" w:sz="6" w:space="0" w:color="auto"/>
              <w:right w:val="single" w:sz="4" w:space="0" w:color="000000"/>
            </w:tcBorders>
            <w:shd w:val="clear" w:color="auto" w:fill="D3D3D3"/>
          </w:tcPr>
          <w:p>
            <w:pPr/>
          </w:p>
        </w:tc>
        <w:tc>
          <w:tcPr>
            <w:tcW w:w="583" w:type="dxa"/>
            <w:tcBorders>
              <w:top w:val="single" w:sz="4" w:space="0" w:color="000000"/>
              <w:left w:val="single" w:sz="4" w:space="0" w:color="000000"/>
              <w:bottom w:val="nil" w:sz="6" w:space="0" w:color="auto"/>
              <w:right w:val="single" w:sz="4" w:space="0" w:color="000000"/>
            </w:tcBorders>
            <w:shd w:val="clear" w:color="auto" w:fill="D3D3D3"/>
          </w:tcPr>
          <w:p>
            <w:pPr/>
          </w:p>
        </w:tc>
        <w:tc>
          <w:tcPr>
            <w:tcW w:w="5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06" w:right="107"/>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06" w:right="107"/>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83" w:type="dxa"/>
            <w:vMerge w:val="restart"/>
            <w:tcBorders>
              <w:top w:val="single" w:sz="4" w:space="0" w:color="000000"/>
              <w:left w:val="single" w:sz="4" w:space="0" w:color="000000"/>
              <w:right w:val="single" w:sz="4" w:space="0" w:color="000000"/>
            </w:tcBorders>
            <w:shd w:val="clear" w:color="auto" w:fill="D3D3D3"/>
          </w:tcPr>
          <w:p>
            <w:pPr/>
          </w:p>
        </w:tc>
        <w:tc>
          <w:tcPr>
            <w:tcW w:w="584" w:type="dxa"/>
            <w:vMerge w:val="restart"/>
            <w:tcBorders>
              <w:top w:val="single" w:sz="4" w:space="0" w:color="000000"/>
              <w:left w:val="single" w:sz="4" w:space="0" w:color="000000"/>
              <w:right w:val="single" w:sz="4" w:space="0" w:color="000000"/>
            </w:tcBorders>
            <w:shd w:val="clear" w:color="auto" w:fill="D3D3D3"/>
          </w:tcPr>
          <w:p>
            <w:pPr/>
          </w:p>
        </w:tc>
        <w:tc>
          <w:tcPr>
            <w:tcW w:w="584" w:type="dxa"/>
            <w:vMerge/>
            <w:tcBorders>
              <w:left w:val="single" w:sz="4" w:space="0" w:color="000000"/>
              <w:right w:val="single" w:sz="4" w:space="0" w:color="000000"/>
            </w:tcBorders>
            <w:shd w:val="clear" w:color="auto" w:fill="D3D3D3"/>
          </w:tcPr>
          <w:p>
            <w:pPr/>
          </w:p>
        </w:tc>
        <w:tc>
          <w:tcPr>
            <w:tcW w:w="577" w:type="dxa"/>
            <w:vMerge/>
            <w:tcBorders>
              <w:left w:val="single" w:sz="4" w:space="0" w:color="000000"/>
              <w:right w:val="single" w:sz="4" w:space="0" w:color="000000"/>
            </w:tcBorders>
            <w:shd w:val="clear" w:color="auto" w:fill="D3D3D3"/>
          </w:tcPr>
          <w:p>
            <w:pPr/>
          </w:p>
        </w:tc>
      </w:tr>
      <w:tr>
        <w:trPr>
          <w:trHeight w:val="165" w:hRule="exact"/>
        </w:trPr>
        <w:tc>
          <w:tcPr>
            <w:tcW w:w="1230" w:type="dxa"/>
            <w:vMerge/>
            <w:tcBorders>
              <w:left w:val="single" w:sz="4" w:space="0" w:color="000000"/>
              <w:bottom w:val="nil" w:sz="6" w:space="0" w:color="auto"/>
              <w:right w:val="single" w:sz="4" w:space="0" w:color="000000"/>
            </w:tcBorders>
            <w:shd w:val="clear" w:color="auto" w:fill="D3D3D3"/>
          </w:tcPr>
          <w:p>
            <w:pPr/>
          </w:p>
        </w:tc>
        <w:tc>
          <w:tcPr>
            <w:tcW w:w="505" w:type="dxa"/>
            <w:vMerge/>
            <w:tcBorders>
              <w:left w:val="single" w:sz="4" w:space="0" w:color="000000"/>
              <w:bottom w:val="nil" w:sz="6" w:space="0" w:color="auto"/>
              <w:right w:val="single" w:sz="4" w:space="0" w:color="000000"/>
            </w:tcBorders>
            <w:shd w:val="clear" w:color="auto" w:fill="D3D3D3"/>
          </w:tcPr>
          <w:p>
            <w:pPr/>
          </w:p>
        </w:tc>
        <w:tc>
          <w:tcPr>
            <w:tcW w:w="1402" w:type="dxa"/>
            <w:gridSpan w:val="3"/>
            <w:vMerge/>
            <w:tcBorders>
              <w:left w:val="single" w:sz="4" w:space="0" w:color="000000"/>
              <w:bottom w:val="single" w:sz="4" w:space="0" w:color="000000"/>
              <w:right w:val="single" w:sz="4" w:space="0" w:color="000000"/>
            </w:tcBorders>
            <w:shd w:val="clear" w:color="auto" w:fill="D3D3D3"/>
          </w:tcPr>
          <w:p>
            <w:pPr/>
          </w:p>
        </w:tc>
        <w:tc>
          <w:tcPr>
            <w:tcW w:w="582"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105" w:right="104"/>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84"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107" w:right="20" w:hanging="84"/>
              <w:jc w:val="left"/>
              <w:rPr>
                <w:rFonts w:ascii="宋体" w:hAnsi="宋体" w:cs="宋体" w:eastAsia="宋体" w:hint="default"/>
                <w:sz w:val="18"/>
                <w:szCs w:val="18"/>
              </w:rPr>
            </w:pPr>
            <w:r>
              <w:rPr>
                <w:rFonts w:ascii="宋体" w:hAnsi="宋体" w:cs="宋体" w:eastAsia="宋体" w:hint="default"/>
                <w:spacing w:val="-4"/>
                <w:sz w:val="18"/>
                <w:szCs w:val="18"/>
              </w:rPr>
              <w:t>减：库</w:t>
            </w:r>
            <w:r>
              <w:rPr>
                <w:rFonts w:ascii="宋体" w:hAnsi="宋体" w:cs="宋体" w:eastAsia="宋体" w:hint="default"/>
                <w:sz w:val="18"/>
                <w:szCs w:val="18"/>
              </w:rPr>
              <w:t> 存股</w:t>
            </w:r>
          </w:p>
        </w:tc>
        <w:tc>
          <w:tcPr>
            <w:tcW w:w="584" w:type="dxa"/>
            <w:vMerge/>
            <w:tcBorders>
              <w:left w:val="single" w:sz="4" w:space="0" w:color="000000"/>
              <w:right w:val="single" w:sz="4" w:space="0" w:color="000000"/>
            </w:tcBorders>
            <w:shd w:val="clear" w:color="auto" w:fill="D3D3D3"/>
          </w:tcPr>
          <w:p>
            <w:pPr/>
          </w:p>
        </w:tc>
        <w:tc>
          <w:tcPr>
            <w:tcW w:w="583"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106" w:right="104"/>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83"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106" w:right="104"/>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84" w:type="dxa"/>
            <w:vMerge/>
            <w:tcBorders>
              <w:left w:val="single" w:sz="4" w:space="0" w:color="000000"/>
              <w:right w:val="single" w:sz="4" w:space="0" w:color="000000"/>
            </w:tcBorders>
            <w:shd w:val="clear" w:color="auto" w:fill="D3D3D3"/>
          </w:tcPr>
          <w:p>
            <w:pPr/>
          </w:p>
        </w:tc>
        <w:tc>
          <w:tcPr>
            <w:tcW w:w="584" w:type="dxa"/>
            <w:vMerge/>
            <w:tcBorders>
              <w:left w:val="single" w:sz="4" w:space="0" w:color="000000"/>
              <w:right w:val="single" w:sz="4" w:space="0" w:color="000000"/>
            </w:tcBorders>
            <w:shd w:val="clear" w:color="auto" w:fill="D3D3D3"/>
          </w:tcPr>
          <w:p>
            <w:pPr/>
          </w:p>
        </w:tc>
        <w:tc>
          <w:tcPr>
            <w:tcW w:w="583" w:type="dxa"/>
            <w:vMerge/>
            <w:tcBorders>
              <w:left w:val="single" w:sz="4" w:space="0" w:color="000000"/>
              <w:bottom w:val="nil" w:sz="6" w:space="0" w:color="auto"/>
              <w:right w:val="single" w:sz="4" w:space="0" w:color="000000"/>
            </w:tcBorders>
            <w:shd w:val="clear" w:color="auto" w:fill="D3D3D3"/>
          </w:tcPr>
          <w:p>
            <w:pPr/>
          </w:p>
        </w:tc>
        <w:tc>
          <w:tcPr>
            <w:tcW w:w="584" w:type="dxa"/>
            <w:vMerge/>
            <w:tcBorders>
              <w:left w:val="single" w:sz="4" w:space="0" w:color="000000"/>
              <w:bottom w:val="nil" w:sz="6" w:space="0" w:color="auto"/>
              <w:right w:val="single" w:sz="4" w:space="0" w:color="000000"/>
            </w:tcBorders>
            <w:shd w:val="clear" w:color="auto" w:fill="D3D3D3"/>
          </w:tcPr>
          <w:p>
            <w:pPr/>
          </w:p>
        </w:tc>
        <w:tc>
          <w:tcPr>
            <w:tcW w:w="584" w:type="dxa"/>
            <w:vMerge/>
            <w:tcBorders>
              <w:left w:val="single" w:sz="4" w:space="0" w:color="000000"/>
              <w:right w:val="single" w:sz="4" w:space="0" w:color="000000"/>
            </w:tcBorders>
            <w:shd w:val="clear" w:color="auto" w:fill="D3D3D3"/>
          </w:tcPr>
          <w:p>
            <w:pPr/>
          </w:p>
        </w:tc>
        <w:tc>
          <w:tcPr>
            <w:tcW w:w="577" w:type="dxa"/>
            <w:vMerge/>
            <w:tcBorders>
              <w:left w:val="single" w:sz="4" w:space="0" w:color="000000"/>
              <w:right w:val="single" w:sz="4" w:space="0" w:color="000000"/>
            </w:tcBorders>
            <w:shd w:val="clear" w:color="auto" w:fill="D3D3D3"/>
          </w:tcPr>
          <w:p>
            <w:pPr/>
          </w:p>
        </w:tc>
      </w:tr>
      <w:tr>
        <w:trPr>
          <w:trHeight w:val="192" w:hRule="exact"/>
        </w:trPr>
        <w:tc>
          <w:tcPr>
            <w:tcW w:w="1230" w:type="dxa"/>
            <w:vMerge w:val="restart"/>
            <w:tcBorders>
              <w:top w:val="nil" w:sz="6" w:space="0" w:color="auto"/>
              <w:left w:val="single" w:sz="4" w:space="0" w:color="000000"/>
              <w:right w:val="single" w:sz="4" w:space="0" w:color="000000"/>
            </w:tcBorders>
            <w:shd w:val="clear" w:color="auto" w:fill="D3D3D3"/>
          </w:tcPr>
          <w:p>
            <w:pPr/>
          </w:p>
        </w:tc>
        <w:tc>
          <w:tcPr>
            <w:tcW w:w="50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3"/>
              <w:ind w:left="72"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66"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82"/>
              <w:ind w:left="137" w:right="47"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68"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82"/>
              <w:ind w:left="139" w:right="47"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68" w:type="dxa"/>
            <w:tcBorders>
              <w:top w:val="single" w:sz="4" w:space="0" w:color="000000"/>
              <w:left w:val="single" w:sz="4" w:space="0" w:color="000000"/>
              <w:bottom w:val="nil" w:sz="6" w:space="0" w:color="auto"/>
              <w:right w:val="single" w:sz="4" w:space="0" w:color="000000"/>
            </w:tcBorders>
            <w:shd w:val="clear" w:color="auto" w:fill="D3D3D3"/>
          </w:tcPr>
          <w:p>
            <w:pPr/>
          </w:p>
        </w:tc>
        <w:tc>
          <w:tcPr>
            <w:tcW w:w="582" w:type="dxa"/>
            <w:vMerge/>
            <w:tcBorders>
              <w:left w:val="single" w:sz="4" w:space="0" w:color="000000"/>
              <w:right w:val="single" w:sz="4" w:space="0" w:color="000000"/>
            </w:tcBorders>
            <w:shd w:val="clear" w:color="auto" w:fill="D3D3D3"/>
          </w:tcPr>
          <w:p>
            <w:pPr/>
          </w:p>
        </w:tc>
        <w:tc>
          <w:tcPr>
            <w:tcW w:w="584" w:type="dxa"/>
            <w:vMerge/>
            <w:tcBorders>
              <w:left w:val="single" w:sz="4" w:space="0" w:color="000000"/>
              <w:right w:val="single" w:sz="4" w:space="0" w:color="000000"/>
            </w:tcBorders>
            <w:shd w:val="clear" w:color="auto" w:fill="D3D3D3"/>
          </w:tcPr>
          <w:p>
            <w:pPr/>
          </w:p>
        </w:tc>
        <w:tc>
          <w:tcPr>
            <w:tcW w:w="584" w:type="dxa"/>
            <w:vMerge/>
            <w:tcBorders>
              <w:left w:val="single" w:sz="4" w:space="0" w:color="000000"/>
              <w:right w:val="single" w:sz="4" w:space="0" w:color="000000"/>
            </w:tcBorders>
            <w:shd w:val="clear" w:color="auto" w:fill="D3D3D3"/>
          </w:tcPr>
          <w:p>
            <w:pPr/>
          </w:p>
        </w:tc>
        <w:tc>
          <w:tcPr>
            <w:tcW w:w="583" w:type="dxa"/>
            <w:vMerge/>
            <w:tcBorders>
              <w:left w:val="single" w:sz="4" w:space="0" w:color="000000"/>
              <w:right w:val="single" w:sz="4" w:space="0" w:color="000000"/>
            </w:tcBorders>
            <w:shd w:val="clear" w:color="auto" w:fill="D3D3D3"/>
          </w:tcPr>
          <w:p>
            <w:pPr/>
          </w:p>
        </w:tc>
        <w:tc>
          <w:tcPr>
            <w:tcW w:w="583" w:type="dxa"/>
            <w:vMerge/>
            <w:tcBorders>
              <w:left w:val="single" w:sz="4" w:space="0" w:color="000000"/>
              <w:right w:val="single" w:sz="4" w:space="0" w:color="000000"/>
            </w:tcBorders>
            <w:shd w:val="clear" w:color="auto" w:fill="D3D3D3"/>
          </w:tcPr>
          <w:p>
            <w:pPr/>
          </w:p>
        </w:tc>
        <w:tc>
          <w:tcPr>
            <w:tcW w:w="584" w:type="dxa"/>
            <w:vMerge/>
            <w:tcBorders>
              <w:left w:val="single" w:sz="4" w:space="0" w:color="000000"/>
              <w:right w:val="single" w:sz="4" w:space="0" w:color="000000"/>
            </w:tcBorders>
            <w:shd w:val="clear" w:color="auto" w:fill="D3D3D3"/>
          </w:tcPr>
          <w:p>
            <w:pPr/>
          </w:p>
        </w:tc>
        <w:tc>
          <w:tcPr>
            <w:tcW w:w="584" w:type="dxa"/>
            <w:vMerge/>
            <w:tcBorders>
              <w:left w:val="single" w:sz="4" w:space="0" w:color="000000"/>
              <w:right w:val="single" w:sz="4" w:space="0" w:color="000000"/>
            </w:tcBorders>
            <w:shd w:val="clear" w:color="auto" w:fill="D3D3D3"/>
          </w:tcPr>
          <w:p>
            <w:pPr/>
          </w:p>
        </w:tc>
        <w:tc>
          <w:tcPr>
            <w:tcW w:w="58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3"/>
              <w:ind w:left="10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3"/>
              <w:ind w:left="10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584" w:type="dxa"/>
            <w:vMerge/>
            <w:tcBorders>
              <w:left w:val="single" w:sz="4" w:space="0" w:color="000000"/>
              <w:right w:val="single" w:sz="4" w:space="0" w:color="000000"/>
            </w:tcBorders>
            <w:shd w:val="clear" w:color="auto" w:fill="D3D3D3"/>
          </w:tcPr>
          <w:p>
            <w:pPr/>
          </w:p>
        </w:tc>
        <w:tc>
          <w:tcPr>
            <w:tcW w:w="577" w:type="dxa"/>
            <w:vMerge/>
            <w:tcBorders>
              <w:left w:val="single" w:sz="4" w:space="0" w:color="000000"/>
              <w:right w:val="single" w:sz="4" w:space="0" w:color="000000"/>
            </w:tcBorders>
            <w:shd w:val="clear" w:color="auto" w:fill="D3D3D3"/>
          </w:tcPr>
          <w:p>
            <w:pPr/>
          </w:p>
        </w:tc>
      </w:tr>
      <w:tr>
        <w:trPr>
          <w:trHeight w:val="192" w:hRule="exact"/>
        </w:trPr>
        <w:tc>
          <w:tcPr>
            <w:tcW w:w="1230" w:type="dxa"/>
            <w:vMerge/>
            <w:tcBorders>
              <w:left w:val="single" w:sz="4" w:space="0" w:color="000000"/>
              <w:right w:val="single" w:sz="4" w:space="0" w:color="000000"/>
            </w:tcBorders>
            <w:shd w:val="clear" w:color="auto" w:fill="D3D3D3"/>
          </w:tcPr>
          <w:p>
            <w:pPr/>
          </w:p>
        </w:tc>
        <w:tc>
          <w:tcPr>
            <w:tcW w:w="505" w:type="dxa"/>
            <w:vMerge/>
            <w:tcBorders>
              <w:left w:val="single" w:sz="4" w:space="0" w:color="000000"/>
              <w:bottom w:val="nil" w:sz="6" w:space="0" w:color="auto"/>
              <w:right w:val="single" w:sz="4" w:space="0" w:color="000000"/>
            </w:tcBorders>
            <w:shd w:val="clear" w:color="auto" w:fill="D3D3D3"/>
          </w:tcPr>
          <w:p>
            <w:pPr/>
          </w:p>
        </w:tc>
        <w:tc>
          <w:tcPr>
            <w:tcW w:w="466" w:type="dxa"/>
            <w:vMerge/>
            <w:tcBorders>
              <w:left w:val="single" w:sz="4" w:space="0" w:color="000000"/>
              <w:right w:val="single" w:sz="4" w:space="0" w:color="000000"/>
            </w:tcBorders>
            <w:shd w:val="clear" w:color="auto" w:fill="D3D3D3"/>
          </w:tcPr>
          <w:p>
            <w:pPr/>
          </w:p>
        </w:tc>
        <w:tc>
          <w:tcPr>
            <w:tcW w:w="468" w:type="dxa"/>
            <w:vMerge/>
            <w:tcBorders>
              <w:left w:val="single" w:sz="4" w:space="0" w:color="000000"/>
              <w:right w:val="single" w:sz="4" w:space="0" w:color="000000"/>
            </w:tcBorders>
            <w:shd w:val="clear" w:color="auto" w:fill="D3D3D3"/>
          </w:tcPr>
          <w:p>
            <w:pPr/>
          </w:p>
        </w:tc>
        <w:tc>
          <w:tcPr>
            <w:tcW w:w="46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4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82" w:type="dxa"/>
            <w:vMerge/>
            <w:tcBorders>
              <w:left w:val="single" w:sz="4" w:space="0" w:color="000000"/>
              <w:right w:val="single" w:sz="4" w:space="0" w:color="000000"/>
            </w:tcBorders>
            <w:shd w:val="clear" w:color="auto" w:fill="D3D3D3"/>
          </w:tcPr>
          <w:p>
            <w:pPr/>
          </w:p>
        </w:tc>
        <w:tc>
          <w:tcPr>
            <w:tcW w:w="584" w:type="dxa"/>
            <w:vMerge/>
            <w:tcBorders>
              <w:left w:val="single" w:sz="4" w:space="0" w:color="000000"/>
              <w:right w:val="single" w:sz="4" w:space="0" w:color="000000"/>
            </w:tcBorders>
            <w:shd w:val="clear" w:color="auto" w:fill="D3D3D3"/>
          </w:tcPr>
          <w:p>
            <w:pPr/>
          </w:p>
        </w:tc>
        <w:tc>
          <w:tcPr>
            <w:tcW w:w="584" w:type="dxa"/>
            <w:vMerge/>
            <w:tcBorders>
              <w:left w:val="single" w:sz="4" w:space="0" w:color="000000"/>
              <w:right w:val="single" w:sz="4" w:space="0" w:color="000000"/>
            </w:tcBorders>
            <w:shd w:val="clear" w:color="auto" w:fill="D3D3D3"/>
          </w:tcPr>
          <w:p>
            <w:pPr/>
          </w:p>
        </w:tc>
        <w:tc>
          <w:tcPr>
            <w:tcW w:w="583" w:type="dxa"/>
            <w:vMerge/>
            <w:tcBorders>
              <w:left w:val="single" w:sz="4" w:space="0" w:color="000000"/>
              <w:right w:val="single" w:sz="4" w:space="0" w:color="000000"/>
            </w:tcBorders>
            <w:shd w:val="clear" w:color="auto" w:fill="D3D3D3"/>
          </w:tcPr>
          <w:p>
            <w:pPr/>
          </w:p>
        </w:tc>
        <w:tc>
          <w:tcPr>
            <w:tcW w:w="583" w:type="dxa"/>
            <w:vMerge/>
            <w:tcBorders>
              <w:left w:val="single" w:sz="4" w:space="0" w:color="000000"/>
              <w:right w:val="single" w:sz="4" w:space="0" w:color="000000"/>
            </w:tcBorders>
            <w:shd w:val="clear" w:color="auto" w:fill="D3D3D3"/>
          </w:tcPr>
          <w:p>
            <w:pPr/>
          </w:p>
        </w:tc>
        <w:tc>
          <w:tcPr>
            <w:tcW w:w="584" w:type="dxa"/>
            <w:vMerge/>
            <w:tcBorders>
              <w:left w:val="single" w:sz="4" w:space="0" w:color="000000"/>
              <w:right w:val="single" w:sz="4" w:space="0" w:color="000000"/>
            </w:tcBorders>
            <w:shd w:val="clear" w:color="auto" w:fill="D3D3D3"/>
          </w:tcPr>
          <w:p>
            <w:pPr/>
          </w:p>
        </w:tc>
        <w:tc>
          <w:tcPr>
            <w:tcW w:w="584" w:type="dxa"/>
            <w:vMerge/>
            <w:tcBorders>
              <w:left w:val="single" w:sz="4" w:space="0" w:color="000000"/>
              <w:right w:val="single" w:sz="4" w:space="0" w:color="000000"/>
            </w:tcBorders>
            <w:shd w:val="clear" w:color="auto" w:fill="D3D3D3"/>
          </w:tcPr>
          <w:p>
            <w:pPr/>
          </w:p>
        </w:tc>
        <w:tc>
          <w:tcPr>
            <w:tcW w:w="583" w:type="dxa"/>
            <w:vMerge/>
            <w:tcBorders>
              <w:left w:val="single" w:sz="4" w:space="0" w:color="000000"/>
              <w:bottom w:val="nil" w:sz="6" w:space="0" w:color="auto"/>
              <w:right w:val="single" w:sz="4" w:space="0" w:color="000000"/>
            </w:tcBorders>
            <w:shd w:val="clear" w:color="auto" w:fill="D3D3D3"/>
          </w:tcPr>
          <w:p>
            <w:pPr/>
          </w:p>
        </w:tc>
        <w:tc>
          <w:tcPr>
            <w:tcW w:w="584" w:type="dxa"/>
            <w:vMerge/>
            <w:tcBorders>
              <w:left w:val="single" w:sz="4" w:space="0" w:color="000000"/>
              <w:bottom w:val="nil" w:sz="6" w:space="0" w:color="auto"/>
              <w:right w:val="single" w:sz="4" w:space="0" w:color="000000"/>
            </w:tcBorders>
            <w:shd w:val="clear" w:color="auto" w:fill="D3D3D3"/>
          </w:tcPr>
          <w:p>
            <w:pPr/>
          </w:p>
        </w:tc>
        <w:tc>
          <w:tcPr>
            <w:tcW w:w="584" w:type="dxa"/>
            <w:vMerge/>
            <w:tcBorders>
              <w:left w:val="single" w:sz="4" w:space="0" w:color="000000"/>
              <w:right w:val="single" w:sz="4" w:space="0" w:color="000000"/>
            </w:tcBorders>
            <w:shd w:val="clear" w:color="auto" w:fill="D3D3D3"/>
          </w:tcPr>
          <w:p>
            <w:pPr/>
          </w:p>
        </w:tc>
        <w:tc>
          <w:tcPr>
            <w:tcW w:w="577" w:type="dxa"/>
            <w:vMerge/>
            <w:tcBorders>
              <w:left w:val="single" w:sz="4" w:space="0" w:color="000000"/>
              <w:right w:val="single" w:sz="4" w:space="0" w:color="000000"/>
            </w:tcBorders>
            <w:shd w:val="clear" w:color="auto" w:fill="D3D3D3"/>
          </w:tcPr>
          <w:p>
            <w:pPr/>
          </w:p>
        </w:tc>
      </w:tr>
      <w:tr>
        <w:trPr>
          <w:trHeight w:val="134" w:hRule="exact"/>
        </w:trPr>
        <w:tc>
          <w:tcPr>
            <w:tcW w:w="1230" w:type="dxa"/>
            <w:vMerge/>
            <w:tcBorders>
              <w:left w:val="single" w:sz="4" w:space="0" w:color="000000"/>
              <w:right w:val="single" w:sz="4" w:space="0" w:color="000000"/>
            </w:tcBorders>
            <w:shd w:val="clear" w:color="auto" w:fill="D3D3D3"/>
          </w:tcPr>
          <w:p>
            <w:pPr/>
          </w:p>
        </w:tc>
        <w:tc>
          <w:tcPr>
            <w:tcW w:w="505" w:type="dxa"/>
            <w:vMerge w:val="restart"/>
            <w:tcBorders>
              <w:top w:val="nil" w:sz="6" w:space="0" w:color="auto"/>
              <w:left w:val="single" w:sz="4" w:space="0" w:color="000000"/>
              <w:right w:val="single" w:sz="4" w:space="0" w:color="000000"/>
            </w:tcBorders>
            <w:shd w:val="clear" w:color="auto" w:fill="D3D3D3"/>
          </w:tcPr>
          <w:p>
            <w:pPr/>
          </w:p>
        </w:tc>
        <w:tc>
          <w:tcPr>
            <w:tcW w:w="466" w:type="dxa"/>
            <w:vMerge/>
            <w:tcBorders>
              <w:left w:val="single" w:sz="4" w:space="0" w:color="000000"/>
              <w:right w:val="single" w:sz="4" w:space="0" w:color="000000"/>
            </w:tcBorders>
            <w:shd w:val="clear" w:color="auto" w:fill="D3D3D3"/>
          </w:tcPr>
          <w:p>
            <w:pPr/>
          </w:p>
        </w:tc>
        <w:tc>
          <w:tcPr>
            <w:tcW w:w="468" w:type="dxa"/>
            <w:vMerge/>
            <w:tcBorders>
              <w:left w:val="single" w:sz="4" w:space="0" w:color="000000"/>
              <w:right w:val="single" w:sz="4" w:space="0" w:color="000000"/>
            </w:tcBorders>
            <w:shd w:val="clear" w:color="auto" w:fill="D3D3D3"/>
          </w:tcPr>
          <w:p>
            <w:pPr/>
          </w:p>
        </w:tc>
        <w:tc>
          <w:tcPr>
            <w:tcW w:w="468" w:type="dxa"/>
            <w:vMerge/>
            <w:tcBorders>
              <w:left w:val="single" w:sz="4" w:space="0" w:color="000000"/>
              <w:bottom w:val="nil" w:sz="6" w:space="0" w:color="auto"/>
              <w:right w:val="single" w:sz="4" w:space="0" w:color="000000"/>
            </w:tcBorders>
            <w:shd w:val="clear" w:color="auto" w:fill="D3D3D3"/>
          </w:tcPr>
          <w:p>
            <w:pPr/>
          </w:p>
        </w:tc>
        <w:tc>
          <w:tcPr>
            <w:tcW w:w="582" w:type="dxa"/>
            <w:vMerge/>
            <w:tcBorders>
              <w:left w:val="single" w:sz="4" w:space="0" w:color="000000"/>
              <w:bottom w:val="nil" w:sz="6" w:space="0" w:color="auto"/>
              <w:right w:val="single" w:sz="4" w:space="0" w:color="000000"/>
            </w:tcBorders>
            <w:shd w:val="clear" w:color="auto" w:fill="D3D3D3"/>
          </w:tcPr>
          <w:p>
            <w:pPr/>
          </w:p>
        </w:tc>
        <w:tc>
          <w:tcPr>
            <w:tcW w:w="584" w:type="dxa"/>
            <w:vMerge/>
            <w:tcBorders>
              <w:left w:val="single" w:sz="4" w:space="0" w:color="000000"/>
              <w:bottom w:val="nil" w:sz="6" w:space="0" w:color="auto"/>
              <w:right w:val="single" w:sz="4" w:space="0" w:color="000000"/>
            </w:tcBorders>
            <w:shd w:val="clear" w:color="auto" w:fill="D3D3D3"/>
          </w:tcPr>
          <w:p>
            <w:pPr/>
          </w:p>
        </w:tc>
        <w:tc>
          <w:tcPr>
            <w:tcW w:w="584" w:type="dxa"/>
            <w:vMerge/>
            <w:tcBorders>
              <w:left w:val="single" w:sz="4" w:space="0" w:color="000000"/>
              <w:right w:val="single" w:sz="4" w:space="0" w:color="000000"/>
            </w:tcBorders>
            <w:shd w:val="clear" w:color="auto" w:fill="D3D3D3"/>
          </w:tcPr>
          <w:p>
            <w:pPr/>
          </w:p>
        </w:tc>
        <w:tc>
          <w:tcPr>
            <w:tcW w:w="583" w:type="dxa"/>
            <w:vMerge/>
            <w:tcBorders>
              <w:left w:val="single" w:sz="4" w:space="0" w:color="000000"/>
              <w:bottom w:val="nil" w:sz="6" w:space="0" w:color="auto"/>
              <w:right w:val="single" w:sz="4" w:space="0" w:color="000000"/>
            </w:tcBorders>
            <w:shd w:val="clear" w:color="auto" w:fill="D3D3D3"/>
          </w:tcPr>
          <w:p>
            <w:pPr/>
          </w:p>
        </w:tc>
        <w:tc>
          <w:tcPr>
            <w:tcW w:w="583" w:type="dxa"/>
            <w:vMerge/>
            <w:tcBorders>
              <w:left w:val="single" w:sz="4" w:space="0" w:color="000000"/>
              <w:bottom w:val="nil" w:sz="6" w:space="0" w:color="auto"/>
              <w:right w:val="single" w:sz="4" w:space="0" w:color="000000"/>
            </w:tcBorders>
            <w:shd w:val="clear" w:color="auto" w:fill="D3D3D3"/>
          </w:tcPr>
          <w:p>
            <w:pPr/>
          </w:p>
        </w:tc>
        <w:tc>
          <w:tcPr>
            <w:tcW w:w="584" w:type="dxa"/>
            <w:vMerge/>
            <w:tcBorders>
              <w:left w:val="single" w:sz="4" w:space="0" w:color="000000"/>
              <w:right w:val="single" w:sz="4" w:space="0" w:color="000000"/>
            </w:tcBorders>
            <w:shd w:val="clear" w:color="auto" w:fill="D3D3D3"/>
          </w:tcPr>
          <w:p>
            <w:pPr/>
          </w:p>
        </w:tc>
        <w:tc>
          <w:tcPr>
            <w:tcW w:w="584" w:type="dxa"/>
            <w:vMerge/>
            <w:tcBorders>
              <w:left w:val="single" w:sz="4" w:space="0" w:color="000000"/>
              <w:right w:val="single" w:sz="4" w:space="0" w:color="000000"/>
            </w:tcBorders>
            <w:shd w:val="clear" w:color="auto" w:fill="D3D3D3"/>
          </w:tcPr>
          <w:p>
            <w:pPr/>
          </w:p>
        </w:tc>
        <w:tc>
          <w:tcPr>
            <w:tcW w:w="583" w:type="dxa"/>
            <w:vMerge w:val="restart"/>
            <w:tcBorders>
              <w:top w:val="nil" w:sz="6" w:space="0" w:color="auto"/>
              <w:left w:val="single" w:sz="4" w:space="0" w:color="000000"/>
              <w:right w:val="single" w:sz="4" w:space="0" w:color="000000"/>
            </w:tcBorders>
            <w:shd w:val="clear" w:color="auto" w:fill="D3D3D3"/>
          </w:tcPr>
          <w:p>
            <w:pPr/>
          </w:p>
        </w:tc>
        <w:tc>
          <w:tcPr>
            <w:tcW w:w="584" w:type="dxa"/>
            <w:vMerge w:val="restart"/>
            <w:tcBorders>
              <w:top w:val="nil" w:sz="6" w:space="0" w:color="auto"/>
              <w:left w:val="single" w:sz="4" w:space="0" w:color="000000"/>
              <w:right w:val="single" w:sz="4" w:space="0" w:color="000000"/>
            </w:tcBorders>
            <w:shd w:val="clear" w:color="auto" w:fill="D3D3D3"/>
          </w:tcPr>
          <w:p>
            <w:pPr/>
          </w:p>
        </w:tc>
        <w:tc>
          <w:tcPr>
            <w:tcW w:w="584" w:type="dxa"/>
            <w:vMerge/>
            <w:tcBorders>
              <w:left w:val="single" w:sz="4" w:space="0" w:color="000000"/>
              <w:bottom w:val="nil" w:sz="6" w:space="0" w:color="auto"/>
              <w:right w:val="single" w:sz="4" w:space="0" w:color="000000"/>
            </w:tcBorders>
            <w:shd w:val="clear" w:color="auto" w:fill="D3D3D3"/>
          </w:tcPr>
          <w:p>
            <w:pPr/>
          </w:p>
        </w:tc>
        <w:tc>
          <w:tcPr>
            <w:tcW w:w="577" w:type="dxa"/>
            <w:vMerge/>
            <w:tcBorders>
              <w:left w:val="single" w:sz="4" w:space="0" w:color="000000"/>
              <w:right w:val="single" w:sz="4" w:space="0" w:color="000000"/>
            </w:tcBorders>
            <w:shd w:val="clear" w:color="auto" w:fill="D3D3D3"/>
          </w:tcPr>
          <w:p>
            <w:pPr/>
          </w:p>
        </w:tc>
      </w:tr>
      <w:tr>
        <w:trPr>
          <w:trHeight w:val="122" w:hRule="exact"/>
        </w:trPr>
        <w:tc>
          <w:tcPr>
            <w:tcW w:w="1230" w:type="dxa"/>
            <w:vMerge/>
            <w:tcBorders>
              <w:left w:val="single" w:sz="4" w:space="0" w:color="000000"/>
              <w:right w:val="single" w:sz="4" w:space="0" w:color="000000"/>
            </w:tcBorders>
            <w:shd w:val="clear" w:color="auto" w:fill="D3D3D3"/>
          </w:tcPr>
          <w:p>
            <w:pPr/>
          </w:p>
        </w:tc>
        <w:tc>
          <w:tcPr>
            <w:tcW w:w="505" w:type="dxa"/>
            <w:vMerge/>
            <w:tcBorders>
              <w:left w:val="single" w:sz="4" w:space="0" w:color="000000"/>
              <w:right w:val="single" w:sz="4" w:space="0" w:color="000000"/>
            </w:tcBorders>
            <w:shd w:val="clear" w:color="auto" w:fill="D3D3D3"/>
          </w:tcPr>
          <w:p>
            <w:pPr/>
          </w:p>
        </w:tc>
        <w:tc>
          <w:tcPr>
            <w:tcW w:w="466" w:type="dxa"/>
            <w:vMerge/>
            <w:tcBorders>
              <w:left w:val="single" w:sz="4" w:space="0" w:color="000000"/>
              <w:right w:val="single" w:sz="4" w:space="0" w:color="000000"/>
            </w:tcBorders>
            <w:shd w:val="clear" w:color="auto" w:fill="D3D3D3"/>
          </w:tcPr>
          <w:p>
            <w:pPr/>
          </w:p>
        </w:tc>
        <w:tc>
          <w:tcPr>
            <w:tcW w:w="468" w:type="dxa"/>
            <w:vMerge/>
            <w:tcBorders>
              <w:left w:val="single" w:sz="4" w:space="0" w:color="000000"/>
              <w:right w:val="single" w:sz="4" w:space="0" w:color="000000"/>
            </w:tcBorders>
            <w:shd w:val="clear" w:color="auto" w:fill="D3D3D3"/>
          </w:tcPr>
          <w:p>
            <w:pPr/>
          </w:p>
        </w:tc>
        <w:tc>
          <w:tcPr>
            <w:tcW w:w="468" w:type="dxa"/>
            <w:vMerge w:val="restart"/>
            <w:tcBorders>
              <w:top w:val="nil" w:sz="6" w:space="0" w:color="auto"/>
              <w:left w:val="single" w:sz="4" w:space="0" w:color="000000"/>
              <w:right w:val="single" w:sz="4" w:space="0" w:color="000000"/>
            </w:tcBorders>
            <w:shd w:val="clear" w:color="auto" w:fill="D3D3D3"/>
          </w:tcPr>
          <w:p>
            <w:pPr/>
          </w:p>
        </w:tc>
        <w:tc>
          <w:tcPr>
            <w:tcW w:w="582" w:type="dxa"/>
            <w:vMerge w:val="restart"/>
            <w:tcBorders>
              <w:top w:val="nil" w:sz="6" w:space="0" w:color="auto"/>
              <w:left w:val="single" w:sz="4" w:space="0" w:color="000000"/>
              <w:right w:val="single" w:sz="4" w:space="0" w:color="000000"/>
            </w:tcBorders>
            <w:shd w:val="clear" w:color="auto" w:fill="D3D3D3"/>
          </w:tcPr>
          <w:p>
            <w:pPr/>
          </w:p>
        </w:tc>
        <w:tc>
          <w:tcPr>
            <w:tcW w:w="584" w:type="dxa"/>
            <w:vMerge w:val="restart"/>
            <w:tcBorders>
              <w:top w:val="nil" w:sz="6" w:space="0" w:color="auto"/>
              <w:left w:val="single" w:sz="4" w:space="0" w:color="000000"/>
              <w:right w:val="single" w:sz="4" w:space="0" w:color="000000"/>
            </w:tcBorders>
            <w:shd w:val="clear" w:color="auto" w:fill="D3D3D3"/>
          </w:tcPr>
          <w:p>
            <w:pPr/>
          </w:p>
        </w:tc>
        <w:tc>
          <w:tcPr>
            <w:tcW w:w="584" w:type="dxa"/>
            <w:vMerge/>
            <w:tcBorders>
              <w:left w:val="single" w:sz="4" w:space="0" w:color="000000"/>
              <w:right w:val="single" w:sz="4" w:space="0" w:color="000000"/>
            </w:tcBorders>
            <w:shd w:val="clear" w:color="auto" w:fill="D3D3D3"/>
          </w:tcPr>
          <w:p>
            <w:pPr/>
          </w:p>
        </w:tc>
        <w:tc>
          <w:tcPr>
            <w:tcW w:w="583" w:type="dxa"/>
            <w:vMerge w:val="restart"/>
            <w:tcBorders>
              <w:top w:val="nil" w:sz="6" w:space="0" w:color="auto"/>
              <w:left w:val="single" w:sz="4" w:space="0" w:color="000000"/>
              <w:right w:val="single" w:sz="4" w:space="0" w:color="000000"/>
            </w:tcBorders>
            <w:shd w:val="clear" w:color="auto" w:fill="D3D3D3"/>
          </w:tcPr>
          <w:p>
            <w:pPr/>
          </w:p>
        </w:tc>
        <w:tc>
          <w:tcPr>
            <w:tcW w:w="583" w:type="dxa"/>
            <w:vMerge w:val="restart"/>
            <w:tcBorders>
              <w:top w:val="nil" w:sz="6" w:space="0" w:color="auto"/>
              <w:left w:val="single" w:sz="4" w:space="0" w:color="000000"/>
              <w:right w:val="single" w:sz="4" w:space="0" w:color="000000"/>
            </w:tcBorders>
            <w:shd w:val="clear" w:color="auto" w:fill="D3D3D3"/>
          </w:tcPr>
          <w:p>
            <w:pPr/>
          </w:p>
        </w:tc>
        <w:tc>
          <w:tcPr>
            <w:tcW w:w="584" w:type="dxa"/>
            <w:vMerge/>
            <w:tcBorders>
              <w:left w:val="single" w:sz="4" w:space="0" w:color="000000"/>
              <w:right w:val="single" w:sz="4" w:space="0" w:color="000000"/>
            </w:tcBorders>
            <w:shd w:val="clear" w:color="auto" w:fill="D3D3D3"/>
          </w:tcPr>
          <w:p>
            <w:pPr/>
          </w:p>
        </w:tc>
        <w:tc>
          <w:tcPr>
            <w:tcW w:w="584" w:type="dxa"/>
            <w:vMerge/>
            <w:tcBorders>
              <w:left w:val="single" w:sz="4" w:space="0" w:color="000000"/>
              <w:right w:val="single" w:sz="4" w:space="0" w:color="000000"/>
            </w:tcBorders>
            <w:shd w:val="clear" w:color="auto" w:fill="D3D3D3"/>
          </w:tcPr>
          <w:p>
            <w:pPr/>
          </w:p>
        </w:tc>
        <w:tc>
          <w:tcPr>
            <w:tcW w:w="583" w:type="dxa"/>
            <w:vMerge/>
            <w:tcBorders>
              <w:left w:val="single" w:sz="4" w:space="0" w:color="000000"/>
              <w:right w:val="single" w:sz="4" w:space="0" w:color="000000"/>
            </w:tcBorders>
            <w:shd w:val="clear" w:color="auto" w:fill="D3D3D3"/>
          </w:tcPr>
          <w:p>
            <w:pPr/>
          </w:p>
        </w:tc>
        <w:tc>
          <w:tcPr>
            <w:tcW w:w="584" w:type="dxa"/>
            <w:vMerge/>
            <w:tcBorders>
              <w:left w:val="single" w:sz="4" w:space="0" w:color="000000"/>
              <w:right w:val="single" w:sz="4" w:space="0" w:color="000000"/>
            </w:tcBorders>
            <w:shd w:val="clear" w:color="auto" w:fill="D3D3D3"/>
          </w:tcPr>
          <w:p>
            <w:pPr/>
          </w:p>
        </w:tc>
        <w:tc>
          <w:tcPr>
            <w:tcW w:w="584" w:type="dxa"/>
            <w:vMerge w:val="restart"/>
            <w:tcBorders>
              <w:top w:val="nil" w:sz="6" w:space="0" w:color="auto"/>
              <w:left w:val="single" w:sz="4" w:space="0" w:color="000000"/>
              <w:right w:val="single" w:sz="4" w:space="0" w:color="000000"/>
            </w:tcBorders>
            <w:shd w:val="clear" w:color="auto" w:fill="D3D3D3"/>
          </w:tcPr>
          <w:p>
            <w:pPr/>
          </w:p>
        </w:tc>
        <w:tc>
          <w:tcPr>
            <w:tcW w:w="577" w:type="dxa"/>
            <w:vMerge/>
            <w:tcBorders>
              <w:left w:val="single" w:sz="4" w:space="0" w:color="000000"/>
              <w:bottom w:val="nil" w:sz="6" w:space="0" w:color="auto"/>
              <w:right w:val="single" w:sz="4" w:space="0" w:color="000000"/>
            </w:tcBorders>
            <w:shd w:val="clear" w:color="auto" w:fill="D3D3D3"/>
          </w:tcPr>
          <w:p>
            <w:pPr/>
          </w:p>
        </w:tc>
      </w:tr>
      <w:tr>
        <w:trPr>
          <w:trHeight w:val="95" w:hRule="exact"/>
        </w:trPr>
        <w:tc>
          <w:tcPr>
            <w:tcW w:w="1230" w:type="dxa"/>
            <w:vMerge/>
            <w:tcBorders>
              <w:left w:val="single" w:sz="4" w:space="0" w:color="000000"/>
              <w:bottom w:val="single" w:sz="4" w:space="0" w:color="000000"/>
              <w:right w:val="single" w:sz="4" w:space="0" w:color="000000"/>
            </w:tcBorders>
            <w:shd w:val="clear" w:color="auto" w:fill="D3D3D3"/>
          </w:tcPr>
          <w:p>
            <w:pPr/>
          </w:p>
        </w:tc>
        <w:tc>
          <w:tcPr>
            <w:tcW w:w="505" w:type="dxa"/>
            <w:vMerge/>
            <w:tcBorders>
              <w:left w:val="single" w:sz="4" w:space="0" w:color="000000"/>
              <w:bottom w:val="single" w:sz="4" w:space="0" w:color="000000"/>
              <w:right w:val="single" w:sz="4" w:space="0" w:color="000000"/>
            </w:tcBorders>
            <w:shd w:val="clear" w:color="auto" w:fill="D3D3D3"/>
          </w:tcPr>
          <w:p>
            <w:pPr/>
          </w:p>
        </w:tc>
        <w:tc>
          <w:tcPr>
            <w:tcW w:w="466" w:type="dxa"/>
            <w:vMerge/>
            <w:tcBorders>
              <w:left w:val="single" w:sz="4" w:space="0" w:color="000000"/>
              <w:bottom w:val="single" w:sz="4" w:space="0" w:color="000000"/>
              <w:right w:val="single" w:sz="4" w:space="0" w:color="000000"/>
            </w:tcBorders>
            <w:shd w:val="clear" w:color="auto" w:fill="D3D3D3"/>
          </w:tcPr>
          <w:p>
            <w:pPr/>
          </w:p>
        </w:tc>
        <w:tc>
          <w:tcPr>
            <w:tcW w:w="468" w:type="dxa"/>
            <w:vMerge/>
            <w:tcBorders>
              <w:left w:val="single" w:sz="4" w:space="0" w:color="000000"/>
              <w:bottom w:val="single" w:sz="4" w:space="0" w:color="000000"/>
              <w:right w:val="single" w:sz="4" w:space="0" w:color="000000"/>
            </w:tcBorders>
            <w:shd w:val="clear" w:color="auto" w:fill="D3D3D3"/>
          </w:tcPr>
          <w:p>
            <w:pPr/>
          </w:p>
        </w:tc>
        <w:tc>
          <w:tcPr>
            <w:tcW w:w="468" w:type="dxa"/>
            <w:vMerge/>
            <w:tcBorders>
              <w:left w:val="single" w:sz="4" w:space="0" w:color="000000"/>
              <w:bottom w:val="single" w:sz="4" w:space="0" w:color="000000"/>
              <w:right w:val="single" w:sz="4" w:space="0" w:color="000000"/>
            </w:tcBorders>
            <w:shd w:val="clear" w:color="auto" w:fill="D3D3D3"/>
          </w:tcPr>
          <w:p>
            <w:pPr/>
          </w:p>
        </w:tc>
        <w:tc>
          <w:tcPr>
            <w:tcW w:w="582" w:type="dxa"/>
            <w:vMerge/>
            <w:tcBorders>
              <w:left w:val="single" w:sz="4" w:space="0" w:color="000000"/>
              <w:bottom w:val="single" w:sz="4" w:space="0" w:color="000000"/>
              <w:right w:val="single" w:sz="4" w:space="0" w:color="000000"/>
            </w:tcBorders>
            <w:shd w:val="clear" w:color="auto" w:fill="D3D3D3"/>
          </w:tcPr>
          <w:p>
            <w:pPr/>
          </w:p>
        </w:tc>
        <w:tc>
          <w:tcPr>
            <w:tcW w:w="584" w:type="dxa"/>
            <w:vMerge/>
            <w:tcBorders>
              <w:left w:val="single" w:sz="4" w:space="0" w:color="000000"/>
              <w:bottom w:val="single" w:sz="4" w:space="0" w:color="000000"/>
              <w:right w:val="single" w:sz="4" w:space="0" w:color="000000"/>
            </w:tcBorders>
            <w:shd w:val="clear" w:color="auto" w:fill="D3D3D3"/>
          </w:tcPr>
          <w:p>
            <w:pPr/>
          </w:p>
        </w:tc>
        <w:tc>
          <w:tcPr>
            <w:tcW w:w="584" w:type="dxa"/>
            <w:vMerge/>
            <w:tcBorders>
              <w:left w:val="single" w:sz="4" w:space="0" w:color="000000"/>
              <w:bottom w:val="single" w:sz="4" w:space="0" w:color="000000"/>
              <w:right w:val="single" w:sz="4" w:space="0" w:color="000000"/>
            </w:tcBorders>
            <w:shd w:val="clear" w:color="auto" w:fill="D3D3D3"/>
          </w:tcPr>
          <w:p>
            <w:pPr/>
          </w:p>
        </w:tc>
        <w:tc>
          <w:tcPr>
            <w:tcW w:w="583" w:type="dxa"/>
            <w:vMerge/>
            <w:tcBorders>
              <w:left w:val="single" w:sz="4" w:space="0" w:color="000000"/>
              <w:bottom w:val="single" w:sz="4" w:space="0" w:color="000000"/>
              <w:right w:val="single" w:sz="4" w:space="0" w:color="000000"/>
            </w:tcBorders>
            <w:shd w:val="clear" w:color="auto" w:fill="D3D3D3"/>
          </w:tcPr>
          <w:p>
            <w:pPr/>
          </w:p>
        </w:tc>
        <w:tc>
          <w:tcPr>
            <w:tcW w:w="583" w:type="dxa"/>
            <w:vMerge/>
            <w:tcBorders>
              <w:left w:val="single" w:sz="4" w:space="0" w:color="000000"/>
              <w:bottom w:val="single" w:sz="4" w:space="0" w:color="000000"/>
              <w:right w:val="single" w:sz="4" w:space="0" w:color="000000"/>
            </w:tcBorders>
            <w:shd w:val="clear" w:color="auto" w:fill="D3D3D3"/>
          </w:tcPr>
          <w:p>
            <w:pPr/>
          </w:p>
        </w:tc>
        <w:tc>
          <w:tcPr>
            <w:tcW w:w="584" w:type="dxa"/>
            <w:vMerge/>
            <w:tcBorders>
              <w:left w:val="single" w:sz="4" w:space="0" w:color="000000"/>
              <w:bottom w:val="single" w:sz="4" w:space="0" w:color="000000"/>
              <w:right w:val="single" w:sz="4" w:space="0" w:color="000000"/>
            </w:tcBorders>
            <w:shd w:val="clear" w:color="auto" w:fill="D3D3D3"/>
          </w:tcPr>
          <w:p>
            <w:pPr/>
          </w:p>
        </w:tc>
        <w:tc>
          <w:tcPr>
            <w:tcW w:w="584" w:type="dxa"/>
            <w:vMerge/>
            <w:tcBorders>
              <w:left w:val="single" w:sz="4" w:space="0" w:color="000000"/>
              <w:bottom w:val="single" w:sz="4" w:space="0" w:color="000000"/>
              <w:right w:val="single" w:sz="4" w:space="0" w:color="000000"/>
            </w:tcBorders>
            <w:shd w:val="clear" w:color="auto" w:fill="D3D3D3"/>
          </w:tcPr>
          <w:p>
            <w:pPr/>
          </w:p>
        </w:tc>
        <w:tc>
          <w:tcPr>
            <w:tcW w:w="583" w:type="dxa"/>
            <w:vMerge/>
            <w:tcBorders>
              <w:left w:val="single" w:sz="4" w:space="0" w:color="000000"/>
              <w:bottom w:val="single" w:sz="4" w:space="0" w:color="000000"/>
              <w:right w:val="single" w:sz="4" w:space="0" w:color="000000"/>
            </w:tcBorders>
            <w:shd w:val="clear" w:color="auto" w:fill="D3D3D3"/>
          </w:tcPr>
          <w:p>
            <w:pPr/>
          </w:p>
        </w:tc>
        <w:tc>
          <w:tcPr>
            <w:tcW w:w="584" w:type="dxa"/>
            <w:vMerge/>
            <w:tcBorders>
              <w:left w:val="single" w:sz="4" w:space="0" w:color="000000"/>
              <w:bottom w:val="single" w:sz="4" w:space="0" w:color="000000"/>
              <w:right w:val="single" w:sz="4" w:space="0" w:color="000000"/>
            </w:tcBorders>
            <w:shd w:val="clear" w:color="auto" w:fill="D3D3D3"/>
          </w:tcPr>
          <w:p>
            <w:pPr/>
          </w:p>
        </w:tc>
        <w:tc>
          <w:tcPr>
            <w:tcW w:w="584" w:type="dxa"/>
            <w:vMerge/>
            <w:tcBorders>
              <w:left w:val="single" w:sz="4" w:space="0" w:color="000000"/>
              <w:bottom w:val="single" w:sz="4" w:space="0" w:color="000000"/>
              <w:right w:val="single" w:sz="4" w:space="0" w:color="000000"/>
            </w:tcBorders>
            <w:shd w:val="clear" w:color="auto" w:fill="D3D3D3"/>
          </w:tcPr>
          <w:p>
            <w:pPr/>
          </w:p>
        </w:tc>
        <w:tc>
          <w:tcPr>
            <w:tcW w:w="57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16" w:hRule="exact"/>
        </w:trPr>
        <w:tc>
          <w:tcPr>
            <w:tcW w:w="1230" w:type="dxa"/>
            <w:tcBorders>
              <w:top w:val="single" w:sz="4" w:space="0" w:color="000000"/>
              <w:left w:val="single" w:sz="4" w:space="0" w:color="000000"/>
              <w:bottom w:val="nil" w:sz="6" w:space="0" w:color="auto"/>
              <w:right w:val="single" w:sz="4" w:space="0" w:color="000000"/>
            </w:tcBorders>
            <w:shd w:val="clear" w:color="auto" w:fill="D3D3D3"/>
          </w:tcPr>
          <w:p>
            <w:pPr/>
          </w:p>
        </w:tc>
        <w:tc>
          <w:tcPr>
            <w:tcW w:w="505" w:type="dxa"/>
            <w:vMerge w:val="restart"/>
            <w:tcBorders>
              <w:top w:val="single" w:sz="4" w:space="0" w:color="000000"/>
              <w:left w:val="single" w:sz="9" w:space="0" w:color="D3D3D3"/>
              <w:right w:val="single" w:sz="4" w:space="0" w:color="000000"/>
            </w:tcBorders>
          </w:tcPr>
          <w:p>
            <w:pPr>
              <w:pStyle w:val="TableParagraph"/>
              <w:spacing w:line="240" w:lineRule="auto" w:before="91"/>
              <w:ind w:left="87" w:right="0"/>
              <w:jc w:val="center"/>
              <w:rPr>
                <w:rFonts w:ascii="Arial" w:hAnsi="Arial" w:cs="Arial" w:eastAsia="Arial" w:hint="default"/>
                <w:sz w:val="18"/>
                <w:szCs w:val="18"/>
              </w:rPr>
            </w:pPr>
            <w:r>
              <w:rPr>
                <w:rFonts w:ascii="Arial"/>
                <w:sz w:val="18"/>
              </w:rPr>
              <w:t>622,</w:t>
            </w:r>
          </w:p>
          <w:p>
            <w:pPr>
              <w:pStyle w:val="TableParagraph"/>
              <w:spacing w:line="240" w:lineRule="auto" w:before="105"/>
              <w:ind w:left="87" w:right="0"/>
              <w:jc w:val="center"/>
              <w:rPr>
                <w:rFonts w:ascii="Arial" w:hAnsi="Arial" w:cs="Arial" w:eastAsia="Arial" w:hint="default"/>
                <w:sz w:val="18"/>
                <w:szCs w:val="18"/>
              </w:rPr>
            </w:pPr>
            <w:r>
              <w:rPr>
                <w:rFonts w:ascii="Arial"/>
                <w:sz w:val="18"/>
              </w:rPr>
              <w:t>200,</w:t>
            </w:r>
          </w:p>
          <w:p>
            <w:pPr>
              <w:pStyle w:val="TableParagraph"/>
              <w:spacing w:line="240" w:lineRule="auto" w:before="105"/>
              <w:ind w:left="87" w:right="0"/>
              <w:jc w:val="center"/>
              <w:rPr>
                <w:rFonts w:ascii="Arial" w:hAnsi="Arial" w:cs="Arial" w:eastAsia="Arial" w:hint="default"/>
                <w:sz w:val="18"/>
                <w:szCs w:val="18"/>
              </w:rPr>
            </w:pPr>
            <w:r>
              <w:rPr>
                <w:rFonts w:ascii="Arial"/>
                <w:sz w:val="18"/>
              </w:rPr>
              <w:t>000.</w:t>
            </w:r>
          </w:p>
          <w:p>
            <w:pPr>
              <w:pStyle w:val="TableParagraph"/>
              <w:spacing w:line="240" w:lineRule="auto" w:before="106"/>
              <w:ind w:left="238" w:right="0"/>
              <w:jc w:val="center"/>
              <w:rPr>
                <w:rFonts w:ascii="Arial" w:hAnsi="Arial" w:cs="Arial" w:eastAsia="Arial" w:hint="default"/>
                <w:sz w:val="18"/>
                <w:szCs w:val="18"/>
              </w:rPr>
            </w:pPr>
            <w:r>
              <w:rPr>
                <w:rFonts w:ascii="Arial"/>
                <w:sz w:val="18"/>
              </w:rPr>
              <w:t>00</w:t>
            </w: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Arial" w:hAnsi="Arial" w:cs="Arial" w:eastAsia="Arial" w:hint="default"/>
                <w:sz w:val="18"/>
                <w:szCs w:val="18"/>
              </w:rPr>
            </w:pPr>
            <w:r>
              <w:rPr>
                <w:rFonts w:ascii="Arial"/>
                <w:sz w:val="18"/>
              </w:rPr>
              <w:t>369,3</w:t>
            </w:r>
          </w:p>
          <w:p>
            <w:pPr>
              <w:pStyle w:val="TableParagraph"/>
              <w:spacing w:line="240" w:lineRule="auto" w:before="105"/>
              <w:ind w:left="99" w:right="0"/>
              <w:jc w:val="left"/>
              <w:rPr>
                <w:rFonts w:ascii="Arial" w:hAnsi="Arial" w:cs="Arial" w:eastAsia="Arial" w:hint="default"/>
                <w:sz w:val="18"/>
                <w:szCs w:val="18"/>
              </w:rPr>
            </w:pPr>
            <w:r>
              <w:rPr>
                <w:rFonts w:ascii="Arial"/>
                <w:sz w:val="18"/>
              </w:rPr>
              <w:t>58,61</w:t>
            </w:r>
          </w:p>
          <w:p>
            <w:pPr>
              <w:pStyle w:val="TableParagraph"/>
              <w:spacing w:line="240" w:lineRule="auto" w:before="106"/>
              <w:ind w:left="199" w:right="0"/>
              <w:jc w:val="left"/>
              <w:rPr>
                <w:rFonts w:ascii="Arial" w:hAnsi="Arial" w:cs="Arial" w:eastAsia="Arial" w:hint="default"/>
                <w:sz w:val="18"/>
                <w:szCs w:val="18"/>
              </w:rPr>
            </w:pPr>
            <w:r>
              <w:rPr>
                <w:rFonts w:ascii="Arial"/>
                <w:sz w:val="18"/>
              </w:rPr>
              <w:t>2.29</w:t>
            </w: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18" w:space="0" w:color="D3D3D3"/>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right="24"/>
              <w:jc w:val="right"/>
              <w:rPr>
                <w:rFonts w:ascii="Arial" w:hAnsi="Arial" w:cs="Arial" w:eastAsia="Arial" w:hint="default"/>
                <w:sz w:val="18"/>
                <w:szCs w:val="18"/>
              </w:rPr>
            </w:pPr>
            <w:r>
              <w:rPr>
                <w:rFonts w:ascii="Arial"/>
                <w:spacing w:val="-1"/>
                <w:sz w:val="18"/>
              </w:rPr>
              <w:t>7,403,</w:t>
            </w:r>
            <w:r>
              <w:rPr>
                <w:rFonts w:ascii="Arial"/>
                <w:sz w:val="18"/>
              </w:rPr>
            </w:r>
          </w:p>
          <w:p>
            <w:pPr>
              <w:pStyle w:val="TableParagraph"/>
              <w:spacing w:line="240" w:lineRule="auto" w:before="105"/>
              <w:ind w:right="23"/>
              <w:jc w:val="right"/>
              <w:rPr>
                <w:rFonts w:ascii="Arial" w:hAnsi="Arial" w:cs="Arial" w:eastAsia="Arial" w:hint="default"/>
                <w:sz w:val="18"/>
                <w:szCs w:val="18"/>
              </w:rPr>
            </w:pPr>
            <w:r>
              <w:rPr>
                <w:rFonts w:ascii="Arial"/>
                <w:spacing w:val="-1"/>
                <w:w w:val="95"/>
                <w:sz w:val="18"/>
              </w:rPr>
              <w:t>655.9</w:t>
            </w:r>
            <w:r>
              <w:rPr>
                <w:rFonts w:ascii="Arial"/>
                <w:w w:val="95"/>
                <w:sz w:val="18"/>
              </w:rPr>
            </w:r>
          </w:p>
          <w:p>
            <w:pPr>
              <w:pStyle w:val="TableParagraph"/>
              <w:spacing w:line="240" w:lineRule="auto" w:before="106"/>
              <w:ind w:right="21"/>
              <w:jc w:val="right"/>
              <w:rPr>
                <w:rFonts w:ascii="Arial" w:hAnsi="Arial" w:cs="Arial" w:eastAsia="Arial" w:hint="default"/>
                <w:sz w:val="18"/>
                <w:szCs w:val="18"/>
              </w:rPr>
            </w:pPr>
            <w:r>
              <w:rPr>
                <w:rFonts w:ascii="Arial"/>
                <w:sz w:val="18"/>
              </w:rPr>
              <w:t>9</w:t>
            </w: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Arial" w:hAnsi="Arial" w:cs="Arial" w:eastAsia="Arial" w:hint="default"/>
                <w:sz w:val="18"/>
                <w:szCs w:val="18"/>
              </w:rPr>
            </w:pPr>
            <w:r>
              <w:rPr>
                <w:rFonts w:ascii="Arial"/>
                <w:sz w:val="18"/>
              </w:rPr>
              <w:t>67,57</w:t>
            </w:r>
          </w:p>
          <w:p>
            <w:pPr>
              <w:pStyle w:val="TableParagraph"/>
              <w:spacing w:line="240" w:lineRule="auto" w:before="105"/>
              <w:ind w:left="63" w:right="0"/>
              <w:jc w:val="left"/>
              <w:rPr>
                <w:rFonts w:ascii="Arial" w:hAnsi="Arial" w:cs="Arial" w:eastAsia="Arial" w:hint="default"/>
                <w:sz w:val="18"/>
                <w:szCs w:val="18"/>
              </w:rPr>
            </w:pPr>
            <w:r>
              <w:rPr>
                <w:rFonts w:ascii="Arial"/>
                <w:spacing w:val="-4"/>
                <w:sz w:val="18"/>
              </w:rPr>
              <w:t>1,711.</w:t>
            </w:r>
            <w:r>
              <w:rPr>
                <w:rFonts w:ascii="Arial"/>
                <w:sz w:val="18"/>
              </w:rPr>
            </w:r>
          </w:p>
          <w:p>
            <w:pPr>
              <w:pStyle w:val="TableParagraph"/>
              <w:spacing w:line="240" w:lineRule="auto" w:before="106"/>
              <w:ind w:left="350" w:right="0"/>
              <w:jc w:val="left"/>
              <w:rPr>
                <w:rFonts w:ascii="Arial" w:hAnsi="Arial" w:cs="Arial" w:eastAsia="Arial" w:hint="default"/>
                <w:sz w:val="18"/>
                <w:szCs w:val="18"/>
              </w:rPr>
            </w:pPr>
            <w:r>
              <w:rPr>
                <w:rFonts w:ascii="Arial"/>
                <w:sz w:val="18"/>
              </w:rPr>
              <w:t>68</w:t>
            </w:r>
          </w:p>
        </w:tc>
        <w:tc>
          <w:tcPr>
            <w:tcW w:w="584" w:type="dxa"/>
            <w:vMerge w:val="restart"/>
            <w:tcBorders>
              <w:top w:val="single" w:sz="18" w:space="0" w:color="D3D3D3"/>
              <w:left w:val="single" w:sz="4" w:space="0" w:color="000000"/>
              <w:right w:val="single" w:sz="4" w:space="0" w:color="000000"/>
            </w:tcBorders>
          </w:tcPr>
          <w:p>
            <w:pPr/>
          </w:p>
        </w:tc>
        <w:tc>
          <w:tcPr>
            <w:tcW w:w="584" w:type="dxa"/>
            <w:vMerge w:val="restart"/>
            <w:tcBorders>
              <w:top w:val="single" w:sz="18" w:space="0" w:color="D3D3D3"/>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100" w:right="0"/>
              <w:jc w:val="left"/>
              <w:rPr>
                <w:rFonts w:ascii="Arial" w:hAnsi="Arial" w:cs="Arial" w:eastAsia="Arial" w:hint="default"/>
                <w:sz w:val="18"/>
                <w:szCs w:val="18"/>
              </w:rPr>
            </w:pPr>
            <w:r>
              <w:rPr>
                <w:rFonts w:ascii="Arial"/>
                <w:sz w:val="18"/>
              </w:rPr>
              <w:t>388,8</w:t>
            </w:r>
          </w:p>
          <w:p>
            <w:pPr>
              <w:pStyle w:val="TableParagraph"/>
              <w:spacing w:line="240" w:lineRule="auto" w:before="105"/>
              <w:ind w:left="100" w:right="0"/>
              <w:jc w:val="left"/>
              <w:rPr>
                <w:rFonts w:ascii="Arial" w:hAnsi="Arial" w:cs="Arial" w:eastAsia="Arial" w:hint="default"/>
                <w:sz w:val="18"/>
                <w:szCs w:val="18"/>
              </w:rPr>
            </w:pPr>
            <w:r>
              <w:rPr>
                <w:rFonts w:ascii="Arial"/>
                <w:sz w:val="18"/>
              </w:rPr>
              <w:t>70,54</w:t>
            </w:r>
          </w:p>
          <w:p>
            <w:pPr>
              <w:pStyle w:val="TableParagraph"/>
              <w:spacing w:line="240" w:lineRule="auto" w:before="106"/>
              <w:ind w:left="200" w:right="0"/>
              <w:jc w:val="left"/>
              <w:rPr>
                <w:rFonts w:ascii="Arial" w:hAnsi="Arial" w:cs="Arial" w:eastAsia="Arial" w:hint="default"/>
                <w:sz w:val="18"/>
                <w:szCs w:val="18"/>
              </w:rPr>
            </w:pPr>
            <w:r>
              <w:rPr>
                <w:rFonts w:ascii="Arial"/>
                <w:sz w:val="18"/>
              </w:rPr>
              <w:t>2.81</w:t>
            </w: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Arial" w:hAnsi="Arial" w:cs="Arial" w:eastAsia="Arial" w:hint="default"/>
                <w:sz w:val="18"/>
                <w:szCs w:val="18"/>
              </w:rPr>
            </w:pPr>
            <w:r>
              <w:rPr>
                <w:rFonts w:ascii="Arial"/>
                <w:sz w:val="18"/>
              </w:rPr>
              <w:t>1,455,</w:t>
            </w:r>
          </w:p>
          <w:p>
            <w:pPr>
              <w:pStyle w:val="TableParagraph"/>
              <w:spacing w:line="240" w:lineRule="auto" w:before="105"/>
              <w:ind w:left="100" w:right="0"/>
              <w:jc w:val="left"/>
              <w:rPr>
                <w:rFonts w:ascii="Arial" w:hAnsi="Arial" w:cs="Arial" w:eastAsia="Arial" w:hint="default"/>
                <w:sz w:val="18"/>
                <w:szCs w:val="18"/>
              </w:rPr>
            </w:pPr>
            <w:r>
              <w:rPr>
                <w:rFonts w:ascii="Arial"/>
                <w:sz w:val="18"/>
              </w:rPr>
              <w:t>404,5</w:t>
            </w:r>
          </w:p>
          <w:p>
            <w:pPr>
              <w:pStyle w:val="TableParagraph"/>
              <w:spacing w:line="240" w:lineRule="auto" w:before="106"/>
              <w:ind w:left="100" w:right="0"/>
              <w:jc w:val="left"/>
              <w:rPr>
                <w:rFonts w:ascii="Arial" w:hAnsi="Arial" w:cs="Arial" w:eastAsia="Arial" w:hint="default"/>
                <w:sz w:val="18"/>
                <w:szCs w:val="18"/>
              </w:rPr>
            </w:pPr>
            <w:r>
              <w:rPr>
                <w:rFonts w:ascii="Arial"/>
                <w:sz w:val="18"/>
              </w:rPr>
              <w:t>22.77</w:t>
            </w: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Arial" w:hAnsi="Arial" w:cs="Arial" w:eastAsia="Arial" w:hint="default"/>
                <w:sz w:val="18"/>
                <w:szCs w:val="18"/>
              </w:rPr>
            </w:pPr>
            <w:r>
              <w:rPr>
                <w:rFonts w:ascii="Arial"/>
                <w:spacing w:val="-1"/>
                <w:sz w:val="18"/>
              </w:rPr>
              <w:t>6,679,</w:t>
            </w:r>
            <w:r>
              <w:rPr>
                <w:rFonts w:ascii="Arial"/>
                <w:sz w:val="18"/>
              </w:rPr>
            </w:r>
          </w:p>
          <w:p>
            <w:pPr>
              <w:pStyle w:val="TableParagraph"/>
              <w:spacing w:line="240" w:lineRule="auto" w:before="105"/>
              <w:ind w:right="23"/>
              <w:jc w:val="right"/>
              <w:rPr>
                <w:rFonts w:ascii="Arial" w:hAnsi="Arial" w:cs="Arial" w:eastAsia="Arial" w:hint="default"/>
                <w:sz w:val="18"/>
                <w:szCs w:val="18"/>
              </w:rPr>
            </w:pPr>
            <w:r>
              <w:rPr>
                <w:rFonts w:ascii="Arial"/>
                <w:spacing w:val="-1"/>
                <w:w w:val="95"/>
                <w:sz w:val="18"/>
              </w:rPr>
              <w:t>995.1</w:t>
            </w:r>
            <w:r>
              <w:rPr>
                <w:rFonts w:ascii="Arial"/>
                <w:w w:val="95"/>
                <w:sz w:val="18"/>
              </w:rPr>
            </w:r>
          </w:p>
          <w:p>
            <w:pPr>
              <w:pStyle w:val="TableParagraph"/>
              <w:spacing w:line="240" w:lineRule="auto" w:before="106"/>
              <w:ind w:right="21"/>
              <w:jc w:val="right"/>
              <w:rPr>
                <w:rFonts w:ascii="Arial" w:hAnsi="Arial" w:cs="Arial" w:eastAsia="Arial" w:hint="default"/>
                <w:sz w:val="18"/>
                <w:szCs w:val="18"/>
              </w:rPr>
            </w:pPr>
            <w:r>
              <w:rPr>
                <w:rFonts w:ascii="Arial"/>
                <w:sz w:val="18"/>
              </w:rPr>
              <w:t>4</w:t>
            </w:r>
          </w:p>
        </w:tc>
        <w:tc>
          <w:tcPr>
            <w:tcW w:w="577" w:type="dxa"/>
            <w:vMerge w:val="restart"/>
            <w:tcBorders>
              <w:top w:val="single" w:sz="36" w:space="0" w:color="D3D3D3"/>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4" w:right="0"/>
              <w:jc w:val="left"/>
              <w:rPr>
                <w:rFonts w:ascii="Arial" w:hAnsi="Arial" w:cs="Arial" w:eastAsia="Arial" w:hint="default"/>
                <w:sz w:val="18"/>
                <w:szCs w:val="18"/>
              </w:rPr>
            </w:pPr>
            <w:r>
              <w:rPr>
                <w:rFonts w:ascii="Arial"/>
                <w:sz w:val="18"/>
              </w:rPr>
              <w:t>1,462,</w:t>
            </w:r>
          </w:p>
          <w:p>
            <w:pPr>
              <w:pStyle w:val="TableParagraph"/>
              <w:spacing w:line="240" w:lineRule="auto" w:before="105"/>
              <w:ind w:left="94" w:right="0"/>
              <w:jc w:val="left"/>
              <w:rPr>
                <w:rFonts w:ascii="Arial" w:hAnsi="Arial" w:cs="Arial" w:eastAsia="Arial" w:hint="default"/>
                <w:sz w:val="18"/>
                <w:szCs w:val="18"/>
              </w:rPr>
            </w:pPr>
            <w:r>
              <w:rPr>
                <w:rFonts w:ascii="Arial"/>
                <w:sz w:val="18"/>
              </w:rPr>
              <w:t>084,5</w:t>
            </w:r>
          </w:p>
          <w:p>
            <w:pPr>
              <w:pStyle w:val="TableParagraph"/>
              <w:spacing w:line="240" w:lineRule="auto" w:before="106"/>
              <w:ind w:left="94" w:right="0"/>
              <w:jc w:val="left"/>
              <w:rPr>
                <w:rFonts w:ascii="Arial" w:hAnsi="Arial" w:cs="Arial" w:eastAsia="Arial" w:hint="default"/>
                <w:sz w:val="18"/>
                <w:szCs w:val="18"/>
              </w:rPr>
            </w:pPr>
            <w:r>
              <w:rPr>
                <w:rFonts w:ascii="Arial"/>
                <w:sz w:val="18"/>
              </w:rPr>
              <w:t>17.91</w:t>
            </w:r>
          </w:p>
        </w:tc>
      </w:tr>
      <w:tr>
        <w:trPr>
          <w:trHeight w:val="705" w:hRule="exact"/>
        </w:trPr>
        <w:tc>
          <w:tcPr>
            <w:tcW w:w="123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9"/>
                <w:sz w:val="18"/>
                <w:szCs w:val="18"/>
              </w:rPr>
              <w:t>一、上年期末余</w:t>
            </w:r>
            <w:r>
              <w:rPr>
                <w:rFonts w:ascii="宋体" w:hAnsi="宋体" w:cs="宋体" w:eastAsia="宋体" w:hint="default"/>
                <w:sz w:val="18"/>
                <w:szCs w:val="18"/>
              </w:rPr>
              <w:t> 额</w:t>
            </w:r>
          </w:p>
        </w:tc>
        <w:tc>
          <w:tcPr>
            <w:tcW w:w="505" w:type="dxa"/>
            <w:vMerge/>
            <w:tcBorders>
              <w:left w:val="single" w:sz="9" w:space="0" w:color="D3D3D3"/>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2"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r>
      <w:tr>
        <w:trPr>
          <w:trHeight w:val="316" w:hRule="exact"/>
        </w:trPr>
        <w:tc>
          <w:tcPr>
            <w:tcW w:w="1230" w:type="dxa"/>
            <w:tcBorders>
              <w:top w:val="nil" w:sz="6" w:space="0" w:color="auto"/>
              <w:left w:val="single" w:sz="4" w:space="0" w:color="000000"/>
              <w:bottom w:val="single" w:sz="4" w:space="0" w:color="000000"/>
              <w:right w:val="single" w:sz="4" w:space="0" w:color="000000"/>
            </w:tcBorders>
            <w:shd w:val="clear" w:color="auto" w:fill="D3D3D3"/>
          </w:tcPr>
          <w:p>
            <w:pPr/>
          </w:p>
        </w:tc>
        <w:tc>
          <w:tcPr>
            <w:tcW w:w="505" w:type="dxa"/>
            <w:vMerge/>
            <w:tcBorders>
              <w:left w:val="single" w:sz="9" w:space="0" w:color="D3D3D3"/>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2"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r>
      <w:tr>
        <w:trPr>
          <w:trHeight w:val="160" w:hRule="exact"/>
        </w:trPr>
        <w:tc>
          <w:tcPr>
            <w:tcW w:w="1230" w:type="dxa"/>
            <w:tcBorders>
              <w:top w:val="single" w:sz="4" w:space="0" w:color="000000"/>
              <w:left w:val="single" w:sz="4" w:space="0" w:color="000000"/>
              <w:bottom w:val="nil" w:sz="6" w:space="0" w:color="auto"/>
              <w:right w:val="single" w:sz="4" w:space="0" w:color="000000"/>
            </w:tcBorders>
            <w:shd w:val="clear" w:color="auto" w:fill="D3D3D3"/>
          </w:tcPr>
          <w:p>
            <w:pPr/>
          </w:p>
        </w:tc>
        <w:tc>
          <w:tcPr>
            <w:tcW w:w="505" w:type="dxa"/>
            <w:vMerge w:val="restart"/>
            <w:tcBorders>
              <w:top w:val="single" w:sz="4" w:space="0" w:color="000000"/>
              <w:left w:val="single" w:sz="9" w:space="0" w:color="D3D3D3"/>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2"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Arial" w:hAnsi="Arial" w:cs="Arial" w:eastAsia="Arial" w:hint="default"/>
                <w:sz w:val="18"/>
                <w:szCs w:val="18"/>
              </w:rPr>
            </w:pPr>
            <w:r>
              <w:rPr>
                <w:rFonts w:ascii="Arial"/>
                <w:sz w:val="18"/>
              </w:rPr>
              <w:t>27,74</w:t>
            </w:r>
          </w:p>
          <w:p>
            <w:pPr>
              <w:pStyle w:val="TableParagraph"/>
              <w:spacing w:line="240" w:lineRule="auto" w:before="105"/>
              <w:ind w:left="50" w:right="0"/>
              <w:jc w:val="left"/>
              <w:rPr>
                <w:rFonts w:ascii="Arial" w:hAnsi="Arial" w:cs="Arial" w:eastAsia="Arial" w:hint="default"/>
                <w:sz w:val="18"/>
                <w:szCs w:val="18"/>
              </w:rPr>
            </w:pPr>
            <w:r>
              <w:rPr>
                <w:rFonts w:ascii="Arial"/>
                <w:sz w:val="18"/>
              </w:rPr>
              <w:t>0,277.</w:t>
            </w:r>
          </w:p>
          <w:p>
            <w:pPr>
              <w:pStyle w:val="TableParagraph"/>
              <w:spacing w:line="240" w:lineRule="auto" w:before="106"/>
              <w:ind w:left="350" w:right="0"/>
              <w:jc w:val="left"/>
              <w:rPr>
                <w:rFonts w:ascii="Arial" w:hAnsi="Arial" w:cs="Arial" w:eastAsia="Arial" w:hint="default"/>
                <w:sz w:val="18"/>
                <w:szCs w:val="18"/>
              </w:rPr>
            </w:pPr>
            <w:r>
              <w:rPr>
                <w:rFonts w:ascii="Arial"/>
                <w:sz w:val="18"/>
              </w:rPr>
              <w:t>77</w:t>
            </w: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Arial" w:hAnsi="Arial" w:cs="Arial" w:eastAsia="Arial" w:hint="default"/>
                <w:sz w:val="18"/>
                <w:szCs w:val="18"/>
              </w:rPr>
            </w:pPr>
            <w:r>
              <w:rPr>
                <w:rFonts w:ascii="Arial"/>
                <w:sz w:val="18"/>
              </w:rPr>
              <w:t>27,74</w:t>
            </w:r>
          </w:p>
          <w:p>
            <w:pPr>
              <w:pStyle w:val="TableParagraph"/>
              <w:spacing w:line="240" w:lineRule="auto" w:before="105"/>
              <w:ind w:left="50" w:right="0"/>
              <w:jc w:val="left"/>
              <w:rPr>
                <w:rFonts w:ascii="Arial" w:hAnsi="Arial" w:cs="Arial" w:eastAsia="Arial" w:hint="default"/>
                <w:sz w:val="18"/>
                <w:szCs w:val="18"/>
              </w:rPr>
            </w:pPr>
            <w:r>
              <w:rPr>
                <w:rFonts w:ascii="Arial"/>
                <w:sz w:val="18"/>
              </w:rPr>
              <w:t>0,277.</w:t>
            </w:r>
          </w:p>
          <w:p>
            <w:pPr>
              <w:pStyle w:val="TableParagraph"/>
              <w:spacing w:line="240" w:lineRule="auto" w:before="106"/>
              <w:ind w:left="350" w:right="0"/>
              <w:jc w:val="left"/>
              <w:rPr>
                <w:rFonts w:ascii="Arial" w:hAnsi="Arial" w:cs="Arial" w:eastAsia="Arial" w:hint="default"/>
                <w:sz w:val="18"/>
                <w:szCs w:val="18"/>
              </w:rPr>
            </w:pPr>
            <w:r>
              <w:rPr>
                <w:rFonts w:ascii="Arial"/>
                <w:sz w:val="18"/>
              </w:rPr>
              <w:t>77</w:t>
            </w:r>
          </w:p>
        </w:tc>
        <w:tc>
          <w:tcPr>
            <w:tcW w:w="584"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Style w:val="TableParagraph"/>
              <w:spacing w:line="240" w:lineRule="auto" w:before="91"/>
              <w:ind w:left="94" w:right="0"/>
              <w:jc w:val="left"/>
              <w:rPr>
                <w:rFonts w:ascii="Arial" w:hAnsi="Arial" w:cs="Arial" w:eastAsia="Arial" w:hint="default"/>
                <w:sz w:val="18"/>
                <w:szCs w:val="18"/>
              </w:rPr>
            </w:pPr>
            <w:r>
              <w:rPr>
                <w:rFonts w:ascii="Arial"/>
                <w:sz w:val="18"/>
              </w:rPr>
              <w:t>27,74</w:t>
            </w:r>
          </w:p>
          <w:p>
            <w:pPr>
              <w:pStyle w:val="TableParagraph"/>
              <w:spacing w:line="240" w:lineRule="auto" w:before="105"/>
              <w:ind w:left="44" w:right="0"/>
              <w:jc w:val="left"/>
              <w:rPr>
                <w:rFonts w:ascii="Arial" w:hAnsi="Arial" w:cs="Arial" w:eastAsia="Arial" w:hint="default"/>
                <w:sz w:val="18"/>
                <w:szCs w:val="18"/>
              </w:rPr>
            </w:pPr>
            <w:r>
              <w:rPr>
                <w:rFonts w:ascii="Arial"/>
                <w:sz w:val="18"/>
              </w:rPr>
              <w:t>0,277.</w:t>
            </w:r>
          </w:p>
          <w:p>
            <w:pPr>
              <w:pStyle w:val="TableParagraph"/>
              <w:spacing w:line="240" w:lineRule="auto" w:before="106"/>
              <w:ind w:left="344" w:right="0"/>
              <w:jc w:val="left"/>
              <w:rPr>
                <w:rFonts w:ascii="Arial" w:hAnsi="Arial" w:cs="Arial" w:eastAsia="Arial" w:hint="default"/>
                <w:sz w:val="18"/>
                <w:szCs w:val="18"/>
              </w:rPr>
            </w:pPr>
            <w:r>
              <w:rPr>
                <w:rFonts w:ascii="Arial"/>
                <w:sz w:val="18"/>
              </w:rPr>
              <w:t>77</w:t>
            </w:r>
          </w:p>
        </w:tc>
      </w:tr>
      <w:tr>
        <w:trPr>
          <w:trHeight w:val="705" w:hRule="exact"/>
        </w:trPr>
        <w:tc>
          <w:tcPr>
            <w:tcW w:w="123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1"/>
              <w:ind w:left="11" w:right="9" w:firstLine="360"/>
              <w:jc w:val="left"/>
              <w:rPr>
                <w:rFonts w:ascii="宋体" w:hAnsi="宋体" w:cs="宋体" w:eastAsia="宋体" w:hint="default"/>
                <w:sz w:val="18"/>
                <w:szCs w:val="18"/>
              </w:rPr>
            </w:pPr>
            <w:r>
              <w:rPr>
                <w:rFonts w:ascii="宋体" w:hAnsi="宋体" w:cs="宋体" w:eastAsia="宋体" w:hint="default"/>
                <w:spacing w:val="-13"/>
                <w:sz w:val="18"/>
                <w:szCs w:val="18"/>
              </w:rPr>
              <w:t>加：会计政</w:t>
            </w:r>
            <w:r>
              <w:rPr>
                <w:rFonts w:ascii="宋体" w:hAnsi="宋体" w:cs="宋体" w:eastAsia="宋体" w:hint="default"/>
                <w:sz w:val="18"/>
                <w:szCs w:val="18"/>
              </w:rPr>
              <w:t> 策变更</w:t>
            </w:r>
          </w:p>
        </w:tc>
        <w:tc>
          <w:tcPr>
            <w:tcW w:w="505" w:type="dxa"/>
            <w:vMerge/>
            <w:tcBorders>
              <w:left w:val="single" w:sz="9" w:space="0" w:color="D3D3D3"/>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2"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r>
      <w:tr>
        <w:trPr>
          <w:trHeight w:val="160" w:hRule="exact"/>
        </w:trPr>
        <w:tc>
          <w:tcPr>
            <w:tcW w:w="1230" w:type="dxa"/>
            <w:tcBorders>
              <w:top w:val="nil" w:sz="6" w:space="0" w:color="auto"/>
              <w:left w:val="single" w:sz="4" w:space="0" w:color="000000"/>
              <w:bottom w:val="single" w:sz="4" w:space="0" w:color="000000"/>
              <w:right w:val="single" w:sz="4" w:space="0" w:color="000000"/>
            </w:tcBorders>
            <w:shd w:val="clear" w:color="auto" w:fill="D3D3D3"/>
          </w:tcPr>
          <w:p>
            <w:pPr/>
          </w:p>
        </w:tc>
        <w:tc>
          <w:tcPr>
            <w:tcW w:w="505" w:type="dxa"/>
            <w:vMerge/>
            <w:tcBorders>
              <w:left w:val="single" w:sz="9" w:space="0" w:color="D3D3D3"/>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2"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r>
      <w:tr>
        <w:trPr>
          <w:trHeight w:val="714"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28"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505" w:type="dxa"/>
            <w:tcBorders>
              <w:top w:val="single" w:sz="4" w:space="0" w:color="000000"/>
              <w:left w:val="single" w:sz="13" w:space="0" w:color="D3D3D3"/>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28"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05" w:type="dxa"/>
            <w:tcBorders>
              <w:top w:val="single" w:sz="4" w:space="0" w:color="000000"/>
              <w:left w:val="single" w:sz="13" w:space="0" w:color="D3D3D3"/>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28"/>
              <w:jc w:val="right"/>
              <w:rPr>
                <w:rFonts w:ascii="宋体" w:hAnsi="宋体" w:cs="宋体" w:eastAsia="宋体" w:hint="default"/>
                <w:sz w:val="18"/>
                <w:szCs w:val="18"/>
              </w:rPr>
            </w:pPr>
            <w:r>
              <w:rPr>
                <w:rFonts w:ascii="宋体" w:hAnsi="宋体" w:cs="宋体" w:eastAsia="宋体" w:hint="default"/>
                <w:sz w:val="18"/>
                <w:szCs w:val="18"/>
              </w:rPr>
              <w:t>其他</w:t>
            </w:r>
          </w:p>
        </w:tc>
        <w:tc>
          <w:tcPr>
            <w:tcW w:w="505" w:type="dxa"/>
            <w:tcBorders>
              <w:top w:val="single" w:sz="4" w:space="0" w:color="000000"/>
              <w:left w:val="single" w:sz="13" w:space="0" w:color="D3D3D3"/>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316" w:hRule="exact"/>
        </w:trPr>
        <w:tc>
          <w:tcPr>
            <w:tcW w:w="1230" w:type="dxa"/>
            <w:tcBorders>
              <w:top w:val="single" w:sz="4" w:space="0" w:color="000000"/>
              <w:left w:val="single" w:sz="4" w:space="0" w:color="000000"/>
              <w:bottom w:val="nil" w:sz="6" w:space="0" w:color="auto"/>
              <w:right w:val="single" w:sz="4" w:space="0" w:color="000000"/>
            </w:tcBorders>
            <w:shd w:val="clear" w:color="auto" w:fill="D3D3D3"/>
          </w:tcPr>
          <w:p>
            <w:pPr/>
          </w:p>
        </w:tc>
        <w:tc>
          <w:tcPr>
            <w:tcW w:w="505" w:type="dxa"/>
            <w:vMerge w:val="restart"/>
            <w:tcBorders>
              <w:top w:val="single" w:sz="4" w:space="0" w:color="000000"/>
              <w:left w:val="single" w:sz="9" w:space="0" w:color="D3D3D3"/>
              <w:right w:val="single" w:sz="4" w:space="0" w:color="000000"/>
            </w:tcBorders>
          </w:tcPr>
          <w:p>
            <w:pPr>
              <w:pStyle w:val="TableParagraph"/>
              <w:spacing w:line="240" w:lineRule="auto" w:before="91"/>
              <w:ind w:left="87" w:right="0"/>
              <w:jc w:val="center"/>
              <w:rPr>
                <w:rFonts w:ascii="Arial" w:hAnsi="Arial" w:cs="Arial" w:eastAsia="Arial" w:hint="default"/>
                <w:sz w:val="18"/>
                <w:szCs w:val="18"/>
              </w:rPr>
            </w:pPr>
            <w:r>
              <w:rPr>
                <w:rFonts w:ascii="Arial"/>
                <w:sz w:val="18"/>
              </w:rPr>
              <w:t>622,</w:t>
            </w:r>
          </w:p>
          <w:p>
            <w:pPr>
              <w:pStyle w:val="TableParagraph"/>
              <w:spacing w:line="240" w:lineRule="auto" w:before="105"/>
              <w:ind w:left="87" w:right="0"/>
              <w:jc w:val="center"/>
              <w:rPr>
                <w:rFonts w:ascii="Arial" w:hAnsi="Arial" w:cs="Arial" w:eastAsia="Arial" w:hint="default"/>
                <w:sz w:val="18"/>
                <w:szCs w:val="18"/>
              </w:rPr>
            </w:pPr>
            <w:r>
              <w:rPr>
                <w:rFonts w:ascii="Arial"/>
                <w:sz w:val="18"/>
              </w:rPr>
              <w:t>200,</w:t>
            </w:r>
          </w:p>
          <w:p>
            <w:pPr>
              <w:pStyle w:val="TableParagraph"/>
              <w:spacing w:line="240" w:lineRule="auto" w:before="105"/>
              <w:ind w:left="87" w:right="0"/>
              <w:jc w:val="center"/>
              <w:rPr>
                <w:rFonts w:ascii="Arial" w:hAnsi="Arial" w:cs="Arial" w:eastAsia="Arial" w:hint="default"/>
                <w:sz w:val="18"/>
                <w:szCs w:val="18"/>
              </w:rPr>
            </w:pPr>
            <w:r>
              <w:rPr>
                <w:rFonts w:ascii="Arial"/>
                <w:sz w:val="18"/>
              </w:rPr>
              <w:t>000.</w:t>
            </w:r>
          </w:p>
          <w:p>
            <w:pPr>
              <w:pStyle w:val="TableParagraph"/>
              <w:spacing w:line="240" w:lineRule="auto" w:before="106"/>
              <w:ind w:left="238" w:right="0"/>
              <w:jc w:val="center"/>
              <w:rPr>
                <w:rFonts w:ascii="Arial" w:hAnsi="Arial" w:cs="Arial" w:eastAsia="Arial" w:hint="default"/>
                <w:sz w:val="18"/>
                <w:szCs w:val="18"/>
              </w:rPr>
            </w:pPr>
            <w:r>
              <w:rPr>
                <w:rFonts w:ascii="Arial"/>
                <w:sz w:val="18"/>
              </w:rPr>
              <w:t>00</w:t>
            </w: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9" w:right="0"/>
              <w:jc w:val="left"/>
              <w:rPr>
                <w:rFonts w:ascii="Arial" w:hAnsi="Arial" w:cs="Arial" w:eastAsia="Arial" w:hint="default"/>
                <w:sz w:val="18"/>
                <w:szCs w:val="18"/>
              </w:rPr>
            </w:pPr>
            <w:r>
              <w:rPr>
                <w:rFonts w:ascii="Arial"/>
                <w:sz w:val="18"/>
              </w:rPr>
              <w:t>369,3</w:t>
            </w:r>
          </w:p>
          <w:p>
            <w:pPr>
              <w:pStyle w:val="TableParagraph"/>
              <w:spacing w:line="240" w:lineRule="auto" w:before="105"/>
              <w:ind w:left="99" w:right="0"/>
              <w:jc w:val="left"/>
              <w:rPr>
                <w:rFonts w:ascii="Arial" w:hAnsi="Arial" w:cs="Arial" w:eastAsia="Arial" w:hint="default"/>
                <w:sz w:val="18"/>
                <w:szCs w:val="18"/>
              </w:rPr>
            </w:pPr>
            <w:r>
              <w:rPr>
                <w:rFonts w:ascii="Arial"/>
                <w:sz w:val="18"/>
              </w:rPr>
              <w:t>58,61</w:t>
            </w:r>
          </w:p>
          <w:p>
            <w:pPr>
              <w:pStyle w:val="TableParagraph"/>
              <w:spacing w:line="240" w:lineRule="auto" w:before="106"/>
              <w:ind w:left="199" w:right="0"/>
              <w:jc w:val="left"/>
              <w:rPr>
                <w:rFonts w:ascii="Arial" w:hAnsi="Arial" w:cs="Arial" w:eastAsia="Arial" w:hint="default"/>
                <w:sz w:val="18"/>
                <w:szCs w:val="18"/>
              </w:rPr>
            </w:pPr>
            <w:r>
              <w:rPr>
                <w:rFonts w:ascii="Arial"/>
                <w:sz w:val="18"/>
              </w:rPr>
              <w:t>2.29</w:t>
            </w: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Arial" w:hAnsi="Arial" w:cs="Arial" w:eastAsia="Arial" w:hint="default"/>
                <w:sz w:val="18"/>
                <w:szCs w:val="18"/>
              </w:rPr>
            </w:pPr>
            <w:r>
              <w:rPr>
                <w:rFonts w:ascii="Arial"/>
                <w:sz w:val="18"/>
              </w:rPr>
              <w:t>35,14</w:t>
            </w:r>
          </w:p>
          <w:p>
            <w:pPr>
              <w:pStyle w:val="TableParagraph"/>
              <w:spacing w:line="240" w:lineRule="auto" w:before="105"/>
              <w:ind w:left="50" w:right="0"/>
              <w:jc w:val="left"/>
              <w:rPr>
                <w:rFonts w:ascii="Arial" w:hAnsi="Arial" w:cs="Arial" w:eastAsia="Arial" w:hint="default"/>
                <w:sz w:val="18"/>
                <w:szCs w:val="18"/>
              </w:rPr>
            </w:pPr>
            <w:r>
              <w:rPr>
                <w:rFonts w:ascii="Arial"/>
                <w:sz w:val="18"/>
              </w:rPr>
              <w:t>3,933.</w:t>
            </w:r>
          </w:p>
          <w:p>
            <w:pPr>
              <w:pStyle w:val="TableParagraph"/>
              <w:spacing w:line="240" w:lineRule="auto" w:before="106"/>
              <w:ind w:left="350" w:right="0"/>
              <w:jc w:val="left"/>
              <w:rPr>
                <w:rFonts w:ascii="Arial" w:hAnsi="Arial" w:cs="Arial" w:eastAsia="Arial" w:hint="default"/>
                <w:sz w:val="18"/>
                <w:szCs w:val="18"/>
              </w:rPr>
            </w:pPr>
            <w:r>
              <w:rPr>
                <w:rFonts w:ascii="Arial"/>
                <w:sz w:val="18"/>
              </w:rPr>
              <w:t>76</w:t>
            </w: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Arial" w:hAnsi="Arial" w:cs="Arial" w:eastAsia="Arial" w:hint="default"/>
                <w:sz w:val="18"/>
                <w:szCs w:val="18"/>
              </w:rPr>
            </w:pPr>
            <w:r>
              <w:rPr>
                <w:rFonts w:ascii="Arial"/>
                <w:sz w:val="18"/>
              </w:rPr>
              <w:t>67,57</w:t>
            </w:r>
          </w:p>
          <w:p>
            <w:pPr>
              <w:pStyle w:val="TableParagraph"/>
              <w:spacing w:line="240" w:lineRule="auto" w:before="105"/>
              <w:ind w:left="63" w:right="0"/>
              <w:jc w:val="left"/>
              <w:rPr>
                <w:rFonts w:ascii="Arial" w:hAnsi="Arial" w:cs="Arial" w:eastAsia="Arial" w:hint="default"/>
                <w:sz w:val="18"/>
                <w:szCs w:val="18"/>
              </w:rPr>
            </w:pPr>
            <w:r>
              <w:rPr>
                <w:rFonts w:ascii="Arial"/>
                <w:spacing w:val="-4"/>
                <w:sz w:val="18"/>
              </w:rPr>
              <w:t>1,711.</w:t>
            </w:r>
            <w:r>
              <w:rPr>
                <w:rFonts w:ascii="Arial"/>
                <w:sz w:val="18"/>
              </w:rPr>
            </w:r>
          </w:p>
          <w:p>
            <w:pPr>
              <w:pStyle w:val="TableParagraph"/>
              <w:spacing w:line="240" w:lineRule="auto" w:before="106"/>
              <w:ind w:left="350" w:right="0"/>
              <w:jc w:val="left"/>
              <w:rPr>
                <w:rFonts w:ascii="Arial" w:hAnsi="Arial" w:cs="Arial" w:eastAsia="Arial" w:hint="default"/>
                <w:sz w:val="18"/>
                <w:szCs w:val="18"/>
              </w:rPr>
            </w:pPr>
            <w:r>
              <w:rPr>
                <w:rFonts w:ascii="Arial"/>
                <w:sz w:val="18"/>
              </w:rPr>
              <w:t>68</w:t>
            </w: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0" w:right="0"/>
              <w:jc w:val="left"/>
              <w:rPr>
                <w:rFonts w:ascii="Arial" w:hAnsi="Arial" w:cs="Arial" w:eastAsia="Arial" w:hint="default"/>
                <w:sz w:val="18"/>
                <w:szCs w:val="18"/>
              </w:rPr>
            </w:pPr>
            <w:r>
              <w:rPr>
                <w:rFonts w:ascii="Arial"/>
                <w:sz w:val="18"/>
              </w:rPr>
              <w:t>388,8</w:t>
            </w:r>
          </w:p>
          <w:p>
            <w:pPr>
              <w:pStyle w:val="TableParagraph"/>
              <w:spacing w:line="240" w:lineRule="auto" w:before="105"/>
              <w:ind w:left="100" w:right="0"/>
              <w:jc w:val="left"/>
              <w:rPr>
                <w:rFonts w:ascii="Arial" w:hAnsi="Arial" w:cs="Arial" w:eastAsia="Arial" w:hint="default"/>
                <w:sz w:val="18"/>
                <w:szCs w:val="18"/>
              </w:rPr>
            </w:pPr>
            <w:r>
              <w:rPr>
                <w:rFonts w:ascii="Arial"/>
                <w:sz w:val="18"/>
              </w:rPr>
              <w:t>70,54</w:t>
            </w:r>
          </w:p>
          <w:p>
            <w:pPr>
              <w:pStyle w:val="TableParagraph"/>
              <w:spacing w:line="240" w:lineRule="auto" w:before="106"/>
              <w:ind w:left="200" w:right="0"/>
              <w:jc w:val="left"/>
              <w:rPr>
                <w:rFonts w:ascii="Arial" w:hAnsi="Arial" w:cs="Arial" w:eastAsia="Arial" w:hint="default"/>
                <w:sz w:val="18"/>
                <w:szCs w:val="18"/>
              </w:rPr>
            </w:pPr>
            <w:r>
              <w:rPr>
                <w:rFonts w:ascii="Arial"/>
                <w:sz w:val="18"/>
              </w:rPr>
              <w:t>2.81</w:t>
            </w: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0" w:right="0"/>
              <w:jc w:val="left"/>
              <w:rPr>
                <w:rFonts w:ascii="Arial" w:hAnsi="Arial" w:cs="Arial" w:eastAsia="Arial" w:hint="default"/>
                <w:sz w:val="18"/>
                <w:szCs w:val="18"/>
              </w:rPr>
            </w:pPr>
            <w:r>
              <w:rPr>
                <w:rFonts w:ascii="Arial"/>
                <w:sz w:val="18"/>
              </w:rPr>
              <w:t>1,483,</w:t>
            </w:r>
          </w:p>
          <w:p>
            <w:pPr>
              <w:pStyle w:val="TableParagraph"/>
              <w:spacing w:line="240" w:lineRule="auto" w:before="105"/>
              <w:ind w:left="100" w:right="0"/>
              <w:jc w:val="left"/>
              <w:rPr>
                <w:rFonts w:ascii="Arial" w:hAnsi="Arial" w:cs="Arial" w:eastAsia="Arial" w:hint="default"/>
                <w:sz w:val="18"/>
                <w:szCs w:val="18"/>
              </w:rPr>
            </w:pPr>
            <w:r>
              <w:rPr>
                <w:rFonts w:ascii="Arial"/>
                <w:sz w:val="18"/>
              </w:rPr>
              <w:t>144,8</w:t>
            </w:r>
          </w:p>
          <w:p>
            <w:pPr>
              <w:pStyle w:val="TableParagraph"/>
              <w:spacing w:line="240" w:lineRule="auto" w:before="106"/>
              <w:ind w:left="100" w:right="0"/>
              <w:jc w:val="left"/>
              <w:rPr>
                <w:rFonts w:ascii="Arial" w:hAnsi="Arial" w:cs="Arial" w:eastAsia="Arial" w:hint="default"/>
                <w:sz w:val="18"/>
                <w:szCs w:val="18"/>
              </w:rPr>
            </w:pPr>
            <w:r>
              <w:rPr>
                <w:rFonts w:ascii="Arial"/>
                <w:sz w:val="18"/>
              </w:rPr>
              <w:t>00.54</w:t>
            </w: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Arial" w:hAnsi="Arial" w:cs="Arial" w:eastAsia="Arial" w:hint="default"/>
                <w:sz w:val="18"/>
                <w:szCs w:val="18"/>
              </w:rPr>
            </w:pPr>
            <w:r>
              <w:rPr>
                <w:rFonts w:ascii="Arial"/>
                <w:spacing w:val="-1"/>
                <w:sz w:val="18"/>
              </w:rPr>
              <w:t>6,679,</w:t>
            </w:r>
            <w:r>
              <w:rPr>
                <w:rFonts w:ascii="Arial"/>
                <w:sz w:val="18"/>
              </w:rPr>
            </w:r>
          </w:p>
          <w:p>
            <w:pPr>
              <w:pStyle w:val="TableParagraph"/>
              <w:spacing w:line="240" w:lineRule="auto" w:before="105"/>
              <w:ind w:right="23"/>
              <w:jc w:val="right"/>
              <w:rPr>
                <w:rFonts w:ascii="Arial" w:hAnsi="Arial" w:cs="Arial" w:eastAsia="Arial" w:hint="default"/>
                <w:sz w:val="18"/>
                <w:szCs w:val="18"/>
              </w:rPr>
            </w:pPr>
            <w:r>
              <w:rPr>
                <w:rFonts w:ascii="Arial"/>
                <w:spacing w:val="-1"/>
                <w:w w:val="95"/>
                <w:sz w:val="18"/>
              </w:rPr>
              <w:t>995.1</w:t>
            </w:r>
            <w:r>
              <w:rPr>
                <w:rFonts w:ascii="Arial"/>
                <w:w w:val="95"/>
                <w:sz w:val="18"/>
              </w:rPr>
            </w:r>
          </w:p>
          <w:p>
            <w:pPr>
              <w:pStyle w:val="TableParagraph"/>
              <w:spacing w:line="240" w:lineRule="auto" w:before="106"/>
              <w:ind w:right="21"/>
              <w:jc w:val="right"/>
              <w:rPr>
                <w:rFonts w:ascii="Arial" w:hAnsi="Arial" w:cs="Arial" w:eastAsia="Arial" w:hint="default"/>
                <w:sz w:val="18"/>
                <w:szCs w:val="18"/>
              </w:rPr>
            </w:pPr>
            <w:r>
              <w:rPr>
                <w:rFonts w:ascii="Arial"/>
                <w:sz w:val="18"/>
              </w:rPr>
              <w:t>4</w:t>
            </w:r>
          </w:p>
        </w:tc>
        <w:tc>
          <w:tcPr>
            <w:tcW w:w="577"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Arial" w:hAnsi="Arial" w:cs="Arial" w:eastAsia="Arial" w:hint="default"/>
                <w:sz w:val="18"/>
                <w:szCs w:val="18"/>
              </w:rPr>
            </w:pPr>
            <w:r>
              <w:rPr>
                <w:rFonts w:ascii="Arial"/>
                <w:sz w:val="18"/>
              </w:rPr>
              <w:t>1,489,</w:t>
            </w:r>
          </w:p>
          <w:p>
            <w:pPr>
              <w:pStyle w:val="TableParagraph"/>
              <w:spacing w:line="240" w:lineRule="auto" w:before="105"/>
              <w:ind w:left="94" w:right="0"/>
              <w:jc w:val="left"/>
              <w:rPr>
                <w:rFonts w:ascii="Arial" w:hAnsi="Arial" w:cs="Arial" w:eastAsia="Arial" w:hint="default"/>
                <w:sz w:val="18"/>
                <w:szCs w:val="18"/>
              </w:rPr>
            </w:pPr>
            <w:r>
              <w:rPr>
                <w:rFonts w:ascii="Arial"/>
                <w:sz w:val="18"/>
              </w:rPr>
              <w:t>824,7</w:t>
            </w:r>
          </w:p>
          <w:p>
            <w:pPr>
              <w:pStyle w:val="TableParagraph"/>
              <w:spacing w:line="240" w:lineRule="auto" w:before="106"/>
              <w:ind w:left="94" w:right="0"/>
              <w:jc w:val="left"/>
              <w:rPr>
                <w:rFonts w:ascii="Arial" w:hAnsi="Arial" w:cs="Arial" w:eastAsia="Arial" w:hint="default"/>
                <w:sz w:val="18"/>
                <w:szCs w:val="18"/>
              </w:rPr>
            </w:pPr>
            <w:r>
              <w:rPr>
                <w:rFonts w:ascii="Arial"/>
                <w:sz w:val="18"/>
              </w:rPr>
              <w:t>95.68</w:t>
            </w:r>
          </w:p>
        </w:tc>
      </w:tr>
      <w:tr>
        <w:trPr>
          <w:trHeight w:val="705" w:hRule="exact"/>
        </w:trPr>
        <w:tc>
          <w:tcPr>
            <w:tcW w:w="123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9"/>
                <w:sz w:val="18"/>
                <w:szCs w:val="18"/>
              </w:rPr>
              <w:t>二、本年期初余</w:t>
            </w:r>
            <w:r>
              <w:rPr>
                <w:rFonts w:ascii="宋体" w:hAnsi="宋体" w:cs="宋体" w:eastAsia="宋体" w:hint="default"/>
                <w:sz w:val="18"/>
                <w:szCs w:val="18"/>
              </w:rPr>
              <w:t> 额</w:t>
            </w:r>
          </w:p>
        </w:tc>
        <w:tc>
          <w:tcPr>
            <w:tcW w:w="505" w:type="dxa"/>
            <w:vMerge/>
            <w:tcBorders>
              <w:left w:val="single" w:sz="9" w:space="0" w:color="D3D3D3"/>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2"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r>
      <w:tr>
        <w:trPr>
          <w:trHeight w:val="316" w:hRule="exact"/>
        </w:trPr>
        <w:tc>
          <w:tcPr>
            <w:tcW w:w="1230" w:type="dxa"/>
            <w:tcBorders>
              <w:top w:val="nil" w:sz="6" w:space="0" w:color="auto"/>
              <w:left w:val="single" w:sz="4" w:space="0" w:color="000000"/>
              <w:bottom w:val="single" w:sz="4" w:space="0" w:color="000000"/>
              <w:right w:val="single" w:sz="4" w:space="0" w:color="000000"/>
            </w:tcBorders>
            <w:shd w:val="clear" w:color="auto" w:fill="D3D3D3"/>
          </w:tcPr>
          <w:p>
            <w:pPr/>
          </w:p>
        </w:tc>
        <w:tc>
          <w:tcPr>
            <w:tcW w:w="505" w:type="dxa"/>
            <w:vMerge/>
            <w:tcBorders>
              <w:left w:val="single" w:sz="9" w:space="0" w:color="D3D3D3"/>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2"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r>
      <w:tr>
        <w:trPr>
          <w:trHeight w:val="1026"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9"/>
              <w:jc w:val="both"/>
              <w:rPr>
                <w:rFonts w:ascii="宋体" w:hAnsi="宋体" w:cs="宋体" w:eastAsia="宋体" w:hint="default"/>
                <w:sz w:val="18"/>
                <w:szCs w:val="18"/>
              </w:rPr>
            </w:pPr>
            <w:r>
              <w:rPr>
                <w:rFonts w:ascii="宋体" w:hAnsi="宋体" w:cs="宋体" w:eastAsia="宋体" w:hint="default"/>
                <w:spacing w:val="-9"/>
                <w:sz w:val="18"/>
                <w:szCs w:val="18"/>
              </w:rPr>
              <w:t>三、本期增减变</w:t>
            </w:r>
            <w:r>
              <w:rPr>
                <w:rFonts w:ascii="宋体" w:hAnsi="宋体" w:cs="宋体" w:eastAsia="宋体" w:hint="default"/>
                <w:sz w:val="18"/>
                <w:szCs w:val="18"/>
              </w:rPr>
              <w:t> </w:t>
            </w:r>
            <w:r>
              <w:rPr>
                <w:rFonts w:ascii="宋体" w:hAnsi="宋体" w:cs="宋体" w:eastAsia="宋体" w:hint="default"/>
                <w:spacing w:val="-9"/>
                <w:sz w:val="18"/>
                <w:szCs w:val="18"/>
              </w:rPr>
              <w:t>动金额（减少以</w:t>
            </w:r>
            <w:r>
              <w:rPr>
                <w:rFonts w:ascii="宋体" w:hAnsi="宋体" w:cs="宋体" w:eastAsia="宋体" w:hint="default"/>
                <w:sz w:val="18"/>
                <w:szCs w:val="18"/>
              </w:rPr>
              <w:t> </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505" w:type="dxa"/>
            <w:tcBorders>
              <w:top w:val="single" w:sz="4" w:space="0" w:color="000000"/>
              <w:left w:val="single" w:sz="13" w:space="0" w:color="D3D3D3"/>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Arial" w:hAnsi="Arial" w:cs="Arial" w:eastAsia="Arial" w:hint="default"/>
                <w:sz w:val="18"/>
                <w:szCs w:val="18"/>
              </w:rPr>
            </w:pPr>
            <w:r>
              <w:rPr>
                <w:rFonts w:ascii="Arial"/>
                <w:sz w:val="18"/>
              </w:rPr>
              <w:t>10,80</w:t>
            </w:r>
          </w:p>
          <w:p>
            <w:pPr>
              <w:pStyle w:val="TableParagraph"/>
              <w:spacing w:line="240" w:lineRule="auto" w:before="105"/>
              <w:ind w:left="50" w:right="0"/>
              <w:jc w:val="left"/>
              <w:rPr>
                <w:rFonts w:ascii="Arial" w:hAnsi="Arial" w:cs="Arial" w:eastAsia="Arial" w:hint="default"/>
                <w:sz w:val="18"/>
                <w:szCs w:val="18"/>
              </w:rPr>
            </w:pPr>
            <w:r>
              <w:rPr>
                <w:rFonts w:ascii="Arial"/>
                <w:sz w:val="18"/>
              </w:rPr>
              <w:t>8,290.</w:t>
            </w:r>
          </w:p>
          <w:p>
            <w:pPr>
              <w:pStyle w:val="TableParagraph"/>
              <w:spacing w:line="240" w:lineRule="auto" w:before="106"/>
              <w:ind w:left="350" w:right="0"/>
              <w:jc w:val="left"/>
              <w:rPr>
                <w:rFonts w:ascii="Arial" w:hAnsi="Arial" w:cs="Arial" w:eastAsia="Arial" w:hint="default"/>
                <w:sz w:val="18"/>
                <w:szCs w:val="18"/>
              </w:rPr>
            </w:pPr>
            <w:r>
              <w:rPr>
                <w:rFonts w:ascii="Arial"/>
                <w:sz w:val="18"/>
              </w:rPr>
              <w:t>76</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3,891,</w:t>
            </w:r>
            <w:r>
              <w:rPr>
                <w:rFonts w:ascii="Arial"/>
                <w:sz w:val="18"/>
              </w:rPr>
            </w:r>
          </w:p>
          <w:p>
            <w:pPr>
              <w:pStyle w:val="TableParagraph"/>
              <w:spacing w:line="240" w:lineRule="auto" w:before="105"/>
              <w:ind w:right="21"/>
              <w:jc w:val="right"/>
              <w:rPr>
                <w:rFonts w:ascii="Arial" w:hAnsi="Arial" w:cs="Arial" w:eastAsia="Arial" w:hint="default"/>
                <w:sz w:val="18"/>
                <w:szCs w:val="18"/>
              </w:rPr>
            </w:pPr>
            <w:r>
              <w:rPr>
                <w:rFonts w:ascii="Arial"/>
                <w:spacing w:val="-1"/>
                <w:w w:val="95"/>
                <w:sz w:val="18"/>
              </w:rPr>
              <w:t>690.5</w:t>
            </w:r>
            <w:r>
              <w:rPr>
                <w:rFonts w:ascii="Arial"/>
                <w:w w:val="95"/>
                <w:sz w:val="18"/>
              </w:rPr>
            </w:r>
          </w:p>
          <w:p>
            <w:pPr>
              <w:pStyle w:val="TableParagraph"/>
              <w:spacing w:line="240" w:lineRule="auto" w:before="106"/>
              <w:ind w:right="20"/>
              <w:jc w:val="right"/>
              <w:rPr>
                <w:rFonts w:ascii="Arial" w:hAnsi="Arial" w:cs="Arial" w:eastAsia="Arial" w:hint="default"/>
                <w:sz w:val="18"/>
                <w:szCs w:val="18"/>
              </w:rPr>
            </w:pPr>
            <w:r>
              <w:rPr>
                <w:rFonts w:ascii="Arial"/>
                <w:sz w:val="18"/>
              </w:rPr>
              <w:t>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Arial" w:hAnsi="Arial" w:cs="Arial" w:eastAsia="Arial" w:hint="default"/>
                <w:sz w:val="18"/>
                <w:szCs w:val="18"/>
              </w:rPr>
            </w:pPr>
            <w:r>
              <w:rPr>
                <w:rFonts w:ascii="Arial"/>
                <w:sz w:val="18"/>
              </w:rPr>
              <w:t>39,70</w:t>
            </w:r>
          </w:p>
          <w:p>
            <w:pPr>
              <w:pStyle w:val="TableParagraph"/>
              <w:spacing w:line="240" w:lineRule="auto" w:before="105"/>
              <w:ind w:left="50" w:right="0"/>
              <w:jc w:val="left"/>
              <w:rPr>
                <w:rFonts w:ascii="Arial" w:hAnsi="Arial" w:cs="Arial" w:eastAsia="Arial" w:hint="default"/>
                <w:sz w:val="18"/>
                <w:szCs w:val="18"/>
              </w:rPr>
            </w:pPr>
            <w:r>
              <w:rPr>
                <w:rFonts w:ascii="Arial"/>
                <w:sz w:val="18"/>
              </w:rPr>
              <w:t>2,331.</w:t>
            </w:r>
          </w:p>
          <w:p>
            <w:pPr>
              <w:pStyle w:val="TableParagraph"/>
              <w:spacing w:line="240" w:lineRule="auto" w:before="106"/>
              <w:ind w:left="350" w:right="0"/>
              <w:jc w:val="left"/>
              <w:rPr>
                <w:rFonts w:ascii="Arial" w:hAnsi="Arial" w:cs="Arial" w:eastAsia="Arial" w:hint="default"/>
                <w:sz w:val="18"/>
                <w:szCs w:val="18"/>
              </w:rPr>
            </w:pPr>
            <w:r>
              <w:rPr>
                <w:rFonts w:ascii="Arial"/>
                <w:sz w:val="18"/>
              </w:rPr>
              <w:t>28</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0" w:right="0"/>
              <w:jc w:val="left"/>
              <w:rPr>
                <w:rFonts w:ascii="Arial" w:hAnsi="Arial" w:cs="Arial" w:eastAsia="Arial" w:hint="default"/>
                <w:sz w:val="18"/>
                <w:szCs w:val="18"/>
              </w:rPr>
            </w:pPr>
            <w:r>
              <w:rPr>
                <w:rFonts w:ascii="Arial"/>
                <w:sz w:val="18"/>
              </w:rPr>
              <w:t>54,40</w:t>
            </w:r>
          </w:p>
          <w:p>
            <w:pPr>
              <w:pStyle w:val="TableParagraph"/>
              <w:spacing w:line="240" w:lineRule="auto" w:before="105"/>
              <w:ind w:left="50" w:right="0"/>
              <w:jc w:val="left"/>
              <w:rPr>
                <w:rFonts w:ascii="Arial" w:hAnsi="Arial" w:cs="Arial" w:eastAsia="Arial" w:hint="default"/>
                <w:sz w:val="18"/>
                <w:szCs w:val="18"/>
              </w:rPr>
            </w:pPr>
            <w:r>
              <w:rPr>
                <w:rFonts w:ascii="Arial"/>
                <w:sz w:val="18"/>
              </w:rPr>
              <w:t>2,312.</w:t>
            </w:r>
          </w:p>
          <w:p>
            <w:pPr>
              <w:pStyle w:val="TableParagraph"/>
              <w:spacing w:line="240" w:lineRule="auto" w:before="106"/>
              <w:ind w:left="350" w:right="0"/>
              <w:jc w:val="left"/>
              <w:rPr>
                <w:rFonts w:ascii="Arial" w:hAnsi="Arial" w:cs="Arial" w:eastAsia="Arial" w:hint="default"/>
                <w:sz w:val="18"/>
                <w:szCs w:val="18"/>
              </w:rPr>
            </w:pPr>
            <w:r>
              <w:rPr>
                <w:rFonts w:ascii="Arial"/>
                <w:sz w:val="18"/>
              </w:rPr>
              <w:t>56</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Arial" w:hAnsi="Arial" w:cs="Arial" w:eastAsia="Arial" w:hint="default"/>
                <w:sz w:val="18"/>
                <w:szCs w:val="18"/>
              </w:rPr>
            </w:pPr>
            <w:r>
              <w:rPr>
                <w:rFonts w:ascii="Arial"/>
                <w:spacing w:val="-1"/>
                <w:sz w:val="18"/>
              </w:rPr>
              <w:t>3,885,</w:t>
            </w:r>
            <w:r>
              <w:rPr>
                <w:rFonts w:ascii="Arial"/>
                <w:sz w:val="18"/>
              </w:rPr>
            </w:r>
          </w:p>
          <w:p>
            <w:pPr>
              <w:pStyle w:val="TableParagraph"/>
              <w:spacing w:line="240" w:lineRule="auto" w:before="105"/>
              <w:ind w:right="23"/>
              <w:jc w:val="right"/>
              <w:rPr>
                <w:rFonts w:ascii="Arial" w:hAnsi="Arial" w:cs="Arial" w:eastAsia="Arial" w:hint="default"/>
                <w:sz w:val="18"/>
                <w:szCs w:val="18"/>
              </w:rPr>
            </w:pPr>
            <w:r>
              <w:rPr>
                <w:rFonts w:ascii="Arial"/>
                <w:spacing w:val="-1"/>
                <w:w w:val="95"/>
                <w:sz w:val="18"/>
              </w:rPr>
              <w:t>542.8</w:t>
            </w:r>
            <w:r>
              <w:rPr>
                <w:rFonts w:ascii="Arial"/>
                <w:w w:val="95"/>
                <w:sz w:val="18"/>
              </w:rPr>
            </w:r>
          </w:p>
          <w:p>
            <w:pPr>
              <w:pStyle w:val="TableParagraph"/>
              <w:spacing w:line="240" w:lineRule="auto" w:before="106"/>
              <w:ind w:right="21"/>
              <w:jc w:val="right"/>
              <w:rPr>
                <w:rFonts w:ascii="Arial" w:hAnsi="Arial" w:cs="Arial" w:eastAsia="Arial" w:hint="default"/>
                <w:sz w:val="18"/>
                <w:szCs w:val="18"/>
              </w:rPr>
            </w:pPr>
            <w:r>
              <w:rPr>
                <w:rFonts w:ascii="Arial"/>
                <w:sz w:val="18"/>
              </w:rPr>
              <w:t>4</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4" w:right="0"/>
              <w:jc w:val="left"/>
              <w:rPr>
                <w:rFonts w:ascii="Arial" w:hAnsi="Arial" w:cs="Arial" w:eastAsia="Arial" w:hint="default"/>
                <w:sz w:val="18"/>
                <w:szCs w:val="18"/>
              </w:rPr>
            </w:pPr>
            <w:r>
              <w:rPr>
                <w:rFonts w:ascii="Arial"/>
                <w:sz w:val="18"/>
              </w:rPr>
              <w:t>58,28</w:t>
            </w:r>
          </w:p>
          <w:p>
            <w:pPr>
              <w:pStyle w:val="TableParagraph"/>
              <w:spacing w:line="240" w:lineRule="auto" w:before="105"/>
              <w:ind w:left="44" w:right="0"/>
              <w:jc w:val="left"/>
              <w:rPr>
                <w:rFonts w:ascii="Arial" w:hAnsi="Arial" w:cs="Arial" w:eastAsia="Arial" w:hint="default"/>
                <w:sz w:val="18"/>
                <w:szCs w:val="18"/>
              </w:rPr>
            </w:pPr>
            <w:r>
              <w:rPr>
                <w:rFonts w:ascii="Arial"/>
                <w:sz w:val="18"/>
              </w:rPr>
              <w:t>7,855.</w:t>
            </w:r>
          </w:p>
          <w:p>
            <w:pPr>
              <w:pStyle w:val="TableParagraph"/>
              <w:spacing w:line="240" w:lineRule="auto" w:before="106"/>
              <w:ind w:left="344" w:right="0"/>
              <w:jc w:val="left"/>
              <w:rPr>
                <w:rFonts w:ascii="Arial" w:hAnsi="Arial" w:cs="Arial" w:eastAsia="Arial" w:hint="default"/>
                <w:sz w:val="18"/>
                <w:szCs w:val="18"/>
              </w:rPr>
            </w:pPr>
            <w:r>
              <w:rPr>
                <w:rFonts w:ascii="Arial"/>
                <w:sz w:val="18"/>
              </w:rPr>
              <w:t>40</w:t>
            </w:r>
          </w:p>
        </w:tc>
      </w:tr>
      <w:tr>
        <w:trPr>
          <w:trHeight w:val="160" w:hRule="exact"/>
        </w:trPr>
        <w:tc>
          <w:tcPr>
            <w:tcW w:w="1230" w:type="dxa"/>
            <w:tcBorders>
              <w:top w:val="single" w:sz="4" w:space="0" w:color="000000"/>
              <w:left w:val="single" w:sz="4" w:space="0" w:color="000000"/>
              <w:bottom w:val="nil" w:sz="6" w:space="0" w:color="auto"/>
              <w:right w:val="single" w:sz="4" w:space="0" w:color="000000"/>
            </w:tcBorders>
            <w:shd w:val="clear" w:color="auto" w:fill="D3D3D3"/>
          </w:tcPr>
          <w:p>
            <w:pPr/>
          </w:p>
        </w:tc>
        <w:tc>
          <w:tcPr>
            <w:tcW w:w="505" w:type="dxa"/>
            <w:vMerge w:val="restart"/>
            <w:tcBorders>
              <w:top w:val="single" w:sz="4" w:space="0" w:color="000000"/>
              <w:left w:val="single" w:sz="9" w:space="0" w:color="D3D3D3"/>
              <w:right w:val="single" w:sz="4" w:space="0" w:color="000000"/>
            </w:tcBorders>
          </w:tcPr>
          <w:p>
            <w:pPr/>
          </w:p>
        </w:tc>
        <w:tc>
          <w:tcPr>
            <w:tcW w:w="466"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468" w:type="dxa"/>
            <w:vMerge w:val="restart"/>
            <w:tcBorders>
              <w:top w:val="single" w:sz="4" w:space="0" w:color="000000"/>
              <w:left w:val="single" w:sz="4" w:space="0" w:color="000000"/>
              <w:right w:val="single" w:sz="4" w:space="0" w:color="000000"/>
            </w:tcBorders>
          </w:tcPr>
          <w:p>
            <w:pPr/>
          </w:p>
        </w:tc>
        <w:tc>
          <w:tcPr>
            <w:tcW w:w="582"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Arial" w:hAnsi="Arial" w:cs="Arial" w:eastAsia="Arial" w:hint="default"/>
                <w:sz w:val="18"/>
                <w:szCs w:val="18"/>
              </w:rPr>
            </w:pPr>
            <w:r>
              <w:rPr>
                <w:rFonts w:ascii="Arial"/>
                <w:sz w:val="18"/>
              </w:rPr>
              <w:t>10,80</w:t>
            </w:r>
          </w:p>
          <w:p>
            <w:pPr>
              <w:pStyle w:val="TableParagraph"/>
              <w:spacing w:line="240" w:lineRule="auto" w:before="105"/>
              <w:ind w:left="50" w:right="0"/>
              <w:jc w:val="left"/>
              <w:rPr>
                <w:rFonts w:ascii="Arial" w:hAnsi="Arial" w:cs="Arial" w:eastAsia="Arial" w:hint="default"/>
                <w:sz w:val="18"/>
                <w:szCs w:val="18"/>
              </w:rPr>
            </w:pPr>
            <w:r>
              <w:rPr>
                <w:rFonts w:ascii="Arial"/>
                <w:sz w:val="18"/>
              </w:rPr>
              <w:t>8,290.</w:t>
            </w:r>
          </w:p>
          <w:p>
            <w:pPr>
              <w:pStyle w:val="TableParagraph"/>
              <w:spacing w:line="240" w:lineRule="auto" w:before="106"/>
              <w:ind w:left="350" w:right="0"/>
              <w:jc w:val="left"/>
              <w:rPr>
                <w:rFonts w:ascii="Arial" w:hAnsi="Arial" w:cs="Arial" w:eastAsia="Arial" w:hint="default"/>
                <w:sz w:val="18"/>
                <w:szCs w:val="18"/>
              </w:rPr>
            </w:pPr>
            <w:r>
              <w:rPr>
                <w:rFonts w:ascii="Arial"/>
                <w:sz w:val="18"/>
              </w:rPr>
              <w:t>76</w:t>
            </w:r>
          </w:p>
        </w:tc>
        <w:tc>
          <w:tcPr>
            <w:tcW w:w="583" w:type="dxa"/>
            <w:vMerge w:val="restart"/>
            <w:tcBorders>
              <w:top w:val="single" w:sz="4" w:space="0" w:color="000000"/>
              <w:left w:val="single" w:sz="4" w:space="0" w:color="000000"/>
              <w:right w:val="single" w:sz="4" w:space="0" w:color="000000"/>
            </w:tcBorders>
          </w:tcPr>
          <w:p>
            <w:pP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Arial" w:hAnsi="Arial" w:cs="Arial" w:eastAsia="Arial" w:hint="default"/>
                <w:sz w:val="18"/>
                <w:szCs w:val="18"/>
              </w:rPr>
            </w:pPr>
            <w:r>
              <w:rPr>
                <w:rFonts w:ascii="Arial"/>
                <w:sz w:val="18"/>
              </w:rPr>
              <w:t>49,81</w:t>
            </w:r>
          </w:p>
          <w:p>
            <w:pPr>
              <w:pStyle w:val="TableParagraph"/>
              <w:spacing w:line="240" w:lineRule="auto" w:before="105"/>
              <w:ind w:left="50" w:right="0"/>
              <w:jc w:val="left"/>
              <w:rPr>
                <w:rFonts w:ascii="Arial" w:hAnsi="Arial" w:cs="Arial" w:eastAsia="Arial" w:hint="default"/>
                <w:sz w:val="18"/>
                <w:szCs w:val="18"/>
              </w:rPr>
            </w:pPr>
            <w:r>
              <w:rPr>
                <w:rFonts w:ascii="Arial"/>
                <w:sz w:val="18"/>
              </w:rPr>
              <w:t>6,021.</w:t>
            </w:r>
          </w:p>
          <w:p>
            <w:pPr>
              <w:pStyle w:val="TableParagraph"/>
              <w:spacing w:line="240" w:lineRule="auto" w:before="106"/>
              <w:ind w:left="350" w:right="0"/>
              <w:jc w:val="left"/>
              <w:rPr>
                <w:rFonts w:ascii="Arial" w:hAnsi="Arial" w:cs="Arial" w:eastAsia="Arial" w:hint="default"/>
                <w:sz w:val="18"/>
                <w:szCs w:val="18"/>
              </w:rPr>
            </w:pPr>
            <w:r>
              <w:rPr>
                <w:rFonts w:ascii="Arial"/>
                <w:sz w:val="18"/>
              </w:rPr>
              <w:t>80</w:t>
            </w:r>
          </w:p>
        </w:tc>
        <w:tc>
          <w:tcPr>
            <w:tcW w:w="583" w:type="dxa"/>
            <w:vMerge w:val="restart"/>
            <w:tcBorders>
              <w:top w:val="single" w:sz="4" w:space="0" w:color="000000"/>
              <w:left w:val="single" w:sz="4" w:space="0" w:color="000000"/>
              <w:right w:val="single" w:sz="4" w:space="0" w:color="000000"/>
            </w:tcBorders>
          </w:tcPr>
          <w:p>
            <w:pP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before="91"/>
              <w:ind w:left="100" w:right="0"/>
              <w:jc w:val="left"/>
              <w:rPr>
                <w:rFonts w:ascii="Arial" w:hAnsi="Arial" w:cs="Arial" w:eastAsia="Arial" w:hint="default"/>
                <w:sz w:val="18"/>
                <w:szCs w:val="18"/>
              </w:rPr>
            </w:pPr>
            <w:r>
              <w:rPr>
                <w:rFonts w:ascii="Arial"/>
                <w:sz w:val="18"/>
              </w:rPr>
              <w:t>60,62</w:t>
            </w:r>
          </w:p>
          <w:p>
            <w:pPr>
              <w:pStyle w:val="TableParagraph"/>
              <w:spacing w:line="240" w:lineRule="auto" w:before="105"/>
              <w:ind w:left="50" w:right="0"/>
              <w:jc w:val="left"/>
              <w:rPr>
                <w:rFonts w:ascii="Arial" w:hAnsi="Arial" w:cs="Arial" w:eastAsia="Arial" w:hint="default"/>
                <w:sz w:val="18"/>
                <w:szCs w:val="18"/>
              </w:rPr>
            </w:pPr>
            <w:r>
              <w:rPr>
                <w:rFonts w:ascii="Arial"/>
                <w:sz w:val="18"/>
              </w:rPr>
              <w:t>4,312.</w:t>
            </w:r>
          </w:p>
          <w:p>
            <w:pPr>
              <w:pStyle w:val="TableParagraph"/>
              <w:spacing w:line="240" w:lineRule="auto" w:before="106"/>
              <w:ind w:left="350" w:right="0"/>
              <w:jc w:val="left"/>
              <w:rPr>
                <w:rFonts w:ascii="Arial" w:hAnsi="Arial" w:cs="Arial" w:eastAsia="Arial" w:hint="default"/>
                <w:sz w:val="18"/>
                <w:szCs w:val="18"/>
              </w:rPr>
            </w:pPr>
            <w:r>
              <w:rPr>
                <w:rFonts w:ascii="Arial"/>
                <w:sz w:val="18"/>
              </w:rPr>
              <w:t>56</w:t>
            </w:r>
          </w:p>
        </w:tc>
        <w:tc>
          <w:tcPr>
            <w:tcW w:w="584" w:type="dxa"/>
            <w:vMerge w:val="restart"/>
            <w:tcBorders>
              <w:top w:val="single" w:sz="4" w:space="0" w:color="000000"/>
              <w:left w:val="single" w:sz="4" w:space="0" w:color="000000"/>
              <w:right w:val="single" w:sz="4" w:space="0" w:color="000000"/>
            </w:tcBorders>
          </w:tcPr>
          <w:p>
            <w:pPr>
              <w:pStyle w:val="TableParagraph"/>
              <w:spacing w:line="240" w:lineRule="auto" w:before="91"/>
              <w:ind w:right="24"/>
              <w:jc w:val="right"/>
              <w:rPr>
                <w:rFonts w:ascii="Arial" w:hAnsi="Arial" w:cs="Arial" w:eastAsia="Arial" w:hint="default"/>
                <w:sz w:val="18"/>
                <w:szCs w:val="18"/>
              </w:rPr>
            </w:pPr>
            <w:r>
              <w:rPr>
                <w:rFonts w:ascii="Arial"/>
                <w:spacing w:val="-1"/>
                <w:sz w:val="18"/>
              </w:rPr>
              <w:t>3,885,</w:t>
            </w:r>
            <w:r>
              <w:rPr>
                <w:rFonts w:ascii="Arial"/>
                <w:sz w:val="18"/>
              </w:rPr>
            </w:r>
          </w:p>
          <w:p>
            <w:pPr>
              <w:pStyle w:val="TableParagraph"/>
              <w:spacing w:line="240" w:lineRule="auto" w:before="105"/>
              <w:ind w:right="23"/>
              <w:jc w:val="right"/>
              <w:rPr>
                <w:rFonts w:ascii="Arial" w:hAnsi="Arial" w:cs="Arial" w:eastAsia="Arial" w:hint="default"/>
                <w:sz w:val="18"/>
                <w:szCs w:val="18"/>
              </w:rPr>
            </w:pPr>
            <w:r>
              <w:rPr>
                <w:rFonts w:ascii="Arial"/>
                <w:spacing w:val="-1"/>
                <w:w w:val="95"/>
                <w:sz w:val="18"/>
              </w:rPr>
              <w:t>542.8</w:t>
            </w:r>
            <w:r>
              <w:rPr>
                <w:rFonts w:ascii="Arial"/>
                <w:w w:val="95"/>
                <w:sz w:val="18"/>
              </w:rPr>
            </w:r>
          </w:p>
          <w:p>
            <w:pPr>
              <w:pStyle w:val="TableParagraph"/>
              <w:spacing w:line="240" w:lineRule="auto" w:before="106"/>
              <w:ind w:right="21"/>
              <w:jc w:val="right"/>
              <w:rPr>
                <w:rFonts w:ascii="Arial" w:hAnsi="Arial" w:cs="Arial" w:eastAsia="Arial" w:hint="default"/>
                <w:sz w:val="18"/>
                <w:szCs w:val="18"/>
              </w:rPr>
            </w:pPr>
            <w:r>
              <w:rPr>
                <w:rFonts w:ascii="Arial"/>
                <w:sz w:val="18"/>
              </w:rPr>
              <w:t>4</w:t>
            </w:r>
          </w:p>
        </w:tc>
        <w:tc>
          <w:tcPr>
            <w:tcW w:w="577" w:type="dxa"/>
            <w:vMerge w:val="restart"/>
            <w:tcBorders>
              <w:top w:val="single" w:sz="4" w:space="0" w:color="000000"/>
              <w:left w:val="single" w:sz="4" w:space="0" w:color="000000"/>
              <w:right w:val="single" w:sz="4" w:space="0" w:color="000000"/>
            </w:tcBorders>
          </w:tcPr>
          <w:p>
            <w:pPr>
              <w:pStyle w:val="TableParagraph"/>
              <w:spacing w:line="240" w:lineRule="auto" w:before="91"/>
              <w:ind w:left="94" w:right="0"/>
              <w:jc w:val="left"/>
              <w:rPr>
                <w:rFonts w:ascii="Arial" w:hAnsi="Arial" w:cs="Arial" w:eastAsia="Arial" w:hint="default"/>
                <w:sz w:val="18"/>
                <w:szCs w:val="18"/>
              </w:rPr>
            </w:pPr>
            <w:r>
              <w:rPr>
                <w:rFonts w:ascii="Arial"/>
                <w:sz w:val="18"/>
              </w:rPr>
              <w:t>64,50</w:t>
            </w:r>
          </w:p>
          <w:p>
            <w:pPr>
              <w:pStyle w:val="TableParagraph"/>
              <w:spacing w:line="240" w:lineRule="auto" w:before="105"/>
              <w:ind w:left="44" w:right="0"/>
              <w:jc w:val="left"/>
              <w:rPr>
                <w:rFonts w:ascii="Arial" w:hAnsi="Arial" w:cs="Arial" w:eastAsia="Arial" w:hint="default"/>
                <w:sz w:val="18"/>
                <w:szCs w:val="18"/>
              </w:rPr>
            </w:pPr>
            <w:r>
              <w:rPr>
                <w:rFonts w:ascii="Arial"/>
                <w:sz w:val="18"/>
              </w:rPr>
              <w:t>9,855.</w:t>
            </w:r>
          </w:p>
          <w:p>
            <w:pPr>
              <w:pStyle w:val="TableParagraph"/>
              <w:spacing w:line="240" w:lineRule="auto" w:before="106"/>
              <w:ind w:left="344" w:right="0"/>
              <w:jc w:val="left"/>
              <w:rPr>
                <w:rFonts w:ascii="Arial" w:hAnsi="Arial" w:cs="Arial" w:eastAsia="Arial" w:hint="default"/>
                <w:sz w:val="18"/>
                <w:szCs w:val="18"/>
              </w:rPr>
            </w:pPr>
            <w:r>
              <w:rPr>
                <w:rFonts w:ascii="Arial"/>
                <w:sz w:val="18"/>
              </w:rPr>
              <w:t>40</w:t>
            </w:r>
          </w:p>
        </w:tc>
      </w:tr>
      <w:tr>
        <w:trPr>
          <w:trHeight w:val="705" w:hRule="exact"/>
        </w:trPr>
        <w:tc>
          <w:tcPr>
            <w:tcW w:w="1230"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1"/>
              <w:ind w:left="11" w:right="9"/>
              <w:jc w:val="left"/>
              <w:rPr>
                <w:rFonts w:ascii="宋体" w:hAnsi="宋体" w:cs="宋体" w:eastAsia="宋体" w:hint="default"/>
                <w:sz w:val="18"/>
                <w:szCs w:val="18"/>
              </w:rPr>
            </w:pPr>
            <w:r>
              <w:rPr>
                <w:rFonts w:ascii="宋体" w:hAnsi="宋体" w:cs="宋体" w:eastAsia="宋体" w:hint="default"/>
                <w:spacing w:val="-9"/>
                <w:sz w:val="18"/>
                <w:szCs w:val="18"/>
              </w:rPr>
              <w:t>（一）综合收益</w:t>
            </w:r>
            <w:r>
              <w:rPr>
                <w:rFonts w:ascii="宋体" w:hAnsi="宋体" w:cs="宋体" w:eastAsia="宋体" w:hint="default"/>
                <w:sz w:val="18"/>
                <w:szCs w:val="18"/>
              </w:rPr>
              <w:t> 总额</w:t>
            </w:r>
          </w:p>
        </w:tc>
        <w:tc>
          <w:tcPr>
            <w:tcW w:w="505" w:type="dxa"/>
            <w:vMerge/>
            <w:tcBorders>
              <w:left w:val="single" w:sz="9" w:space="0" w:color="D3D3D3"/>
              <w:right w:val="single" w:sz="4" w:space="0" w:color="000000"/>
            </w:tcBorders>
          </w:tcPr>
          <w:p>
            <w:pPr/>
          </w:p>
        </w:tc>
        <w:tc>
          <w:tcPr>
            <w:tcW w:w="466"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468" w:type="dxa"/>
            <w:vMerge/>
            <w:tcBorders>
              <w:left w:val="single" w:sz="4" w:space="0" w:color="000000"/>
              <w:right w:val="single" w:sz="4" w:space="0" w:color="000000"/>
            </w:tcBorders>
          </w:tcPr>
          <w:p>
            <w:pPr/>
          </w:p>
        </w:tc>
        <w:tc>
          <w:tcPr>
            <w:tcW w:w="582"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3"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84"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r>
      <w:tr>
        <w:trPr>
          <w:trHeight w:val="160" w:hRule="exact"/>
        </w:trPr>
        <w:tc>
          <w:tcPr>
            <w:tcW w:w="1230" w:type="dxa"/>
            <w:tcBorders>
              <w:top w:val="nil" w:sz="6" w:space="0" w:color="auto"/>
              <w:left w:val="single" w:sz="4" w:space="0" w:color="000000"/>
              <w:bottom w:val="single" w:sz="4" w:space="0" w:color="000000"/>
              <w:right w:val="single" w:sz="4" w:space="0" w:color="000000"/>
            </w:tcBorders>
            <w:shd w:val="clear" w:color="auto" w:fill="D3D3D3"/>
          </w:tcPr>
          <w:p>
            <w:pPr/>
          </w:p>
        </w:tc>
        <w:tc>
          <w:tcPr>
            <w:tcW w:w="505" w:type="dxa"/>
            <w:vMerge/>
            <w:tcBorders>
              <w:left w:val="single" w:sz="9" w:space="0" w:color="D3D3D3"/>
              <w:bottom w:val="single" w:sz="4" w:space="0" w:color="000000"/>
              <w:right w:val="single" w:sz="4" w:space="0" w:color="000000"/>
            </w:tcBorders>
          </w:tcPr>
          <w:p>
            <w:pPr/>
          </w:p>
        </w:tc>
        <w:tc>
          <w:tcPr>
            <w:tcW w:w="466"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468" w:type="dxa"/>
            <w:vMerge/>
            <w:tcBorders>
              <w:left w:val="single" w:sz="4" w:space="0" w:color="000000"/>
              <w:bottom w:val="single" w:sz="4" w:space="0" w:color="000000"/>
              <w:right w:val="single" w:sz="4" w:space="0" w:color="000000"/>
            </w:tcBorders>
          </w:tcPr>
          <w:p>
            <w:pPr/>
          </w:p>
        </w:tc>
        <w:tc>
          <w:tcPr>
            <w:tcW w:w="582"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3"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84"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r>
      <w:tr>
        <w:trPr>
          <w:trHeight w:val="402" w:hRule="exact"/>
        </w:trPr>
        <w:tc>
          <w:tcPr>
            <w:tcW w:w="12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right="9"/>
              <w:jc w:val="right"/>
              <w:rPr>
                <w:rFonts w:ascii="宋体" w:hAnsi="宋体" w:cs="宋体" w:eastAsia="宋体" w:hint="default"/>
                <w:sz w:val="18"/>
                <w:szCs w:val="18"/>
              </w:rPr>
            </w:pPr>
            <w:r>
              <w:rPr>
                <w:rFonts w:ascii="宋体" w:hAnsi="宋体" w:cs="宋体" w:eastAsia="宋体" w:hint="default"/>
                <w:spacing w:val="-9"/>
                <w:w w:val="95"/>
                <w:sz w:val="18"/>
                <w:szCs w:val="18"/>
              </w:rPr>
              <w:t>（二）所有者投</w:t>
            </w:r>
          </w:p>
        </w:tc>
        <w:tc>
          <w:tcPr>
            <w:tcW w:w="505" w:type="dxa"/>
            <w:tcBorders>
              <w:top w:val="single" w:sz="4" w:space="0" w:color="000000"/>
              <w:left w:val="single" w:sz="13" w:space="0" w:color="D3D3D3"/>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3"/>
        <w:gridCol w:w="493"/>
        <w:gridCol w:w="466"/>
        <w:gridCol w:w="468"/>
        <w:gridCol w:w="468"/>
        <w:gridCol w:w="582"/>
        <w:gridCol w:w="584"/>
        <w:gridCol w:w="584"/>
        <w:gridCol w:w="583"/>
        <w:gridCol w:w="583"/>
        <w:gridCol w:w="584"/>
        <w:gridCol w:w="584"/>
        <w:gridCol w:w="583"/>
        <w:gridCol w:w="584"/>
        <w:gridCol w:w="584"/>
        <w:gridCol w:w="577"/>
      </w:tblGrid>
      <w:tr>
        <w:trPr>
          <w:trHeight w:val="362"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入和减少资本</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38"/>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．所有者投入 的普通股</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38"/>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．其他权益工 具持有者投入 资本</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38"/>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．股份支付计 入所有者权益 的金额</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pacing w:val="-9"/>
                <w:sz w:val="18"/>
                <w:szCs w:val="18"/>
              </w:rPr>
              <w:t>（三）利润分配</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3,891,</w:t>
            </w:r>
            <w:r>
              <w:rPr>
                <w:rFonts w:ascii="Arial"/>
                <w:sz w:val="18"/>
              </w:rPr>
            </w:r>
          </w:p>
          <w:p>
            <w:pPr>
              <w:pStyle w:val="TableParagraph"/>
              <w:spacing w:line="240" w:lineRule="auto" w:before="104"/>
              <w:ind w:right="21"/>
              <w:jc w:val="right"/>
              <w:rPr>
                <w:rFonts w:ascii="Arial" w:hAnsi="Arial" w:cs="Arial" w:eastAsia="Arial" w:hint="default"/>
                <w:sz w:val="18"/>
                <w:szCs w:val="18"/>
              </w:rPr>
            </w:pPr>
            <w:r>
              <w:rPr>
                <w:rFonts w:ascii="Arial"/>
                <w:spacing w:val="-1"/>
                <w:w w:val="95"/>
                <w:sz w:val="18"/>
              </w:rPr>
              <w:t>690.5</w:t>
            </w:r>
            <w:r>
              <w:rPr>
                <w:rFonts w:ascii="Arial"/>
                <w:w w:val="95"/>
                <w:sz w:val="18"/>
              </w:rPr>
            </w:r>
          </w:p>
          <w:p>
            <w:pPr>
              <w:pStyle w:val="TableParagraph"/>
              <w:spacing w:line="240" w:lineRule="auto" w:before="106"/>
              <w:ind w:right="20"/>
              <w:jc w:val="right"/>
              <w:rPr>
                <w:rFonts w:ascii="Arial" w:hAnsi="Arial" w:cs="Arial" w:eastAsia="Arial" w:hint="default"/>
                <w:sz w:val="18"/>
                <w:szCs w:val="18"/>
              </w:rPr>
            </w:pPr>
            <w:r>
              <w:rPr>
                <w:rFonts w:ascii="Arial"/>
                <w:sz w:val="18"/>
              </w:rPr>
              <w:t>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 w:right="0"/>
              <w:jc w:val="left"/>
              <w:rPr>
                <w:rFonts w:ascii="Arial" w:hAnsi="Arial" w:cs="Arial" w:eastAsia="Arial" w:hint="default"/>
                <w:sz w:val="18"/>
                <w:szCs w:val="18"/>
              </w:rPr>
            </w:pPr>
            <w:r>
              <w:rPr>
                <w:rFonts w:ascii="Arial"/>
                <w:spacing w:val="-3"/>
                <w:sz w:val="18"/>
              </w:rPr>
              <w:t>-10,11</w:t>
            </w:r>
          </w:p>
          <w:p>
            <w:pPr>
              <w:pStyle w:val="TableParagraph"/>
              <w:spacing w:line="240" w:lineRule="auto" w:before="104"/>
              <w:ind w:left="50" w:right="0"/>
              <w:jc w:val="left"/>
              <w:rPr>
                <w:rFonts w:ascii="Arial" w:hAnsi="Arial" w:cs="Arial" w:eastAsia="Arial" w:hint="default"/>
                <w:sz w:val="18"/>
                <w:szCs w:val="18"/>
              </w:rPr>
            </w:pPr>
            <w:r>
              <w:rPr>
                <w:rFonts w:ascii="Arial"/>
                <w:sz w:val="18"/>
              </w:rPr>
              <w:t>3,690.</w:t>
            </w:r>
          </w:p>
          <w:p>
            <w:pPr>
              <w:pStyle w:val="TableParagraph"/>
              <w:spacing w:line="240" w:lineRule="auto" w:before="106"/>
              <w:ind w:left="350" w:right="0"/>
              <w:jc w:val="left"/>
              <w:rPr>
                <w:rFonts w:ascii="Arial" w:hAnsi="Arial" w:cs="Arial" w:eastAsia="Arial" w:hint="default"/>
                <w:sz w:val="18"/>
                <w:szCs w:val="18"/>
              </w:rPr>
            </w:pPr>
            <w:r>
              <w:rPr>
                <w:rFonts w:ascii="Arial"/>
                <w:sz w:val="18"/>
              </w:rPr>
              <w:t>52</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-6,222</w:t>
            </w:r>
            <w:r>
              <w:rPr>
                <w:rFonts w:ascii="Arial"/>
                <w:sz w:val="18"/>
              </w:rPr>
            </w:r>
          </w:p>
          <w:p>
            <w:pPr>
              <w:pStyle w:val="TableParagraph"/>
              <w:spacing w:line="240" w:lineRule="auto" w:before="104"/>
              <w:ind w:right="22"/>
              <w:jc w:val="right"/>
              <w:rPr>
                <w:rFonts w:ascii="Arial" w:hAnsi="Arial" w:cs="Arial" w:eastAsia="Arial" w:hint="default"/>
                <w:sz w:val="18"/>
                <w:szCs w:val="18"/>
              </w:rPr>
            </w:pPr>
            <w:r>
              <w:rPr>
                <w:rFonts w:ascii="Arial"/>
                <w:spacing w:val="-1"/>
                <w:sz w:val="18"/>
              </w:rPr>
              <w:t>,000.0</w:t>
            </w:r>
            <w:r>
              <w:rPr>
                <w:rFonts w:ascii="Arial"/>
                <w:sz w:val="18"/>
              </w:rPr>
            </w:r>
          </w:p>
          <w:p>
            <w:pPr>
              <w:pStyle w:val="TableParagraph"/>
              <w:spacing w:line="240" w:lineRule="auto" w:before="106"/>
              <w:ind w:right="21"/>
              <w:jc w:val="right"/>
              <w:rPr>
                <w:rFonts w:ascii="Arial" w:hAnsi="Arial" w:cs="Arial" w:eastAsia="Arial" w:hint="default"/>
                <w:sz w:val="18"/>
                <w:szCs w:val="18"/>
              </w:rPr>
            </w:pPr>
            <w:r>
              <w:rPr>
                <w:rFonts w:ascii="Arial"/>
                <w:sz w:val="18"/>
              </w:rPr>
              <w:t>0</w:t>
            </w: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-6,222</w:t>
            </w:r>
            <w:r>
              <w:rPr>
                <w:rFonts w:ascii="Arial"/>
                <w:sz w:val="18"/>
              </w:rPr>
            </w:r>
          </w:p>
          <w:p>
            <w:pPr>
              <w:pStyle w:val="TableParagraph"/>
              <w:spacing w:line="240" w:lineRule="auto" w:before="104"/>
              <w:ind w:right="21"/>
              <w:jc w:val="right"/>
              <w:rPr>
                <w:rFonts w:ascii="Arial" w:hAnsi="Arial" w:cs="Arial" w:eastAsia="Arial" w:hint="default"/>
                <w:sz w:val="18"/>
                <w:szCs w:val="18"/>
              </w:rPr>
            </w:pPr>
            <w:r>
              <w:rPr>
                <w:rFonts w:ascii="Arial"/>
                <w:spacing w:val="-1"/>
                <w:sz w:val="18"/>
              </w:rPr>
              <w:t>,000.0</w:t>
            </w:r>
            <w:r>
              <w:rPr>
                <w:rFonts w:ascii="Arial"/>
                <w:sz w:val="18"/>
              </w:rPr>
            </w:r>
          </w:p>
          <w:p>
            <w:pPr>
              <w:pStyle w:val="TableParagraph"/>
              <w:spacing w:line="240" w:lineRule="auto" w:before="106"/>
              <w:ind w:right="20"/>
              <w:jc w:val="right"/>
              <w:rPr>
                <w:rFonts w:ascii="Arial" w:hAnsi="Arial" w:cs="Arial" w:eastAsia="Arial" w:hint="default"/>
                <w:sz w:val="18"/>
                <w:szCs w:val="18"/>
              </w:rPr>
            </w:pPr>
            <w:r>
              <w:rPr>
                <w:rFonts w:ascii="Arial"/>
                <w:sz w:val="18"/>
              </w:rPr>
              <w:t>0</w:t>
            </w: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38"/>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．提取盈余公 积</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3,891,</w:t>
            </w:r>
            <w:r>
              <w:rPr>
                <w:rFonts w:ascii="Arial"/>
                <w:sz w:val="18"/>
              </w:rPr>
            </w:r>
          </w:p>
          <w:p>
            <w:pPr>
              <w:pStyle w:val="TableParagraph"/>
              <w:spacing w:line="240" w:lineRule="auto" w:before="104"/>
              <w:ind w:right="21"/>
              <w:jc w:val="right"/>
              <w:rPr>
                <w:rFonts w:ascii="Arial" w:hAnsi="Arial" w:cs="Arial" w:eastAsia="Arial" w:hint="default"/>
                <w:sz w:val="18"/>
                <w:szCs w:val="18"/>
              </w:rPr>
            </w:pPr>
            <w:r>
              <w:rPr>
                <w:rFonts w:ascii="Arial"/>
                <w:spacing w:val="-1"/>
                <w:w w:val="95"/>
                <w:sz w:val="18"/>
              </w:rPr>
              <w:t>690.5</w:t>
            </w:r>
            <w:r>
              <w:rPr>
                <w:rFonts w:ascii="Arial"/>
                <w:w w:val="95"/>
                <w:sz w:val="18"/>
              </w:rPr>
            </w:r>
          </w:p>
          <w:p>
            <w:pPr>
              <w:pStyle w:val="TableParagraph"/>
              <w:spacing w:line="240" w:lineRule="auto" w:before="106"/>
              <w:ind w:right="20"/>
              <w:jc w:val="right"/>
              <w:rPr>
                <w:rFonts w:ascii="Arial" w:hAnsi="Arial" w:cs="Arial" w:eastAsia="Arial" w:hint="default"/>
                <w:sz w:val="18"/>
                <w:szCs w:val="18"/>
              </w:rPr>
            </w:pPr>
            <w:r>
              <w:rPr>
                <w:rFonts w:ascii="Arial"/>
                <w:sz w:val="18"/>
              </w:rPr>
              <w:t>2</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0" w:right="0"/>
              <w:jc w:val="left"/>
              <w:rPr>
                <w:rFonts w:ascii="Times New Roman" w:hAnsi="Times New Roman" w:cs="Times New Roman" w:eastAsia="Times New Roman" w:hint="default"/>
                <w:sz w:val="18"/>
                <w:szCs w:val="18"/>
              </w:rPr>
            </w:pPr>
            <w:r>
              <w:rPr>
                <w:rFonts w:ascii="Times New Roman"/>
                <w:sz w:val="18"/>
              </w:rPr>
              <w:t>-3,891,</w:t>
            </w:r>
          </w:p>
          <w:p>
            <w:pPr>
              <w:pStyle w:val="TableParagraph"/>
              <w:spacing w:line="240" w:lineRule="auto" w:before="105"/>
              <w:ind w:left="56" w:right="0"/>
              <w:jc w:val="left"/>
              <w:rPr>
                <w:rFonts w:ascii="Times New Roman" w:hAnsi="Times New Roman" w:cs="Times New Roman" w:eastAsia="Times New Roman" w:hint="default"/>
                <w:sz w:val="18"/>
                <w:szCs w:val="18"/>
              </w:rPr>
            </w:pPr>
            <w:r>
              <w:rPr>
                <w:rFonts w:ascii="Times New Roman"/>
                <w:sz w:val="18"/>
              </w:rPr>
              <w:t>690.52</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38"/>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．提取一般风 险准备</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3"/>
              <w:jc w:val="left"/>
              <w:rPr>
                <w:rFonts w:ascii="宋体" w:hAnsi="宋体" w:cs="宋体" w:eastAsia="宋体" w:hint="default"/>
                <w:sz w:val="18"/>
                <w:szCs w:val="18"/>
              </w:rPr>
            </w:pPr>
            <w:r>
              <w:rPr>
                <w:rFonts w:ascii="Arial" w:hAnsi="Arial" w:cs="Arial" w:eastAsia="Arial" w:hint="default"/>
                <w:spacing w:val="-21"/>
                <w:sz w:val="18"/>
                <w:szCs w:val="18"/>
              </w:rPr>
              <w:t>3</w:t>
            </w:r>
            <w:r>
              <w:rPr>
                <w:rFonts w:ascii="宋体" w:hAnsi="宋体" w:cs="宋体" w:eastAsia="宋体" w:hint="default"/>
                <w:spacing w:val="-21"/>
                <w:sz w:val="18"/>
                <w:szCs w:val="18"/>
              </w:rPr>
              <w:t>．对所有者（或</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股东）的分配</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-6,222,</w:t>
            </w:r>
          </w:p>
          <w:p>
            <w:pPr>
              <w:pStyle w:val="TableParagraph"/>
              <w:spacing w:line="240" w:lineRule="auto" w:before="105"/>
              <w:ind w:left="56" w:right="0"/>
              <w:jc w:val="left"/>
              <w:rPr>
                <w:rFonts w:ascii="Times New Roman" w:hAnsi="Times New Roman" w:cs="Times New Roman" w:eastAsia="Times New Roman" w:hint="default"/>
                <w:sz w:val="18"/>
                <w:szCs w:val="18"/>
              </w:rPr>
            </w:pPr>
            <w:r>
              <w:rPr>
                <w:rFonts w:ascii="Times New Roman"/>
                <w:sz w:val="18"/>
              </w:rPr>
              <w:t>000.00</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-6,222,</w:t>
            </w:r>
          </w:p>
          <w:p>
            <w:pPr>
              <w:pStyle w:val="TableParagraph"/>
              <w:spacing w:line="240" w:lineRule="auto" w:before="105"/>
              <w:ind w:left="56" w:right="0"/>
              <w:jc w:val="left"/>
              <w:rPr>
                <w:rFonts w:ascii="Times New Roman" w:hAnsi="Times New Roman" w:cs="Times New Roman" w:eastAsia="Times New Roman" w:hint="default"/>
                <w:sz w:val="18"/>
                <w:szCs w:val="18"/>
              </w:rPr>
            </w:pPr>
            <w:r>
              <w:rPr>
                <w:rFonts w:ascii="Times New Roman"/>
                <w:sz w:val="18"/>
              </w:rPr>
              <w:t>000.00</w:t>
            </w: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 w:right="0"/>
              <w:jc w:val="left"/>
              <w:rPr>
                <w:rFonts w:ascii="Times New Roman" w:hAnsi="Times New Roman" w:cs="Times New Roman" w:eastAsia="Times New Roman" w:hint="default"/>
                <w:sz w:val="18"/>
                <w:szCs w:val="18"/>
              </w:rPr>
            </w:pPr>
            <w:r>
              <w:rPr>
                <w:rFonts w:ascii="Times New Roman"/>
                <w:sz w:val="18"/>
              </w:rPr>
              <w:t>-6,222,</w:t>
            </w:r>
          </w:p>
          <w:p>
            <w:pPr>
              <w:pStyle w:val="TableParagraph"/>
              <w:spacing w:line="240" w:lineRule="auto" w:before="105"/>
              <w:ind w:left="50" w:right="0"/>
              <w:jc w:val="left"/>
              <w:rPr>
                <w:rFonts w:ascii="Times New Roman" w:hAnsi="Times New Roman" w:cs="Times New Roman" w:eastAsia="Times New Roman" w:hint="default"/>
                <w:sz w:val="18"/>
                <w:szCs w:val="18"/>
              </w:rPr>
            </w:pPr>
            <w:r>
              <w:rPr>
                <w:rFonts w:ascii="Times New Roman"/>
                <w:sz w:val="18"/>
              </w:rPr>
              <w:t>000.00</w:t>
            </w: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9"/>
                <w:sz w:val="18"/>
                <w:szCs w:val="18"/>
              </w:rPr>
              <w:t>（四）所有者权</w:t>
            </w:r>
            <w:r>
              <w:rPr>
                <w:rFonts w:ascii="宋体" w:hAnsi="宋体" w:cs="宋体" w:eastAsia="宋体" w:hint="default"/>
                <w:sz w:val="18"/>
                <w:szCs w:val="18"/>
              </w:rPr>
              <w:t> 益内部结转</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38"/>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．资本公积转 增资本（或股 本）</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38"/>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．盈余公积转 增资本（或股 本）</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38"/>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．盈余公积弥 补亏损</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38"/>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．设定受益计 划变动额结转 留存收益</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38"/>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．其他综合收 益结转留存收 益</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．其他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pacing w:val="-9"/>
                <w:sz w:val="18"/>
                <w:szCs w:val="18"/>
              </w:rPr>
              <w:t>（五）专项储备</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0"/>
          <w:pgSz w:w="11910" w:h="16840"/>
          <w:pgMar w:footer="982" w:header="747"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53"/>
        <w:gridCol w:w="493"/>
        <w:gridCol w:w="466"/>
        <w:gridCol w:w="468"/>
        <w:gridCol w:w="468"/>
        <w:gridCol w:w="582"/>
        <w:gridCol w:w="584"/>
        <w:gridCol w:w="584"/>
        <w:gridCol w:w="583"/>
        <w:gridCol w:w="583"/>
        <w:gridCol w:w="584"/>
        <w:gridCol w:w="584"/>
        <w:gridCol w:w="583"/>
        <w:gridCol w:w="584"/>
        <w:gridCol w:w="584"/>
        <w:gridCol w:w="577"/>
      </w:tblGrid>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．本期提取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．本期使用</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3" w:type="dxa"/>
            <w:tcBorders>
              <w:top w:val="single" w:sz="4" w:space="0" w:color="000000"/>
              <w:left w:val="single" w:sz="4" w:space="0" w:color="000000"/>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20"/>
              <w:jc w:val="left"/>
              <w:rPr>
                <w:rFonts w:ascii="宋体" w:hAnsi="宋体" w:cs="宋体" w:eastAsia="宋体" w:hint="default"/>
                <w:sz w:val="18"/>
                <w:szCs w:val="18"/>
              </w:rPr>
            </w:pPr>
            <w:r>
              <w:rPr>
                <w:rFonts w:ascii="宋体" w:hAnsi="宋体" w:cs="宋体" w:eastAsia="宋体" w:hint="default"/>
                <w:spacing w:val="-9"/>
                <w:sz w:val="18"/>
                <w:szCs w:val="18"/>
              </w:rPr>
              <w:t>四、本期期末余</w:t>
            </w:r>
            <w:r>
              <w:rPr>
                <w:rFonts w:ascii="宋体" w:hAnsi="宋体" w:cs="宋体" w:eastAsia="宋体" w:hint="default"/>
                <w:sz w:val="18"/>
                <w:szCs w:val="18"/>
              </w:rPr>
              <w:t> 额</w:t>
            </w:r>
          </w:p>
        </w:tc>
        <w:tc>
          <w:tcPr>
            <w:tcW w:w="4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center"/>
              <w:rPr>
                <w:rFonts w:ascii="Arial" w:hAnsi="Arial" w:cs="Arial" w:eastAsia="Arial" w:hint="default"/>
                <w:sz w:val="18"/>
                <w:szCs w:val="18"/>
              </w:rPr>
            </w:pPr>
            <w:r>
              <w:rPr>
                <w:rFonts w:ascii="Arial"/>
                <w:sz w:val="18"/>
              </w:rPr>
              <w:t>622,</w:t>
            </w:r>
          </w:p>
          <w:p>
            <w:pPr>
              <w:pStyle w:val="TableParagraph"/>
              <w:spacing w:line="240" w:lineRule="auto" w:before="105"/>
              <w:ind w:left="83" w:right="0"/>
              <w:jc w:val="center"/>
              <w:rPr>
                <w:rFonts w:ascii="Arial" w:hAnsi="Arial" w:cs="Arial" w:eastAsia="Arial" w:hint="default"/>
                <w:sz w:val="18"/>
                <w:szCs w:val="18"/>
              </w:rPr>
            </w:pPr>
            <w:r>
              <w:rPr>
                <w:rFonts w:ascii="Arial"/>
                <w:sz w:val="18"/>
              </w:rPr>
              <w:t>200,</w:t>
            </w:r>
          </w:p>
          <w:p>
            <w:pPr>
              <w:pStyle w:val="TableParagraph"/>
              <w:spacing w:line="240" w:lineRule="auto" w:before="105"/>
              <w:ind w:left="83" w:right="0"/>
              <w:jc w:val="center"/>
              <w:rPr>
                <w:rFonts w:ascii="Arial" w:hAnsi="Arial" w:cs="Arial" w:eastAsia="Arial" w:hint="default"/>
                <w:sz w:val="18"/>
                <w:szCs w:val="18"/>
              </w:rPr>
            </w:pPr>
            <w:r>
              <w:rPr>
                <w:rFonts w:ascii="Arial"/>
                <w:sz w:val="18"/>
              </w:rPr>
              <w:t>000.</w:t>
            </w:r>
          </w:p>
          <w:p>
            <w:pPr>
              <w:pStyle w:val="TableParagraph"/>
              <w:spacing w:line="240" w:lineRule="auto" w:before="106"/>
              <w:ind w:left="233" w:right="0"/>
              <w:jc w:val="center"/>
              <w:rPr>
                <w:rFonts w:ascii="Arial" w:hAnsi="Arial" w:cs="Arial" w:eastAsia="Arial" w:hint="default"/>
                <w:sz w:val="18"/>
                <w:szCs w:val="18"/>
              </w:rPr>
            </w:pPr>
            <w:r>
              <w:rPr>
                <w:rFonts w:ascii="Arial"/>
                <w:sz w:val="18"/>
              </w:rPr>
              <w:t>00</w:t>
            </w:r>
          </w:p>
        </w:tc>
        <w:tc>
          <w:tcPr>
            <w:tcW w:w="466"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468" w:type="dxa"/>
            <w:tcBorders>
              <w:top w:val="single" w:sz="4" w:space="0" w:color="000000"/>
              <w:left w:val="single" w:sz="4" w:space="0" w:color="000000"/>
              <w:bottom w:val="single" w:sz="4" w:space="0" w:color="000000"/>
              <w:right w:val="single" w:sz="4" w:space="0" w:color="000000"/>
            </w:tcBorders>
          </w:tcPr>
          <w:p>
            <w:pPr/>
          </w:p>
        </w:tc>
        <w:tc>
          <w:tcPr>
            <w:tcW w:w="5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9" w:right="0"/>
              <w:jc w:val="left"/>
              <w:rPr>
                <w:rFonts w:ascii="Arial" w:hAnsi="Arial" w:cs="Arial" w:eastAsia="Arial" w:hint="default"/>
                <w:sz w:val="18"/>
                <w:szCs w:val="18"/>
              </w:rPr>
            </w:pPr>
            <w:r>
              <w:rPr>
                <w:rFonts w:ascii="Arial"/>
                <w:sz w:val="18"/>
              </w:rPr>
              <w:t>369,3</w:t>
            </w:r>
          </w:p>
          <w:p>
            <w:pPr>
              <w:pStyle w:val="TableParagraph"/>
              <w:spacing w:line="240" w:lineRule="auto" w:before="105"/>
              <w:ind w:left="99" w:right="0"/>
              <w:jc w:val="left"/>
              <w:rPr>
                <w:rFonts w:ascii="Arial" w:hAnsi="Arial" w:cs="Arial" w:eastAsia="Arial" w:hint="default"/>
                <w:sz w:val="18"/>
                <w:szCs w:val="18"/>
              </w:rPr>
            </w:pPr>
            <w:r>
              <w:rPr>
                <w:rFonts w:ascii="Arial"/>
                <w:sz w:val="18"/>
              </w:rPr>
              <w:t>58,61</w:t>
            </w:r>
          </w:p>
          <w:p>
            <w:pPr>
              <w:pStyle w:val="TableParagraph"/>
              <w:spacing w:line="240" w:lineRule="auto" w:before="106"/>
              <w:ind w:left="199" w:right="0"/>
              <w:jc w:val="left"/>
              <w:rPr>
                <w:rFonts w:ascii="Arial" w:hAnsi="Arial" w:cs="Arial" w:eastAsia="Arial" w:hint="default"/>
                <w:sz w:val="18"/>
                <w:szCs w:val="18"/>
              </w:rPr>
            </w:pPr>
            <w:r>
              <w:rPr>
                <w:rFonts w:ascii="Arial"/>
                <w:sz w:val="18"/>
              </w:rPr>
              <w:t>2.29</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Arial" w:hAnsi="Arial" w:cs="Arial" w:eastAsia="Arial" w:hint="default"/>
                <w:sz w:val="18"/>
                <w:szCs w:val="18"/>
              </w:rPr>
            </w:pPr>
            <w:r>
              <w:rPr>
                <w:rFonts w:ascii="Arial"/>
                <w:sz w:val="18"/>
              </w:rPr>
              <w:t>45,95</w:t>
            </w:r>
          </w:p>
          <w:p>
            <w:pPr>
              <w:pStyle w:val="TableParagraph"/>
              <w:spacing w:line="240" w:lineRule="auto" w:before="105"/>
              <w:ind w:left="50" w:right="0"/>
              <w:jc w:val="left"/>
              <w:rPr>
                <w:rFonts w:ascii="Arial" w:hAnsi="Arial" w:cs="Arial" w:eastAsia="Arial" w:hint="default"/>
                <w:sz w:val="18"/>
                <w:szCs w:val="18"/>
              </w:rPr>
            </w:pPr>
            <w:r>
              <w:rPr>
                <w:rFonts w:ascii="Arial"/>
                <w:sz w:val="18"/>
              </w:rPr>
              <w:t>2,224.</w:t>
            </w:r>
          </w:p>
          <w:p>
            <w:pPr>
              <w:pStyle w:val="TableParagraph"/>
              <w:spacing w:line="240" w:lineRule="auto" w:before="106"/>
              <w:ind w:left="350" w:right="0"/>
              <w:jc w:val="left"/>
              <w:rPr>
                <w:rFonts w:ascii="Arial" w:hAnsi="Arial" w:cs="Arial" w:eastAsia="Arial" w:hint="default"/>
                <w:sz w:val="18"/>
                <w:szCs w:val="18"/>
              </w:rPr>
            </w:pPr>
            <w:r>
              <w:rPr>
                <w:rFonts w:ascii="Arial"/>
                <w:sz w:val="18"/>
              </w:rPr>
              <w:t>52</w:t>
            </w:r>
          </w:p>
        </w:tc>
        <w:tc>
          <w:tcPr>
            <w:tcW w:w="583" w:type="dxa"/>
            <w:tcBorders>
              <w:top w:val="single" w:sz="4" w:space="0" w:color="000000"/>
              <w:left w:val="single" w:sz="4" w:space="0" w:color="000000"/>
              <w:bottom w:val="single" w:sz="4" w:space="0" w:color="000000"/>
              <w:right w:val="single" w:sz="4" w:space="0" w:color="000000"/>
            </w:tcBorders>
          </w:tcPr>
          <w:p>
            <w:pPr/>
          </w:p>
        </w:tc>
        <w:tc>
          <w:tcPr>
            <w:tcW w:w="5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Arial" w:hAnsi="Arial" w:cs="Arial" w:eastAsia="Arial" w:hint="default"/>
                <w:sz w:val="18"/>
                <w:szCs w:val="18"/>
              </w:rPr>
            </w:pPr>
            <w:r>
              <w:rPr>
                <w:rFonts w:ascii="Arial"/>
                <w:sz w:val="18"/>
              </w:rPr>
              <w:t>71,46</w:t>
            </w:r>
          </w:p>
          <w:p>
            <w:pPr>
              <w:pStyle w:val="TableParagraph"/>
              <w:spacing w:line="240" w:lineRule="auto" w:before="105"/>
              <w:ind w:left="50" w:right="0"/>
              <w:jc w:val="left"/>
              <w:rPr>
                <w:rFonts w:ascii="Arial" w:hAnsi="Arial" w:cs="Arial" w:eastAsia="Arial" w:hint="default"/>
                <w:sz w:val="18"/>
                <w:szCs w:val="18"/>
              </w:rPr>
            </w:pPr>
            <w:r>
              <w:rPr>
                <w:rFonts w:ascii="Arial"/>
                <w:sz w:val="18"/>
              </w:rPr>
              <w:t>3,402.</w:t>
            </w:r>
          </w:p>
          <w:p>
            <w:pPr>
              <w:pStyle w:val="TableParagraph"/>
              <w:spacing w:line="240" w:lineRule="auto" w:before="106"/>
              <w:ind w:left="350" w:right="0"/>
              <w:jc w:val="left"/>
              <w:rPr>
                <w:rFonts w:ascii="Arial" w:hAnsi="Arial" w:cs="Arial" w:eastAsia="Arial" w:hint="default"/>
                <w:sz w:val="18"/>
                <w:szCs w:val="18"/>
              </w:rPr>
            </w:pPr>
            <w:r>
              <w:rPr>
                <w:rFonts w:ascii="Arial"/>
                <w:sz w:val="18"/>
              </w:rPr>
              <w:t>20</w:t>
            </w:r>
          </w:p>
        </w:tc>
        <w:tc>
          <w:tcPr>
            <w:tcW w:w="584"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Arial" w:hAnsi="Arial" w:cs="Arial" w:eastAsia="Arial" w:hint="default"/>
                <w:sz w:val="18"/>
                <w:szCs w:val="18"/>
              </w:rPr>
            </w:pPr>
            <w:r>
              <w:rPr>
                <w:rFonts w:ascii="Arial"/>
                <w:sz w:val="18"/>
              </w:rPr>
              <w:t>428,5</w:t>
            </w:r>
          </w:p>
          <w:p>
            <w:pPr>
              <w:pStyle w:val="TableParagraph"/>
              <w:spacing w:line="240" w:lineRule="auto" w:before="105"/>
              <w:ind w:left="100" w:right="0"/>
              <w:jc w:val="left"/>
              <w:rPr>
                <w:rFonts w:ascii="Arial" w:hAnsi="Arial" w:cs="Arial" w:eastAsia="Arial" w:hint="default"/>
                <w:sz w:val="18"/>
                <w:szCs w:val="18"/>
              </w:rPr>
            </w:pPr>
            <w:r>
              <w:rPr>
                <w:rFonts w:ascii="Arial"/>
                <w:sz w:val="18"/>
              </w:rPr>
              <w:t>72,87</w:t>
            </w:r>
          </w:p>
          <w:p>
            <w:pPr>
              <w:pStyle w:val="TableParagraph"/>
              <w:spacing w:line="240" w:lineRule="auto" w:before="106"/>
              <w:ind w:left="200" w:right="0"/>
              <w:jc w:val="left"/>
              <w:rPr>
                <w:rFonts w:ascii="Arial" w:hAnsi="Arial" w:cs="Arial" w:eastAsia="Arial" w:hint="default"/>
                <w:sz w:val="18"/>
                <w:szCs w:val="18"/>
              </w:rPr>
            </w:pPr>
            <w:r>
              <w:rPr>
                <w:rFonts w:ascii="Arial"/>
                <w:sz w:val="18"/>
              </w:rPr>
              <w:t>4.09</w:t>
            </w:r>
          </w:p>
        </w:tc>
        <w:tc>
          <w:tcPr>
            <w:tcW w:w="583" w:type="dxa"/>
            <w:tcBorders>
              <w:top w:val="single" w:sz="4" w:space="0" w:color="000000"/>
              <w:left w:val="single" w:sz="4" w:space="0" w:color="000000"/>
              <w:bottom w:val="single" w:sz="4" w:space="0" w:color="000000"/>
              <w:right w:val="single" w:sz="4" w:space="0" w:color="000000"/>
            </w:tcBorders>
          </w:tcPr>
          <w:p>
            <w:pP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0" w:right="0"/>
              <w:jc w:val="left"/>
              <w:rPr>
                <w:rFonts w:ascii="Arial" w:hAnsi="Arial" w:cs="Arial" w:eastAsia="Arial" w:hint="default"/>
                <w:sz w:val="18"/>
                <w:szCs w:val="18"/>
              </w:rPr>
            </w:pPr>
            <w:r>
              <w:rPr>
                <w:rFonts w:ascii="Arial"/>
                <w:sz w:val="18"/>
              </w:rPr>
              <w:t>1,537,</w:t>
            </w:r>
          </w:p>
          <w:p>
            <w:pPr>
              <w:pStyle w:val="TableParagraph"/>
              <w:spacing w:line="240" w:lineRule="auto" w:before="105"/>
              <w:ind w:left="114" w:right="0"/>
              <w:jc w:val="left"/>
              <w:rPr>
                <w:rFonts w:ascii="Arial" w:hAnsi="Arial" w:cs="Arial" w:eastAsia="Arial" w:hint="default"/>
                <w:sz w:val="18"/>
                <w:szCs w:val="18"/>
              </w:rPr>
            </w:pPr>
            <w:r>
              <w:rPr>
                <w:rFonts w:ascii="Arial"/>
                <w:sz w:val="18"/>
              </w:rPr>
              <w:t>547,1</w:t>
            </w:r>
          </w:p>
          <w:p>
            <w:pPr>
              <w:pStyle w:val="TableParagraph"/>
              <w:spacing w:line="240" w:lineRule="auto" w:before="106"/>
              <w:ind w:left="100" w:right="0"/>
              <w:jc w:val="left"/>
              <w:rPr>
                <w:rFonts w:ascii="Arial" w:hAnsi="Arial" w:cs="Arial" w:eastAsia="Arial" w:hint="default"/>
                <w:sz w:val="18"/>
                <w:szCs w:val="18"/>
              </w:rPr>
            </w:pPr>
            <w:r>
              <w:rPr>
                <w:rFonts w:ascii="Arial"/>
                <w:sz w:val="18"/>
              </w:rPr>
              <w:t>13.10</w:t>
            </w:r>
          </w:p>
        </w:tc>
        <w:tc>
          <w:tcPr>
            <w:tcW w:w="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0" w:right="0"/>
              <w:jc w:val="left"/>
              <w:rPr>
                <w:rFonts w:ascii="Arial" w:hAnsi="Arial" w:cs="Arial" w:eastAsia="Arial" w:hint="default"/>
                <w:sz w:val="18"/>
                <w:szCs w:val="18"/>
              </w:rPr>
            </w:pPr>
            <w:r>
              <w:rPr>
                <w:rFonts w:ascii="Arial"/>
                <w:sz w:val="18"/>
              </w:rPr>
              <w:t>10,56</w:t>
            </w:r>
          </w:p>
          <w:p>
            <w:pPr>
              <w:pStyle w:val="TableParagraph"/>
              <w:spacing w:line="240" w:lineRule="auto" w:before="105"/>
              <w:ind w:left="50" w:right="0"/>
              <w:jc w:val="left"/>
              <w:rPr>
                <w:rFonts w:ascii="Arial" w:hAnsi="Arial" w:cs="Arial" w:eastAsia="Arial" w:hint="default"/>
                <w:sz w:val="18"/>
                <w:szCs w:val="18"/>
              </w:rPr>
            </w:pPr>
            <w:r>
              <w:rPr>
                <w:rFonts w:ascii="Arial"/>
                <w:sz w:val="18"/>
              </w:rPr>
              <w:t>5,537.</w:t>
            </w:r>
          </w:p>
          <w:p>
            <w:pPr>
              <w:pStyle w:val="TableParagraph"/>
              <w:spacing w:line="240" w:lineRule="auto" w:before="106"/>
              <w:ind w:left="350" w:right="0"/>
              <w:jc w:val="left"/>
              <w:rPr>
                <w:rFonts w:ascii="Arial" w:hAnsi="Arial" w:cs="Arial" w:eastAsia="Arial" w:hint="default"/>
                <w:sz w:val="18"/>
                <w:szCs w:val="18"/>
              </w:rPr>
            </w:pPr>
            <w:r>
              <w:rPr>
                <w:rFonts w:ascii="Arial"/>
                <w:sz w:val="18"/>
              </w:rPr>
              <w:t>98</w:t>
            </w: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44" w:right="0"/>
              <w:jc w:val="left"/>
              <w:rPr>
                <w:rFonts w:ascii="Arial" w:hAnsi="Arial" w:cs="Arial" w:eastAsia="Arial" w:hint="default"/>
                <w:sz w:val="18"/>
                <w:szCs w:val="18"/>
              </w:rPr>
            </w:pPr>
            <w:r>
              <w:rPr>
                <w:rFonts w:ascii="Arial"/>
                <w:sz w:val="18"/>
              </w:rPr>
              <w:t>1,548,</w:t>
            </w:r>
          </w:p>
          <w:p>
            <w:pPr>
              <w:pStyle w:val="TableParagraph"/>
              <w:spacing w:line="240" w:lineRule="auto" w:before="105"/>
              <w:ind w:left="107" w:right="0"/>
              <w:jc w:val="left"/>
              <w:rPr>
                <w:rFonts w:ascii="Arial" w:hAnsi="Arial" w:cs="Arial" w:eastAsia="Arial" w:hint="default"/>
                <w:sz w:val="18"/>
                <w:szCs w:val="18"/>
              </w:rPr>
            </w:pPr>
            <w:r>
              <w:rPr>
                <w:rFonts w:ascii="Arial"/>
                <w:spacing w:val="-4"/>
                <w:sz w:val="18"/>
              </w:rPr>
              <w:t>112,6</w:t>
            </w:r>
            <w:r>
              <w:rPr>
                <w:rFonts w:ascii="Arial"/>
                <w:sz w:val="18"/>
              </w:rPr>
            </w:r>
          </w:p>
          <w:p>
            <w:pPr>
              <w:pStyle w:val="TableParagraph"/>
              <w:spacing w:line="240" w:lineRule="auto" w:before="106"/>
              <w:ind w:left="94" w:right="0"/>
              <w:jc w:val="left"/>
              <w:rPr>
                <w:rFonts w:ascii="Arial" w:hAnsi="Arial" w:cs="Arial" w:eastAsia="Arial" w:hint="default"/>
                <w:sz w:val="18"/>
                <w:szCs w:val="18"/>
              </w:rPr>
            </w:pPr>
            <w:r>
              <w:rPr>
                <w:rFonts w:ascii="Arial"/>
                <w:sz w:val="18"/>
              </w:rPr>
              <w:t>51.08</w:t>
            </w:r>
          </w:p>
        </w:tc>
      </w:tr>
    </w:tbl>
    <w:p>
      <w:pPr>
        <w:pStyle w:val="BodyText"/>
        <w:spacing w:line="240" w:lineRule="auto" w:before="51"/>
        <w:ind w:right="2239"/>
        <w:jc w:val="left"/>
      </w:pPr>
      <w:r>
        <w:rPr/>
        <w:t>上期金额</w:t>
      </w:r>
    </w:p>
    <w:p>
      <w:pPr>
        <w:pStyle w:val="BodyText"/>
        <w:spacing w:line="240" w:lineRule="auto" w:before="117"/>
        <w:ind w:left="0" w:right="1131"/>
        <w:jc w:val="right"/>
      </w:pPr>
      <w:r>
        <w:rPr/>
        <w:t>单位：元</w:t>
      </w:r>
    </w:p>
    <w:p>
      <w:pPr>
        <w:spacing w:line="240" w:lineRule="auto" w:before="0"/>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9"/>
        <w:gridCol w:w="501"/>
        <w:gridCol w:w="450"/>
        <w:gridCol w:w="449"/>
        <w:gridCol w:w="491"/>
        <w:gridCol w:w="576"/>
        <w:gridCol w:w="577"/>
        <w:gridCol w:w="577"/>
        <w:gridCol w:w="576"/>
        <w:gridCol w:w="576"/>
        <w:gridCol w:w="577"/>
        <w:gridCol w:w="589"/>
        <w:gridCol w:w="568"/>
        <w:gridCol w:w="566"/>
        <w:gridCol w:w="643"/>
        <w:gridCol w:w="650"/>
      </w:tblGrid>
      <w:tr>
        <w:trPr>
          <w:trHeight w:val="402" w:hRule="exact"/>
        </w:trPr>
        <w:tc>
          <w:tcPr>
            <w:tcW w:w="1189" w:type="dxa"/>
            <w:vMerge w:val="restart"/>
            <w:tcBorders>
              <w:top w:val="single" w:sz="4" w:space="0" w:color="000000"/>
              <w:left w:val="single" w:sz="4" w:space="0" w:color="000000"/>
              <w:right w:val="single" w:sz="4" w:space="0" w:color="000000"/>
            </w:tcBorders>
            <w:shd w:val="clear" w:color="auto" w:fill="D3D3D3"/>
          </w:tcPr>
          <w:p>
            <w:pPr/>
          </w:p>
        </w:tc>
        <w:tc>
          <w:tcPr>
            <w:tcW w:w="8367" w:type="dxa"/>
            <w:gridSpan w:val="1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9"/>
                <w:sz w:val="18"/>
                <w:szCs w:val="18"/>
              </w:rPr>
              <w:t> </w:t>
            </w:r>
            <w:r>
              <w:rPr>
                <w:rFonts w:ascii="宋体" w:hAnsi="宋体" w:cs="宋体" w:eastAsia="宋体" w:hint="default"/>
                <w:sz w:val="18"/>
                <w:szCs w:val="18"/>
              </w:rPr>
              <w:t>年年度</w:t>
            </w:r>
          </w:p>
        </w:tc>
      </w:tr>
      <w:tr>
        <w:trPr>
          <w:trHeight w:val="251" w:hRule="exact"/>
        </w:trPr>
        <w:tc>
          <w:tcPr>
            <w:tcW w:w="1189" w:type="dxa"/>
            <w:vMerge/>
            <w:tcBorders>
              <w:left w:val="single" w:sz="4" w:space="0" w:color="000000"/>
              <w:right w:val="single" w:sz="4" w:space="0" w:color="000000"/>
            </w:tcBorders>
            <w:shd w:val="clear" w:color="auto" w:fill="D3D3D3"/>
          </w:tcPr>
          <w:p>
            <w:pPr/>
          </w:p>
        </w:tc>
        <w:tc>
          <w:tcPr>
            <w:tcW w:w="7073" w:type="dxa"/>
            <w:gridSpan w:val="1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643" w:type="dxa"/>
            <w:vMerge w:val="restart"/>
            <w:tcBorders>
              <w:top w:val="single" w:sz="4" w:space="0" w:color="000000"/>
              <w:left w:val="single" w:sz="4" w:space="0" w:color="000000"/>
              <w:right w:val="single" w:sz="4" w:space="0" w:color="000000"/>
            </w:tcBorders>
            <w:shd w:val="clear" w:color="auto" w:fill="D3D3D3"/>
          </w:tcPr>
          <w:p>
            <w:pPr/>
          </w:p>
        </w:tc>
        <w:tc>
          <w:tcPr>
            <w:tcW w:w="65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50" w:hRule="exact"/>
        </w:trPr>
        <w:tc>
          <w:tcPr>
            <w:tcW w:w="1189" w:type="dxa"/>
            <w:vMerge/>
            <w:tcBorders>
              <w:left w:val="single" w:sz="4" w:space="0" w:color="000000"/>
              <w:bottom w:val="nil" w:sz="6" w:space="0" w:color="auto"/>
              <w:right w:val="single" w:sz="4" w:space="0" w:color="000000"/>
            </w:tcBorders>
            <w:shd w:val="clear" w:color="auto" w:fill="D3D3D3"/>
          </w:tcPr>
          <w:p>
            <w:pPr/>
          </w:p>
        </w:tc>
        <w:tc>
          <w:tcPr>
            <w:tcW w:w="7073" w:type="dxa"/>
            <w:gridSpan w:val="13"/>
            <w:vMerge/>
            <w:tcBorders>
              <w:left w:val="single" w:sz="4" w:space="0" w:color="000000"/>
              <w:bottom w:val="single" w:sz="4" w:space="0" w:color="000000"/>
              <w:right w:val="single" w:sz="4" w:space="0" w:color="000000"/>
            </w:tcBorders>
            <w:shd w:val="clear" w:color="auto" w:fill="D3D3D3"/>
          </w:tcPr>
          <w:p>
            <w:pPr/>
          </w:p>
        </w:tc>
        <w:tc>
          <w:tcPr>
            <w:tcW w:w="643" w:type="dxa"/>
            <w:vMerge/>
            <w:tcBorders>
              <w:left w:val="single" w:sz="4" w:space="0" w:color="000000"/>
              <w:bottom w:val="nil" w:sz="6" w:space="0" w:color="auto"/>
              <w:right w:val="single" w:sz="4" w:space="0" w:color="000000"/>
            </w:tcBorders>
            <w:shd w:val="clear" w:color="auto" w:fill="D3D3D3"/>
          </w:tcPr>
          <w:p>
            <w:pPr/>
          </w:p>
        </w:tc>
        <w:tc>
          <w:tcPr>
            <w:tcW w:w="650"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1"/>
              <w:ind w:left="50" w:right="48"/>
              <w:jc w:val="center"/>
              <w:rPr>
                <w:rFonts w:ascii="宋体" w:hAnsi="宋体" w:cs="宋体" w:eastAsia="宋体" w:hint="default"/>
                <w:sz w:val="18"/>
                <w:szCs w:val="18"/>
              </w:rPr>
            </w:pPr>
            <w:r>
              <w:rPr>
                <w:rFonts w:ascii="宋体" w:hAnsi="宋体" w:cs="宋体" w:eastAsia="宋体" w:hint="default"/>
                <w:sz w:val="18"/>
                <w:szCs w:val="18"/>
              </w:rPr>
              <w:t>所有者 权益合 计</w:t>
            </w:r>
          </w:p>
        </w:tc>
      </w:tr>
      <w:tr>
        <w:trPr>
          <w:trHeight w:val="206" w:hRule="exact"/>
        </w:trPr>
        <w:tc>
          <w:tcPr>
            <w:tcW w:w="118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501" w:type="dxa"/>
            <w:vMerge w:val="restart"/>
            <w:tcBorders>
              <w:top w:val="single" w:sz="4" w:space="0" w:color="000000"/>
              <w:left w:val="single" w:sz="4" w:space="0" w:color="000000"/>
              <w:right w:val="single" w:sz="4" w:space="0" w:color="000000"/>
            </w:tcBorders>
            <w:shd w:val="clear" w:color="auto" w:fill="D3D3D3"/>
          </w:tcPr>
          <w:p>
            <w:pPr/>
          </w:p>
        </w:tc>
        <w:tc>
          <w:tcPr>
            <w:tcW w:w="1390"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49"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576" w:type="dxa"/>
            <w:tcBorders>
              <w:top w:val="single" w:sz="4" w:space="0" w:color="000000"/>
              <w:left w:val="single" w:sz="4" w:space="0" w:color="000000"/>
              <w:bottom w:val="nil" w:sz="6" w:space="0" w:color="auto"/>
              <w:right w:val="single" w:sz="4" w:space="0" w:color="000000"/>
            </w:tcBorders>
            <w:shd w:val="clear" w:color="auto" w:fill="D3D3D3"/>
          </w:tcPr>
          <w:p>
            <w:pPr/>
          </w:p>
        </w:tc>
        <w:tc>
          <w:tcPr>
            <w:tcW w:w="577" w:type="dxa"/>
            <w:tcBorders>
              <w:top w:val="single" w:sz="4" w:space="0" w:color="000000"/>
              <w:left w:val="single" w:sz="4" w:space="0" w:color="000000"/>
              <w:bottom w:val="nil" w:sz="6" w:space="0" w:color="auto"/>
              <w:right w:val="single" w:sz="4" w:space="0" w:color="000000"/>
            </w:tcBorders>
            <w:shd w:val="clear" w:color="auto" w:fill="D3D3D3"/>
          </w:tcPr>
          <w:p>
            <w:pPr/>
          </w:p>
        </w:tc>
        <w:tc>
          <w:tcPr>
            <w:tcW w:w="57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03" w:right="102"/>
              <w:jc w:val="both"/>
              <w:rPr>
                <w:rFonts w:ascii="宋体" w:hAnsi="宋体" w:cs="宋体" w:eastAsia="宋体" w:hint="default"/>
                <w:sz w:val="18"/>
                <w:szCs w:val="18"/>
              </w:rPr>
            </w:pPr>
            <w:r>
              <w:rPr>
                <w:rFonts w:ascii="宋体" w:hAnsi="宋体" w:cs="宋体" w:eastAsia="宋体" w:hint="default"/>
                <w:sz w:val="18"/>
                <w:szCs w:val="18"/>
              </w:rPr>
              <w:t>其他 综合 收益</w:t>
            </w:r>
          </w:p>
        </w:tc>
        <w:tc>
          <w:tcPr>
            <w:tcW w:w="576" w:type="dxa"/>
            <w:tcBorders>
              <w:top w:val="single" w:sz="4" w:space="0" w:color="000000"/>
              <w:left w:val="single" w:sz="4" w:space="0" w:color="000000"/>
              <w:bottom w:val="nil" w:sz="6" w:space="0" w:color="auto"/>
              <w:right w:val="single" w:sz="4" w:space="0" w:color="000000"/>
            </w:tcBorders>
            <w:shd w:val="clear" w:color="auto" w:fill="D3D3D3"/>
          </w:tcPr>
          <w:p>
            <w:pPr/>
          </w:p>
        </w:tc>
        <w:tc>
          <w:tcPr>
            <w:tcW w:w="576" w:type="dxa"/>
            <w:tcBorders>
              <w:top w:val="single" w:sz="4" w:space="0" w:color="000000"/>
              <w:left w:val="single" w:sz="4" w:space="0" w:color="000000"/>
              <w:bottom w:val="nil" w:sz="6" w:space="0" w:color="auto"/>
              <w:right w:val="single" w:sz="4" w:space="0" w:color="000000"/>
            </w:tcBorders>
            <w:shd w:val="clear" w:color="auto" w:fill="D3D3D3"/>
          </w:tcPr>
          <w:p>
            <w:pPr/>
          </w:p>
        </w:tc>
        <w:tc>
          <w:tcPr>
            <w:tcW w:w="57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04" w:right="101"/>
              <w:jc w:val="both"/>
              <w:rPr>
                <w:rFonts w:ascii="宋体" w:hAnsi="宋体" w:cs="宋体" w:eastAsia="宋体" w:hint="default"/>
                <w:sz w:val="18"/>
                <w:szCs w:val="18"/>
              </w:rPr>
            </w:pPr>
            <w:r>
              <w:rPr>
                <w:rFonts w:ascii="宋体" w:hAnsi="宋体" w:cs="宋体" w:eastAsia="宋体" w:hint="default"/>
                <w:sz w:val="18"/>
                <w:szCs w:val="18"/>
              </w:rPr>
              <w:t>一般 风险 准备</w:t>
            </w:r>
          </w:p>
        </w:tc>
        <w:tc>
          <w:tcPr>
            <w:tcW w:w="58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09" w:right="108"/>
              <w:jc w:val="both"/>
              <w:rPr>
                <w:rFonts w:ascii="宋体" w:hAnsi="宋体" w:cs="宋体" w:eastAsia="宋体" w:hint="default"/>
                <w:sz w:val="18"/>
                <w:szCs w:val="18"/>
              </w:rPr>
            </w:pPr>
            <w:r>
              <w:rPr>
                <w:rFonts w:ascii="宋体" w:hAnsi="宋体" w:cs="宋体" w:eastAsia="宋体" w:hint="default"/>
                <w:sz w:val="18"/>
                <w:szCs w:val="18"/>
              </w:rPr>
              <w:t>未分 配利 润</w:t>
            </w:r>
          </w:p>
        </w:tc>
        <w:tc>
          <w:tcPr>
            <w:tcW w:w="568" w:type="dxa"/>
            <w:vMerge w:val="restart"/>
            <w:tcBorders>
              <w:top w:val="single" w:sz="4" w:space="0" w:color="000000"/>
              <w:left w:val="single" w:sz="4" w:space="0" w:color="000000"/>
              <w:right w:val="single" w:sz="4" w:space="0" w:color="000000"/>
            </w:tcBorders>
            <w:shd w:val="clear" w:color="auto" w:fill="D3D3D3"/>
          </w:tcPr>
          <w:p>
            <w:pPr/>
          </w:p>
        </w:tc>
        <w:tc>
          <w:tcPr>
            <w:tcW w:w="566" w:type="dxa"/>
            <w:vMerge w:val="restart"/>
            <w:tcBorders>
              <w:top w:val="single" w:sz="4" w:space="0" w:color="000000"/>
              <w:left w:val="single" w:sz="4" w:space="0" w:color="000000"/>
              <w:right w:val="single" w:sz="4" w:space="0" w:color="000000"/>
            </w:tcBorders>
            <w:shd w:val="clear" w:color="auto" w:fill="D3D3D3"/>
          </w:tcPr>
          <w:p>
            <w:pPr/>
          </w:p>
        </w:tc>
        <w:tc>
          <w:tcPr>
            <w:tcW w:w="643"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7"/>
              <w:ind w:left="45" w:right="47"/>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50" w:type="dxa"/>
            <w:vMerge/>
            <w:tcBorders>
              <w:left w:val="single" w:sz="4" w:space="0" w:color="000000"/>
              <w:right w:val="single" w:sz="4" w:space="0" w:color="000000"/>
            </w:tcBorders>
            <w:shd w:val="clear" w:color="auto" w:fill="D3D3D3"/>
          </w:tcPr>
          <w:p>
            <w:pPr/>
          </w:p>
        </w:tc>
      </w:tr>
      <w:tr>
        <w:trPr>
          <w:trHeight w:val="165" w:hRule="exact"/>
        </w:trPr>
        <w:tc>
          <w:tcPr>
            <w:tcW w:w="1189" w:type="dxa"/>
            <w:vMerge/>
            <w:tcBorders>
              <w:left w:val="single" w:sz="4" w:space="0" w:color="000000"/>
              <w:bottom w:val="nil" w:sz="6" w:space="0" w:color="auto"/>
              <w:right w:val="single" w:sz="4" w:space="0" w:color="000000"/>
            </w:tcBorders>
            <w:shd w:val="clear" w:color="auto" w:fill="D3D3D3"/>
          </w:tcPr>
          <w:p>
            <w:pPr/>
          </w:p>
        </w:tc>
        <w:tc>
          <w:tcPr>
            <w:tcW w:w="501" w:type="dxa"/>
            <w:vMerge/>
            <w:tcBorders>
              <w:left w:val="single" w:sz="4" w:space="0" w:color="000000"/>
              <w:bottom w:val="nil" w:sz="6" w:space="0" w:color="auto"/>
              <w:right w:val="single" w:sz="4" w:space="0" w:color="000000"/>
            </w:tcBorders>
            <w:shd w:val="clear" w:color="auto" w:fill="D3D3D3"/>
          </w:tcPr>
          <w:p>
            <w:pPr/>
          </w:p>
        </w:tc>
        <w:tc>
          <w:tcPr>
            <w:tcW w:w="1390" w:type="dxa"/>
            <w:gridSpan w:val="3"/>
            <w:vMerge/>
            <w:tcBorders>
              <w:left w:val="single" w:sz="4" w:space="0" w:color="000000"/>
              <w:bottom w:val="single" w:sz="4" w:space="0" w:color="000000"/>
              <w:right w:val="single" w:sz="4" w:space="0" w:color="000000"/>
            </w:tcBorders>
            <w:shd w:val="clear" w:color="auto" w:fill="D3D3D3"/>
          </w:tcPr>
          <w:p>
            <w:pPr/>
          </w:p>
        </w:tc>
        <w:tc>
          <w:tcPr>
            <w:tcW w:w="57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2"/>
              <w:ind w:left="101" w:right="102"/>
              <w:jc w:val="left"/>
              <w:rPr>
                <w:rFonts w:ascii="宋体" w:hAnsi="宋体" w:cs="宋体" w:eastAsia="宋体" w:hint="default"/>
                <w:sz w:val="18"/>
                <w:szCs w:val="18"/>
              </w:rPr>
            </w:pPr>
            <w:r>
              <w:rPr>
                <w:rFonts w:ascii="宋体" w:hAnsi="宋体" w:cs="宋体" w:eastAsia="宋体" w:hint="default"/>
                <w:sz w:val="18"/>
                <w:szCs w:val="18"/>
              </w:rPr>
              <w:t>资本 公积</w:t>
            </w:r>
          </w:p>
        </w:tc>
        <w:tc>
          <w:tcPr>
            <w:tcW w:w="577"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2"/>
              <w:ind w:left="103" w:right="22" w:hanging="81"/>
              <w:jc w:val="left"/>
              <w:rPr>
                <w:rFonts w:ascii="宋体" w:hAnsi="宋体" w:cs="宋体" w:eastAsia="宋体" w:hint="default"/>
                <w:sz w:val="18"/>
                <w:szCs w:val="18"/>
              </w:rPr>
            </w:pPr>
            <w:r>
              <w:rPr>
                <w:rFonts w:ascii="宋体" w:hAnsi="宋体" w:cs="宋体" w:eastAsia="宋体" w:hint="default"/>
                <w:spacing w:val="-7"/>
                <w:sz w:val="18"/>
                <w:szCs w:val="18"/>
              </w:rPr>
              <w:t>减：库</w:t>
            </w:r>
            <w:r>
              <w:rPr>
                <w:rFonts w:ascii="宋体" w:hAnsi="宋体" w:cs="宋体" w:eastAsia="宋体" w:hint="default"/>
                <w:sz w:val="18"/>
                <w:szCs w:val="18"/>
              </w:rPr>
              <w:t> 存股</w:t>
            </w:r>
          </w:p>
        </w:tc>
        <w:tc>
          <w:tcPr>
            <w:tcW w:w="577" w:type="dxa"/>
            <w:vMerge/>
            <w:tcBorders>
              <w:left w:val="single" w:sz="4" w:space="0" w:color="000000"/>
              <w:right w:val="single" w:sz="4" w:space="0" w:color="000000"/>
            </w:tcBorders>
            <w:shd w:val="clear" w:color="auto" w:fill="D3D3D3"/>
          </w:tcPr>
          <w:p>
            <w:pPr/>
          </w:p>
        </w:tc>
        <w:tc>
          <w:tcPr>
            <w:tcW w:w="57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576"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2"/>
              <w:ind w:left="103" w:right="101"/>
              <w:jc w:val="left"/>
              <w:rPr>
                <w:rFonts w:ascii="宋体" w:hAnsi="宋体" w:cs="宋体" w:eastAsia="宋体" w:hint="default"/>
                <w:sz w:val="18"/>
                <w:szCs w:val="18"/>
              </w:rPr>
            </w:pPr>
            <w:r>
              <w:rPr>
                <w:rFonts w:ascii="宋体" w:hAnsi="宋体" w:cs="宋体" w:eastAsia="宋体" w:hint="default"/>
                <w:sz w:val="18"/>
                <w:szCs w:val="18"/>
              </w:rPr>
              <w:t>盈余 公积</w:t>
            </w:r>
          </w:p>
        </w:tc>
        <w:tc>
          <w:tcPr>
            <w:tcW w:w="577" w:type="dxa"/>
            <w:vMerge/>
            <w:tcBorders>
              <w:left w:val="single" w:sz="4" w:space="0" w:color="000000"/>
              <w:right w:val="single" w:sz="4" w:space="0" w:color="000000"/>
            </w:tcBorders>
            <w:shd w:val="clear" w:color="auto" w:fill="D3D3D3"/>
          </w:tcPr>
          <w:p>
            <w:pPr/>
          </w:p>
        </w:tc>
        <w:tc>
          <w:tcPr>
            <w:tcW w:w="589" w:type="dxa"/>
            <w:vMerge/>
            <w:tcBorders>
              <w:left w:val="single" w:sz="4" w:space="0" w:color="000000"/>
              <w:right w:val="single" w:sz="4" w:space="0" w:color="000000"/>
            </w:tcBorders>
            <w:shd w:val="clear" w:color="auto" w:fill="D3D3D3"/>
          </w:tcPr>
          <w:p>
            <w:pPr/>
          </w:p>
        </w:tc>
        <w:tc>
          <w:tcPr>
            <w:tcW w:w="568" w:type="dxa"/>
            <w:vMerge/>
            <w:tcBorders>
              <w:left w:val="single" w:sz="4" w:space="0" w:color="000000"/>
              <w:bottom w:val="nil" w:sz="6" w:space="0" w:color="auto"/>
              <w:right w:val="single" w:sz="4" w:space="0" w:color="000000"/>
            </w:tcBorders>
            <w:shd w:val="clear" w:color="auto" w:fill="D3D3D3"/>
          </w:tcPr>
          <w:p>
            <w:pPr/>
          </w:p>
        </w:tc>
        <w:tc>
          <w:tcPr>
            <w:tcW w:w="566" w:type="dxa"/>
            <w:vMerge/>
            <w:tcBorders>
              <w:left w:val="single" w:sz="4" w:space="0" w:color="000000"/>
              <w:bottom w:val="nil" w:sz="6" w:space="0" w:color="auto"/>
              <w:right w:val="single" w:sz="4" w:space="0" w:color="000000"/>
            </w:tcBorders>
            <w:shd w:val="clear" w:color="auto" w:fill="D3D3D3"/>
          </w:tcPr>
          <w:p>
            <w:pPr/>
          </w:p>
        </w:tc>
        <w:tc>
          <w:tcPr>
            <w:tcW w:w="643" w:type="dxa"/>
            <w:vMerge/>
            <w:tcBorders>
              <w:left w:val="single" w:sz="4" w:space="0" w:color="000000"/>
              <w:right w:val="single" w:sz="4" w:space="0" w:color="000000"/>
            </w:tcBorders>
            <w:shd w:val="clear" w:color="auto" w:fill="D3D3D3"/>
          </w:tcPr>
          <w:p>
            <w:pPr/>
          </w:p>
        </w:tc>
        <w:tc>
          <w:tcPr>
            <w:tcW w:w="650" w:type="dxa"/>
            <w:vMerge/>
            <w:tcBorders>
              <w:left w:val="single" w:sz="4" w:space="0" w:color="000000"/>
              <w:right w:val="single" w:sz="4" w:space="0" w:color="000000"/>
            </w:tcBorders>
            <w:shd w:val="clear" w:color="auto" w:fill="D3D3D3"/>
          </w:tcPr>
          <w:p>
            <w:pPr/>
          </w:p>
        </w:tc>
      </w:tr>
      <w:tr>
        <w:trPr>
          <w:trHeight w:val="193" w:hRule="exact"/>
        </w:trPr>
        <w:tc>
          <w:tcPr>
            <w:tcW w:w="1189" w:type="dxa"/>
            <w:vMerge w:val="restart"/>
            <w:tcBorders>
              <w:top w:val="nil" w:sz="6" w:space="0" w:color="auto"/>
              <w:left w:val="single" w:sz="4" w:space="0" w:color="000000"/>
              <w:right w:val="single" w:sz="4" w:space="0" w:color="000000"/>
            </w:tcBorders>
            <w:shd w:val="clear" w:color="auto" w:fill="D3D3D3"/>
          </w:tcPr>
          <w:p>
            <w:pPr/>
          </w:p>
        </w:tc>
        <w:tc>
          <w:tcPr>
            <w:tcW w:w="50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2"/>
              <w:ind w:left="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45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83"/>
              <w:ind w:left="129" w:right="38"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449"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83"/>
              <w:ind w:left="128" w:right="3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491" w:type="dxa"/>
            <w:tcBorders>
              <w:top w:val="single" w:sz="4" w:space="0" w:color="000000"/>
              <w:left w:val="single" w:sz="4" w:space="0" w:color="000000"/>
              <w:bottom w:val="nil" w:sz="6" w:space="0" w:color="auto"/>
              <w:right w:val="single" w:sz="4" w:space="0" w:color="000000"/>
            </w:tcBorders>
            <w:shd w:val="clear" w:color="auto" w:fill="D3D3D3"/>
          </w:tcPr>
          <w:p>
            <w:pPr/>
          </w:p>
        </w:tc>
        <w:tc>
          <w:tcPr>
            <w:tcW w:w="576" w:type="dxa"/>
            <w:vMerge/>
            <w:tcBorders>
              <w:left w:val="single" w:sz="4" w:space="0" w:color="000000"/>
              <w:right w:val="single" w:sz="4" w:space="0" w:color="000000"/>
            </w:tcBorders>
            <w:shd w:val="clear" w:color="auto" w:fill="D3D3D3"/>
          </w:tcPr>
          <w:p>
            <w:pPr/>
          </w:p>
        </w:tc>
        <w:tc>
          <w:tcPr>
            <w:tcW w:w="577" w:type="dxa"/>
            <w:vMerge/>
            <w:tcBorders>
              <w:left w:val="single" w:sz="4" w:space="0" w:color="000000"/>
              <w:right w:val="single" w:sz="4" w:space="0" w:color="000000"/>
            </w:tcBorders>
            <w:shd w:val="clear" w:color="auto" w:fill="D3D3D3"/>
          </w:tcPr>
          <w:p>
            <w:pPr/>
          </w:p>
        </w:tc>
        <w:tc>
          <w:tcPr>
            <w:tcW w:w="577" w:type="dxa"/>
            <w:vMerge/>
            <w:tcBorders>
              <w:left w:val="single" w:sz="4" w:space="0" w:color="000000"/>
              <w:right w:val="single" w:sz="4" w:space="0" w:color="000000"/>
            </w:tcBorders>
            <w:shd w:val="clear" w:color="auto" w:fill="D3D3D3"/>
          </w:tcPr>
          <w:p>
            <w:pPr/>
          </w:p>
        </w:tc>
        <w:tc>
          <w:tcPr>
            <w:tcW w:w="576" w:type="dxa"/>
            <w:vMerge/>
            <w:tcBorders>
              <w:left w:val="single" w:sz="4" w:space="0" w:color="000000"/>
              <w:right w:val="single" w:sz="4" w:space="0" w:color="000000"/>
            </w:tcBorders>
            <w:shd w:val="clear" w:color="auto" w:fill="D3D3D3"/>
          </w:tcPr>
          <w:p>
            <w:pPr/>
          </w:p>
        </w:tc>
        <w:tc>
          <w:tcPr>
            <w:tcW w:w="576" w:type="dxa"/>
            <w:vMerge/>
            <w:tcBorders>
              <w:left w:val="single" w:sz="4" w:space="0" w:color="000000"/>
              <w:right w:val="single" w:sz="4" w:space="0" w:color="000000"/>
            </w:tcBorders>
            <w:shd w:val="clear" w:color="auto" w:fill="D3D3D3"/>
          </w:tcPr>
          <w:p>
            <w:pPr/>
          </w:p>
        </w:tc>
        <w:tc>
          <w:tcPr>
            <w:tcW w:w="577" w:type="dxa"/>
            <w:vMerge/>
            <w:tcBorders>
              <w:left w:val="single" w:sz="4" w:space="0" w:color="000000"/>
              <w:right w:val="single" w:sz="4" w:space="0" w:color="000000"/>
            </w:tcBorders>
            <w:shd w:val="clear" w:color="auto" w:fill="D3D3D3"/>
          </w:tcPr>
          <w:p>
            <w:pPr/>
          </w:p>
        </w:tc>
        <w:tc>
          <w:tcPr>
            <w:tcW w:w="589" w:type="dxa"/>
            <w:vMerge/>
            <w:tcBorders>
              <w:left w:val="single" w:sz="4" w:space="0" w:color="000000"/>
              <w:right w:val="single" w:sz="4" w:space="0" w:color="000000"/>
            </w:tcBorders>
            <w:shd w:val="clear" w:color="auto" w:fill="D3D3D3"/>
          </w:tcPr>
          <w:p>
            <w:pPr/>
          </w:p>
        </w:tc>
        <w:tc>
          <w:tcPr>
            <w:tcW w:w="56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2"/>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6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2"/>
              <w:ind w:left="98"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643" w:type="dxa"/>
            <w:vMerge/>
            <w:tcBorders>
              <w:left w:val="single" w:sz="4" w:space="0" w:color="000000"/>
              <w:right w:val="single" w:sz="4" w:space="0" w:color="000000"/>
            </w:tcBorders>
            <w:shd w:val="clear" w:color="auto" w:fill="D3D3D3"/>
          </w:tcPr>
          <w:p>
            <w:pPr/>
          </w:p>
        </w:tc>
        <w:tc>
          <w:tcPr>
            <w:tcW w:w="650" w:type="dxa"/>
            <w:vMerge/>
            <w:tcBorders>
              <w:left w:val="single" w:sz="4" w:space="0" w:color="000000"/>
              <w:right w:val="single" w:sz="4" w:space="0" w:color="000000"/>
            </w:tcBorders>
            <w:shd w:val="clear" w:color="auto" w:fill="D3D3D3"/>
          </w:tcPr>
          <w:p>
            <w:pPr/>
          </w:p>
        </w:tc>
      </w:tr>
      <w:tr>
        <w:trPr>
          <w:trHeight w:val="192" w:hRule="exact"/>
        </w:trPr>
        <w:tc>
          <w:tcPr>
            <w:tcW w:w="1189" w:type="dxa"/>
            <w:vMerge/>
            <w:tcBorders>
              <w:left w:val="single" w:sz="4" w:space="0" w:color="000000"/>
              <w:right w:val="single" w:sz="4" w:space="0" w:color="000000"/>
            </w:tcBorders>
            <w:shd w:val="clear" w:color="auto" w:fill="D3D3D3"/>
          </w:tcPr>
          <w:p>
            <w:pPr/>
          </w:p>
        </w:tc>
        <w:tc>
          <w:tcPr>
            <w:tcW w:w="501" w:type="dxa"/>
            <w:vMerge/>
            <w:tcBorders>
              <w:left w:val="single" w:sz="4" w:space="0" w:color="000000"/>
              <w:bottom w:val="nil" w:sz="6" w:space="0" w:color="auto"/>
              <w:right w:val="single" w:sz="4" w:space="0" w:color="000000"/>
            </w:tcBorders>
            <w:shd w:val="clear" w:color="auto" w:fill="D3D3D3"/>
          </w:tcPr>
          <w:p>
            <w:pPr/>
          </w:p>
        </w:tc>
        <w:tc>
          <w:tcPr>
            <w:tcW w:w="450" w:type="dxa"/>
            <w:vMerge/>
            <w:tcBorders>
              <w:left w:val="single" w:sz="4" w:space="0" w:color="000000"/>
              <w:right w:val="single" w:sz="4" w:space="0" w:color="000000"/>
            </w:tcBorders>
            <w:shd w:val="clear" w:color="auto" w:fill="D3D3D3"/>
          </w:tcPr>
          <w:p>
            <w:pPr/>
          </w:p>
        </w:tc>
        <w:tc>
          <w:tcPr>
            <w:tcW w:w="449" w:type="dxa"/>
            <w:vMerge/>
            <w:tcBorders>
              <w:left w:val="single" w:sz="4" w:space="0" w:color="000000"/>
              <w:right w:val="single" w:sz="4" w:space="0" w:color="000000"/>
            </w:tcBorders>
            <w:shd w:val="clear" w:color="auto" w:fill="D3D3D3"/>
          </w:tcPr>
          <w:p>
            <w:pPr/>
          </w:p>
        </w:tc>
        <w:tc>
          <w:tcPr>
            <w:tcW w:w="49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5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6" w:type="dxa"/>
            <w:vMerge/>
            <w:tcBorders>
              <w:left w:val="single" w:sz="4" w:space="0" w:color="000000"/>
              <w:right w:val="single" w:sz="4" w:space="0" w:color="000000"/>
            </w:tcBorders>
            <w:shd w:val="clear" w:color="auto" w:fill="D3D3D3"/>
          </w:tcPr>
          <w:p>
            <w:pPr/>
          </w:p>
        </w:tc>
        <w:tc>
          <w:tcPr>
            <w:tcW w:w="577" w:type="dxa"/>
            <w:vMerge/>
            <w:tcBorders>
              <w:left w:val="single" w:sz="4" w:space="0" w:color="000000"/>
              <w:right w:val="single" w:sz="4" w:space="0" w:color="000000"/>
            </w:tcBorders>
            <w:shd w:val="clear" w:color="auto" w:fill="D3D3D3"/>
          </w:tcPr>
          <w:p>
            <w:pPr/>
          </w:p>
        </w:tc>
        <w:tc>
          <w:tcPr>
            <w:tcW w:w="577" w:type="dxa"/>
            <w:vMerge/>
            <w:tcBorders>
              <w:left w:val="single" w:sz="4" w:space="0" w:color="000000"/>
              <w:right w:val="single" w:sz="4" w:space="0" w:color="000000"/>
            </w:tcBorders>
            <w:shd w:val="clear" w:color="auto" w:fill="D3D3D3"/>
          </w:tcPr>
          <w:p>
            <w:pPr/>
          </w:p>
        </w:tc>
        <w:tc>
          <w:tcPr>
            <w:tcW w:w="576" w:type="dxa"/>
            <w:vMerge/>
            <w:tcBorders>
              <w:left w:val="single" w:sz="4" w:space="0" w:color="000000"/>
              <w:right w:val="single" w:sz="4" w:space="0" w:color="000000"/>
            </w:tcBorders>
            <w:shd w:val="clear" w:color="auto" w:fill="D3D3D3"/>
          </w:tcPr>
          <w:p>
            <w:pPr/>
          </w:p>
        </w:tc>
        <w:tc>
          <w:tcPr>
            <w:tcW w:w="576" w:type="dxa"/>
            <w:vMerge/>
            <w:tcBorders>
              <w:left w:val="single" w:sz="4" w:space="0" w:color="000000"/>
              <w:right w:val="single" w:sz="4" w:space="0" w:color="000000"/>
            </w:tcBorders>
            <w:shd w:val="clear" w:color="auto" w:fill="D3D3D3"/>
          </w:tcPr>
          <w:p>
            <w:pPr/>
          </w:p>
        </w:tc>
        <w:tc>
          <w:tcPr>
            <w:tcW w:w="577" w:type="dxa"/>
            <w:vMerge/>
            <w:tcBorders>
              <w:left w:val="single" w:sz="4" w:space="0" w:color="000000"/>
              <w:right w:val="single" w:sz="4" w:space="0" w:color="000000"/>
            </w:tcBorders>
            <w:shd w:val="clear" w:color="auto" w:fill="D3D3D3"/>
          </w:tcPr>
          <w:p>
            <w:pPr/>
          </w:p>
        </w:tc>
        <w:tc>
          <w:tcPr>
            <w:tcW w:w="589" w:type="dxa"/>
            <w:vMerge/>
            <w:tcBorders>
              <w:left w:val="single" w:sz="4" w:space="0" w:color="000000"/>
              <w:right w:val="single" w:sz="4" w:space="0" w:color="000000"/>
            </w:tcBorders>
            <w:shd w:val="clear" w:color="auto" w:fill="D3D3D3"/>
          </w:tcPr>
          <w:p>
            <w:pPr/>
          </w:p>
        </w:tc>
        <w:tc>
          <w:tcPr>
            <w:tcW w:w="568" w:type="dxa"/>
            <w:vMerge/>
            <w:tcBorders>
              <w:left w:val="single" w:sz="4" w:space="0" w:color="000000"/>
              <w:bottom w:val="nil" w:sz="6" w:space="0" w:color="auto"/>
              <w:right w:val="single" w:sz="4" w:space="0" w:color="000000"/>
            </w:tcBorders>
            <w:shd w:val="clear" w:color="auto" w:fill="D3D3D3"/>
          </w:tcPr>
          <w:p>
            <w:pPr/>
          </w:p>
        </w:tc>
        <w:tc>
          <w:tcPr>
            <w:tcW w:w="566" w:type="dxa"/>
            <w:vMerge/>
            <w:tcBorders>
              <w:left w:val="single" w:sz="4" w:space="0" w:color="000000"/>
              <w:bottom w:val="nil" w:sz="6" w:space="0" w:color="auto"/>
              <w:right w:val="single" w:sz="4" w:space="0" w:color="000000"/>
            </w:tcBorders>
            <w:shd w:val="clear" w:color="auto" w:fill="D3D3D3"/>
          </w:tcPr>
          <w:p>
            <w:pPr/>
          </w:p>
        </w:tc>
        <w:tc>
          <w:tcPr>
            <w:tcW w:w="643" w:type="dxa"/>
            <w:vMerge/>
            <w:tcBorders>
              <w:left w:val="single" w:sz="4" w:space="0" w:color="000000"/>
              <w:bottom w:val="nil" w:sz="6" w:space="0" w:color="auto"/>
              <w:right w:val="single" w:sz="4" w:space="0" w:color="000000"/>
            </w:tcBorders>
            <w:shd w:val="clear" w:color="auto" w:fill="D3D3D3"/>
          </w:tcPr>
          <w:p>
            <w:pPr/>
          </w:p>
        </w:tc>
        <w:tc>
          <w:tcPr>
            <w:tcW w:w="650" w:type="dxa"/>
            <w:vMerge/>
            <w:tcBorders>
              <w:left w:val="single" w:sz="4" w:space="0" w:color="000000"/>
              <w:right w:val="single" w:sz="4" w:space="0" w:color="000000"/>
            </w:tcBorders>
            <w:shd w:val="clear" w:color="auto" w:fill="D3D3D3"/>
          </w:tcPr>
          <w:p>
            <w:pPr/>
          </w:p>
        </w:tc>
      </w:tr>
      <w:tr>
        <w:trPr>
          <w:trHeight w:val="133" w:hRule="exact"/>
        </w:trPr>
        <w:tc>
          <w:tcPr>
            <w:tcW w:w="1189" w:type="dxa"/>
            <w:vMerge/>
            <w:tcBorders>
              <w:left w:val="single" w:sz="4" w:space="0" w:color="000000"/>
              <w:right w:val="single" w:sz="4" w:space="0" w:color="000000"/>
            </w:tcBorders>
            <w:shd w:val="clear" w:color="auto" w:fill="D3D3D3"/>
          </w:tcPr>
          <w:p>
            <w:pPr/>
          </w:p>
        </w:tc>
        <w:tc>
          <w:tcPr>
            <w:tcW w:w="501" w:type="dxa"/>
            <w:vMerge w:val="restart"/>
            <w:tcBorders>
              <w:top w:val="nil" w:sz="6" w:space="0" w:color="auto"/>
              <w:left w:val="single" w:sz="4" w:space="0" w:color="000000"/>
              <w:right w:val="single" w:sz="4" w:space="0" w:color="000000"/>
            </w:tcBorders>
            <w:shd w:val="clear" w:color="auto" w:fill="D3D3D3"/>
          </w:tcPr>
          <w:p>
            <w:pPr/>
          </w:p>
        </w:tc>
        <w:tc>
          <w:tcPr>
            <w:tcW w:w="450" w:type="dxa"/>
            <w:vMerge/>
            <w:tcBorders>
              <w:left w:val="single" w:sz="4" w:space="0" w:color="000000"/>
              <w:right w:val="single" w:sz="4" w:space="0" w:color="000000"/>
            </w:tcBorders>
            <w:shd w:val="clear" w:color="auto" w:fill="D3D3D3"/>
          </w:tcPr>
          <w:p>
            <w:pPr/>
          </w:p>
        </w:tc>
        <w:tc>
          <w:tcPr>
            <w:tcW w:w="449" w:type="dxa"/>
            <w:vMerge/>
            <w:tcBorders>
              <w:left w:val="single" w:sz="4" w:space="0" w:color="000000"/>
              <w:right w:val="single" w:sz="4" w:space="0" w:color="000000"/>
            </w:tcBorders>
            <w:shd w:val="clear" w:color="auto" w:fill="D3D3D3"/>
          </w:tcPr>
          <w:p>
            <w:pPr/>
          </w:p>
        </w:tc>
        <w:tc>
          <w:tcPr>
            <w:tcW w:w="491" w:type="dxa"/>
            <w:vMerge/>
            <w:tcBorders>
              <w:left w:val="single" w:sz="4" w:space="0" w:color="000000"/>
              <w:bottom w:val="nil" w:sz="6" w:space="0" w:color="auto"/>
              <w:right w:val="single" w:sz="4" w:space="0" w:color="000000"/>
            </w:tcBorders>
            <w:shd w:val="clear" w:color="auto" w:fill="D3D3D3"/>
          </w:tcPr>
          <w:p>
            <w:pPr/>
          </w:p>
        </w:tc>
        <w:tc>
          <w:tcPr>
            <w:tcW w:w="576" w:type="dxa"/>
            <w:vMerge/>
            <w:tcBorders>
              <w:left w:val="single" w:sz="4" w:space="0" w:color="000000"/>
              <w:bottom w:val="nil" w:sz="6" w:space="0" w:color="auto"/>
              <w:right w:val="single" w:sz="4" w:space="0" w:color="000000"/>
            </w:tcBorders>
            <w:shd w:val="clear" w:color="auto" w:fill="D3D3D3"/>
          </w:tcPr>
          <w:p>
            <w:pPr/>
          </w:p>
        </w:tc>
        <w:tc>
          <w:tcPr>
            <w:tcW w:w="577" w:type="dxa"/>
            <w:vMerge/>
            <w:tcBorders>
              <w:left w:val="single" w:sz="4" w:space="0" w:color="000000"/>
              <w:bottom w:val="nil" w:sz="6" w:space="0" w:color="auto"/>
              <w:right w:val="single" w:sz="4" w:space="0" w:color="000000"/>
            </w:tcBorders>
            <w:shd w:val="clear" w:color="auto" w:fill="D3D3D3"/>
          </w:tcPr>
          <w:p>
            <w:pPr/>
          </w:p>
        </w:tc>
        <w:tc>
          <w:tcPr>
            <w:tcW w:w="577" w:type="dxa"/>
            <w:vMerge/>
            <w:tcBorders>
              <w:left w:val="single" w:sz="4" w:space="0" w:color="000000"/>
              <w:right w:val="single" w:sz="4" w:space="0" w:color="000000"/>
            </w:tcBorders>
            <w:shd w:val="clear" w:color="auto" w:fill="D3D3D3"/>
          </w:tcPr>
          <w:p>
            <w:pPr/>
          </w:p>
        </w:tc>
        <w:tc>
          <w:tcPr>
            <w:tcW w:w="576" w:type="dxa"/>
            <w:vMerge/>
            <w:tcBorders>
              <w:left w:val="single" w:sz="4" w:space="0" w:color="000000"/>
              <w:bottom w:val="nil" w:sz="6" w:space="0" w:color="auto"/>
              <w:right w:val="single" w:sz="4" w:space="0" w:color="000000"/>
            </w:tcBorders>
            <w:shd w:val="clear" w:color="auto" w:fill="D3D3D3"/>
          </w:tcPr>
          <w:p>
            <w:pPr/>
          </w:p>
        </w:tc>
        <w:tc>
          <w:tcPr>
            <w:tcW w:w="576" w:type="dxa"/>
            <w:vMerge/>
            <w:tcBorders>
              <w:left w:val="single" w:sz="4" w:space="0" w:color="000000"/>
              <w:bottom w:val="nil" w:sz="6" w:space="0" w:color="auto"/>
              <w:right w:val="single" w:sz="4" w:space="0" w:color="000000"/>
            </w:tcBorders>
            <w:shd w:val="clear" w:color="auto" w:fill="D3D3D3"/>
          </w:tcPr>
          <w:p>
            <w:pPr/>
          </w:p>
        </w:tc>
        <w:tc>
          <w:tcPr>
            <w:tcW w:w="577" w:type="dxa"/>
            <w:vMerge/>
            <w:tcBorders>
              <w:left w:val="single" w:sz="4" w:space="0" w:color="000000"/>
              <w:right w:val="single" w:sz="4" w:space="0" w:color="000000"/>
            </w:tcBorders>
            <w:shd w:val="clear" w:color="auto" w:fill="D3D3D3"/>
          </w:tcPr>
          <w:p>
            <w:pPr/>
          </w:p>
        </w:tc>
        <w:tc>
          <w:tcPr>
            <w:tcW w:w="589" w:type="dxa"/>
            <w:vMerge/>
            <w:tcBorders>
              <w:left w:val="single" w:sz="4" w:space="0" w:color="000000"/>
              <w:right w:val="single" w:sz="4" w:space="0" w:color="000000"/>
            </w:tcBorders>
            <w:shd w:val="clear" w:color="auto" w:fill="D3D3D3"/>
          </w:tcPr>
          <w:p>
            <w:pPr/>
          </w:p>
        </w:tc>
        <w:tc>
          <w:tcPr>
            <w:tcW w:w="568" w:type="dxa"/>
            <w:vMerge w:val="restart"/>
            <w:tcBorders>
              <w:top w:val="nil" w:sz="6" w:space="0" w:color="auto"/>
              <w:left w:val="single" w:sz="4" w:space="0" w:color="000000"/>
              <w:right w:val="single" w:sz="4" w:space="0" w:color="000000"/>
            </w:tcBorders>
            <w:shd w:val="clear" w:color="auto" w:fill="D3D3D3"/>
          </w:tcPr>
          <w:p>
            <w:pPr/>
          </w:p>
        </w:tc>
        <w:tc>
          <w:tcPr>
            <w:tcW w:w="566" w:type="dxa"/>
            <w:vMerge w:val="restart"/>
            <w:tcBorders>
              <w:top w:val="nil" w:sz="6" w:space="0" w:color="auto"/>
              <w:left w:val="single" w:sz="4" w:space="0" w:color="000000"/>
              <w:right w:val="single" w:sz="4" w:space="0" w:color="000000"/>
            </w:tcBorders>
            <w:shd w:val="clear" w:color="auto" w:fill="D3D3D3"/>
          </w:tcPr>
          <w:p>
            <w:pPr/>
          </w:p>
        </w:tc>
        <w:tc>
          <w:tcPr>
            <w:tcW w:w="643" w:type="dxa"/>
            <w:vMerge w:val="restart"/>
            <w:tcBorders>
              <w:top w:val="nil" w:sz="6" w:space="0" w:color="auto"/>
              <w:left w:val="single" w:sz="4" w:space="0" w:color="000000"/>
              <w:right w:val="single" w:sz="4" w:space="0" w:color="000000"/>
            </w:tcBorders>
            <w:shd w:val="clear" w:color="auto" w:fill="D3D3D3"/>
          </w:tcPr>
          <w:p>
            <w:pPr/>
          </w:p>
        </w:tc>
        <w:tc>
          <w:tcPr>
            <w:tcW w:w="650" w:type="dxa"/>
            <w:vMerge/>
            <w:tcBorders>
              <w:left w:val="single" w:sz="4" w:space="0" w:color="000000"/>
              <w:bottom w:val="nil" w:sz="6" w:space="0" w:color="auto"/>
              <w:right w:val="single" w:sz="4" w:space="0" w:color="000000"/>
            </w:tcBorders>
            <w:shd w:val="clear" w:color="auto" w:fill="D3D3D3"/>
          </w:tcPr>
          <w:p>
            <w:pPr/>
          </w:p>
        </w:tc>
      </w:tr>
      <w:tr>
        <w:trPr>
          <w:trHeight w:val="216" w:hRule="exact"/>
        </w:trPr>
        <w:tc>
          <w:tcPr>
            <w:tcW w:w="1189" w:type="dxa"/>
            <w:vMerge/>
            <w:tcBorders>
              <w:left w:val="single" w:sz="4" w:space="0" w:color="000000"/>
              <w:bottom w:val="single" w:sz="4" w:space="0" w:color="000000"/>
              <w:right w:val="single" w:sz="4" w:space="0" w:color="000000"/>
            </w:tcBorders>
            <w:shd w:val="clear" w:color="auto" w:fill="D3D3D3"/>
          </w:tcPr>
          <w:p>
            <w:pPr/>
          </w:p>
        </w:tc>
        <w:tc>
          <w:tcPr>
            <w:tcW w:w="501" w:type="dxa"/>
            <w:vMerge/>
            <w:tcBorders>
              <w:left w:val="single" w:sz="4" w:space="0" w:color="000000"/>
              <w:bottom w:val="single" w:sz="4" w:space="0" w:color="000000"/>
              <w:right w:val="single" w:sz="4" w:space="0" w:color="000000"/>
            </w:tcBorders>
            <w:shd w:val="clear" w:color="auto" w:fill="D3D3D3"/>
          </w:tcPr>
          <w:p>
            <w:pPr/>
          </w:p>
        </w:tc>
        <w:tc>
          <w:tcPr>
            <w:tcW w:w="450" w:type="dxa"/>
            <w:vMerge/>
            <w:tcBorders>
              <w:left w:val="single" w:sz="4" w:space="0" w:color="000000"/>
              <w:bottom w:val="single" w:sz="4" w:space="0" w:color="000000"/>
              <w:right w:val="single" w:sz="4" w:space="0" w:color="000000"/>
            </w:tcBorders>
            <w:shd w:val="clear" w:color="auto" w:fill="D3D3D3"/>
          </w:tcPr>
          <w:p>
            <w:pPr/>
          </w:p>
        </w:tc>
        <w:tc>
          <w:tcPr>
            <w:tcW w:w="449" w:type="dxa"/>
            <w:vMerge/>
            <w:tcBorders>
              <w:left w:val="single" w:sz="4" w:space="0" w:color="000000"/>
              <w:bottom w:val="single" w:sz="4" w:space="0" w:color="000000"/>
              <w:right w:val="single" w:sz="4" w:space="0" w:color="000000"/>
            </w:tcBorders>
            <w:shd w:val="clear" w:color="auto" w:fill="D3D3D3"/>
          </w:tcPr>
          <w:p>
            <w:pPr/>
          </w:p>
        </w:tc>
        <w:tc>
          <w:tcPr>
            <w:tcW w:w="491" w:type="dxa"/>
            <w:tcBorders>
              <w:top w:val="nil" w:sz="6" w:space="0" w:color="auto"/>
              <w:left w:val="single" w:sz="4" w:space="0" w:color="000000"/>
              <w:bottom w:val="single" w:sz="4" w:space="0" w:color="000000"/>
              <w:right w:val="single" w:sz="4" w:space="0" w:color="000000"/>
            </w:tcBorders>
            <w:shd w:val="clear" w:color="auto" w:fill="D3D3D3"/>
          </w:tcPr>
          <w:p>
            <w:pPr/>
          </w:p>
        </w:tc>
        <w:tc>
          <w:tcPr>
            <w:tcW w:w="576" w:type="dxa"/>
            <w:tcBorders>
              <w:top w:val="nil" w:sz="6" w:space="0" w:color="auto"/>
              <w:left w:val="single" w:sz="4" w:space="0" w:color="000000"/>
              <w:bottom w:val="single" w:sz="4" w:space="0" w:color="000000"/>
              <w:right w:val="single" w:sz="4" w:space="0" w:color="000000"/>
            </w:tcBorders>
            <w:shd w:val="clear" w:color="auto" w:fill="D3D3D3"/>
          </w:tcPr>
          <w:p>
            <w:pPr/>
          </w:p>
        </w:tc>
        <w:tc>
          <w:tcPr>
            <w:tcW w:w="577" w:type="dxa"/>
            <w:tcBorders>
              <w:top w:val="nil" w:sz="6" w:space="0" w:color="auto"/>
              <w:left w:val="single" w:sz="4" w:space="0" w:color="000000"/>
              <w:bottom w:val="single" w:sz="4" w:space="0" w:color="000000"/>
              <w:right w:val="single" w:sz="4" w:space="0" w:color="000000"/>
            </w:tcBorders>
            <w:shd w:val="clear" w:color="auto" w:fill="D3D3D3"/>
          </w:tcPr>
          <w:p>
            <w:pPr/>
          </w:p>
        </w:tc>
        <w:tc>
          <w:tcPr>
            <w:tcW w:w="577" w:type="dxa"/>
            <w:vMerge/>
            <w:tcBorders>
              <w:left w:val="single" w:sz="4" w:space="0" w:color="000000"/>
              <w:bottom w:val="single" w:sz="4" w:space="0" w:color="000000"/>
              <w:right w:val="single" w:sz="4" w:space="0" w:color="000000"/>
            </w:tcBorders>
            <w:shd w:val="clear" w:color="auto" w:fill="D3D3D3"/>
          </w:tcPr>
          <w:p>
            <w:pPr/>
          </w:p>
        </w:tc>
        <w:tc>
          <w:tcPr>
            <w:tcW w:w="576" w:type="dxa"/>
            <w:tcBorders>
              <w:top w:val="nil" w:sz="6" w:space="0" w:color="auto"/>
              <w:left w:val="single" w:sz="4" w:space="0" w:color="000000"/>
              <w:bottom w:val="single" w:sz="4" w:space="0" w:color="000000"/>
              <w:right w:val="single" w:sz="4" w:space="0" w:color="000000"/>
            </w:tcBorders>
            <w:shd w:val="clear" w:color="auto" w:fill="D3D3D3"/>
          </w:tcPr>
          <w:p>
            <w:pPr/>
          </w:p>
        </w:tc>
        <w:tc>
          <w:tcPr>
            <w:tcW w:w="576" w:type="dxa"/>
            <w:tcBorders>
              <w:top w:val="nil" w:sz="6" w:space="0" w:color="auto"/>
              <w:left w:val="single" w:sz="4" w:space="0" w:color="000000"/>
              <w:bottom w:val="single" w:sz="4" w:space="0" w:color="000000"/>
              <w:right w:val="single" w:sz="4" w:space="0" w:color="000000"/>
            </w:tcBorders>
            <w:shd w:val="clear" w:color="auto" w:fill="D3D3D3"/>
          </w:tcPr>
          <w:p>
            <w:pPr/>
          </w:p>
        </w:tc>
        <w:tc>
          <w:tcPr>
            <w:tcW w:w="577" w:type="dxa"/>
            <w:vMerge/>
            <w:tcBorders>
              <w:left w:val="single" w:sz="4" w:space="0" w:color="000000"/>
              <w:bottom w:val="single" w:sz="4" w:space="0" w:color="000000"/>
              <w:right w:val="single" w:sz="4" w:space="0" w:color="000000"/>
            </w:tcBorders>
            <w:shd w:val="clear" w:color="auto" w:fill="D3D3D3"/>
          </w:tcPr>
          <w:p>
            <w:pPr/>
          </w:p>
        </w:tc>
        <w:tc>
          <w:tcPr>
            <w:tcW w:w="589" w:type="dxa"/>
            <w:vMerge/>
            <w:tcBorders>
              <w:left w:val="single" w:sz="4" w:space="0" w:color="000000"/>
              <w:bottom w:val="single" w:sz="4" w:space="0" w:color="000000"/>
              <w:right w:val="single" w:sz="4" w:space="0" w:color="000000"/>
            </w:tcBorders>
            <w:shd w:val="clear" w:color="auto" w:fill="D3D3D3"/>
          </w:tcPr>
          <w:p>
            <w:pPr/>
          </w:p>
        </w:tc>
        <w:tc>
          <w:tcPr>
            <w:tcW w:w="568" w:type="dxa"/>
            <w:vMerge/>
            <w:tcBorders>
              <w:left w:val="single" w:sz="4" w:space="0" w:color="000000"/>
              <w:bottom w:val="single" w:sz="4" w:space="0" w:color="000000"/>
              <w:right w:val="single" w:sz="4" w:space="0" w:color="000000"/>
            </w:tcBorders>
            <w:shd w:val="clear" w:color="auto" w:fill="D3D3D3"/>
          </w:tcPr>
          <w:p>
            <w:pPr/>
          </w:p>
        </w:tc>
        <w:tc>
          <w:tcPr>
            <w:tcW w:w="566" w:type="dxa"/>
            <w:vMerge/>
            <w:tcBorders>
              <w:left w:val="single" w:sz="4" w:space="0" w:color="000000"/>
              <w:bottom w:val="single" w:sz="4" w:space="0" w:color="000000"/>
              <w:right w:val="single" w:sz="4" w:space="0" w:color="000000"/>
            </w:tcBorders>
            <w:shd w:val="clear" w:color="auto" w:fill="D3D3D3"/>
          </w:tcPr>
          <w:p>
            <w:pPr/>
          </w:p>
        </w:tc>
        <w:tc>
          <w:tcPr>
            <w:tcW w:w="643" w:type="dxa"/>
            <w:vMerge/>
            <w:tcBorders>
              <w:left w:val="single" w:sz="4" w:space="0" w:color="000000"/>
              <w:bottom w:val="single" w:sz="4" w:space="0" w:color="000000"/>
              <w:right w:val="single" w:sz="4" w:space="0" w:color="000000"/>
            </w:tcBorders>
            <w:shd w:val="clear" w:color="auto" w:fill="D3D3D3"/>
          </w:tcPr>
          <w:p>
            <w:pPr/>
          </w:p>
        </w:tc>
        <w:tc>
          <w:tcPr>
            <w:tcW w:w="65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318" w:hRule="exact"/>
        </w:trPr>
        <w:tc>
          <w:tcPr>
            <w:tcW w:w="1189" w:type="dxa"/>
            <w:tcBorders>
              <w:top w:val="single" w:sz="4" w:space="0" w:color="000000"/>
              <w:left w:val="single" w:sz="4" w:space="0" w:color="000000"/>
              <w:bottom w:val="nil" w:sz="6" w:space="0" w:color="auto"/>
              <w:right w:val="single" w:sz="4" w:space="0" w:color="000000"/>
            </w:tcBorders>
            <w:shd w:val="clear" w:color="auto" w:fill="D3D3D3"/>
          </w:tcPr>
          <w:p>
            <w:pPr/>
          </w:p>
        </w:tc>
        <w:tc>
          <w:tcPr>
            <w:tcW w:w="501" w:type="dxa"/>
            <w:vMerge w:val="restart"/>
            <w:tcBorders>
              <w:top w:val="single" w:sz="4" w:space="0" w:color="000000"/>
              <w:left w:val="single" w:sz="9" w:space="0" w:color="D3D3D3"/>
              <w:right w:val="single" w:sz="4" w:space="0" w:color="000000"/>
            </w:tcBorders>
          </w:tcPr>
          <w:p>
            <w:pPr>
              <w:pStyle w:val="TableParagraph"/>
              <w:spacing w:line="240" w:lineRule="auto" w:before="92"/>
              <w:ind w:left="86" w:right="0"/>
              <w:jc w:val="center"/>
              <w:rPr>
                <w:rFonts w:ascii="Arial" w:hAnsi="Arial" w:cs="Arial" w:eastAsia="Arial" w:hint="default"/>
                <w:sz w:val="18"/>
                <w:szCs w:val="18"/>
              </w:rPr>
            </w:pPr>
            <w:r>
              <w:rPr>
                <w:rFonts w:ascii="Arial"/>
                <w:sz w:val="18"/>
              </w:rPr>
              <w:t>622,</w:t>
            </w:r>
          </w:p>
          <w:p>
            <w:pPr>
              <w:pStyle w:val="TableParagraph"/>
              <w:spacing w:line="240" w:lineRule="auto" w:before="104"/>
              <w:ind w:left="86" w:right="0"/>
              <w:jc w:val="center"/>
              <w:rPr>
                <w:rFonts w:ascii="Arial" w:hAnsi="Arial" w:cs="Arial" w:eastAsia="Arial" w:hint="default"/>
                <w:sz w:val="18"/>
                <w:szCs w:val="18"/>
              </w:rPr>
            </w:pPr>
            <w:r>
              <w:rPr>
                <w:rFonts w:ascii="Arial"/>
                <w:sz w:val="18"/>
              </w:rPr>
              <w:t>200,</w:t>
            </w:r>
          </w:p>
          <w:p>
            <w:pPr>
              <w:pStyle w:val="TableParagraph"/>
              <w:spacing w:line="240" w:lineRule="auto" w:before="105"/>
              <w:ind w:left="86" w:right="0"/>
              <w:jc w:val="center"/>
              <w:rPr>
                <w:rFonts w:ascii="Arial" w:hAnsi="Arial" w:cs="Arial" w:eastAsia="Arial" w:hint="default"/>
                <w:sz w:val="18"/>
                <w:szCs w:val="18"/>
              </w:rPr>
            </w:pPr>
            <w:r>
              <w:rPr>
                <w:rFonts w:ascii="Arial"/>
                <w:sz w:val="18"/>
              </w:rPr>
              <w:t>000.</w:t>
            </w:r>
          </w:p>
          <w:p>
            <w:pPr>
              <w:pStyle w:val="TableParagraph"/>
              <w:spacing w:line="240" w:lineRule="auto" w:before="106"/>
              <w:ind w:left="237" w:right="0"/>
              <w:jc w:val="center"/>
              <w:rPr>
                <w:rFonts w:ascii="Arial" w:hAnsi="Arial" w:cs="Arial" w:eastAsia="Arial" w:hint="default"/>
                <w:sz w:val="18"/>
                <w:szCs w:val="18"/>
              </w:rPr>
            </w:pPr>
            <w:r>
              <w:rPr>
                <w:rFonts w:ascii="Arial"/>
                <w:sz w:val="18"/>
              </w:rPr>
              <w:t>00</w:t>
            </w:r>
          </w:p>
        </w:tc>
        <w:tc>
          <w:tcPr>
            <w:tcW w:w="45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2" w:right="0"/>
              <w:jc w:val="left"/>
              <w:rPr>
                <w:rFonts w:ascii="Arial" w:hAnsi="Arial" w:cs="Arial" w:eastAsia="Arial" w:hint="default"/>
                <w:sz w:val="18"/>
                <w:szCs w:val="18"/>
              </w:rPr>
            </w:pPr>
            <w:r>
              <w:rPr>
                <w:rFonts w:ascii="Arial"/>
                <w:sz w:val="18"/>
              </w:rPr>
              <w:t>369,3</w:t>
            </w:r>
          </w:p>
          <w:p>
            <w:pPr>
              <w:pStyle w:val="TableParagraph"/>
              <w:spacing w:line="240" w:lineRule="auto" w:before="104"/>
              <w:ind w:left="92" w:right="0"/>
              <w:jc w:val="left"/>
              <w:rPr>
                <w:rFonts w:ascii="Arial" w:hAnsi="Arial" w:cs="Arial" w:eastAsia="Arial" w:hint="default"/>
                <w:sz w:val="18"/>
                <w:szCs w:val="18"/>
              </w:rPr>
            </w:pPr>
            <w:r>
              <w:rPr>
                <w:rFonts w:ascii="Arial"/>
                <w:sz w:val="18"/>
              </w:rPr>
              <w:t>58,61</w:t>
            </w:r>
          </w:p>
          <w:p>
            <w:pPr>
              <w:pStyle w:val="TableParagraph"/>
              <w:spacing w:line="240" w:lineRule="auto" w:before="106"/>
              <w:ind w:left="191" w:right="0"/>
              <w:jc w:val="left"/>
              <w:rPr>
                <w:rFonts w:ascii="Arial" w:hAnsi="Arial" w:cs="Arial" w:eastAsia="Arial" w:hint="default"/>
                <w:sz w:val="18"/>
                <w:szCs w:val="18"/>
              </w:rPr>
            </w:pPr>
            <w:r>
              <w:rPr>
                <w:rFonts w:ascii="Arial"/>
                <w:sz w:val="18"/>
              </w:rPr>
              <w:t>2.29</w:t>
            </w:r>
          </w:p>
        </w:tc>
        <w:tc>
          <w:tcPr>
            <w:tcW w:w="577"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18" w:space="0" w:color="D3D3D3"/>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right="24"/>
              <w:jc w:val="right"/>
              <w:rPr>
                <w:rFonts w:ascii="Arial" w:hAnsi="Arial" w:cs="Arial" w:eastAsia="Arial" w:hint="default"/>
                <w:sz w:val="18"/>
                <w:szCs w:val="18"/>
              </w:rPr>
            </w:pPr>
            <w:r>
              <w:rPr>
                <w:rFonts w:ascii="Arial"/>
                <w:spacing w:val="-1"/>
                <w:sz w:val="18"/>
              </w:rPr>
              <w:t>3,222,</w:t>
            </w:r>
            <w:r>
              <w:rPr>
                <w:rFonts w:ascii="Arial"/>
                <w:sz w:val="18"/>
              </w:rPr>
            </w:r>
          </w:p>
          <w:p>
            <w:pPr>
              <w:pStyle w:val="TableParagraph"/>
              <w:spacing w:line="240" w:lineRule="auto" w:before="104"/>
              <w:ind w:right="23"/>
              <w:jc w:val="right"/>
              <w:rPr>
                <w:rFonts w:ascii="Arial" w:hAnsi="Arial" w:cs="Arial" w:eastAsia="Arial" w:hint="default"/>
                <w:sz w:val="18"/>
                <w:szCs w:val="18"/>
              </w:rPr>
            </w:pPr>
            <w:r>
              <w:rPr>
                <w:rFonts w:ascii="Arial"/>
                <w:spacing w:val="-1"/>
                <w:w w:val="95"/>
                <w:sz w:val="18"/>
              </w:rPr>
              <w:t>576.5</w:t>
            </w:r>
            <w:r>
              <w:rPr>
                <w:rFonts w:ascii="Arial"/>
                <w:w w:val="95"/>
                <w:sz w:val="18"/>
              </w:rPr>
            </w:r>
          </w:p>
          <w:p>
            <w:pPr>
              <w:pStyle w:val="TableParagraph"/>
              <w:spacing w:line="240" w:lineRule="auto" w:before="106"/>
              <w:ind w:right="21"/>
              <w:jc w:val="right"/>
              <w:rPr>
                <w:rFonts w:ascii="Arial" w:hAnsi="Arial" w:cs="Arial" w:eastAsia="Arial" w:hint="default"/>
                <w:sz w:val="18"/>
                <w:szCs w:val="18"/>
              </w:rPr>
            </w:pPr>
            <w:r>
              <w:rPr>
                <w:rFonts w:ascii="Arial"/>
                <w:sz w:val="18"/>
              </w:rPr>
              <w:t>2</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3" w:right="0"/>
              <w:jc w:val="left"/>
              <w:rPr>
                <w:rFonts w:ascii="Arial" w:hAnsi="Arial" w:cs="Arial" w:eastAsia="Arial" w:hint="default"/>
                <w:sz w:val="18"/>
                <w:szCs w:val="18"/>
              </w:rPr>
            </w:pPr>
            <w:r>
              <w:rPr>
                <w:rFonts w:ascii="Arial"/>
                <w:sz w:val="18"/>
              </w:rPr>
              <w:t>62,54</w:t>
            </w:r>
          </w:p>
          <w:p>
            <w:pPr>
              <w:pStyle w:val="TableParagraph"/>
              <w:spacing w:line="240" w:lineRule="auto" w:before="104"/>
              <w:ind w:left="43" w:right="0"/>
              <w:jc w:val="left"/>
              <w:rPr>
                <w:rFonts w:ascii="Arial" w:hAnsi="Arial" w:cs="Arial" w:eastAsia="Arial" w:hint="default"/>
                <w:sz w:val="18"/>
                <w:szCs w:val="18"/>
              </w:rPr>
            </w:pPr>
            <w:r>
              <w:rPr>
                <w:rFonts w:ascii="Arial"/>
                <w:sz w:val="18"/>
              </w:rPr>
              <w:t>4,866.</w:t>
            </w:r>
          </w:p>
          <w:p>
            <w:pPr>
              <w:pStyle w:val="TableParagraph"/>
              <w:spacing w:line="240" w:lineRule="auto" w:before="106"/>
              <w:ind w:left="343" w:right="0"/>
              <w:jc w:val="left"/>
              <w:rPr>
                <w:rFonts w:ascii="Arial" w:hAnsi="Arial" w:cs="Arial" w:eastAsia="Arial" w:hint="default"/>
                <w:sz w:val="18"/>
                <w:szCs w:val="18"/>
              </w:rPr>
            </w:pPr>
            <w:r>
              <w:rPr>
                <w:rFonts w:ascii="Arial"/>
                <w:sz w:val="18"/>
              </w:rPr>
              <w:t>36</w:t>
            </w:r>
          </w:p>
        </w:tc>
        <w:tc>
          <w:tcPr>
            <w:tcW w:w="577" w:type="dxa"/>
            <w:vMerge w:val="restart"/>
            <w:tcBorders>
              <w:top w:val="single" w:sz="18" w:space="0" w:color="D3D3D3"/>
              <w:left w:val="single" w:sz="4" w:space="0" w:color="000000"/>
              <w:right w:val="single" w:sz="4" w:space="0" w:color="000000"/>
            </w:tcBorders>
          </w:tcPr>
          <w:p>
            <w:pPr/>
          </w:p>
        </w:tc>
        <w:tc>
          <w:tcPr>
            <w:tcW w:w="589" w:type="dxa"/>
            <w:vMerge w:val="restart"/>
            <w:tcBorders>
              <w:top w:val="single" w:sz="18" w:space="0" w:color="D3D3D3"/>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5" w:right="0"/>
              <w:jc w:val="left"/>
              <w:rPr>
                <w:rFonts w:ascii="Arial" w:hAnsi="Arial" w:cs="Arial" w:eastAsia="Arial" w:hint="default"/>
                <w:sz w:val="18"/>
                <w:szCs w:val="18"/>
              </w:rPr>
            </w:pPr>
            <w:r>
              <w:rPr>
                <w:rFonts w:ascii="Arial"/>
                <w:sz w:val="18"/>
              </w:rPr>
              <w:t>366,8</w:t>
            </w:r>
          </w:p>
          <w:p>
            <w:pPr>
              <w:pStyle w:val="TableParagraph"/>
              <w:spacing w:line="240" w:lineRule="auto" w:before="104"/>
              <w:ind w:left="105" w:right="0"/>
              <w:jc w:val="left"/>
              <w:rPr>
                <w:rFonts w:ascii="Arial" w:hAnsi="Arial" w:cs="Arial" w:eastAsia="Arial" w:hint="default"/>
                <w:sz w:val="18"/>
                <w:szCs w:val="18"/>
              </w:rPr>
            </w:pPr>
            <w:r>
              <w:rPr>
                <w:rFonts w:ascii="Arial"/>
                <w:sz w:val="18"/>
              </w:rPr>
              <w:t>31,67</w:t>
            </w:r>
          </w:p>
          <w:p>
            <w:pPr>
              <w:pStyle w:val="TableParagraph"/>
              <w:spacing w:line="240" w:lineRule="auto" w:before="106"/>
              <w:ind w:left="205" w:right="0"/>
              <w:jc w:val="left"/>
              <w:rPr>
                <w:rFonts w:ascii="Arial" w:hAnsi="Arial" w:cs="Arial" w:eastAsia="Arial" w:hint="default"/>
                <w:sz w:val="18"/>
                <w:szCs w:val="18"/>
              </w:rPr>
            </w:pPr>
            <w:r>
              <w:rPr>
                <w:rFonts w:ascii="Arial"/>
                <w:sz w:val="18"/>
              </w:rPr>
              <w:t>5.06</w:t>
            </w:r>
          </w:p>
        </w:tc>
        <w:tc>
          <w:tcPr>
            <w:tcW w:w="568"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3" w:right="0"/>
              <w:jc w:val="left"/>
              <w:rPr>
                <w:rFonts w:ascii="Arial" w:hAnsi="Arial" w:cs="Arial" w:eastAsia="Arial" w:hint="default"/>
                <w:sz w:val="18"/>
                <w:szCs w:val="18"/>
              </w:rPr>
            </w:pPr>
            <w:r>
              <w:rPr>
                <w:rFonts w:ascii="Arial"/>
                <w:sz w:val="18"/>
              </w:rPr>
              <w:t>1,424,</w:t>
            </w:r>
          </w:p>
          <w:p>
            <w:pPr>
              <w:pStyle w:val="TableParagraph"/>
              <w:spacing w:line="240" w:lineRule="auto" w:before="104"/>
              <w:ind w:left="83" w:right="0"/>
              <w:jc w:val="left"/>
              <w:rPr>
                <w:rFonts w:ascii="Arial" w:hAnsi="Arial" w:cs="Arial" w:eastAsia="Arial" w:hint="default"/>
                <w:sz w:val="18"/>
                <w:szCs w:val="18"/>
              </w:rPr>
            </w:pPr>
            <w:r>
              <w:rPr>
                <w:rFonts w:ascii="Arial"/>
                <w:sz w:val="18"/>
              </w:rPr>
              <w:t>157,7</w:t>
            </w:r>
          </w:p>
          <w:p>
            <w:pPr>
              <w:pStyle w:val="TableParagraph"/>
              <w:spacing w:line="240" w:lineRule="auto" w:before="106"/>
              <w:ind w:left="83" w:right="0"/>
              <w:jc w:val="left"/>
              <w:rPr>
                <w:rFonts w:ascii="Arial" w:hAnsi="Arial" w:cs="Arial" w:eastAsia="Arial" w:hint="default"/>
                <w:sz w:val="18"/>
                <w:szCs w:val="18"/>
              </w:rPr>
            </w:pPr>
            <w:r>
              <w:rPr>
                <w:rFonts w:ascii="Arial"/>
                <w:sz w:val="18"/>
              </w:rPr>
              <w:t>30.23</w:t>
            </w:r>
          </w:p>
        </w:tc>
        <w:tc>
          <w:tcPr>
            <w:tcW w:w="6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18"/>
                <w:szCs w:val="18"/>
              </w:rPr>
            </w:pPr>
            <w:r>
              <w:rPr>
                <w:rFonts w:ascii="Arial"/>
                <w:spacing w:val="-1"/>
                <w:sz w:val="18"/>
              </w:rPr>
              <w:t>10,398</w:t>
            </w:r>
          </w:p>
          <w:p>
            <w:pPr>
              <w:pStyle w:val="TableParagraph"/>
              <w:spacing w:line="240" w:lineRule="auto" w:before="104"/>
              <w:ind w:right="22"/>
              <w:jc w:val="right"/>
              <w:rPr>
                <w:rFonts w:ascii="Arial" w:hAnsi="Arial" w:cs="Arial" w:eastAsia="Arial" w:hint="default"/>
                <w:sz w:val="18"/>
                <w:szCs w:val="18"/>
              </w:rPr>
            </w:pPr>
            <w:r>
              <w:rPr>
                <w:rFonts w:ascii="Arial"/>
                <w:spacing w:val="-1"/>
                <w:sz w:val="18"/>
              </w:rPr>
              <w:t>,371.9</w:t>
            </w:r>
            <w:r>
              <w:rPr>
                <w:rFonts w:ascii="Arial"/>
                <w:sz w:val="18"/>
              </w:rPr>
            </w:r>
          </w:p>
          <w:p>
            <w:pPr>
              <w:pStyle w:val="TableParagraph"/>
              <w:spacing w:line="240" w:lineRule="auto" w:before="106"/>
              <w:ind w:right="21"/>
              <w:jc w:val="right"/>
              <w:rPr>
                <w:rFonts w:ascii="Arial" w:hAnsi="Arial" w:cs="Arial" w:eastAsia="Arial" w:hint="default"/>
                <w:sz w:val="18"/>
                <w:szCs w:val="18"/>
              </w:rPr>
            </w:pPr>
            <w:r>
              <w:rPr>
                <w:rFonts w:ascii="Arial"/>
                <w:sz w:val="18"/>
              </w:rPr>
              <w:t>3</w:t>
            </w:r>
          </w:p>
        </w:tc>
        <w:tc>
          <w:tcPr>
            <w:tcW w:w="6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2" w:right="0"/>
              <w:jc w:val="center"/>
              <w:rPr>
                <w:rFonts w:ascii="Arial" w:hAnsi="Arial" w:cs="Arial" w:eastAsia="Arial" w:hint="default"/>
                <w:sz w:val="18"/>
                <w:szCs w:val="18"/>
              </w:rPr>
            </w:pPr>
            <w:r>
              <w:rPr>
                <w:rFonts w:ascii="Arial"/>
                <w:sz w:val="18"/>
              </w:rPr>
              <w:t>1,434,</w:t>
            </w:r>
          </w:p>
          <w:p>
            <w:pPr>
              <w:pStyle w:val="TableParagraph"/>
              <w:spacing w:line="240" w:lineRule="auto" w:before="104"/>
              <w:ind w:left="43" w:right="0"/>
              <w:jc w:val="center"/>
              <w:rPr>
                <w:rFonts w:ascii="Arial" w:hAnsi="Arial" w:cs="Arial" w:eastAsia="Arial" w:hint="default"/>
                <w:sz w:val="18"/>
                <w:szCs w:val="18"/>
              </w:rPr>
            </w:pPr>
            <w:r>
              <w:rPr>
                <w:rFonts w:ascii="Arial"/>
                <w:sz w:val="18"/>
              </w:rPr>
              <w:t>556,10</w:t>
            </w:r>
          </w:p>
          <w:p>
            <w:pPr>
              <w:pStyle w:val="TableParagraph"/>
              <w:spacing w:line="240" w:lineRule="auto" w:before="106"/>
              <w:ind w:left="243" w:right="0"/>
              <w:jc w:val="center"/>
              <w:rPr>
                <w:rFonts w:ascii="Arial" w:hAnsi="Arial" w:cs="Arial" w:eastAsia="Arial" w:hint="default"/>
                <w:sz w:val="18"/>
                <w:szCs w:val="18"/>
              </w:rPr>
            </w:pPr>
            <w:r>
              <w:rPr>
                <w:rFonts w:ascii="Arial"/>
                <w:sz w:val="18"/>
              </w:rPr>
              <w:t>2.16</w:t>
            </w:r>
          </w:p>
        </w:tc>
      </w:tr>
      <w:tr>
        <w:trPr>
          <w:trHeight w:val="704" w:hRule="exact"/>
        </w:trPr>
        <w:tc>
          <w:tcPr>
            <w:tcW w:w="11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11" w:right="86"/>
              <w:jc w:val="left"/>
              <w:rPr>
                <w:rFonts w:ascii="宋体" w:hAnsi="宋体" w:cs="宋体" w:eastAsia="宋体" w:hint="default"/>
                <w:sz w:val="18"/>
                <w:szCs w:val="18"/>
              </w:rPr>
            </w:pPr>
            <w:r>
              <w:rPr>
                <w:rFonts w:ascii="宋体" w:hAnsi="宋体" w:cs="宋体" w:eastAsia="宋体" w:hint="default"/>
                <w:sz w:val="18"/>
                <w:szCs w:val="18"/>
              </w:rPr>
              <w:t>一、上年期末 余额</w:t>
            </w:r>
          </w:p>
        </w:tc>
        <w:tc>
          <w:tcPr>
            <w:tcW w:w="501" w:type="dxa"/>
            <w:vMerge/>
            <w:tcBorders>
              <w:left w:val="single" w:sz="9" w:space="0" w:color="D3D3D3"/>
              <w:right w:val="single" w:sz="4" w:space="0" w:color="000000"/>
            </w:tcBorders>
          </w:tcPr>
          <w:p>
            <w:pPr/>
          </w:p>
        </w:tc>
        <w:tc>
          <w:tcPr>
            <w:tcW w:w="45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89"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3" w:type="dxa"/>
            <w:vMerge/>
            <w:tcBorders>
              <w:left w:val="single" w:sz="4" w:space="0" w:color="000000"/>
              <w:right w:val="single" w:sz="4" w:space="0" w:color="000000"/>
            </w:tcBorders>
          </w:tcPr>
          <w:p>
            <w:pPr/>
          </w:p>
        </w:tc>
        <w:tc>
          <w:tcPr>
            <w:tcW w:w="650" w:type="dxa"/>
            <w:vMerge/>
            <w:tcBorders>
              <w:left w:val="single" w:sz="4" w:space="0" w:color="000000"/>
              <w:right w:val="single" w:sz="4" w:space="0" w:color="000000"/>
            </w:tcBorders>
          </w:tcPr>
          <w:p>
            <w:pPr/>
          </w:p>
        </w:tc>
      </w:tr>
      <w:tr>
        <w:trPr>
          <w:trHeight w:val="317" w:hRule="exact"/>
        </w:trPr>
        <w:tc>
          <w:tcPr>
            <w:tcW w:w="1189" w:type="dxa"/>
            <w:tcBorders>
              <w:top w:val="nil" w:sz="6" w:space="0" w:color="auto"/>
              <w:left w:val="single" w:sz="4" w:space="0" w:color="000000"/>
              <w:bottom w:val="single" w:sz="4" w:space="0" w:color="000000"/>
              <w:right w:val="single" w:sz="4" w:space="0" w:color="000000"/>
            </w:tcBorders>
            <w:shd w:val="clear" w:color="auto" w:fill="D3D3D3"/>
          </w:tcPr>
          <w:p>
            <w:pPr/>
          </w:p>
        </w:tc>
        <w:tc>
          <w:tcPr>
            <w:tcW w:w="501" w:type="dxa"/>
            <w:vMerge/>
            <w:tcBorders>
              <w:left w:val="single" w:sz="9" w:space="0" w:color="D3D3D3"/>
              <w:bottom w:val="single" w:sz="4" w:space="0" w:color="000000"/>
              <w:right w:val="single" w:sz="4" w:space="0" w:color="000000"/>
            </w:tcBorders>
          </w:tcPr>
          <w:p>
            <w:pPr/>
          </w:p>
        </w:tc>
        <w:tc>
          <w:tcPr>
            <w:tcW w:w="45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89"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650" w:type="dxa"/>
            <w:vMerge/>
            <w:tcBorders>
              <w:left w:val="single" w:sz="4" w:space="0" w:color="000000"/>
              <w:bottom w:val="single" w:sz="4" w:space="0" w:color="000000"/>
              <w:right w:val="single" w:sz="4" w:space="0" w:color="000000"/>
            </w:tcBorders>
          </w:tcPr>
          <w:p>
            <w:pPr/>
          </w:p>
        </w:tc>
      </w:tr>
      <w:tr>
        <w:trPr>
          <w:trHeight w:val="714" w:hRule="exact"/>
        </w:trPr>
        <w:tc>
          <w:tcPr>
            <w:tcW w:w="1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86" w:firstLine="360"/>
              <w:jc w:val="left"/>
              <w:rPr>
                <w:rFonts w:ascii="宋体" w:hAnsi="宋体" w:cs="宋体" w:eastAsia="宋体" w:hint="default"/>
                <w:sz w:val="18"/>
                <w:szCs w:val="18"/>
              </w:rPr>
            </w:pPr>
            <w:r>
              <w:rPr>
                <w:rFonts w:ascii="宋体" w:hAnsi="宋体" w:cs="宋体" w:eastAsia="宋体" w:hint="default"/>
                <w:sz w:val="18"/>
                <w:szCs w:val="18"/>
              </w:rPr>
              <w:t>加：会计 政策变更</w:t>
            </w:r>
          </w:p>
        </w:tc>
        <w:tc>
          <w:tcPr>
            <w:tcW w:w="501" w:type="dxa"/>
            <w:tcBorders>
              <w:top w:val="single" w:sz="4" w:space="0" w:color="000000"/>
              <w:left w:val="single" w:sz="13" w:space="0" w:color="D3D3D3"/>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86"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501" w:type="dxa"/>
            <w:tcBorders>
              <w:top w:val="single" w:sz="4" w:space="0" w:color="000000"/>
              <w:left w:val="single" w:sz="13" w:space="0" w:color="D3D3D3"/>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86" w:firstLine="720"/>
              <w:jc w:val="both"/>
              <w:rPr>
                <w:rFonts w:ascii="宋体" w:hAnsi="宋体" w:cs="宋体" w:eastAsia="宋体" w:hint="default"/>
                <w:sz w:val="18"/>
                <w:szCs w:val="18"/>
              </w:rPr>
            </w:pPr>
            <w:r>
              <w:rPr>
                <w:rFonts w:ascii="宋体" w:hAnsi="宋体" w:cs="宋体" w:eastAsia="宋体" w:hint="default"/>
                <w:sz w:val="18"/>
                <w:szCs w:val="18"/>
              </w:rPr>
              <w:t>同一 控制下企业合 并</w:t>
            </w:r>
          </w:p>
        </w:tc>
        <w:tc>
          <w:tcPr>
            <w:tcW w:w="501" w:type="dxa"/>
            <w:tcBorders>
              <w:top w:val="single" w:sz="4" w:space="0" w:color="000000"/>
              <w:left w:val="single" w:sz="13" w:space="0" w:color="D3D3D3"/>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01" w:type="dxa"/>
            <w:tcBorders>
              <w:top w:val="single" w:sz="4" w:space="0" w:color="000000"/>
              <w:left w:val="single" w:sz="13" w:space="0" w:color="D3D3D3"/>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318" w:hRule="exact"/>
        </w:trPr>
        <w:tc>
          <w:tcPr>
            <w:tcW w:w="1189" w:type="dxa"/>
            <w:tcBorders>
              <w:top w:val="single" w:sz="4" w:space="0" w:color="000000"/>
              <w:left w:val="single" w:sz="4" w:space="0" w:color="000000"/>
              <w:bottom w:val="nil" w:sz="6" w:space="0" w:color="auto"/>
              <w:right w:val="single" w:sz="4" w:space="0" w:color="000000"/>
            </w:tcBorders>
            <w:shd w:val="clear" w:color="auto" w:fill="D3D3D3"/>
          </w:tcPr>
          <w:p>
            <w:pPr/>
          </w:p>
        </w:tc>
        <w:tc>
          <w:tcPr>
            <w:tcW w:w="501" w:type="dxa"/>
            <w:vMerge w:val="restart"/>
            <w:tcBorders>
              <w:top w:val="single" w:sz="4" w:space="0" w:color="000000"/>
              <w:left w:val="single" w:sz="9" w:space="0" w:color="D3D3D3"/>
              <w:right w:val="single" w:sz="4" w:space="0" w:color="000000"/>
            </w:tcBorders>
          </w:tcPr>
          <w:p>
            <w:pPr>
              <w:pStyle w:val="TableParagraph"/>
              <w:spacing w:line="240" w:lineRule="auto" w:before="92"/>
              <w:ind w:left="86" w:right="0"/>
              <w:jc w:val="center"/>
              <w:rPr>
                <w:rFonts w:ascii="Arial" w:hAnsi="Arial" w:cs="Arial" w:eastAsia="Arial" w:hint="default"/>
                <w:sz w:val="18"/>
                <w:szCs w:val="18"/>
              </w:rPr>
            </w:pPr>
            <w:r>
              <w:rPr>
                <w:rFonts w:ascii="Arial"/>
                <w:sz w:val="18"/>
              </w:rPr>
              <w:t>622,</w:t>
            </w:r>
          </w:p>
          <w:p>
            <w:pPr>
              <w:pStyle w:val="TableParagraph"/>
              <w:spacing w:line="240" w:lineRule="auto" w:before="104"/>
              <w:ind w:left="86" w:right="0"/>
              <w:jc w:val="center"/>
              <w:rPr>
                <w:rFonts w:ascii="Arial" w:hAnsi="Arial" w:cs="Arial" w:eastAsia="Arial" w:hint="default"/>
                <w:sz w:val="18"/>
                <w:szCs w:val="18"/>
              </w:rPr>
            </w:pPr>
            <w:r>
              <w:rPr>
                <w:rFonts w:ascii="Arial"/>
                <w:sz w:val="18"/>
              </w:rPr>
              <w:t>200,</w:t>
            </w:r>
          </w:p>
          <w:p>
            <w:pPr>
              <w:pStyle w:val="TableParagraph"/>
              <w:spacing w:line="240" w:lineRule="auto" w:before="105"/>
              <w:ind w:left="86" w:right="0"/>
              <w:jc w:val="center"/>
              <w:rPr>
                <w:rFonts w:ascii="Arial" w:hAnsi="Arial" w:cs="Arial" w:eastAsia="Arial" w:hint="default"/>
                <w:sz w:val="18"/>
                <w:szCs w:val="18"/>
              </w:rPr>
            </w:pPr>
            <w:r>
              <w:rPr>
                <w:rFonts w:ascii="Arial"/>
                <w:sz w:val="18"/>
              </w:rPr>
              <w:t>000.</w:t>
            </w:r>
          </w:p>
          <w:p>
            <w:pPr>
              <w:pStyle w:val="TableParagraph"/>
              <w:spacing w:line="240" w:lineRule="auto" w:before="106"/>
              <w:ind w:left="237" w:right="0"/>
              <w:jc w:val="center"/>
              <w:rPr>
                <w:rFonts w:ascii="Arial" w:hAnsi="Arial" w:cs="Arial" w:eastAsia="Arial" w:hint="default"/>
                <w:sz w:val="18"/>
                <w:szCs w:val="18"/>
              </w:rPr>
            </w:pPr>
            <w:r>
              <w:rPr>
                <w:rFonts w:ascii="Arial"/>
                <w:sz w:val="18"/>
              </w:rPr>
              <w:t>00</w:t>
            </w:r>
          </w:p>
        </w:tc>
        <w:tc>
          <w:tcPr>
            <w:tcW w:w="45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2" w:right="0"/>
              <w:jc w:val="left"/>
              <w:rPr>
                <w:rFonts w:ascii="Arial" w:hAnsi="Arial" w:cs="Arial" w:eastAsia="Arial" w:hint="default"/>
                <w:sz w:val="18"/>
                <w:szCs w:val="18"/>
              </w:rPr>
            </w:pPr>
            <w:r>
              <w:rPr>
                <w:rFonts w:ascii="Arial"/>
                <w:sz w:val="18"/>
              </w:rPr>
              <w:t>369,3</w:t>
            </w:r>
          </w:p>
          <w:p>
            <w:pPr>
              <w:pStyle w:val="TableParagraph"/>
              <w:spacing w:line="240" w:lineRule="auto" w:before="104"/>
              <w:ind w:left="92" w:right="0"/>
              <w:jc w:val="left"/>
              <w:rPr>
                <w:rFonts w:ascii="Arial" w:hAnsi="Arial" w:cs="Arial" w:eastAsia="Arial" w:hint="default"/>
                <w:sz w:val="18"/>
                <w:szCs w:val="18"/>
              </w:rPr>
            </w:pPr>
            <w:r>
              <w:rPr>
                <w:rFonts w:ascii="Arial"/>
                <w:sz w:val="18"/>
              </w:rPr>
              <w:t>58,61</w:t>
            </w:r>
          </w:p>
          <w:p>
            <w:pPr>
              <w:pStyle w:val="TableParagraph"/>
              <w:spacing w:line="240" w:lineRule="auto" w:before="106"/>
              <w:ind w:left="191" w:right="0"/>
              <w:jc w:val="left"/>
              <w:rPr>
                <w:rFonts w:ascii="Arial" w:hAnsi="Arial" w:cs="Arial" w:eastAsia="Arial" w:hint="default"/>
                <w:sz w:val="18"/>
                <w:szCs w:val="18"/>
              </w:rPr>
            </w:pPr>
            <w:r>
              <w:rPr>
                <w:rFonts w:ascii="Arial"/>
                <w:sz w:val="18"/>
              </w:rPr>
              <w:t>2.29</w:t>
            </w:r>
          </w:p>
        </w:tc>
        <w:tc>
          <w:tcPr>
            <w:tcW w:w="577"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18"/>
                <w:szCs w:val="18"/>
              </w:rPr>
            </w:pPr>
            <w:r>
              <w:rPr>
                <w:rFonts w:ascii="Arial"/>
                <w:spacing w:val="-1"/>
                <w:sz w:val="18"/>
              </w:rPr>
              <w:t>3,222,</w:t>
            </w:r>
            <w:r>
              <w:rPr>
                <w:rFonts w:ascii="Arial"/>
                <w:sz w:val="18"/>
              </w:rPr>
            </w:r>
          </w:p>
          <w:p>
            <w:pPr>
              <w:pStyle w:val="TableParagraph"/>
              <w:spacing w:line="240" w:lineRule="auto" w:before="104"/>
              <w:ind w:right="23"/>
              <w:jc w:val="right"/>
              <w:rPr>
                <w:rFonts w:ascii="Arial" w:hAnsi="Arial" w:cs="Arial" w:eastAsia="Arial" w:hint="default"/>
                <w:sz w:val="18"/>
                <w:szCs w:val="18"/>
              </w:rPr>
            </w:pPr>
            <w:r>
              <w:rPr>
                <w:rFonts w:ascii="Arial"/>
                <w:spacing w:val="-1"/>
                <w:w w:val="95"/>
                <w:sz w:val="18"/>
              </w:rPr>
              <w:t>576.5</w:t>
            </w:r>
            <w:r>
              <w:rPr>
                <w:rFonts w:ascii="Arial"/>
                <w:w w:val="95"/>
                <w:sz w:val="18"/>
              </w:rPr>
            </w:r>
          </w:p>
          <w:p>
            <w:pPr>
              <w:pStyle w:val="TableParagraph"/>
              <w:spacing w:line="240" w:lineRule="auto" w:before="106"/>
              <w:ind w:right="21"/>
              <w:jc w:val="right"/>
              <w:rPr>
                <w:rFonts w:ascii="Arial" w:hAnsi="Arial" w:cs="Arial" w:eastAsia="Arial" w:hint="default"/>
                <w:sz w:val="18"/>
                <w:szCs w:val="18"/>
              </w:rPr>
            </w:pPr>
            <w:r>
              <w:rPr>
                <w:rFonts w:ascii="Arial"/>
                <w:sz w:val="18"/>
              </w:rPr>
              <w:t>2</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3" w:right="0"/>
              <w:jc w:val="left"/>
              <w:rPr>
                <w:rFonts w:ascii="Arial" w:hAnsi="Arial" w:cs="Arial" w:eastAsia="Arial" w:hint="default"/>
                <w:sz w:val="18"/>
                <w:szCs w:val="18"/>
              </w:rPr>
            </w:pPr>
            <w:r>
              <w:rPr>
                <w:rFonts w:ascii="Arial"/>
                <w:sz w:val="18"/>
              </w:rPr>
              <w:t>62,54</w:t>
            </w:r>
          </w:p>
          <w:p>
            <w:pPr>
              <w:pStyle w:val="TableParagraph"/>
              <w:spacing w:line="240" w:lineRule="auto" w:before="104"/>
              <w:ind w:left="43" w:right="0"/>
              <w:jc w:val="left"/>
              <w:rPr>
                <w:rFonts w:ascii="Arial" w:hAnsi="Arial" w:cs="Arial" w:eastAsia="Arial" w:hint="default"/>
                <w:sz w:val="18"/>
                <w:szCs w:val="18"/>
              </w:rPr>
            </w:pPr>
            <w:r>
              <w:rPr>
                <w:rFonts w:ascii="Arial"/>
                <w:sz w:val="18"/>
              </w:rPr>
              <w:t>4,866.</w:t>
            </w:r>
          </w:p>
          <w:p>
            <w:pPr>
              <w:pStyle w:val="TableParagraph"/>
              <w:spacing w:line="240" w:lineRule="auto" w:before="106"/>
              <w:ind w:left="343" w:right="0"/>
              <w:jc w:val="left"/>
              <w:rPr>
                <w:rFonts w:ascii="Arial" w:hAnsi="Arial" w:cs="Arial" w:eastAsia="Arial" w:hint="default"/>
                <w:sz w:val="18"/>
                <w:szCs w:val="18"/>
              </w:rPr>
            </w:pPr>
            <w:r>
              <w:rPr>
                <w:rFonts w:ascii="Arial"/>
                <w:sz w:val="18"/>
              </w:rPr>
              <w:t>36</w:t>
            </w:r>
          </w:p>
        </w:tc>
        <w:tc>
          <w:tcPr>
            <w:tcW w:w="577" w:type="dxa"/>
            <w:vMerge w:val="restart"/>
            <w:tcBorders>
              <w:top w:val="single" w:sz="4" w:space="0" w:color="000000"/>
              <w:left w:val="single" w:sz="4" w:space="0" w:color="000000"/>
              <w:right w:val="single" w:sz="4" w:space="0" w:color="000000"/>
            </w:tcBorders>
          </w:tcPr>
          <w:p>
            <w:pPr/>
          </w:p>
        </w:tc>
        <w:tc>
          <w:tcPr>
            <w:tcW w:w="58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5" w:right="0"/>
              <w:jc w:val="left"/>
              <w:rPr>
                <w:rFonts w:ascii="Arial" w:hAnsi="Arial" w:cs="Arial" w:eastAsia="Arial" w:hint="default"/>
                <w:sz w:val="18"/>
                <w:szCs w:val="18"/>
              </w:rPr>
            </w:pPr>
            <w:r>
              <w:rPr>
                <w:rFonts w:ascii="Arial"/>
                <w:sz w:val="18"/>
              </w:rPr>
              <w:t>366,8</w:t>
            </w:r>
          </w:p>
          <w:p>
            <w:pPr>
              <w:pStyle w:val="TableParagraph"/>
              <w:spacing w:line="240" w:lineRule="auto" w:before="104"/>
              <w:ind w:left="105" w:right="0"/>
              <w:jc w:val="left"/>
              <w:rPr>
                <w:rFonts w:ascii="Arial" w:hAnsi="Arial" w:cs="Arial" w:eastAsia="Arial" w:hint="default"/>
                <w:sz w:val="18"/>
                <w:szCs w:val="18"/>
              </w:rPr>
            </w:pPr>
            <w:r>
              <w:rPr>
                <w:rFonts w:ascii="Arial"/>
                <w:sz w:val="18"/>
              </w:rPr>
              <w:t>31,67</w:t>
            </w:r>
          </w:p>
          <w:p>
            <w:pPr>
              <w:pStyle w:val="TableParagraph"/>
              <w:spacing w:line="240" w:lineRule="auto" w:before="106"/>
              <w:ind w:left="205" w:right="0"/>
              <w:jc w:val="left"/>
              <w:rPr>
                <w:rFonts w:ascii="Arial" w:hAnsi="Arial" w:cs="Arial" w:eastAsia="Arial" w:hint="default"/>
                <w:sz w:val="18"/>
                <w:szCs w:val="18"/>
              </w:rPr>
            </w:pPr>
            <w:r>
              <w:rPr>
                <w:rFonts w:ascii="Arial"/>
                <w:sz w:val="18"/>
              </w:rPr>
              <w:t>5.06</w:t>
            </w:r>
          </w:p>
        </w:tc>
        <w:tc>
          <w:tcPr>
            <w:tcW w:w="568"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33" w:right="0"/>
              <w:jc w:val="left"/>
              <w:rPr>
                <w:rFonts w:ascii="Arial" w:hAnsi="Arial" w:cs="Arial" w:eastAsia="Arial" w:hint="default"/>
                <w:sz w:val="18"/>
                <w:szCs w:val="18"/>
              </w:rPr>
            </w:pPr>
            <w:r>
              <w:rPr>
                <w:rFonts w:ascii="Arial"/>
                <w:sz w:val="18"/>
              </w:rPr>
              <w:t>1,424,</w:t>
            </w:r>
          </w:p>
          <w:p>
            <w:pPr>
              <w:pStyle w:val="TableParagraph"/>
              <w:spacing w:line="240" w:lineRule="auto" w:before="104"/>
              <w:ind w:left="83" w:right="0"/>
              <w:jc w:val="left"/>
              <w:rPr>
                <w:rFonts w:ascii="Arial" w:hAnsi="Arial" w:cs="Arial" w:eastAsia="Arial" w:hint="default"/>
                <w:sz w:val="18"/>
                <w:szCs w:val="18"/>
              </w:rPr>
            </w:pPr>
            <w:r>
              <w:rPr>
                <w:rFonts w:ascii="Arial"/>
                <w:sz w:val="18"/>
              </w:rPr>
              <w:t>157,7</w:t>
            </w:r>
          </w:p>
          <w:p>
            <w:pPr>
              <w:pStyle w:val="TableParagraph"/>
              <w:spacing w:line="240" w:lineRule="auto" w:before="106"/>
              <w:ind w:left="83" w:right="0"/>
              <w:jc w:val="left"/>
              <w:rPr>
                <w:rFonts w:ascii="Arial" w:hAnsi="Arial" w:cs="Arial" w:eastAsia="Arial" w:hint="default"/>
                <w:sz w:val="18"/>
                <w:szCs w:val="18"/>
              </w:rPr>
            </w:pPr>
            <w:r>
              <w:rPr>
                <w:rFonts w:ascii="Arial"/>
                <w:sz w:val="18"/>
              </w:rPr>
              <w:t>30.23</w:t>
            </w:r>
          </w:p>
        </w:tc>
        <w:tc>
          <w:tcPr>
            <w:tcW w:w="6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18"/>
                <w:szCs w:val="18"/>
              </w:rPr>
            </w:pPr>
            <w:r>
              <w:rPr>
                <w:rFonts w:ascii="Arial"/>
                <w:spacing w:val="-1"/>
                <w:sz w:val="18"/>
              </w:rPr>
              <w:t>10,398</w:t>
            </w:r>
          </w:p>
          <w:p>
            <w:pPr>
              <w:pStyle w:val="TableParagraph"/>
              <w:spacing w:line="240" w:lineRule="auto" w:before="104"/>
              <w:ind w:right="22"/>
              <w:jc w:val="right"/>
              <w:rPr>
                <w:rFonts w:ascii="Arial" w:hAnsi="Arial" w:cs="Arial" w:eastAsia="Arial" w:hint="default"/>
                <w:sz w:val="18"/>
                <w:szCs w:val="18"/>
              </w:rPr>
            </w:pPr>
            <w:r>
              <w:rPr>
                <w:rFonts w:ascii="Arial"/>
                <w:spacing w:val="-1"/>
                <w:sz w:val="18"/>
              </w:rPr>
              <w:t>,371.9</w:t>
            </w:r>
            <w:r>
              <w:rPr>
                <w:rFonts w:ascii="Arial"/>
                <w:sz w:val="18"/>
              </w:rPr>
            </w:r>
          </w:p>
          <w:p>
            <w:pPr>
              <w:pStyle w:val="TableParagraph"/>
              <w:spacing w:line="240" w:lineRule="auto" w:before="106"/>
              <w:ind w:right="21"/>
              <w:jc w:val="right"/>
              <w:rPr>
                <w:rFonts w:ascii="Arial" w:hAnsi="Arial" w:cs="Arial" w:eastAsia="Arial" w:hint="default"/>
                <w:sz w:val="18"/>
                <w:szCs w:val="18"/>
              </w:rPr>
            </w:pPr>
            <w:r>
              <w:rPr>
                <w:rFonts w:ascii="Arial"/>
                <w:sz w:val="18"/>
              </w:rPr>
              <w:t>3</w:t>
            </w:r>
          </w:p>
        </w:tc>
        <w:tc>
          <w:tcPr>
            <w:tcW w:w="65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92" w:right="0"/>
              <w:jc w:val="center"/>
              <w:rPr>
                <w:rFonts w:ascii="Arial" w:hAnsi="Arial" w:cs="Arial" w:eastAsia="Arial" w:hint="default"/>
                <w:sz w:val="18"/>
                <w:szCs w:val="18"/>
              </w:rPr>
            </w:pPr>
            <w:r>
              <w:rPr>
                <w:rFonts w:ascii="Arial"/>
                <w:sz w:val="18"/>
              </w:rPr>
              <w:t>1,434,</w:t>
            </w:r>
          </w:p>
          <w:p>
            <w:pPr>
              <w:pStyle w:val="TableParagraph"/>
              <w:spacing w:line="240" w:lineRule="auto" w:before="104"/>
              <w:ind w:left="43" w:right="0"/>
              <w:jc w:val="center"/>
              <w:rPr>
                <w:rFonts w:ascii="Arial" w:hAnsi="Arial" w:cs="Arial" w:eastAsia="Arial" w:hint="default"/>
                <w:sz w:val="18"/>
                <w:szCs w:val="18"/>
              </w:rPr>
            </w:pPr>
            <w:r>
              <w:rPr>
                <w:rFonts w:ascii="Arial"/>
                <w:sz w:val="18"/>
              </w:rPr>
              <w:t>556,10</w:t>
            </w:r>
          </w:p>
          <w:p>
            <w:pPr>
              <w:pStyle w:val="TableParagraph"/>
              <w:spacing w:line="240" w:lineRule="auto" w:before="106"/>
              <w:ind w:left="243" w:right="0"/>
              <w:jc w:val="center"/>
              <w:rPr>
                <w:rFonts w:ascii="Arial" w:hAnsi="Arial" w:cs="Arial" w:eastAsia="Arial" w:hint="default"/>
                <w:sz w:val="18"/>
                <w:szCs w:val="18"/>
              </w:rPr>
            </w:pPr>
            <w:r>
              <w:rPr>
                <w:rFonts w:ascii="Arial"/>
                <w:sz w:val="18"/>
              </w:rPr>
              <w:t>2.16</w:t>
            </w:r>
          </w:p>
        </w:tc>
      </w:tr>
      <w:tr>
        <w:trPr>
          <w:trHeight w:val="704" w:hRule="exact"/>
        </w:trPr>
        <w:tc>
          <w:tcPr>
            <w:tcW w:w="11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11" w:right="86"/>
              <w:jc w:val="left"/>
              <w:rPr>
                <w:rFonts w:ascii="宋体" w:hAnsi="宋体" w:cs="宋体" w:eastAsia="宋体" w:hint="default"/>
                <w:sz w:val="18"/>
                <w:szCs w:val="18"/>
              </w:rPr>
            </w:pPr>
            <w:r>
              <w:rPr>
                <w:rFonts w:ascii="宋体" w:hAnsi="宋体" w:cs="宋体" w:eastAsia="宋体" w:hint="default"/>
                <w:sz w:val="18"/>
                <w:szCs w:val="18"/>
              </w:rPr>
              <w:t>二、本年期初 余额</w:t>
            </w:r>
          </w:p>
        </w:tc>
        <w:tc>
          <w:tcPr>
            <w:tcW w:w="501" w:type="dxa"/>
            <w:vMerge/>
            <w:tcBorders>
              <w:left w:val="single" w:sz="9" w:space="0" w:color="D3D3D3"/>
              <w:right w:val="single" w:sz="4" w:space="0" w:color="000000"/>
            </w:tcBorders>
          </w:tcPr>
          <w:p>
            <w:pPr/>
          </w:p>
        </w:tc>
        <w:tc>
          <w:tcPr>
            <w:tcW w:w="45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89"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3" w:type="dxa"/>
            <w:vMerge/>
            <w:tcBorders>
              <w:left w:val="single" w:sz="4" w:space="0" w:color="000000"/>
              <w:right w:val="single" w:sz="4" w:space="0" w:color="000000"/>
            </w:tcBorders>
          </w:tcPr>
          <w:p>
            <w:pPr/>
          </w:p>
        </w:tc>
        <w:tc>
          <w:tcPr>
            <w:tcW w:w="650" w:type="dxa"/>
            <w:vMerge/>
            <w:tcBorders>
              <w:left w:val="single" w:sz="4" w:space="0" w:color="000000"/>
              <w:right w:val="single" w:sz="4" w:space="0" w:color="000000"/>
            </w:tcBorders>
          </w:tcPr>
          <w:p>
            <w:pPr/>
          </w:p>
        </w:tc>
      </w:tr>
      <w:tr>
        <w:trPr>
          <w:trHeight w:val="317" w:hRule="exact"/>
        </w:trPr>
        <w:tc>
          <w:tcPr>
            <w:tcW w:w="1189" w:type="dxa"/>
            <w:tcBorders>
              <w:top w:val="nil" w:sz="6" w:space="0" w:color="auto"/>
              <w:left w:val="single" w:sz="4" w:space="0" w:color="000000"/>
              <w:bottom w:val="single" w:sz="4" w:space="0" w:color="000000"/>
              <w:right w:val="single" w:sz="4" w:space="0" w:color="000000"/>
            </w:tcBorders>
            <w:shd w:val="clear" w:color="auto" w:fill="D3D3D3"/>
          </w:tcPr>
          <w:p>
            <w:pPr/>
          </w:p>
        </w:tc>
        <w:tc>
          <w:tcPr>
            <w:tcW w:w="501" w:type="dxa"/>
            <w:vMerge/>
            <w:tcBorders>
              <w:left w:val="single" w:sz="9" w:space="0" w:color="D3D3D3"/>
              <w:bottom w:val="single" w:sz="4" w:space="0" w:color="000000"/>
              <w:right w:val="single" w:sz="4" w:space="0" w:color="000000"/>
            </w:tcBorders>
          </w:tcPr>
          <w:p>
            <w:pPr/>
          </w:p>
        </w:tc>
        <w:tc>
          <w:tcPr>
            <w:tcW w:w="45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89"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650" w:type="dxa"/>
            <w:vMerge/>
            <w:tcBorders>
              <w:left w:val="single" w:sz="4" w:space="0" w:color="000000"/>
              <w:bottom w:val="single" w:sz="4" w:space="0" w:color="000000"/>
              <w:right w:val="single" w:sz="4" w:space="0" w:color="000000"/>
            </w:tcBorders>
          </w:tcPr>
          <w:p>
            <w:pPr/>
          </w:p>
        </w:tc>
      </w:tr>
      <w:tr>
        <w:trPr>
          <w:trHeight w:val="1338" w:hRule="exact"/>
        </w:trPr>
        <w:tc>
          <w:tcPr>
            <w:tcW w:w="1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2" w:lineRule="auto" w:before="52"/>
              <w:ind w:left="11" w:right="86"/>
              <w:jc w:val="both"/>
              <w:rPr>
                <w:rFonts w:ascii="宋体" w:hAnsi="宋体" w:cs="宋体" w:eastAsia="宋体" w:hint="default"/>
                <w:sz w:val="18"/>
                <w:szCs w:val="18"/>
              </w:rPr>
            </w:pPr>
            <w:r>
              <w:rPr>
                <w:rFonts w:ascii="宋体" w:hAnsi="宋体" w:cs="宋体" w:eastAsia="宋体" w:hint="default"/>
                <w:sz w:val="18"/>
                <w:szCs w:val="18"/>
              </w:rPr>
              <w:t>三、本期增减 变动金额（减 少以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 列）</w:t>
            </w:r>
          </w:p>
        </w:tc>
        <w:tc>
          <w:tcPr>
            <w:tcW w:w="501" w:type="dxa"/>
            <w:tcBorders>
              <w:top w:val="single" w:sz="4" w:space="0" w:color="000000"/>
              <w:left w:val="single" w:sz="13" w:space="0" w:color="D3D3D3"/>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4"/>
              <w:jc w:val="right"/>
              <w:rPr>
                <w:rFonts w:ascii="Arial" w:hAnsi="Arial" w:cs="Arial" w:eastAsia="Arial" w:hint="default"/>
                <w:sz w:val="18"/>
                <w:szCs w:val="18"/>
              </w:rPr>
            </w:pPr>
            <w:r>
              <w:rPr>
                <w:rFonts w:ascii="Arial"/>
                <w:spacing w:val="-1"/>
                <w:sz w:val="18"/>
              </w:rPr>
              <w:t>4,181,</w:t>
            </w:r>
            <w:r>
              <w:rPr>
                <w:rFonts w:ascii="Arial"/>
                <w:sz w:val="18"/>
              </w:rPr>
            </w:r>
          </w:p>
          <w:p>
            <w:pPr>
              <w:pStyle w:val="TableParagraph"/>
              <w:spacing w:line="240" w:lineRule="auto" w:before="104"/>
              <w:ind w:right="23"/>
              <w:jc w:val="right"/>
              <w:rPr>
                <w:rFonts w:ascii="Arial" w:hAnsi="Arial" w:cs="Arial" w:eastAsia="Arial" w:hint="default"/>
                <w:sz w:val="18"/>
                <w:szCs w:val="18"/>
              </w:rPr>
            </w:pPr>
            <w:r>
              <w:rPr>
                <w:rFonts w:ascii="Arial"/>
                <w:spacing w:val="-1"/>
                <w:w w:val="95"/>
                <w:sz w:val="18"/>
              </w:rPr>
              <w:t>079.4</w:t>
            </w:r>
            <w:r>
              <w:rPr>
                <w:rFonts w:ascii="Arial"/>
                <w:w w:val="95"/>
                <w:sz w:val="18"/>
              </w:rPr>
            </w:r>
          </w:p>
          <w:p>
            <w:pPr>
              <w:pStyle w:val="TableParagraph"/>
              <w:spacing w:line="240" w:lineRule="auto" w:before="106"/>
              <w:ind w:right="21"/>
              <w:jc w:val="right"/>
              <w:rPr>
                <w:rFonts w:ascii="Arial" w:hAnsi="Arial" w:cs="Arial" w:eastAsia="Arial" w:hint="default"/>
                <w:sz w:val="18"/>
                <w:szCs w:val="18"/>
              </w:rPr>
            </w:pPr>
            <w:r>
              <w:rPr>
                <w:rFonts w:ascii="Arial"/>
                <w:sz w:val="18"/>
              </w:rPr>
              <w:t>7</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18"/>
                <w:szCs w:val="18"/>
              </w:rPr>
            </w:pPr>
            <w:r>
              <w:rPr>
                <w:rFonts w:ascii="Arial"/>
                <w:spacing w:val="-1"/>
                <w:sz w:val="18"/>
              </w:rPr>
              <w:t>5,026,</w:t>
            </w:r>
            <w:r>
              <w:rPr>
                <w:rFonts w:ascii="Arial"/>
                <w:sz w:val="18"/>
              </w:rPr>
            </w:r>
          </w:p>
          <w:p>
            <w:pPr>
              <w:pStyle w:val="TableParagraph"/>
              <w:spacing w:line="240" w:lineRule="auto" w:before="104"/>
              <w:ind w:right="21"/>
              <w:jc w:val="right"/>
              <w:rPr>
                <w:rFonts w:ascii="Arial" w:hAnsi="Arial" w:cs="Arial" w:eastAsia="Arial" w:hint="default"/>
                <w:sz w:val="18"/>
                <w:szCs w:val="18"/>
              </w:rPr>
            </w:pPr>
            <w:r>
              <w:rPr>
                <w:rFonts w:ascii="Arial"/>
                <w:spacing w:val="-1"/>
                <w:w w:val="95"/>
                <w:sz w:val="18"/>
              </w:rPr>
              <w:t>845.3</w:t>
            </w:r>
            <w:r>
              <w:rPr>
                <w:rFonts w:ascii="Arial"/>
                <w:w w:val="95"/>
                <w:sz w:val="18"/>
              </w:rPr>
            </w:r>
          </w:p>
          <w:p>
            <w:pPr>
              <w:pStyle w:val="TableParagraph"/>
              <w:spacing w:line="240" w:lineRule="auto" w:before="106"/>
              <w:ind w:right="20"/>
              <w:jc w:val="right"/>
              <w:rPr>
                <w:rFonts w:ascii="Arial" w:hAnsi="Arial" w:cs="Arial" w:eastAsia="Arial" w:hint="default"/>
                <w:sz w:val="18"/>
                <w:szCs w:val="18"/>
              </w:rPr>
            </w:pPr>
            <w:r>
              <w:rPr>
                <w:rFonts w:ascii="Arial"/>
                <w:sz w:val="18"/>
              </w:rPr>
              <w:t>2</w:t>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5" w:right="0"/>
              <w:jc w:val="left"/>
              <w:rPr>
                <w:rFonts w:ascii="Arial" w:hAnsi="Arial" w:cs="Arial" w:eastAsia="Arial" w:hint="default"/>
                <w:sz w:val="18"/>
                <w:szCs w:val="18"/>
              </w:rPr>
            </w:pPr>
            <w:r>
              <w:rPr>
                <w:rFonts w:ascii="Arial"/>
                <w:sz w:val="18"/>
              </w:rPr>
              <w:t>22,03</w:t>
            </w:r>
          </w:p>
          <w:p>
            <w:pPr>
              <w:pStyle w:val="TableParagraph"/>
              <w:spacing w:line="240" w:lineRule="auto" w:before="104"/>
              <w:ind w:left="55" w:right="0"/>
              <w:jc w:val="left"/>
              <w:rPr>
                <w:rFonts w:ascii="Arial" w:hAnsi="Arial" w:cs="Arial" w:eastAsia="Arial" w:hint="default"/>
                <w:sz w:val="18"/>
                <w:szCs w:val="18"/>
              </w:rPr>
            </w:pPr>
            <w:r>
              <w:rPr>
                <w:rFonts w:ascii="Arial"/>
                <w:sz w:val="18"/>
              </w:rPr>
              <w:t>8,867.</w:t>
            </w:r>
          </w:p>
          <w:p>
            <w:pPr>
              <w:pStyle w:val="TableParagraph"/>
              <w:spacing w:line="240" w:lineRule="auto" w:before="106"/>
              <w:ind w:left="355" w:right="0"/>
              <w:jc w:val="left"/>
              <w:rPr>
                <w:rFonts w:ascii="Arial" w:hAnsi="Arial" w:cs="Arial" w:eastAsia="Arial" w:hint="default"/>
                <w:sz w:val="18"/>
                <w:szCs w:val="18"/>
              </w:rPr>
            </w:pPr>
            <w:r>
              <w:rPr>
                <w:rFonts w:ascii="Arial"/>
                <w:sz w:val="18"/>
              </w:rPr>
              <w:t>75</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83" w:right="0"/>
              <w:jc w:val="left"/>
              <w:rPr>
                <w:rFonts w:ascii="Arial" w:hAnsi="Arial" w:cs="Arial" w:eastAsia="Arial" w:hint="default"/>
                <w:sz w:val="18"/>
                <w:szCs w:val="18"/>
              </w:rPr>
            </w:pPr>
            <w:r>
              <w:rPr>
                <w:rFonts w:ascii="Arial"/>
                <w:sz w:val="18"/>
              </w:rPr>
              <w:t>31,24</w:t>
            </w:r>
          </w:p>
          <w:p>
            <w:pPr>
              <w:pStyle w:val="TableParagraph"/>
              <w:spacing w:line="240" w:lineRule="auto" w:before="104"/>
              <w:ind w:left="33" w:right="0"/>
              <w:jc w:val="left"/>
              <w:rPr>
                <w:rFonts w:ascii="Arial" w:hAnsi="Arial" w:cs="Arial" w:eastAsia="Arial" w:hint="default"/>
                <w:sz w:val="18"/>
                <w:szCs w:val="18"/>
              </w:rPr>
            </w:pPr>
            <w:r>
              <w:rPr>
                <w:rFonts w:ascii="Arial"/>
                <w:sz w:val="18"/>
              </w:rPr>
              <w:t>6,792.</w:t>
            </w:r>
          </w:p>
          <w:p>
            <w:pPr>
              <w:pStyle w:val="TableParagraph"/>
              <w:spacing w:line="240" w:lineRule="auto" w:before="106"/>
              <w:ind w:left="333" w:right="0"/>
              <w:jc w:val="left"/>
              <w:rPr>
                <w:rFonts w:ascii="Arial" w:hAnsi="Arial" w:cs="Arial" w:eastAsia="Arial" w:hint="default"/>
                <w:sz w:val="18"/>
                <w:szCs w:val="18"/>
              </w:rPr>
            </w:pPr>
            <w:r>
              <w:rPr>
                <w:rFonts w:ascii="Arial"/>
                <w:sz w:val="18"/>
              </w:rPr>
              <w:t>54</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left="49" w:right="0"/>
              <w:jc w:val="left"/>
              <w:rPr>
                <w:rFonts w:ascii="Arial" w:hAnsi="Arial" w:cs="Arial" w:eastAsia="Arial" w:hint="default"/>
                <w:sz w:val="18"/>
                <w:szCs w:val="18"/>
              </w:rPr>
            </w:pPr>
            <w:r>
              <w:rPr>
                <w:rFonts w:ascii="Arial"/>
                <w:sz w:val="18"/>
              </w:rPr>
              <w:t>-3,718,</w:t>
            </w:r>
          </w:p>
          <w:p>
            <w:pPr>
              <w:pStyle w:val="TableParagraph"/>
              <w:spacing w:line="240" w:lineRule="auto" w:before="105"/>
              <w:ind w:left="58" w:right="0"/>
              <w:jc w:val="left"/>
              <w:rPr>
                <w:rFonts w:ascii="Arial" w:hAnsi="Arial" w:cs="Arial" w:eastAsia="Arial" w:hint="default"/>
                <w:sz w:val="18"/>
                <w:szCs w:val="18"/>
              </w:rPr>
            </w:pPr>
            <w:r>
              <w:rPr>
                <w:rFonts w:ascii="Arial"/>
                <w:sz w:val="18"/>
              </w:rPr>
              <w:t>376.79</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27,528</w:t>
            </w:r>
          </w:p>
          <w:p>
            <w:pPr>
              <w:pStyle w:val="TableParagraph"/>
              <w:spacing w:line="240" w:lineRule="auto" w:before="104"/>
              <w:ind w:right="21"/>
              <w:jc w:val="right"/>
              <w:rPr>
                <w:rFonts w:ascii="Arial" w:hAnsi="Arial" w:cs="Arial" w:eastAsia="Arial" w:hint="default"/>
                <w:sz w:val="18"/>
                <w:szCs w:val="18"/>
              </w:rPr>
            </w:pPr>
            <w:r>
              <w:rPr>
                <w:rFonts w:ascii="Arial"/>
                <w:spacing w:val="-1"/>
                <w:sz w:val="18"/>
              </w:rPr>
              <w:t>,415.7</w:t>
            </w:r>
            <w:r>
              <w:rPr>
                <w:rFonts w:ascii="Arial"/>
                <w:sz w:val="18"/>
              </w:rPr>
            </w:r>
          </w:p>
          <w:p>
            <w:pPr>
              <w:pStyle w:val="TableParagraph"/>
              <w:spacing w:line="240" w:lineRule="auto" w:before="106"/>
              <w:ind w:right="20"/>
              <w:jc w:val="right"/>
              <w:rPr>
                <w:rFonts w:ascii="Arial" w:hAnsi="Arial" w:cs="Arial" w:eastAsia="Arial" w:hint="default"/>
                <w:sz w:val="18"/>
                <w:szCs w:val="18"/>
              </w:rPr>
            </w:pPr>
            <w:r>
              <w:rPr>
                <w:rFonts w:ascii="Arial"/>
                <w:sz w:val="18"/>
              </w:rPr>
              <w:t>5</w:t>
            </w:r>
          </w:p>
        </w:tc>
      </w:tr>
      <w:tr>
        <w:trPr>
          <w:trHeight w:val="162" w:hRule="exact"/>
        </w:trPr>
        <w:tc>
          <w:tcPr>
            <w:tcW w:w="1189" w:type="dxa"/>
            <w:tcBorders>
              <w:top w:val="single" w:sz="4" w:space="0" w:color="000000"/>
              <w:left w:val="single" w:sz="4" w:space="0" w:color="000000"/>
              <w:bottom w:val="nil" w:sz="6" w:space="0" w:color="auto"/>
              <w:right w:val="single" w:sz="4" w:space="0" w:color="000000"/>
            </w:tcBorders>
            <w:shd w:val="clear" w:color="auto" w:fill="D3D3D3"/>
          </w:tcPr>
          <w:p>
            <w:pPr/>
          </w:p>
        </w:tc>
        <w:tc>
          <w:tcPr>
            <w:tcW w:w="501" w:type="dxa"/>
            <w:vMerge w:val="restart"/>
            <w:tcBorders>
              <w:top w:val="single" w:sz="4" w:space="0" w:color="000000"/>
              <w:left w:val="single" w:sz="9" w:space="0" w:color="D3D3D3"/>
              <w:right w:val="single" w:sz="4" w:space="0" w:color="000000"/>
            </w:tcBorders>
          </w:tcPr>
          <w:p>
            <w:pPr/>
          </w:p>
        </w:tc>
        <w:tc>
          <w:tcPr>
            <w:tcW w:w="450" w:type="dxa"/>
            <w:vMerge w:val="restart"/>
            <w:tcBorders>
              <w:top w:val="single" w:sz="4" w:space="0" w:color="000000"/>
              <w:left w:val="single" w:sz="4" w:space="0" w:color="000000"/>
              <w:right w:val="single" w:sz="4" w:space="0" w:color="000000"/>
            </w:tcBorders>
          </w:tcPr>
          <w:p>
            <w:pPr/>
          </w:p>
        </w:tc>
        <w:tc>
          <w:tcPr>
            <w:tcW w:w="449" w:type="dxa"/>
            <w:vMerge w:val="restart"/>
            <w:tcBorders>
              <w:top w:val="single" w:sz="4" w:space="0" w:color="000000"/>
              <w:left w:val="single" w:sz="4" w:space="0" w:color="000000"/>
              <w:right w:val="single" w:sz="4" w:space="0" w:color="000000"/>
            </w:tcBorders>
          </w:tcPr>
          <w:p>
            <w:pPr/>
          </w:p>
        </w:tc>
        <w:tc>
          <w:tcPr>
            <w:tcW w:w="491"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Style w:val="TableParagraph"/>
              <w:spacing w:line="240" w:lineRule="auto" w:before="92"/>
              <w:ind w:right="24"/>
              <w:jc w:val="right"/>
              <w:rPr>
                <w:rFonts w:ascii="Arial" w:hAnsi="Arial" w:cs="Arial" w:eastAsia="Arial" w:hint="default"/>
                <w:sz w:val="18"/>
                <w:szCs w:val="18"/>
              </w:rPr>
            </w:pPr>
            <w:r>
              <w:rPr>
                <w:rFonts w:ascii="Arial"/>
                <w:spacing w:val="-1"/>
                <w:sz w:val="18"/>
              </w:rPr>
              <w:t>4,181,</w:t>
            </w:r>
            <w:r>
              <w:rPr>
                <w:rFonts w:ascii="Arial"/>
                <w:sz w:val="18"/>
              </w:rPr>
            </w:r>
          </w:p>
          <w:p>
            <w:pPr>
              <w:pStyle w:val="TableParagraph"/>
              <w:spacing w:line="240" w:lineRule="auto" w:before="104"/>
              <w:ind w:right="23"/>
              <w:jc w:val="right"/>
              <w:rPr>
                <w:rFonts w:ascii="Arial" w:hAnsi="Arial" w:cs="Arial" w:eastAsia="Arial" w:hint="default"/>
                <w:sz w:val="18"/>
                <w:szCs w:val="18"/>
              </w:rPr>
            </w:pPr>
            <w:r>
              <w:rPr>
                <w:rFonts w:ascii="Arial"/>
                <w:spacing w:val="-1"/>
                <w:w w:val="95"/>
                <w:sz w:val="18"/>
              </w:rPr>
              <w:t>079.4</w:t>
            </w:r>
            <w:r>
              <w:rPr>
                <w:rFonts w:ascii="Arial"/>
                <w:w w:val="95"/>
                <w:sz w:val="18"/>
              </w:rPr>
            </w:r>
          </w:p>
          <w:p>
            <w:pPr>
              <w:pStyle w:val="TableParagraph"/>
              <w:spacing w:line="240" w:lineRule="auto" w:before="106"/>
              <w:ind w:right="21"/>
              <w:jc w:val="right"/>
              <w:rPr>
                <w:rFonts w:ascii="Arial" w:hAnsi="Arial" w:cs="Arial" w:eastAsia="Arial" w:hint="default"/>
                <w:sz w:val="18"/>
                <w:szCs w:val="18"/>
              </w:rPr>
            </w:pPr>
            <w:r>
              <w:rPr>
                <w:rFonts w:ascii="Arial"/>
                <w:sz w:val="18"/>
              </w:rPr>
              <w:t>7</w:t>
            </w:r>
          </w:p>
        </w:tc>
        <w:tc>
          <w:tcPr>
            <w:tcW w:w="576" w:type="dxa"/>
            <w:vMerge w:val="restart"/>
            <w:tcBorders>
              <w:top w:val="single" w:sz="4" w:space="0" w:color="000000"/>
              <w:left w:val="single" w:sz="4" w:space="0" w:color="000000"/>
              <w:right w:val="single" w:sz="4" w:space="0" w:color="000000"/>
            </w:tcBorders>
          </w:tcPr>
          <w:p>
            <w:pPr/>
          </w:p>
        </w:tc>
        <w:tc>
          <w:tcPr>
            <w:tcW w:w="576" w:type="dxa"/>
            <w:vMerge w:val="restart"/>
            <w:tcBorders>
              <w:top w:val="single" w:sz="4" w:space="0" w:color="000000"/>
              <w:left w:val="single" w:sz="4" w:space="0" w:color="000000"/>
              <w:right w:val="single" w:sz="4" w:space="0" w:color="000000"/>
            </w:tcBorders>
          </w:tcPr>
          <w:p>
            <w:pPr/>
          </w:p>
        </w:tc>
        <w:tc>
          <w:tcPr>
            <w:tcW w:w="577" w:type="dxa"/>
            <w:vMerge w:val="restart"/>
            <w:tcBorders>
              <w:top w:val="single" w:sz="4" w:space="0" w:color="000000"/>
              <w:left w:val="single" w:sz="4" w:space="0" w:color="000000"/>
              <w:right w:val="single" w:sz="4" w:space="0" w:color="000000"/>
            </w:tcBorders>
          </w:tcPr>
          <w:p>
            <w:pPr/>
          </w:p>
        </w:tc>
        <w:tc>
          <w:tcPr>
            <w:tcW w:w="589" w:type="dxa"/>
            <w:vMerge w:val="restart"/>
            <w:tcBorders>
              <w:top w:val="single" w:sz="4" w:space="0" w:color="000000"/>
              <w:left w:val="single" w:sz="4" w:space="0" w:color="000000"/>
              <w:right w:val="single" w:sz="4" w:space="0" w:color="000000"/>
            </w:tcBorders>
          </w:tcPr>
          <w:p>
            <w:pPr>
              <w:pStyle w:val="TableParagraph"/>
              <w:spacing w:line="240" w:lineRule="auto" w:before="92"/>
              <w:ind w:left="105" w:right="0"/>
              <w:jc w:val="left"/>
              <w:rPr>
                <w:rFonts w:ascii="Arial" w:hAnsi="Arial" w:cs="Arial" w:eastAsia="Arial" w:hint="default"/>
                <w:sz w:val="18"/>
                <w:szCs w:val="18"/>
              </w:rPr>
            </w:pPr>
            <w:r>
              <w:rPr>
                <w:rFonts w:ascii="Arial"/>
                <w:sz w:val="18"/>
              </w:rPr>
              <w:t>33,28</w:t>
            </w:r>
          </w:p>
          <w:p>
            <w:pPr>
              <w:pStyle w:val="TableParagraph"/>
              <w:spacing w:line="240" w:lineRule="auto" w:before="104"/>
              <w:ind w:left="55" w:right="0"/>
              <w:jc w:val="left"/>
              <w:rPr>
                <w:rFonts w:ascii="Arial" w:hAnsi="Arial" w:cs="Arial" w:eastAsia="Arial" w:hint="default"/>
                <w:sz w:val="18"/>
                <w:szCs w:val="18"/>
              </w:rPr>
            </w:pPr>
            <w:r>
              <w:rPr>
                <w:rFonts w:ascii="Arial"/>
                <w:sz w:val="18"/>
              </w:rPr>
              <w:t>7,713.</w:t>
            </w:r>
          </w:p>
          <w:p>
            <w:pPr>
              <w:pStyle w:val="TableParagraph"/>
              <w:spacing w:line="240" w:lineRule="auto" w:before="106"/>
              <w:ind w:left="355" w:right="0"/>
              <w:jc w:val="left"/>
              <w:rPr>
                <w:rFonts w:ascii="Arial" w:hAnsi="Arial" w:cs="Arial" w:eastAsia="Arial" w:hint="default"/>
                <w:sz w:val="18"/>
                <w:szCs w:val="18"/>
              </w:rPr>
            </w:pPr>
            <w:r>
              <w:rPr>
                <w:rFonts w:ascii="Arial"/>
                <w:sz w:val="18"/>
              </w:rPr>
              <w:t>07</w:t>
            </w:r>
          </w:p>
        </w:tc>
        <w:tc>
          <w:tcPr>
            <w:tcW w:w="568" w:type="dxa"/>
            <w:vMerge w:val="restart"/>
            <w:tcBorders>
              <w:top w:val="single" w:sz="4" w:space="0" w:color="000000"/>
              <w:left w:val="single" w:sz="4" w:space="0" w:color="000000"/>
              <w:right w:val="single" w:sz="4" w:space="0" w:color="000000"/>
            </w:tcBorders>
          </w:tcPr>
          <w:p>
            <w:pPr/>
          </w:p>
        </w:tc>
        <w:tc>
          <w:tcPr>
            <w:tcW w:w="566" w:type="dxa"/>
            <w:vMerge w:val="restart"/>
            <w:tcBorders>
              <w:top w:val="single" w:sz="4" w:space="0" w:color="000000"/>
              <w:left w:val="single" w:sz="4" w:space="0" w:color="000000"/>
              <w:right w:val="single" w:sz="4" w:space="0" w:color="000000"/>
            </w:tcBorders>
          </w:tcPr>
          <w:p>
            <w:pPr>
              <w:pStyle w:val="TableParagraph"/>
              <w:spacing w:line="240" w:lineRule="auto" w:before="92"/>
              <w:ind w:left="83" w:right="0"/>
              <w:jc w:val="left"/>
              <w:rPr>
                <w:rFonts w:ascii="Arial" w:hAnsi="Arial" w:cs="Arial" w:eastAsia="Arial" w:hint="default"/>
                <w:sz w:val="18"/>
                <w:szCs w:val="18"/>
              </w:rPr>
            </w:pPr>
            <w:r>
              <w:rPr>
                <w:rFonts w:ascii="Arial"/>
                <w:sz w:val="18"/>
              </w:rPr>
              <w:t>37,46</w:t>
            </w:r>
          </w:p>
          <w:p>
            <w:pPr>
              <w:pStyle w:val="TableParagraph"/>
              <w:spacing w:line="240" w:lineRule="auto" w:before="104"/>
              <w:ind w:left="33" w:right="0"/>
              <w:jc w:val="left"/>
              <w:rPr>
                <w:rFonts w:ascii="Arial" w:hAnsi="Arial" w:cs="Arial" w:eastAsia="Arial" w:hint="default"/>
                <w:sz w:val="18"/>
                <w:szCs w:val="18"/>
              </w:rPr>
            </w:pPr>
            <w:r>
              <w:rPr>
                <w:rFonts w:ascii="Arial"/>
                <w:sz w:val="18"/>
              </w:rPr>
              <w:t>8,792.</w:t>
            </w:r>
          </w:p>
          <w:p>
            <w:pPr>
              <w:pStyle w:val="TableParagraph"/>
              <w:spacing w:line="240" w:lineRule="auto" w:before="106"/>
              <w:ind w:left="333" w:right="0"/>
              <w:jc w:val="left"/>
              <w:rPr>
                <w:rFonts w:ascii="Arial" w:hAnsi="Arial" w:cs="Arial" w:eastAsia="Arial" w:hint="default"/>
                <w:sz w:val="18"/>
                <w:szCs w:val="18"/>
              </w:rPr>
            </w:pPr>
            <w:r>
              <w:rPr>
                <w:rFonts w:ascii="Arial"/>
                <w:sz w:val="18"/>
              </w:rPr>
              <w:t>54</w:t>
            </w:r>
          </w:p>
        </w:tc>
        <w:tc>
          <w:tcPr>
            <w:tcW w:w="643"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49" w:right="0"/>
              <w:jc w:val="left"/>
              <w:rPr>
                <w:rFonts w:ascii="Arial" w:hAnsi="Arial" w:cs="Arial" w:eastAsia="Arial" w:hint="default"/>
                <w:sz w:val="18"/>
                <w:szCs w:val="18"/>
              </w:rPr>
            </w:pPr>
            <w:r>
              <w:rPr>
                <w:rFonts w:ascii="Arial"/>
                <w:sz w:val="18"/>
              </w:rPr>
              <w:t>-3,718,</w:t>
            </w:r>
          </w:p>
          <w:p>
            <w:pPr>
              <w:pStyle w:val="TableParagraph"/>
              <w:spacing w:line="240" w:lineRule="auto" w:before="105"/>
              <w:ind w:left="58" w:right="0"/>
              <w:jc w:val="left"/>
              <w:rPr>
                <w:rFonts w:ascii="Arial" w:hAnsi="Arial" w:cs="Arial" w:eastAsia="Arial" w:hint="default"/>
                <w:sz w:val="18"/>
                <w:szCs w:val="18"/>
              </w:rPr>
            </w:pPr>
            <w:r>
              <w:rPr>
                <w:rFonts w:ascii="Arial"/>
                <w:sz w:val="18"/>
              </w:rPr>
              <w:t>376.79</w:t>
            </w:r>
          </w:p>
        </w:tc>
        <w:tc>
          <w:tcPr>
            <w:tcW w:w="650" w:type="dxa"/>
            <w:vMerge w:val="restart"/>
            <w:tcBorders>
              <w:top w:val="single" w:sz="4" w:space="0" w:color="000000"/>
              <w:left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33,750</w:t>
            </w:r>
          </w:p>
          <w:p>
            <w:pPr>
              <w:pStyle w:val="TableParagraph"/>
              <w:spacing w:line="240" w:lineRule="auto" w:before="104"/>
              <w:ind w:right="21"/>
              <w:jc w:val="right"/>
              <w:rPr>
                <w:rFonts w:ascii="Arial" w:hAnsi="Arial" w:cs="Arial" w:eastAsia="Arial" w:hint="default"/>
                <w:sz w:val="18"/>
                <w:szCs w:val="18"/>
              </w:rPr>
            </w:pPr>
            <w:r>
              <w:rPr>
                <w:rFonts w:ascii="Arial"/>
                <w:spacing w:val="-1"/>
                <w:sz w:val="18"/>
              </w:rPr>
              <w:t>,415.7</w:t>
            </w:r>
            <w:r>
              <w:rPr>
                <w:rFonts w:ascii="Arial"/>
                <w:sz w:val="18"/>
              </w:rPr>
            </w:r>
          </w:p>
          <w:p>
            <w:pPr>
              <w:pStyle w:val="TableParagraph"/>
              <w:spacing w:line="240" w:lineRule="auto" w:before="106"/>
              <w:ind w:right="20"/>
              <w:jc w:val="right"/>
              <w:rPr>
                <w:rFonts w:ascii="Arial" w:hAnsi="Arial" w:cs="Arial" w:eastAsia="Arial" w:hint="default"/>
                <w:sz w:val="18"/>
                <w:szCs w:val="18"/>
              </w:rPr>
            </w:pPr>
            <w:r>
              <w:rPr>
                <w:rFonts w:ascii="Arial"/>
                <w:sz w:val="18"/>
              </w:rPr>
              <w:t>5</w:t>
            </w:r>
          </w:p>
        </w:tc>
      </w:tr>
      <w:tr>
        <w:trPr>
          <w:trHeight w:val="704" w:hRule="exact"/>
        </w:trPr>
        <w:tc>
          <w:tcPr>
            <w:tcW w:w="118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51"/>
              <w:ind w:left="11" w:right="86"/>
              <w:jc w:val="left"/>
              <w:rPr>
                <w:rFonts w:ascii="宋体" w:hAnsi="宋体" w:cs="宋体" w:eastAsia="宋体" w:hint="default"/>
                <w:sz w:val="18"/>
                <w:szCs w:val="18"/>
              </w:rPr>
            </w:pPr>
            <w:r>
              <w:rPr>
                <w:rFonts w:ascii="宋体" w:hAnsi="宋体" w:cs="宋体" w:eastAsia="宋体" w:hint="default"/>
                <w:sz w:val="18"/>
                <w:szCs w:val="18"/>
              </w:rPr>
              <w:t>（一）综合收 益总额</w:t>
            </w:r>
          </w:p>
        </w:tc>
        <w:tc>
          <w:tcPr>
            <w:tcW w:w="501" w:type="dxa"/>
            <w:vMerge/>
            <w:tcBorders>
              <w:left w:val="single" w:sz="9" w:space="0" w:color="D3D3D3"/>
              <w:right w:val="single" w:sz="4" w:space="0" w:color="000000"/>
            </w:tcBorders>
          </w:tcPr>
          <w:p>
            <w:pPr/>
          </w:p>
        </w:tc>
        <w:tc>
          <w:tcPr>
            <w:tcW w:w="450" w:type="dxa"/>
            <w:vMerge/>
            <w:tcBorders>
              <w:left w:val="single" w:sz="4" w:space="0" w:color="000000"/>
              <w:right w:val="single" w:sz="4" w:space="0" w:color="000000"/>
            </w:tcBorders>
          </w:tcPr>
          <w:p>
            <w:pPr/>
          </w:p>
        </w:tc>
        <w:tc>
          <w:tcPr>
            <w:tcW w:w="449" w:type="dxa"/>
            <w:vMerge/>
            <w:tcBorders>
              <w:left w:val="single" w:sz="4" w:space="0" w:color="000000"/>
              <w:right w:val="single" w:sz="4" w:space="0" w:color="000000"/>
            </w:tcBorders>
          </w:tcPr>
          <w:p>
            <w:pPr/>
          </w:p>
        </w:tc>
        <w:tc>
          <w:tcPr>
            <w:tcW w:w="491"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6" w:type="dxa"/>
            <w:vMerge/>
            <w:tcBorders>
              <w:left w:val="single" w:sz="4" w:space="0" w:color="000000"/>
              <w:right w:val="single" w:sz="4" w:space="0" w:color="000000"/>
            </w:tcBorders>
          </w:tcPr>
          <w:p>
            <w:pPr/>
          </w:p>
        </w:tc>
        <w:tc>
          <w:tcPr>
            <w:tcW w:w="577" w:type="dxa"/>
            <w:vMerge/>
            <w:tcBorders>
              <w:left w:val="single" w:sz="4" w:space="0" w:color="000000"/>
              <w:right w:val="single" w:sz="4" w:space="0" w:color="000000"/>
            </w:tcBorders>
          </w:tcPr>
          <w:p>
            <w:pPr/>
          </w:p>
        </w:tc>
        <w:tc>
          <w:tcPr>
            <w:tcW w:w="589" w:type="dxa"/>
            <w:vMerge/>
            <w:tcBorders>
              <w:left w:val="single" w:sz="4" w:space="0" w:color="000000"/>
              <w:right w:val="single" w:sz="4" w:space="0" w:color="000000"/>
            </w:tcBorders>
          </w:tcPr>
          <w:p>
            <w:pPr/>
          </w:p>
        </w:tc>
        <w:tc>
          <w:tcPr>
            <w:tcW w:w="568" w:type="dxa"/>
            <w:vMerge/>
            <w:tcBorders>
              <w:left w:val="single" w:sz="4" w:space="0" w:color="000000"/>
              <w:right w:val="single" w:sz="4" w:space="0" w:color="000000"/>
            </w:tcBorders>
          </w:tcPr>
          <w:p>
            <w:pPr/>
          </w:p>
        </w:tc>
        <w:tc>
          <w:tcPr>
            <w:tcW w:w="566" w:type="dxa"/>
            <w:vMerge/>
            <w:tcBorders>
              <w:left w:val="single" w:sz="4" w:space="0" w:color="000000"/>
              <w:right w:val="single" w:sz="4" w:space="0" w:color="000000"/>
            </w:tcBorders>
          </w:tcPr>
          <w:p>
            <w:pPr/>
          </w:p>
        </w:tc>
        <w:tc>
          <w:tcPr>
            <w:tcW w:w="643" w:type="dxa"/>
            <w:vMerge/>
            <w:tcBorders>
              <w:left w:val="single" w:sz="4" w:space="0" w:color="000000"/>
              <w:right w:val="single" w:sz="4" w:space="0" w:color="000000"/>
            </w:tcBorders>
          </w:tcPr>
          <w:p>
            <w:pPr/>
          </w:p>
        </w:tc>
        <w:tc>
          <w:tcPr>
            <w:tcW w:w="650" w:type="dxa"/>
            <w:vMerge/>
            <w:tcBorders>
              <w:left w:val="single" w:sz="4" w:space="0" w:color="000000"/>
              <w:right w:val="single" w:sz="4" w:space="0" w:color="000000"/>
            </w:tcBorders>
          </w:tcPr>
          <w:p>
            <w:pPr/>
          </w:p>
        </w:tc>
      </w:tr>
      <w:tr>
        <w:trPr>
          <w:trHeight w:val="161" w:hRule="exact"/>
        </w:trPr>
        <w:tc>
          <w:tcPr>
            <w:tcW w:w="1189" w:type="dxa"/>
            <w:tcBorders>
              <w:top w:val="nil" w:sz="6" w:space="0" w:color="auto"/>
              <w:left w:val="single" w:sz="4" w:space="0" w:color="000000"/>
              <w:bottom w:val="single" w:sz="4" w:space="0" w:color="000000"/>
              <w:right w:val="single" w:sz="4" w:space="0" w:color="000000"/>
            </w:tcBorders>
            <w:shd w:val="clear" w:color="auto" w:fill="D3D3D3"/>
          </w:tcPr>
          <w:p>
            <w:pPr/>
          </w:p>
        </w:tc>
        <w:tc>
          <w:tcPr>
            <w:tcW w:w="501" w:type="dxa"/>
            <w:vMerge/>
            <w:tcBorders>
              <w:left w:val="single" w:sz="9" w:space="0" w:color="D3D3D3"/>
              <w:bottom w:val="single" w:sz="4" w:space="0" w:color="000000"/>
              <w:right w:val="single" w:sz="4" w:space="0" w:color="000000"/>
            </w:tcBorders>
          </w:tcPr>
          <w:p>
            <w:pPr/>
          </w:p>
        </w:tc>
        <w:tc>
          <w:tcPr>
            <w:tcW w:w="450" w:type="dxa"/>
            <w:vMerge/>
            <w:tcBorders>
              <w:left w:val="single" w:sz="4" w:space="0" w:color="000000"/>
              <w:bottom w:val="single" w:sz="4" w:space="0" w:color="000000"/>
              <w:right w:val="single" w:sz="4" w:space="0" w:color="000000"/>
            </w:tcBorders>
          </w:tcPr>
          <w:p>
            <w:pPr/>
          </w:p>
        </w:tc>
        <w:tc>
          <w:tcPr>
            <w:tcW w:w="449" w:type="dxa"/>
            <w:vMerge/>
            <w:tcBorders>
              <w:left w:val="single" w:sz="4" w:space="0" w:color="000000"/>
              <w:bottom w:val="single" w:sz="4" w:space="0" w:color="000000"/>
              <w:right w:val="single" w:sz="4" w:space="0" w:color="000000"/>
            </w:tcBorders>
          </w:tcPr>
          <w:p>
            <w:pPr/>
          </w:p>
        </w:tc>
        <w:tc>
          <w:tcPr>
            <w:tcW w:w="491"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6" w:type="dxa"/>
            <w:vMerge/>
            <w:tcBorders>
              <w:left w:val="single" w:sz="4" w:space="0" w:color="000000"/>
              <w:bottom w:val="single" w:sz="4" w:space="0" w:color="000000"/>
              <w:right w:val="single" w:sz="4" w:space="0" w:color="000000"/>
            </w:tcBorders>
          </w:tcPr>
          <w:p>
            <w:pPr/>
          </w:p>
        </w:tc>
        <w:tc>
          <w:tcPr>
            <w:tcW w:w="577" w:type="dxa"/>
            <w:vMerge/>
            <w:tcBorders>
              <w:left w:val="single" w:sz="4" w:space="0" w:color="000000"/>
              <w:bottom w:val="single" w:sz="4" w:space="0" w:color="000000"/>
              <w:right w:val="single" w:sz="4" w:space="0" w:color="000000"/>
            </w:tcBorders>
          </w:tcPr>
          <w:p>
            <w:pPr/>
          </w:p>
        </w:tc>
        <w:tc>
          <w:tcPr>
            <w:tcW w:w="589" w:type="dxa"/>
            <w:vMerge/>
            <w:tcBorders>
              <w:left w:val="single" w:sz="4" w:space="0" w:color="000000"/>
              <w:bottom w:val="single" w:sz="4" w:space="0" w:color="000000"/>
              <w:right w:val="single" w:sz="4" w:space="0" w:color="000000"/>
            </w:tcBorders>
          </w:tcPr>
          <w:p>
            <w:pPr/>
          </w:p>
        </w:tc>
        <w:tc>
          <w:tcPr>
            <w:tcW w:w="568" w:type="dxa"/>
            <w:vMerge/>
            <w:tcBorders>
              <w:left w:val="single" w:sz="4" w:space="0" w:color="000000"/>
              <w:bottom w:val="single" w:sz="4" w:space="0" w:color="000000"/>
              <w:right w:val="single" w:sz="4" w:space="0" w:color="000000"/>
            </w:tcBorders>
          </w:tcPr>
          <w:p>
            <w:pPr/>
          </w:p>
        </w:tc>
        <w:tc>
          <w:tcPr>
            <w:tcW w:w="566" w:type="dxa"/>
            <w:vMerge/>
            <w:tcBorders>
              <w:left w:val="single" w:sz="4" w:space="0" w:color="000000"/>
              <w:bottom w:val="single" w:sz="4" w:space="0" w:color="000000"/>
              <w:right w:val="single" w:sz="4" w:space="0" w:color="000000"/>
            </w:tcBorders>
          </w:tcPr>
          <w:p>
            <w:pPr/>
          </w:p>
        </w:tc>
        <w:tc>
          <w:tcPr>
            <w:tcW w:w="643" w:type="dxa"/>
            <w:vMerge/>
            <w:tcBorders>
              <w:left w:val="single" w:sz="4" w:space="0" w:color="000000"/>
              <w:bottom w:val="single" w:sz="4" w:space="0" w:color="000000"/>
              <w:right w:val="single" w:sz="4" w:space="0" w:color="000000"/>
            </w:tcBorders>
          </w:tcPr>
          <w:p>
            <w:pPr/>
          </w:p>
        </w:tc>
        <w:tc>
          <w:tcPr>
            <w:tcW w:w="650" w:type="dxa"/>
            <w:vMerge/>
            <w:tcBorders>
              <w:left w:val="single" w:sz="4" w:space="0" w:color="000000"/>
              <w:bottom w:val="single" w:sz="4" w:space="0" w:color="000000"/>
              <w:right w:val="single" w:sz="4" w:space="0" w:color="000000"/>
            </w:tcBorders>
          </w:tcPr>
          <w:p>
            <w:pPr/>
          </w:p>
        </w:tc>
      </w:tr>
      <w:tr>
        <w:trPr>
          <w:trHeight w:val="674" w:hRule="exact"/>
        </w:trPr>
        <w:tc>
          <w:tcPr>
            <w:tcW w:w="1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86"/>
              <w:jc w:val="left"/>
              <w:rPr>
                <w:rFonts w:ascii="宋体" w:hAnsi="宋体" w:cs="宋体" w:eastAsia="宋体" w:hint="default"/>
                <w:sz w:val="18"/>
                <w:szCs w:val="18"/>
              </w:rPr>
            </w:pPr>
            <w:r>
              <w:rPr>
                <w:rFonts w:ascii="宋体" w:hAnsi="宋体" w:cs="宋体" w:eastAsia="宋体" w:hint="default"/>
                <w:sz w:val="18"/>
                <w:szCs w:val="18"/>
              </w:rPr>
              <w:t>（二）所有者 投入和减少资</w:t>
            </w:r>
          </w:p>
        </w:tc>
        <w:tc>
          <w:tcPr>
            <w:tcW w:w="501" w:type="dxa"/>
            <w:tcBorders>
              <w:top w:val="single" w:sz="4" w:space="0" w:color="000000"/>
              <w:left w:val="single" w:sz="13" w:space="0" w:color="D3D3D3"/>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1"/>
          <w:pgSz w:w="11910" w:h="16840"/>
          <w:pgMar w:footer="982" w:header="747" w:top="1060" w:bottom="1180" w:left="980" w:right="0"/>
          <w:pgNumType w:start="101"/>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2"/>
        <w:gridCol w:w="490"/>
        <w:gridCol w:w="450"/>
        <w:gridCol w:w="449"/>
        <w:gridCol w:w="491"/>
        <w:gridCol w:w="576"/>
        <w:gridCol w:w="577"/>
        <w:gridCol w:w="577"/>
        <w:gridCol w:w="576"/>
        <w:gridCol w:w="576"/>
        <w:gridCol w:w="577"/>
        <w:gridCol w:w="589"/>
        <w:gridCol w:w="568"/>
        <w:gridCol w:w="566"/>
        <w:gridCol w:w="643"/>
        <w:gridCol w:w="650"/>
      </w:tblGrid>
      <w:tr>
        <w:trPr>
          <w:trHeight w:val="362"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3"/>
              <w:jc w:val="left"/>
              <w:rPr>
                <w:rFonts w:ascii="宋体" w:hAnsi="宋体" w:cs="宋体" w:eastAsia="宋体" w:hint="default"/>
                <w:sz w:val="18"/>
                <w:szCs w:val="18"/>
              </w:rPr>
            </w:pPr>
            <w:r>
              <w:rPr>
                <w:rFonts w:ascii="Arial" w:hAnsi="Arial" w:cs="Arial" w:eastAsia="Arial" w:hint="default"/>
                <w:spacing w:val="-4"/>
                <w:sz w:val="18"/>
                <w:szCs w:val="18"/>
              </w:rPr>
              <w:t>1</w:t>
            </w:r>
            <w:r>
              <w:rPr>
                <w:rFonts w:ascii="宋体" w:hAnsi="宋体" w:cs="宋体" w:eastAsia="宋体" w:hint="default"/>
                <w:spacing w:val="-4"/>
                <w:sz w:val="18"/>
                <w:szCs w:val="18"/>
              </w:rPr>
              <w:t>．所有者投入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的普通股</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3"/>
              <w:jc w:val="left"/>
              <w:rPr>
                <w:rFonts w:ascii="宋体" w:hAnsi="宋体" w:cs="宋体" w:eastAsia="宋体" w:hint="default"/>
                <w:sz w:val="18"/>
                <w:szCs w:val="18"/>
              </w:rPr>
            </w:pPr>
            <w:r>
              <w:rPr>
                <w:rFonts w:ascii="Arial" w:hAnsi="Arial" w:cs="Arial" w:eastAsia="Arial" w:hint="default"/>
                <w:spacing w:val="-4"/>
                <w:sz w:val="18"/>
                <w:szCs w:val="18"/>
              </w:rPr>
              <w:t>2</w:t>
            </w:r>
            <w:r>
              <w:rPr>
                <w:rFonts w:ascii="宋体" w:hAnsi="宋体" w:cs="宋体" w:eastAsia="宋体" w:hint="default"/>
                <w:spacing w:val="-4"/>
                <w:sz w:val="18"/>
                <w:szCs w:val="18"/>
              </w:rPr>
              <w:t>．其他权益工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具持有者投入 资本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3"/>
              <w:jc w:val="left"/>
              <w:rPr>
                <w:rFonts w:ascii="宋体" w:hAnsi="宋体" w:cs="宋体" w:eastAsia="宋体" w:hint="default"/>
                <w:sz w:val="18"/>
                <w:szCs w:val="18"/>
              </w:rPr>
            </w:pPr>
            <w:r>
              <w:rPr>
                <w:rFonts w:ascii="Arial" w:hAnsi="Arial" w:cs="Arial" w:eastAsia="Arial" w:hint="default"/>
                <w:spacing w:val="-4"/>
                <w:sz w:val="18"/>
                <w:szCs w:val="18"/>
              </w:rPr>
              <w:t>3</w:t>
            </w:r>
            <w:r>
              <w:rPr>
                <w:rFonts w:ascii="宋体" w:hAnsi="宋体" w:cs="宋体" w:eastAsia="宋体" w:hint="default"/>
                <w:spacing w:val="-4"/>
                <w:sz w:val="18"/>
                <w:szCs w:val="18"/>
              </w:rPr>
              <w:t>．股份支付计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入所有者权益 的金额</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2" w:right="97"/>
              <w:jc w:val="left"/>
              <w:rPr>
                <w:rFonts w:ascii="宋体" w:hAnsi="宋体" w:cs="宋体" w:eastAsia="宋体" w:hint="default"/>
                <w:sz w:val="18"/>
                <w:szCs w:val="18"/>
              </w:rPr>
            </w:pPr>
            <w:r>
              <w:rPr>
                <w:rFonts w:ascii="宋体" w:hAnsi="宋体" w:cs="宋体" w:eastAsia="宋体" w:hint="default"/>
                <w:sz w:val="18"/>
                <w:szCs w:val="18"/>
              </w:rPr>
              <w:t>（三）利润分 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5,026,</w:t>
            </w:r>
            <w:r>
              <w:rPr>
                <w:rFonts w:ascii="Arial"/>
                <w:sz w:val="18"/>
              </w:rPr>
            </w:r>
          </w:p>
          <w:p>
            <w:pPr>
              <w:pStyle w:val="TableParagraph"/>
              <w:spacing w:line="240" w:lineRule="auto" w:before="104"/>
              <w:ind w:right="21"/>
              <w:jc w:val="right"/>
              <w:rPr>
                <w:rFonts w:ascii="Arial" w:hAnsi="Arial" w:cs="Arial" w:eastAsia="Arial" w:hint="default"/>
                <w:sz w:val="18"/>
                <w:szCs w:val="18"/>
              </w:rPr>
            </w:pPr>
            <w:r>
              <w:rPr>
                <w:rFonts w:ascii="Arial"/>
                <w:spacing w:val="-1"/>
                <w:w w:val="95"/>
                <w:sz w:val="18"/>
              </w:rPr>
              <w:t>845.3</w:t>
            </w:r>
            <w:r>
              <w:rPr>
                <w:rFonts w:ascii="Arial"/>
                <w:w w:val="95"/>
                <w:sz w:val="18"/>
              </w:rPr>
            </w:r>
          </w:p>
          <w:p>
            <w:pPr>
              <w:pStyle w:val="TableParagraph"/>
              <w:spacing w:line="240" w:lineRule="auto" w:before="106"/>
              <w:ind w:right="20"/>
              <w:jc w:val="right"/>
              <w:rPr>
                <w:rFonts w:ascii="Arial" w:hAnsi="Arial" w:cs="Arial" w:eastAsia="Arial" w:hint="default"/>
                <w:sz w:val="18"/>
                <w:szCs w:val="18"/>
              </w:rPr>
            </w:pPr>
            <w:r>
              <w:rPr>
                <w:rFonts w:ascii="Arial"/>
                <w:sz w:val="18"/>
              </w:rPr>
              <w:t>2</w:t>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8" w:right="0"/>
              <w:jc w:val="left"/>
              <w:rPr>
                <w:rFonts w:ascii="Arial" w:hAnsi="Arial" w:cs="Arial" w:eastAsia="Arial" w:hint="default"/>
                <w:sz w:val="18"/>
                <w:szCs w:val="18"/>
              </w:rPr>
            </w:pPr>
            <w:r>
              <w:rPr>
                <w:rFonts w:ascii="Arial"/>
                <w:spacing w:val="-4"/>
                <w:sz w:val="18"/>
              </w:rPr>
              <w:t>-11,24</w:t>
            </w:r>
            <w:r>
              <w:rPr>
                <w:rFonts w:ascii="Arial"/>
                <w:sz w:val="18"/>
              </w:rPr>
            </w:r>
          </w:p>
          <w:p>
            <w:pPr>
              <w:pStyle w:val="TableParagraph"/>
              <w:spacing w:line="240" w:lineRule="auto" w:before="104"/>
              <w:ind w:left="55" w:right="0"/>
              <w:jc w:val="left"/>
              <w:rPr>
                <w:rFonts w:ascii="Arial" w:hAnsi="Arial" w:cs="Arial" w:eastAsia="Arial" w:hint="default"/>
                <w:sz w:val="18"/>
                <w:szCs w:val="18"/>
              </w:rPr>
            </w:pPr>
            <w:r>
              <w:rPr>
                <w:rFonts w:ascii="Arial"/>
                <w:sz w:val="18"/>
              </w:rPr>
              <w:t>8,845.</w:t>
            </w:r>
          </w:p>
          <w:p>
            <w:pPr>
              <w:pStyle w:val="TableParagraph"/>
              <w:spacing w:line="240" w:lineRule="auto" w:before="106"/>
              <w:ind w:left="355" w:right="0"/>
              <w:jc w:val="left"/>
              <w:rPr>
                <w:rFonts w:ascii="Arial" w:hAnsi="Arial" w:cs="Arial" w:eastAsia="Arial" w:hint="default"/>
                <w:sz w:val="18"/>
                <w:szCs w:val="18"/>
              </w:rPr>
            </w:pPr>
            <w:r>
              <w:rPr>
                <w:rFonts w:ascii="Arial"/>
                <w:sz w:val="18"/>
              </w:rPr>
              <w:t>32</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-6,222</w:t>
            </w:r>
            <w:r>
              <w:rPr>
                <w:rFonts w:ascii="Arial"/>
                <w:sz w:val="18"/>
              </w:rPr>
            </w:r>
          </w:p>
          <w:p>
            <w:pPr>
              <w:pStyle w:val="TableParagraph"/>
              <w:spacing w:line="240" w:lineRule="auto" w:before="104"/>
              <w:ind w:right="21"/>
              <w:jc w:val="right"/>
              <w:rPr>
                <w:rFonts w:ascii="Arial" w:hAnsi="Arial" w:cs="Arial" w:eastAsia="Arial" w:hint="default"/>
                <w:sz w:val="18"/>
                <w:szCs w:val="18"/>
              </w:rPr>
            </w:pPr>
            <w:r>
              <w:rPr>
                <w:rFonts w:ascii="Arial"/>
                <w:spacing w:val="-1"/>
                <w:sz w:val="18"/>
              </w:rPr>
              <w:t>,000.0</w:t>
            </w:r>
            <w:r>
              <w:rPr>
                <w:rFonts w:ascii="Arial"/>
                <w:sz w:val="18"/>
              </w:rPr>
            </w:r>
          </w:p>
          <w:p>
            <w:pPr>
              <w:pStyle w:val="TableParagraph"/>
              <w:spacing w:line="240" w:lineRule="auto" w:before="106"/>
              <w:ind w:right="20"/>
              <w:jc w:val="right"/>
              <w:rPr>
                <w:rFonts w:ascii="Arial" w:hAnsi="Arial" w:cs="Arial" w:eastAsia="Arial" w:hint="default"/>
                <w:sz w:val="18"/>
                <w:szCs w:val="18"/>
              </w:rPr>
            </w:pPr>
            <w:r>
              <w:rPr>
                <w:rFonts w:ascii="Arial"/>
                <w:sz w:val="18"/>
              </w:rPr>
              <w:t>0</w:t>
            </w: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Arial" w:hAnsi="Arial" w:cs="Arial" w:eastAsia="Arial" w:hint="default"/>
                <w:sz w:val="18"/>
                <w:szCs w:val="18"/>
              </w:rPr>
            </w:pPr>
            <w:r>
              <w:rPr>
                <w:rFonts w:ascii="Arial"/>
                <w:sz w:val="18"/>
              </w:rPr>
              <w:t>-6,222,</w:t>
            </w:r>
          </w:p>
          <w:p>
            <w:pPr>
              <w:pStyle w:val="TableParagraph"/>
              <w:spacing w:line="240" w:lineRule="auto" w:before="105"/>
              <w:ind w:left="67" w:right="0"/>
              <w:jc w:val="left"/>
              <w:rPr>
                <w:rFonts w:ascii="Arial" w:hAnsi="Arial" w:cs="Arial" w:eastAsia="Arial" w:hint="default"/>
                <w:sz w:val="18"/>
                <w:szCs w:val="18"/>
              </w:rPr>
            </w:pPr>
            <w:r>
              <w:rPr>
                <w:rFonts w:ascii="Arial"/>
                <w:sz w:val="18"/>
              </w:rPr>
              <w:t>000.00</w:t>
            </w: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23"/>
              <w:jc w:val="left"/>
              <w:rPr>
                <w:rFonts w:ascii="宋体" w:hAnsi="宋体" w:cs="宋体" w:eastAsia="宋体" w:hint="default"/>
                <w:sz w:val="18"/>
                <w:szCs w:val="18"/>
              </w:rPr>
            </w:pPr>
            <w:r>
              <w:rPr>
                <w:rFonts w:ascii="Arial" w:hAnsi="Arial" w:cs="Arial" w:eastAsia="Arial" w:hint="default"/>
                <w:spacing w:val="-4"/>
                <w:sz w:val="18"/>
                <w:szCs w:val="18"/>
              </w:rPr>
              <w:t>1</w:t>
            </w:r>
            <w:r>
              <w:rPr>
                <w:rFonts w:ascii="宋体" w:hAnsi="宋体" w:cs="宋体" w:eastAsia="宋体" w:hint="default"/>
                <w:spacing w:val="-4"/>
                <w:sz w:val="18"/>
                <w:szCs w:val="18"/>
              </w:rPr>
              <w:t>．提取盈余公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积</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5,026,</w:t>
            </w:r>
            <w:r>
              <w:rPr>
                <w:rFonts w:ascii="Arial"/>
                <w:sz w:val="18"/>
              </w:rPr>
            </w:r>
          </w:p>
          <w:p>
            <w:pPr>
              <w:pStyle w:val="TableParagraph"/>
              <w:spacing w:line="240" w:lineRule="auto" w:before="104"/>
              <w:ind w:right="21"/>
              <w:jc w:val="right"/>
              <w:rPr>
                <w:rFonts w:ascii="Arial" w:hAnsi="Arial" w:cs="Arial" w:eastAsia="Arial" w:hint="default"/>
                <w:sz w:val="18"/>
                <w:szCs w:val="18"/>
              </w:rPr>
            </w:pPr>
            <w:r>
              <w:rPr>
                <w:rFonts w:ascii="Arial"/>
                <w:spacing w:val="-1"/>
                <w:w w:val="95"/>
                <w:sz w:val="18"/>
              </w:rPr>
              <w:t>845.3</w:t>
            </w:r>
            <w:r>
              <w:rPr>
                <w:rFonts w:ascii="Arial"/>
                <w:w w:val="95"/>
                <w:sz w:val="18"/>
              </w:rPr>
            </w:r>
          </w:p>
          <w:p>
            <w:pPr>
              <w:pStyle w:val="TableParagraph"/>
              <w:spacing w:line="240" w:lineRule="auto" w:before="106"/>
              <w:ind w:right="20"/>
              <w:jc w:val="right"/>
              <w:rPr>
                <w:rFonts w:ascii="Arial" w:hAnsi="Arial" w:cs="Arial" w:eastAsia="Arial" w:hint="default"/>
                <w:sz w:val="18"/>
                <w:szCs w:val="18"/>
              </w:rPr>
            </w:pPr>
            <w:r>
              <w:rPr>
                <w:rFonts w:ascii="Arial"/>
                <w:sz w:val="18"/>
              </w:rPr>
              <w:t>2</w:t>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-5,026</w:t>
            </w:r>
            <w:r>
              <w:rPr>
                <w:rFonts w:ascii="Arial"/>
                <w:sz w:val="18"/>
              </w:rPr>
            </w:r>
          </w:p>
          <w:p>
            <w:pPr>
              <w:pStyle w:val="TableParagraph"/>
              <w:spacing w:line="240" w:lineRule="auto" w:before="104"/>
              <w:ind w:right="22"/>
              <w:jc w:val="right"/>
              <w:rPr>
                <w:rFonts w:ascii="Arial" w:hAnsi="Arial" w:cs="Arial" w:eastAsia="Arial" w:hint="default"/>
                <w:sz w:val="18"/>
                <w:szCs w:val="18"/>
              </w:rPr>
            </w:pPr>
            <w:r>
              <w:rPr>
                <w:rFonts w:ascii="Arial"/>
                <w:spacing w:val="-1"/>
                <w:sz w:val="18"/>
              </w:rPr>
              <w:t>,845.3</w:t>
            </w:r>
            <w:r>
              <w:rPr>
                <w:rFonts w:ascii="Arial"/>
                <w:sz w:val="18"/>
              </w:rPr>
            </w:r>
          </w:p>
          <w:p>
            <w:pPr>
              <w:pStyle w:val="TableParagraph"/>
              <w:spacing w:line="240" w:lineRule="auto" w:before="106"/>
              <w:ind w:right="21"/>
              <w:jc w:val="right"/>
              <w:rPr>
                <w:rFonts w:ascii="Arial" w:hAnsi="Arial" w:cs="Arial" w:eastAsia="Arial" w:hint="default"/>
                <w:sz w:val="18"/>
                <w:szCs w:val="18"/>
              </w:rPr>
            </w:pPr>
            <w:r>
              <w:rPr>
                <w:rFonts w:ascii="Arial"/>
                <w:sz w:val="18"/>
              </w:rPr>
              <w:t>2</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3"/>
              <w:jc w:val="left"/>
              <w:rPr>
                <w:rFonts w:ascii="宋体" w:hAnsi="宋体" w:cs="宋体" w:eastAsia="宋体" w:hint="default"/>
                <w:sz w:val="18"/>
                <w:szCs w:val="18"/>
              </w:rPr>
            </w:pPr>
            <w:r>
              <w:rPr>
                <w:rFonts w:ascii="Arial" w:hAnsi="Arial" w:cs="Arial" w:eastAsia="Arial" w:hint="default"/>
                <w:spacing w:val="-4"/>
                <w:sz w:val="18"/>
                <w:szCs w:val="18"/>
              </w:rPr>
              <w:t>2</w:t>
            </w:r>
            <w:r>
              <w:rPr>
                <w:rFonts w:ascii="宋体" w:hAnsi="宋体" w:cs="宋体" w:eastAsia="宋体" w:hint="default"/>
                <w:spacing w:val="-4"/>
                <w:sz w:val="18"/>
                <w:szCs w:val="18"/>
              </w:rPr>
              <w:t>．提取一般风</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险准备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．对所有者</w:t>
            </w:r>
          </w:p>
          <w:p>
            <w:pPr>
              <w:pStyle w:val="TableParagraph"/>
              <w:spacing w:line="319" w:lineRule="auto" w:before="62"/>
              <w:ind w:left="22" w:right="97"/>
              <w:jc w:val="left"/>
              <w:rPr>
                <w:rFonts w:ascii="宋体" w:hAnsi="宋体" w:cs="宋体" w:eastAsia="宋体" w:hint="default"/>
                <w:sz w:val="18"/>
                <w:szCs w:val="18"/>
              </w:rPr>
            </w:pPr>
            <w:r>
              <w:rPr>
                <w:rFonts w:ascii="宋体" w:hAnsi="宋体" w:cs="宋体" w:eastAsia="宋体" w:hint="default"/>
                <w:sz w:val="18"/>
                <w:szCs w:val="18"/>
              </w:rPr>
              <w:t>（或股东）的 分配</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-6,222</w:t>
            </w:r>
            <w:r>
              <w:rPr>
                <w:rFonts w:ascii="Arial"/>
                <w:sz w:val="18"/>
              </w:rPr>
            </w:r>
          </w:p>
          <w:p>
            <w:pPr>
              <w:pStyle w:val="TableParagraph"/>
              <w:spacing w:line="240" w:lineRule="auto" w:before="104"/>
              <w:ind w:right="22"/>
              <w:jc w:val="right"/>
              <w:rPr>
                <w:rFonts w:ascii="Arial" w:hAnsi="Arial" w:cs="Arial" w:eastAsia="Arial" w:hint="default"/>
                <w:sz w:val="18"/>
                <w:szCs w:val="18"/>
              </w:rPr>
            </w:pPr>
            <w:r>
              <w:rPr>
                <w:rFonts w:ascii="Arial"/>
                <w:spacing w:val="-1"/>
                <w:sz w:val="18"/>
              </w:rPr>
              <w:t>,000.0</w:t>
            </w:r>
            <w:r>
              <w:rPr>
                <w:rFonts w:ascii="Arial"/>
                <w:sz w:val="18"/>
              </w:rPr>
            </w:r>
          </w:p>
          <w:p>
            <w:pPr>
              <w:pStyle w:val="TableParagraph"/>
              <w:spacing w:line="240" w:lineRule="auto" w:before="106"/>
              <w:ind w:right="21"/>
              <w:jc w:val="right"/>
              <w:rPr>
                <w:rFonts w:ascii="Arial" w:hAnsi="Arial" w:cs="Arial" w:eastAsia="Arial" w:hint="default"/>
                <w:sz w:val="18"/>
                <w:szCs w:val="18"/>
              </w:rPr>
            </w:pPr>
            <w:r>
              <w:rPr>
                <w:rFonts w:ascii="Arial"/>
                <w:sz w:val="18"/>
              </w:rPr>
              <w:t>0</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-6,222</w:t>
            </w:r>
            <w:r>
              <w:rPr>
                <w:rFonts w:ascii="Arial"/>
                <w:sz w:val="18"/>
              </w:rPr>
            </w:r>
          </w:p>
          <w:p>
            <w:pPr>
              <w:pStyle w:val="TableParagraph"/>
              <w:spacing w:line="240" w:lineRule="auto" w:before="104"/>
              <w:ind w:right="21"/>
              <w:jc w:val="right"/>
              <w:rPr>
                <w:rFonts w:ascii="Arial" w:hAnsi="Arial" w:cs="Arial" w:eastAsia="Arial" w:hint="default"/>
                <w:sz w:val="18"/>
                <w:szCs w:val="18"/>
              </w:rPr>
            </w:pPr>
            <w:r>
              <w:rPr>
                <w:rFonts w:ascii="Arial"/>
                <w:spacing w:val="-1"/>
                <w:sz w:val="18"/>
              </w:rPr>
              <w:t>,000.0</w:t>
            </w:r>
            <w:r>
              <w:rPr>
                <w:rFonts w:ascii="Arial"/>
                <w:sz w:val="18"/>
              </w:rPr>
            </w:r>
          </w:p>
          <w:p>
            <w:pPr>
              <w:pStyle w:val="TableParagraph"/>
              <w:spacing w:line="240" w:lineRule="auto" w:before="106"/>
              <w:ind w:right="20"/>
              <w:jc w:val="right"/>
              <w:rPr>
                <w:rFonts w:ascii="Arial" w:hAnsi="Arial" w:cs="Arial" w:eastAsia="Arial" w:hint="default"/>
                <w:sz w:val="18"/>
                <w:szCs w:val="18"/>
              </w:rPr>
            </w:pPr>
            <w:r>
              <w:rPr>
                <w:rFonts w:ascii="Arial"/>
                <w:sz w:val="18"/>
              </w:rPr>
              <w:t>0</w:t>
            </w: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57" w:right="0"/>
              <w:jc w:val="left"/>
              <w:rPr>
                <w:rFonts w:ascii="Arial" w:hAnsi="Arial" w:cs="Arial" w:eastAsia="Arial" w:hint="default"/>
                <w:sz w:val="18"/>
                <w:szCs w:val="18"/>
              </w:rPr>
            </w:pPr>
            <w:r>
              <w:rPr>
                <w:rFonts w:ascii="Arial"/>
                <w:sz w:val="18"/>
              </w:rPr>
              <w:t>-6,222,</w:t>
            </w:r>
          </w:p>
          <w:p>
            <w:pPr>
              <w:pStyle w:val="TableParagraph"/>
              <w:spacing w:line="240" w:lineRule="auto" w:before="105"/>
              <w:ind w:left="67" w:right="0"/>
              <w:jc w:val="left"/>
              <w:rPr>
                <w:rFonts w:ascii="Arial" w:hAnsi="Arial" w:cs="Arial" w:eastAsia="Arial" w:hint="default"/>
                <w:sz w:val="18"/>
                <w:szCs w:val="18"/>
              </w:rPr>
            </w:pPr>
            <w:r>
              <w:rPr>
                <w:rFonts w:ascii="Arial"/>
                <w:sz w:val="18"/>
              </w:rPr>
              <w:t>000.00</w:t>
            </w: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97"/>
              <w:jc w:val="left"/>
              <w:rPr>
                <w:rFonts w:ascii="宋体" w:hAnsi="宋体" w:cs="宋体" w:eastAsia="宋体" w:hint="default"/>
                <w:sz w:val="18"/>
                <w:szCs w:val="18"/>
              </w:rPr>
            </w:pPr>
            <w:r>
              <w:rPr>
                <w:rFonts w:ascii="宋体" w:hAnsi="宋体" w:cs="宋体" w:eastAsia="宋体" w:hint="default"/>
                <w:sz w:val="18"/>
                <w:szCs w:val="18"/>
              </w:rPr>
              <w:t>（四）所有者 权益内部结转</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3"/>
              <w:jc w:val="left"/>
              <w:rPr>
                <w:rFonts w:ascii="宋体" w:hAnsi="宋体" w:cs="宋体" w:eastAsia="宋体" w:hint="default"/>
                <w:sz w:val="18"/>
                <w:szCs w:val="18"/>
              </w:rPr>
            </w:pPr>
            <w:r>
              <w:rPr>
                <w:rFonts w:ascii="Arial" w:hAnsi="Arial" w:cs="Arial" w:eastAsia="Arial" w:hint="default"/>
                <w:spacing w:val="-4"/>
                <w:sz w:val="18"/>
                <w:szCs w:val="18"/>
              </w:rPr>
              <w:t>1</w:t>
            </w:r>
            <w:r>
              <w:rPr>
                <w:rFonts w:ascii="宋体" w:hAnsi="宋体" w:cs="宋体" w:eastAsia="宋体" w:hint="default"/>
                <w:spacing w:val="-4"/>
                <w:sz w:val="18"/>
                <w:szCs w:val="18"/>
              </w:rPr>
              <w:t>．资本公积转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3"/>
              <w:jc w:val="left"/>
              <w:rPr>
                <w:rFonts w:ascii="宋体" w:hAnsi="宋体" w:cs="宋体" w:eastAsia="宋体" w:hint="default"/>
                <w:sz w:val="18"/>
                <w:szCs w:val="18"/>
              </w:rPr>
            </w:pPr>
            <w:r>
              <w:rPr>
                <w:rFonts w:ascii="Arial" w:hAnsi="Arial" w:cs="Arial" w:eastAsia="Arial" w:hint="default"/>
                <w:spacing w:val="-4"/>
                <w:sz w:val="18"/>
                <w:szCs w:val="18"/>
              </w:rPr>
              <w:t>2</w:t>
            </w:r>
            <w:r>
              <w:rPr>
                <w:rFonts w:ascii="宋体" w:hAnsi="宋体" w:cs="宋体" w:eastAsia="宋体" w:hint="default"/>
                <w:spacing w:val="-4"/>
                <w:sz w:val="18"/>
                <w:szCs w:val="18"/>
              </w:rPr>
              <w:t>．盈余公积转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增资本（或股 本）</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3"/>
              <w:jc w:val="left"/>
              <w:rPr>
                <w:rFonts w:ascii="宋体" w:hAnsi="宋体" w:cs="宋体" w:eastAsia="宋体" w:hint="default"/>
                <w:sz w:val="18"/>
                <w:szCs w:val="18"/>
              </w:rPr>
            </w:pPr>
            <w:r>
              <w:rPr>
                <w:rFonts w:ascii="Arial" w:hAnsi="Arial" w:cs="Arial" w:eastAsia="Arial" w:hint="default"/>
                <w:spacing w:val="-4"/>
                <w:sz w:val="18"/>
                <w:szCs w:val="18"/>
              </w:rPr>
              <w:t>3</w:t>
            </w:r>
            <w:r>
              <w:rPr>
                <w:rFonts w:ascii="宋体" w:hAnsi="宋体" w:cs="宋体" w:eastAsia="宋体" w:hint="default"/>
                <w:spacing w:val="-4"/>
                <w:sz w:val="18"/>
                <w:szCs w:val="18"/>
              </w:rPr>
              <w:t>．盈余公积弥</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补亏损</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3"/>
              <w:jc w:val="left"/>
              <w:rPr>
                <w:rFonts w:ascii="宋体" w:hAnsi="宋体" w:cs="宋体" w:eastAsia="宋体" w:hint="default"/>
                <w:sz w:val="18"/>
                <w:szCs w:val="18"/>
              </w:rPr>
            </w:pPr>
            <w:r>
              <w:rPr>
                <w:rFonts w:ascii="Arial" w:hAnsi="Arial" w:cs="Arial" w:eastAsia="Arial" w:hint="default"/>
                <w:spacing w:val="-4"/>
                <w:sz w:val="18"/>
                <w:szCs w:val="18"/>
              </w:rPr>
              <w:t>4</w:t>
            </w:r>
            <w:r>
              <w:rPr>
                <w:rFonts w:ascii="宋体" w:hAnsi="宋体" w:cs="宋体" w:eastAsia="宋体" w:hint="default"/>
                <w:spacing w:val="-4"/>
                <w:sz w:val="18"/>
                <w:szCs w:val="18"/>
              </w:rPr>
              <w:t>．设定受益计</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划变动额结转 留存收益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3"/>
              <w:jc w:val="left"/>
              <w:rPr>
                <w:rFonts w:ascii="宋体" w:hAnsi="宋体" w:cs="宋体" w:eastAsia="宋体" w:hint="default"/>
                <w:sz w:val="18"/>
                <w:szCs w:val="18"/>
              </w:rPr>
            </w:pPr>
            <w:r>
              <w:rPr>
                <w:rFonts w:ascii="Arial" w:hAnsi="Arial" w:cs="Arial" w:eastAsia="Arial" w:hint="default"/>
                <w:spacing w:val="-4"/>
                <w:sz w:val="18"/>
                <w:szCs w:val="18"/>
              </w:rPr>
              <w:t>5</w:t>
            </w:r>
            <w:r>
              <w:rPr>
                <w:rFonts w:ascii="宋体" w:hAnsi="宋体" w:cs="宋体" w:eastAsia="宋体" w:hint="default"/>
                <w:spacing w:val="-4"/>
                <w:sz w:val="18"/>
                <w:szCs w:val="18"/>
              </w:rPr>
              <w:t>．其他综合收</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益结转留存收 益</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212"/>
        <w:gridCol w:w="490"/>
        <w:gridCol w:w="450"/>
        <w:gridCol w:w="449"/>
        <w:gridCol w:w="491"/>
        <w:gridCol w:w="576"/>
        <w:gridCol w:w="577"/>
        <w:gridCol w:w="577"/>
        <w:gridCol w:w="576"/>
        <w:gridCol w:w="576"/>
        <w:gridCol w:w="577"/>
        <w:gridCol w:w="589"/>
        <w:gridCol w:w="568"/>
        <w:gridCol w:w="566"/>
        <w:gridCol w:w="643"/>
        <w:gridCol w:w="650"/>
      </w:tblGrid>
      <w:tr>
        <w:trPr>
          <w:trHeight w:val="714"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97"/>
              <w:jc w:val="left"/>
              <w:rPr>
                <w:rFonts w:ascii="宋体" w:hAnsi="宋体" w:cs="宋体" w:eastAsia="宋体" w:hint="default"/>
                <w:sz w:val="18"/>
                <w:szCs w:val="18"/>
              </w:rPr>
            </w:pPr>
            <w:r>
              <w:rPr>
                <w:rFonts w:ascii="宋体" w:hAnsi="宋体" w:cs="宋体" w:eastAsia="宋体" w:hint="default"/>
                <w:sz w:val="18"/>
                <w:szCs w:val="18"/>
              </w:rPr>
              <w:t>（五）专项储 备</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．本期提取</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．本期使用</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490" w:type="dxa"/>
            <w:tcBorders>
              <w:top w:val="single" w:sz="4" w:space="0" w:color="000000"/>
              <w:left w:val="single" w:sz="4" w:space="0" w:color="000000"/>
              <w:bottom w:val="single" w:sz="4" w:space="0" w:color="000000"/>
              <w:right w:val="single" w:sz="4" w:space="0" w:color="000000"/>
            </w:tcBorders>
          </w:tcPr>
          <w:p>
            <w:pP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643" w:type="dxa"/>
            <w:tcBorders>
              <w:top w:val="single" w:sz="4" w:space="0" w:color="000000"/>
              <w:left w:val="single" w:sz="4" w:space="0" w:color="000000"/>
              <w:bottom w:val="single" w:sz="4" w:space="0" w:color="000000"/>
              <w:right w:val="single" w:sz="4" w:space="0" w:color="000000"/>
            </w:tcBorders>
          </w:tcPr>
          <w:p>
            <w:pPr/>
          </w:p>
        </w:tc>
        <w:tc>
          <w:tcPr>
            <w:tcW w:w="650" w:type="dxa"/>
            <w:tcBorders>
              <w:top w:val="single" w:sz="4" w:space="0" w:color="000000"/>
              <w:left w:val="single" w:sz="4" w:space="0" w:color="000000"/>
              <w:bottom w:val="single" w:sz="4" w:space="0" w:color="000000"/>
              <w:right w:val="single" w:sz="4" w:space="0" w:color="000000"/>
            </w:tcBorders>
          </w:tcPr>
          <w:p>
            <w:pPr/>
          </w:p>
        </w:tc>
      </w:tr>
      <w:tr>
        <w:trPr>
          <w:trHeight w:val="1338" w:hRule="exact"/>
        </w:trPr>
        <w:tc>
          <w:tcPr>
            <w:tcW w:w="12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6"/>
              <w:ind w:left="22" w:right="97"/>
              <w:jc w:val="left"/>
              <w:rPr>
                <w:rFonts w:ascii="宋体" w:hAnsi="宋体" w:cs="宋体" w:eastAsia="宋体" w:hint="default"/>
                <w:sz w:val="18"/>
                <w:szCs w:val="18"/>
              </w:rPr>
            </w:pPr>
            <w:r>
              <w:rPr>
                <w:rFonts w:ascii="宋体" w:hAnsi="宋体" w:cs="宋体" w:eastAsia="宋体" w:hint="default"/>
                <w:sz w:val="18"/>
                <w:szCs w:val="18"/>
              </w:rPr>
              <w:t>四、本期期末 余额</w:t>
            </w:r>
          </w:p>
        </w:tc>
        <w:tc>
          <w:tcPr>
            <w:tcW w:w="4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Arial" w:hAnsi="Arial" w:cs="Arial" w:eastAsia="Arial" w:hint="default"/>
                <w:sz w:val="18"/>
                <w:szCs w:val="18"/>
              </w:rPr>
            </w:pPr>
            <w:r>
              <w:rPr>
                <w:rFonts w:ascii="Arial"/>
                <w:sz w:val="18"/>
              </w:rPr>
              <w:t>622,</w:t>
            </w:r>
          </w:p>
          <w:p>
            <w:pPr>
              <w:pStyle w:val="TableParagraph"/>
              <w:spacing w:line="240" w:lineRule="auto" w:before="105"/>
              <w:ind w:left="81" w:right="0"/>
              <w:jc w:val="center"/>
              <w:rPr>
                <w:rFonts w:ascii="Arial" w:hAnsi="Arial" w:cs="Arial" w:eastAsia="Arial" w:hint="default"/>
                <w:sz w:val="18"/>
                <w:szCs w:val="18"/>
              </w:rPr>
            </w:pPr>
            <w:r>
              <w:rPr>
                <w:rFonts w:ascii="Arial"/>
                <w:sz w:val="18"/>
              </w:rPr>
              <w:t>200,</w:t>
            </w:r>
          </w:p>
          <w:p>
            <w:pPr>
              <w:pStyle w:val="TableParagraph"/>
              <w:spacing w:line="240" w:lineRule="auto" w:before="105"/>
              <w:ind w:left="81" w:right="0"/>
              <w:jc w:val="center"/>
              <w:rPr>
                <w:rFonts w:ascii="Arial" w:hAnsi="Arial" w:cs="Arial" w:eastAsia="Arial" w:hint="default"/>
                <w:sz w:val="18"/>
                <w:szCs w:val="18"/>
              </w:rPr>
            </w:pPr>
            <w:r>
              <w:rPr>
                <w:rFonts w:ascii="Arial"/>
                <w:sz w:val="18"/>
              </w:rPr>
              <w:t>000.</w:t>
            </w:r>
          </w:p>
          <w:p>
            <w:pPr>
              <w:pStyle w:val="TableParagraph"/>
              <w:spacing w:line="240" w:lineRule="auto" w:before="106"/>
              <w:ind w:left="232" w:right="0"/>
              <w:jc w:val="center"/>
              <w:rPr>
                <w:rFonts w:ascii="Arial" w:hAnsi="Arial" w:cs="Arial" w:eastAsia="Arial" w:hint="default"/>
                <w:sz w:val="18"/>
                <w:szCs w:val="18"/>
              </w:rPr>
            </w:pPr>
            <w:r>
              <w:rPr>
                <w:rFonts w:ascii="Arial"/>
                <w:sz w:val="18"/>
              </w:rPr>
              <w:t>00</w:t>
            </w:r>
          </w:p>
        </w:tc>
        <w:tc>
          <w:tcPr>
            <w:tcW w:w="450" w:type="dxa"/>
            <w:tcBorders>
              <w:top w:val="single" w:sz="4" w:space="0" w:color="000000"/>
              <w:left w:val="single" w:sz="4" w:space="0" w:color="000000"/>
              <w:bottom w:val="single" w:sz="4" w:space="0" w:color="000000"/>
              <w:right w:val="single" w:sz="4" w:space="0" w:color="000000"/>
            </w:tcBorders>
          </w:tcPr>
          <w:p>
            <w:pPr/>
          </w:p>
        </w:tc>
        <w:tc>
          <w:tcPr>
            <w:tcW w:w="449" w:type="dxa"/>
            <w:tcBorders>
              <w:top w:val="single" w:sz="4" w:space="0" w:color="000000"/>
              <w:left w:val="single" w:sz="4" w:space="0" w:color="000000"/>
              <w:bottom w:val="single" w:sz="4" w:space="0" w:color="000000"/>
              <w:right w:val="single" w:sz="4" w:space="0" w:color="000000"/>
            </w:tcBorders>
          </w:tcPr>
          <w:p>
            <w:pPr/>
          </w:p>
        </w:tc>
        <w:tc>
          <w:tcPr>
            <w:tcW w:w="491"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left"/>
              <w:rPr>
                <w:rFonts w:ascii="Arial" w:hAnsi="Arial" w:cs="Arial" w:eastAsia="Arial" w:hint="default"/>
                <w:sz w:val="18"/>
                <w:szCs w:val="18"/>
              </w:rPr>
            </w:pPr>
            <w:r>
              <w:rPr>
                <w:rFonts w:ascii="Arial"/>
                <w:sz w:val="18"/>
              </w:rPr>
              <w:t>369,3</w:t>
            </w:r>
          </w:p>
          <w:p>
            <w:pPr>
              <w:pStyle w:val="TableParagraph"/>
              <w:spacing w:line="240" w:lineRule="auto" w:before="105"/>
              <w:ind w:left="92" w:right="0"/>
              <w:jc w:val="left"/>
              <w:rPr>
                <w:rFonts w:ascii="Arial" w:hAnsi="Arial" w:cs="Arial" w:eastAsia="Arial" w:hint="default"/>
                <w:sz w:val="18"/>
                <w:szCs w:val="18"/>
              </w:rPr>
            </w:pPr>
            <w:r>
              <w:rPr>
                <w:rFonts w:ascii="Arial"/>
                <w:sz w:val="18"/>
              </w:rPr>
              <w:t>58,61</w:t>
            </w:r>
          </w:p>
          <w:p>
            <w:pPr>
              <w:pStyle w:val="TableParagraph"/>
              <w:spacing w:line="240" w:lineRule="auto" w:before="106"/>
              <w:ind w:left="191" w:right="0"/>
              <w:jc w:val="left"/>
              <w:rPr>
                <w:rFonts w:ascii="Arial" w:hAnsi="Arial" w:cs="Arial" w:eastAsia="Arial" w:hint="default"/>
                <w:sz w:val="18"/>
                <w:szCs w:val="18"/>
              </w:rPr>
            </w:pPr>
            <w:r>
              <w:rPr>
                <w:rFonts w:ascii="Arial"/>
                <w:sz w:val="18"/>
              </w:rPr>
              <w:t>2.29</w:t>
            </w:r>
          </w:p>
        </w:tc>
        <w:tc>
          <w:tcPr>
            <w:tcW w:w="577" w:type="dxa"/>
            <w:tcBorders>
              <w:top w:val="single" w:sz="4" w:space="0" w:color="000000"/>
              <w:left w:val="single" w:sz="4" w:space="0" w:color="000000"/>
              <w:bottom w:val="single" w:sz="4" w:space="0" w:color="000000"/>
              <w:right w:val="single" w:sz="4" w:space="0" w:color="000000"/>
            </w:tcBorders>
          </w:tcPr>
          <w:p>
            <w:pPr/>
          </w:p>
        </w:tc>
        <w:tc>
          <w:tcPr>
            <w:tcW w:w="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4"/>
              <w:jc w:val="right"/>
              <w:rPr>
                <w:rFonts w:ascii="Arial" w:hAnsi="Arial" w:cs="Arial" w:eastAsia="Arial" w:hint="default"/>
                <w:sz w:val="18"/>
                <w:szCs w:val="18"/>
              </w:rPr>
            </w:pPr>
            <w:r>
              <w:rPr>
                <w:rFonts w:ascii="Arial"/>
                <w:spacing w:val="-1"/>
                <w:sz w:val="18"/>
              </w:rPr>
              <w:t>7,403,</w:t>
            </w:r>
            <w:r>
              <w:rPr>
                <w:rFonts w:ascii="Arial"/>
                <w:sz w:val="18"/>
              </w:rPr>
            </w:r>
          </w:p>
          <w:p>
            <w:pPr>
              <w:pStyle w:val="TableParagraph"/>
              <w:spacing w:line="240" w:lineRule="auto" w:before="105"/>
              <w:ind w:right="23"/>
              <w:jc w:val="right"/>
              <w:rPr>
                <w:rFonts w:ascii="Arial" w:hAnsi="Arial" w:cs="Arial" w:eastAsia="Arial" w:hint="default"/>
                <w:sz w:val="18"/>
                <w:szCs w:val="18"/>
              </w:rPr>
            </w:pPr>
            <w:r>
              <w:rPr>
                <w:rFonts w:ascii="Arial"/>
                <w:spacing w:val="-1"/>
                <w:w w:val="95"/>
                <w:sz w:val="18"/>
              </w:rPr>
              <w:t>655.9</w:t>
            </w:r>
            <w:r>
              <w:rPr>
                <w:rFonts w:ascii="Arial"/>
                <w:w w:val="95"/>
                <w:sz w:val="18"/>
              </w:rPr>
            </w:r>
          </w:p>
          <w:p>
            <w:pPr>
              <w:pStyle w:val="TableParagraph"/>
              <w:spacing w:line="240" w:lineRule="auto" w:before="106"/>
              <w:ind w:right="21"/>
              <w:jc w:val="right"/>
              <w:rPr>
                <w:rFonts w:ascii="Arial" w:hAnsi="Arial" w:cs="Arial" w:eastAsia="Arial" w:hint="default"/>
                <w:sz w:val="18"/>
                <w:szCs w:val="18"/>
              </w:rPr>
            </w:pPr>
            <w:r>
              <w:rPr>
                <w:rFonts w:ascii="Arial"/>
                <w:sz w:val="18"/>
              </w:rPr>
              <w:t>9</w:t>
            </w:r>
          </w:p>
        </w:tc>
        <w:tc>
          <w:tcPr>
            <w:tcW w:w="576" w:type="dxa"/>
            <w:tcBorders>
              <w:top w:val="single" w:sz="4" w:space="0" w:color="000000"/>
              <w:left w:val="single" w:sz="4" w:space="0" w:color="000000"/>
              <w:bottom w:val="single" w:sz="4" w:space="0" w:color="000000"/>
              <w:right w:val="single" w:sz="4" w:space="0" w:color="000000"/>
            </w:tcBorders>
          </w:tcPr>
          <w:p>
            <w:pPr/>
          </w:p>
        </w:tc>
        <w:tc>
          <w:tcPr>
            <w:tcW w:w="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3" w:right="0"/>
              <w:jc w:val="left"/>
              <w:rPr>
                <w:rFonts w:ascii="Arial" w:hAnsi="Arial" w:cs="Arial" w:eastAsia="Arial" w:hint="default"/>
                <w:sz w:val="18"/>
                <w:szCs w:val="18"/>
              </w:rPr>
            </w:pPr>
            <w:r>
              <w:rPr>
                <w:rFonts w:ascii="Arial"/>
                <w:sz w:val="18"/>
              </w:rPr>
              <w:t>67,57</w:t>
            </w:r>
          </w:p>
          <w:p>
            <w:pPr>
              <w:pStyle w:val="TableParagraph"/>
              <w:spacing w:line="240" w:lineRule="auto" w:before="105"/>
              <w:ind w:left="56" w:right="0"/>
              <w:jc w:val="left"/>
              <w:rPr>
                <w:rFonts w:ascii="Arial" w:hAnsi="Arial" w:cs="Arial" w:eastAsia="Arial" w:hint="default"/>
                <w:sz w:val="18"/>
                <w:szCs w:val="18"/>
              </w:rPr>
            </w:pPr>
            <w:r>
              <w:rPr>
                <w:rFonts w:ascii="Arial"/>
                <w:spacing w:val="-4"/>
                <w:sz w:val="18"/>
              </w:rPr>
              <w:t>1,711.</w:t>
            </w:r>
            <w:r>
              <w:rPr>
                <w:rFonts w:ascii="Arial"/>
                <w:sz w:val="18"/>
              </w:rPr>
            </w:r>
          </w:p>
          <w:p>
            <w:pPr>
              <w:pStyle w:val="TableParagraph"/>
              <w:spacing w:line="240" w:lineRule="auto" w:before="106"/>
              <w:ind w:left="343" w:right="0"/>
              <w:jc w:val="left"/>
              <w:rPr>
                <w:rFonts w:ascii="Arial" w:hAnsi="Arial" w:cs="Arial" w:eastAsia="Arial" w:hint="default"/>
                <w:sz w:val="18"/>
                <w:szCs w:val="18"/>
              </w:rPr>
            </w:pPr>
            <w:r>
              <w:rPr>
                <w:rFonts w:ascii="Arial"/>
                <w:sz w:val="18"/>
              </w:rPr>
              <w:t>68</w:t>
            </w:r>
          </w:p>
        </w:tc>
        <w:tc>
          <w:tcPr>
            <w:tcW w:w="577" w:type="dxa"/>
            <w:tcBorders>
              <w:top w:val="single" w:sz="4" w:space="0" w:color="000000"/>
              <w:left w:val="single" w:sz="4" w:space="0" w:color="000000"/>
              <w:bottom w:val="single" w:sz="4" w:space="0" w:color="000000"/>
              <w:right w:val="single" w:sz="4" w:space="0" w:color="000000"/>
            </w:tcBorders>
          </w:tcPr>
          <w:p>
            <w:pPr/>
          </w:p>
        </w:tc>
        <w:tc>
          <w:tcPr>
            <w:tcW w:w="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105" w:right="0"/>
              <w:jc w:val="left"/>
              <w:rPr>
                <w:rFonts w:ascii="Arial" w:hAnsi="Arial" w:cs="Arial" w:eastAsia="Arial" w:hint="default"/>
                <w:sz w:val="18"/>
                <w:szCs w:val="18"/>
              </w:rPr>
            </w:pPr>
            <w:r>
              <w:rPr>
                <w:rFonts w:ascii="Arial"/>
                <w:sz w:val="18"/>
              </w:rPr>
              <w:t>388,8</w:t>
            </w:r>
          </w:p>
          <w:p>
            <w:pPr>
              <w:pStyle w:val="TableParagraph"/>
              <w:spacing w:line="240" w:lineRule="auto" w:before="105"/>
              <w:ind w:left="105" w:right="0"/>
              <w:jc w:val="left"/>
              <w:rPr>
                <w:rFonts w:ascii="Arial" w:hAnsi="Arial" w:cs="Arial" w:eastAsia="Arial" w:hint="default"/>
                <w:sz w:val="18"/>
                <w:szCs w:val="18"/>
              </w:rPr>
            </w:pPr>
            <w:r>
              <w:rPr>
                <w:rFonts w:ascii="Arial"/>
                <w:sz w:val="18"/>
              </w:rPr>
              <w:t>70,54</w:t>
            </w:r>
          </w:p>
          <w:p>
            <w:pPr>
              <w:pStyle w:val="TableParagraph"/>
              <w:spacing w:line="240" w:lineRule="auto" w:before="106"/>
              <w:ind w:left="205" w:right="0"/>
              <w:jc w:val="left"/>
              <w:rPr>
                <w:rFonts w:ascii="Arial" w:hAnsi="Arial" w:cs="Arial" w:eastAsia="Arial" w:hint="default"/>
                <w:sz w:val="18"/>
                <w:szCs w:val="18"/>
              </w:rPr>
            </w:pPr>
            <w:r>
              <w:rPr>
                <w:rFonts w:ascii="Arial"/>
                <w:sz w:val="18"/>
              </w:rPr>
              <w:t>2.81</w:t>
            </w:r>
          </w:p>
        </w:tc>
        <w:tc>
          <w:tcPr>
            <w:tcW w:w="568"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33" w:right="0"/>
              <w:jc w:val="left"/>
              <w:rPr>
                <w:rFonts w:ascii="Arial" w:hAnsi="Arial" w:cs="Arial" w:eastAsia="Arial" w:hint="default"/>
                <w:sz w:val="18"/>
                <w:szCs w:val="18"/>
              </w:rPr>
            </w:pPr>
            <w:r>
              <w:rPr>
                <w:rFonts w:ascii="Arial"/>
                <w:sz w:val="18"/>
              </w:rPr>
              <w:t>1,455,</w:t>
            </w:r>
          </w:p>
          <w:p>
            <w:pPr>
              <w:pStyle w:val="TableParagraph"/>
              <w:spacing w:line="240" w:lineRule="auto" w:before="105"/>
              <w:ind w:left="83" w:right="0"/>
              <w:jc w:val="left"/>
              <w:rPr>
                <w:rFonts w:ascii="Arial" w:hAnsi="Arial" w:cs="Arial" w:eastAsia="Arial" w:hint="default"/>
                <w:sz w:val="18"/>
                <w:szCs w:val="18"/>
              </w:rPr>
            </w:pPr>
            <w:r>
              <w:rPr>
                <w:rFonts w:ascii="Arial"/>
                <w:sz w:val="18"/>
              </w:rPr>
              <w:t>404,5</w:t>
            </w:r>
          </w:p>
          <w:p>
            <w:pPr>
              <w:pStyle w:val="TableParagraph"/>
              <w:spacing w:line="240" w:lineRule="auto" w:before="106"/>
              <w:ind w:left="83" w:right="0"/>
              <w:jc w:val="left"/>
              <w:rPr>
                <w:rFonts w:ascii="Arial" w:hAnsi="Arial" w:cs="Arial" w:eastAsia="Arial" w:hint="default"/>
                <w:sz w:val="18"/>
                <w:szCs w:val="18"/>
              </w:rPr>
            </w:pPr>
            <w:r>
              <w:rPr>
                <w:rFonts w:ascii="Arial"/>
                <w:sz w:val="18"/>
              </w:rPr>
              <w:t>22.77</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109" w:right="0"/>
              <w:jc w:val="left"/>
              <w:rPr>
                <w:rFonts w:ascii="Arial" w:hAnsi="Arial" w:cs="Arial" w:eastAsia="Arial" w:hint="default"/>
                <w:sz w:val="18"/>
                <w:szCs w:val="18"/>
              </w:rPr>
            </w:pPr>
            <w:r>
              <w:rPr>
                <w:rFonts w:ascii="Arial"/>
                <w:sz w:val="18"/>
              </w:rPr>
              <w:t>6,679,</w:t>
            </w:r>
          </w:p>
          <w:p>
            <w:pPr>
              <w:pStyle w:val="TableParagraph"/>
              <w:spacing w:line="240" w:lineRule="auto" w:before="106"/>
              <w:ind w:left="58" w:right="0"/>
              <w:jc w:val="left"/>
              <w:rPr>
                <w:rFonts w:ascii="Arial" w:hAnsi="Arial" w:cs="Arial" w:eastAsia="Arial" w:hint="default"/>
                <w:sz w:val="18"/>
                <w:szCs w:val="18"/>
              </w:rPr>
            </w:pPr>
            <w:r>
              <w:rPr>
                <w:rFonts w:ascii="Arial"/>
                <w:sz w:val="18"/>
              </w:rPr>
              <w:t>995.14</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92" w:right="0"/>
              <w:jc w:val="center"/>
              <w:rPr>
                <w:rFonts w:ascii="Arial" w:hAnsi="Arial" w:cs="Arial" w:eastAsia="Arial" w:hint="default"/>
                <w:sz w:val="18"/>
                <w:szCs w:val="18"/>
              </w:rPr>
            </w:pPr>
            <w:r>
              <w:rPr>
                <w:rFonts w:ascii="Arial"/>
                <w:sz w:val="18"/>
              </w:rPr>
              <w:t>1,462,</w:t>
            </w:r>
          </w:p>
          <w:p>
            <w:pPr>
              <w:pStyle w:val="TableParagraph"/>
              <w:spacing w:line="240" w:lineRule="auto" w:before="105"/>
              <w:ind w:left="43" w:right="0"/>
              <w:jc w:val="center"/>
              <w:rPr>
                <w:rFonts w:ascii="Arial" w:hAnsi="Arial" w:cs="Arial" w:eastAsia="Arial" w:hint="default"/>
                <w:sz w:val="18"/>
                <w:szCs w:val="18"/>
              </w:rPr>
            </w:pPr>
            <w:r>
              <w:rPr>
                <w:rFonts w:ascii="Arial"/>
                <w:sz w:val="18"/>
              </w:rPr>
              <w:t>084,51</w:t>
            </w:r>
          </w:p>
          <w:p>
            <w:pPr>
              <w:pStyle w:val="TableParagraph"/>
              <w:spacing w:line="240" w:lineRule="auto" w:before="106"/>
              <w:ind w:left="243" w:right="0"/>
              <w:jc w:val="center"/>
              <w:rPr>
                <w:rFonts w:ascii="Arial" w:hAnsi="Arial" w:cs="Arial" w:eastAsia="Arial" w:hint="default"/>
                <w:sz w:val="18"/>
                <w:szCs w:val="18"/>
              </w:rPr>
            </w:pPr>
            <w:r>
              <w:rPr>
                <w:rFonts w:ascii="Arial"/>
                <w:sz w:val="18"/>
              </w:rPr>
              <w:t>7.91</w:t>
            </w:r>
          </w:p>
        </w:tc>
      </w:tr>
    </w:tbl>
    <w:p>
      <w:pPr>
        <w:spacing w:line="240" w:lineRule="auto" w:before="10"/>
        <w:rPr>
          <w:rFonts w:ascii="Times New Roman" w:hAnsi="Times New Roman" w:cs="Times New Roman" w:eastAsia="Times New Roman" w:hint="default"/>
          <w:sz w:val="21"/>
          <w:szCs w:val="21"/>
        </w:rPr>
      </w:pPr>
    </w:p>
    <w:p>
      <w:pPr>
        <w:pStyle w:val="Heading4"/>
        <w:spacing w:line="240" w:lineRule="auto" w:before="35"/>
        <w:ind w:right="2239"/>
        <w:jc w:val="left"/>
        <w:rPr>
          <w:b w:val="0"/>
          <w:bCs w:val="0"/>
        </w:rPr>
      </w:pPr>
      <w:r>
        <w:rPr>
          <w:rFonts w:ascii="Arial" w:hAnsi="Arial" w:cs="Arial" w:eastAsia="Arial" w:hint="default"/>
        </w:rPr>
        <w:t>8</w:t>
      </w:r>
      <w:r>
        <w:rPr/>
        <w:t>、母公司所有者权益变动表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2239"/>
        <w:jc w:val="left"/>
      </w:pPr>
      <w:r>
        <w:rPr/>
        <w:t>本期金额</w:t>
      </w:r>
    </w:p>
    <w:p>
      <w:pPr>
        <w:pStyle w:val="BodyText"/>
        <w:spacing w:line="240" w:lineRule="auto" w:before="117"/>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94"/>
        <w:gridCol w:w="629"/>
        <w:gridCol w:w="604"/>
        <w:gridCol w:w="604"/>
        <w:gridCol w:w="606"/>
        <w:gridCol w:w="726"/>
        <w:gridCol w:w="726"/>
        <w:gridCol w:w="726"/>
        <w:gridCol w:w="727"/>
        <w:gridCol w:w="726"/>
        <w:gridCol w:w="616"/>
        <w:gridCol w:w="709"/>
        <w:gridCol w:w="864"/>
      </w:tblGrid>
      <w:tr>
        <w:trPr>
          <w:trHeight w:val="402" w:hRule="exact"/>
        </w:trPr>
        <w:tc>
          <w:tcPr>
            <w:tcW w:w="1294" w:type="dxa"/>
            <w:tcBorders>
              <w:top w:val="single" w:sz="4" w:space="0" w:color="000000"/>
              <w:left w:val="single" w:sz="4" w:space="0" w:color="000000"/>
              <w:bottom w:val="nil" w:sz="6" w:space="0" w:color="auto"/>
              <w:right w:val="single" w:sz="4" w:space="0" w:color="000000"/>
            </w:tcBorders>
            <w:shd w:val="clear" w:color="auto" w:fill="D3D3D3"/>
          </w:tcPr>
          <w:p>
            <w:pPr/>
          </w:p>
        </w:tc>
        <w:tc>
          <w:tcPr>
            <w:tcW w:w="826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9"/>
                <w:sz w:val="18"/>
                <w:szCs w:val="18"/>
              </w:rPr>
              <w:t> </w:t>
            </w:r>
            <w:r>
              <w:rPr>
                <w:rFonts w:ascii="宋体" w:hAnsi="宋体" w:cs="宋体" w:eastAsia="宋体" w:hint="default"/>
                <w:sz w:val="18"/>
                <w:szCs w:val="18"/>
              </w:rPr>
              <w:t>年度</w:t>
            </w:r>
          </w:p>
        </w:tc>
      </w:tr>
      <w:tr>
        <w:trPr>
          <w:trHeight w:val="206" w:hRule="exact"/>
        </w:trPr>
        <w:tc>
          <w:tcPr>
            <w:tcW w:w="129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6"/>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29" w:type="dxa"/>
            <w:tcBorders>
              <w:top w:val="single" w:sz="4" w:space="0" w:color="000000"/>
              <w:left w:val="single" w:sz="4" w:space="0" w:color="000000"/>
              <w:bottom w:val="nil" w:sz="6" w:space="0" w:color="auto"/>
              <w:right w:val="single" w:sz="4" w:space="0" w:color="000000"/>
            </w:tcBorders>
            <w:shd w:val="clear" w:color="auto" w:fill="D3D3D3"/>
          </w:tcPr>
          <w:p>
            <w:pPr/>
          </w:p>
        </w:tc>
        <w:tc>
          <w:tcPr>
            <w:tcW w:w="1813"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72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67" w:right="8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72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67" w:right="20" w:hanging="245"/>
              <w:jc w:val="left"/>
              <w:rPr>
                <w:rFonts w:ascii="宋体" w:hAnsi="宋体" w:cs="宋体" w:eastAsia="宋体" w:hint="default"/>
                <w:sz w:val="18"/>
                <w:szCs w:val="18"/>
              </w:rPr>
            </w:pPr>
            <w:r>
              <w:rPr>
                <w:rFonts w:ascii="宋体" w:hAnsi="宋体" w:cs="宋体" w:eastAsia="宋体" w:hint="default"/>
                <w:spacing w:val="-1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72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88" w:right="8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2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68" w:right="86"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72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267" w:right="8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1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22" w:right="31" w:hanging="90"/>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709" w:type="dxa"/>
            <w:tcBorders>
              <w:top w:val="single" w:sz="4" w:space="0" w:color="000000"/>
              <w:left w:val="single" w:sz="4" w:space="0" w:color="000000"/>
              <w:bottom w:val="nil" w:sz="6" w:space="0" w:color="auto"/>
              <w:right w:val="single" w:sz="4" w:space="0" w:color="000000"/>
            </w:tcBorders>
            <w:shd w:val="clear" w:color="auto" w:fill="D3D3D3"/>
          </w:tcPr>
          <w:p>
            <w:pPr/>
          </w:p>
        </w:tc>
        <w:tc>
          <w:tcPr>
            <w:tcW w:w="86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57" w:right="65"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4" w:hRule="exact"/>
        </w:trPr>
        <w:tc>
          <w:tcPr>
            <w:tcW w:w="1294" w:type="dxa"/>
            <w:vMerge/>
            <w:tcBorders>
              <w:left w:val="single" w:sz="4" w:space="0" w:color="000000"/>
              <w:bottom w:val="nil" w:sz="6" w:space="0" w:color="auto"/>
              <w:right w:val="single" w:sz="4" w:space="0" w:color="000000"/>
            </w:tcBorders>
            <w:shd w:val="clear" w:color="auto" w:fill="D3D3D3"/>
          </w:tcPr>
          <w:p>
            <w:pPr/>
          </w:p>
        </w:tc>
        <w:tc>
          <w:tcPr>
            <w:tcW w:w="62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29"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1813" w:type="dxa"/>
            <w:gridSpan w:val="3"/>
            <w:vMerge/>
            <w:tcBorders>
              <w:left w:val="single" w:sz="4" w:space="0" w:color="000000"/>
              <w:bottom w:val="single" w:sz="4" w:space="0" w:color="000000"/>
              <w:right w:val="single" w:sz="4" w:space="0" w:color="000000"/>
            </w:tcBorders>
            <w:shd w:val="clear" w:color="auto" w:fill="D3D3D3"/>
          </w:tcPr>
          <w:p>
            <w:pPr/>
          </w:p>
        </w:tc>
        <w:tc>
          <w:tcPr>
            <w:tcW w:w="726" w:type="dxa"/>
            <w:vMerge/>
            <w:tcBorders>
              <w:left w:val="single" w:sz="4" w:space="0" w:color="000000"/>
              <w:right w:val="single" w:sz="4" w:space="0" w:color="000000"/>
            </w:tcBorders>
            <w:shd w:val="clear" w:color="auto" w:fill="D3D3D3"/>
          </w:tcPr>
          <w:p>
            <w:pPr/>
          </w:p>
        </w:tc>
        <w:tc>
          <w:tcPr>
            <w:tcW w:w="726" w:type="dxa"/>
            <w:vMerge/>
            <w:tcBorders>
              <w:left w:val="single" w:sz="4" w:space="0" w:color="000000"/>
              <w:right w:val="single" w:sz="4" w:space="0" w:color="000000"/>
            </w:tcBorders>
            <w:shd w:val="clear" w:color="auto" w:fill="D3D3D3"/>
          </w:tcPr>
          <w:p>
            <w:pPr/>
          </w:p>
        </w:tc>
        <w:tc>
          <w:tcPr>
            <w:tcW w:w="726" w:type="dxa"/>
            <w:vMerge/>
            <w:tcBorders>
              <w:left w:val="single" w:sz="4" w:space="0" w:color="000000"/>
              <w:right w:val="single" w:sz="4" w:space="0" w:color="000000"/>
            </w:tcBorders>
            <w:shd w:val="clear" w:color="auto" w:fill="D3D3D3"/>
          </w:tcPr>
          <w:p>
            <w:pPr/>
          </w:p>
        </w:tc>
        <w:tc>
          <w:tcPr>
            <w:tcW w:w="727" w:type="dxa"/>
            <w:vMerge/>
            <w:tcBorders>
              <w:left w:val="single" w:sz="4" w:space="0" w:color="000000"/>
              <w:right w:val="single" w:sz="4" w:space="0" w:color="000000"/>
            </w:tcBorders>
            <w:shd w:val="clear" w:color="auto" w:fill="D3D3D3"/>
          </w:tcPr>
          <w:p>
            <w:pPr/>
          </w:p>
        </w:tc>
        <w:tc>
          <w:tcPr>
            <w:tcW w:w="726" w:type="dxa"/>
            <w:vMerge/>
            <w:tcBorders>
              <w:left w:val="single" w:sz="4" w:space="0" w:color="000000"/>
              <w:right w:val="single" w:sz="4" w:space="0" w:color="000000"/>
            </w:tcBorders>
            <w:shd w:val="clear" w:color="auto" w:fill="D3D3D3"/>
          </w:tcPr>
          <w:p>
            <w:pPr/>
          </w:p>
        </w:tc>
        <w:tc>
          <w:tcPr>
            <w:tcW w:w="616" w:type="dxa"/>
            <w:vMerge/>
            <w:tcBorders>
              <w:left w:val="single" w:sz="4" w:space="0" w:color="000000"/>
              <w:right w:val="single" w:sz="4" w:space="0" w:color="000000"/>
            </w:tcBorders>
            <w:shd w:val="clear" w:color="auto" w:fill="D3D3D3"/>
          </w:tcPr>
          <w:p>
            <w:pPr/>
          </w:p>
        </w:tc>
        <w:tc>
          <w:tcPr>
            <w:tcW w:w="70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69"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64" w:type="dxa"/>
            <w:vMerge/>
            <w:tcBorders>
              <w:left w:val="single" w:sz="4" w:space="0" w:color="000000"/>
              <w:right w:val="single" w:sz="4" w:space="0" w:color="000000"/>
            </w:tcBorders>
            <w:shd w:val="clear" w:color="auto" w:fill="D3D3D3"/>
          </w:tcPr>
          <w:p>
            <w:pPr/>
          </w:p>
        </w:tc>
      </w:tr>
      <w:tr>
        <w:trPr>
          <w:trHeight w:val="199" w:hRule="exact"/>
        </w:trPr>
        <w:tc>
          <w:tcPr>
            <w:tcW w:w="1294" w:type="dxa"/>
            <w:vMerge w:val="restart"/>
            <w:tcBorders>
              <w:top w:val="nil" w:sz="6" w:space="0" w:color="auto"/>
              <w:left w:val="single" w:sz="4" w:space="0" w:color="000000"/>
              <w:right w:val="single" w:sz="4" w:space="0" w:color="000000"/>
            </w:tcBorders>
            <w:shd w:val="clear" w:color="auto" w:fill="D3D3D3"/>
          </w:tcPr>
          <w:p>
            <w:pPr/>
          </w:p>
        </w:tc>
        <w:tc>
          <w:tcPr>
            <w:tcW w:w="629" w:type="dxa"/>
            <w:vMerge/>
            <w:tcBorders>
              <w:left w:val="single" w:sz="4" w:space="0" w:color="000000"/>
              <w:bottom w:val="nil" w:sz="6" w:space="0" w:color="auto"/>
              <w:right w:val="single" w:sz="4" w:space="0" w:color="000000"/>
            </w:tcBorders>
            <w:shd w:val="clear" w:color="auto" w:fill="D3D3D3"/>
          </w:tcPr>
          <w:p>
            <w:pPr/>
          </w:p>
        </w:tc>
        <w:tc>
          <w:tcPr>
            <w:tcW w:w="60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优先股</w:t>
            </w:r>
          </w:p>
        </w:tc>
        <w:tc>
          <w:tcPr>
            <w:tcW w:w="60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26"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60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3"/>
              <w:ind w:left="11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26" w:type="dxa"/>
            <w:vMerge/>
            <w:tcBorders>
              <w:left w:val="single" w:sz="4" w:space="0" w:color="000000"/>
              <w:right w:val="single" w:sz="4" w:space="0" w:color="000000"/>
            </w:tcBorders>
            <w:shd w:val="clear" w:color="auto" w:fill="D3D3D3"/>
          </w:tcPr>
          <w:p>
            <w:pPr/>
          </w:p>
        </w:tc>
        <w:tc>
          <w:tcPr>
            <w:tcW w:w="726" w:type="dxa"/>
            <w:vMerge/>
            <w:tcBorders>
              <w:left w:val="single" w:sz="4" w:space="0" w:color="000000"/>
              <w:right w:val="single" w:sz="4" w:space="0" w:color="000000"/>
            </w:tcBorders>
            <w:shd w:val="clear" w:color="auto" w:fill="D3D3D3"/>
          </w:tcPr>
          <w:p>
            <w:pPr/>
          </w:p>
        </w:tc>
        <w:tc>
          <w:tcPr>
            <w:tcW w:w="726" w:type="dxa"/>
            <w:vMerge/>
            <w:tcBorders>
              <w:left w:val="single" w:sz="4" w:space="0" w:color="000000"/>
              <w:right w:val="single" w:sz="4" w:space="0" w:color="000000"/>
            </w:tcBorders>
            <w:shd w:val="clear" w:color="auto" w:fill="D3D3D3"/>
          </w:tcPr>
          <w:p>
            <w:pPr/>
          </w:p>
        </w:tc>
        <w:tc>
          <w:tcPr>
            <w:tcW w:w="727" w:type="dxa"/>
            <w:vMerge/>
            <w:tcBorders>
              <w:left w:val="single" w:sz="4" w:space="0" w:color="000000"/>
              <w:right w:val="single" w:sz="4" w:space="0" w:color="000000"/>
            </w:tcBorders>
            <w:shd w:val="clear" w:color="auto" w:fill="D3D3D3"/>
          </w:tcPr>
          <w:p>
            <w:pPr/>
          </w:p>
        </w:tc>
        <w:tc>
          <w:tcPr>
            <w:tcW w:w="726" w:type="dxa"/>
            <w:vMerge/>
            <w:tcBorders>
              <w:left w:val="single" w:sz="4" w:space="0" w:color="000000"/>
              <w:right w:val="single" w:sz="4" w:space="0" w:color="000000"/>
            </w:tcBorders>
            <w:shd w:val="clear" w:color="auto" w:fill="D3D3D3"/>
          </w:tcPr>
          <w:p>
            <w:pPr/>
          </w:p>
        </w:tc>
        <w:tc>
          <w:tcPr>
            <w:tcW w:w="616" w:type="dxa"/>
            <w:vMerge/>
            <w:tcBorders>
              <w:left w:val="single" w:sz="4" w:space="0" w:color="000000"/>
              <w:right w:val="single" w:sz="4" w:space="0" w:color="000000"/>
            </w:tcBorders>
            <w:shd w:val="clear" w:color="auto" w:fill="D3D3D3"/>
          </w:tcPr>
          <w:p>
            <w:pPr/>
          </w:p>
        </w:tc>
        <w:tc>
          <w:tcPr>
            <w:tcW w:w="709" w:type="dxa"/>
            <w:vMerge/>
            <w:tcBorders>
              <w:left w:val="single" w:sz="4" w:space="0" w:color="000000"/>
              <w:bottom w:val="nil" w:sz="6" w:space="0" w:color="auto"/>
              <w:right w:val="single" w:sz="4" w:space="0" w:color="000000"/>
            </w:tcBorders>
            <w:shd w:val="clear" w:color="auto" w:fill="D3D3D3"/>
          </w:tcPr>
          <w:p>
            <w:pPr/>
          </w:p>
        </w:tc>
        <w:tc>
          <w:tcPr>
            <w:tcW w:w="864" w:type="dxa"/>
            <w:vMerge/>
            <w:tcBorders>
              <w:left w:val="single" w:sz="4" w:space="0" w:color="000000"/>
              <w:right w:val="single" w:sz="4" w:space="0" w:color="000000"/>
            </w:tcBorders>
            <w:shd w:val="clear" w:color="auto" w:fill="D3D3D3"/>
          </w:tcPr>
          <w:p>
            <w:pPr/>
          </w:p>
        </w:tc>
      </w:tr>
      <w:tr>
        <w:trPr>
          <w:trHeight w:val="206" w:hRule="exact"/>
        </w:trPr>
        <w:tc>
          <w:tcPr>
            <w:tcW w:w="1294" w:type="dxa"/>
            <w:vMerge/>
            <w:tcBorders>
              <w:left w:val="single" w:sz="4" w:space="0" w:color="000000"/>
              <w:bottom w:val="single" w:sz="4" w:space="0" w:color="000000"/>
              <w:right w:val="single" w:sz="4" w:space="0" w:color="000000"/>
            </w:tcBorders>
            <w:shd w:val="clear" w:color="auto" w:fill="D3D3D3"/>
          </w:tcPr>
          <w:p>
            <w:pPr/>
          </w:p>
        </w:tc>
        <w:tc>
          <w:tcPr>
            <w:tcW w:w="629" w:type="dxa"/>
            <w:tcBorders>
              <w:top w:val="nil" w:sz="6" w:space="0" w:color="auto"/>
              <w:left w:val="single" w:sz="4" w:space="0" w:color="000000"/>
              <w:bottom w:val="single" w:sz="4" w:space="0" w:color="000000"/>
              <w:right w:val="single" w:sz="4" w:space="0" w:color="000000"/>
            </w:tcBorders>
            <w:shd w:val="clear" w:color="auto" w:fill="D3D3D3"/>
          </w:tcPr>
          <w:p>
            <w:pPr/>
          </w:p>
        </w:tc>
        <w:tc>
          <w:tcPr>
            <w:tcW w:w="604" w:type="dxa"/>
            <w:vMerge/>
            <w:tcBorders>
              <w:left w:val="single" w:sz="4" w:space="0" w:color="000000"/>
              <w:bottom w:val="single" w:sz="4" w:space="0" w:color="000000"/>
              <w:right w:val="single" w:sz="4" w:space="0" w:color="000000"/>
            </w:tcBorders>
            <w:shd w:val="clear" w:color="auto" w:fill="D3D3D3"/>
          </w:tcPr>
          <w:p>
            <w:pPr/>
          </w:p>
        </w:tc>
        <w:tc>
          <w:tcPr>
            <w:tcW w:w="604" w:type="dxa"/>
            <w:vMerge/>
            <w:tcBorders>
              <w:left w:val="single" w:sz="4" w:space="0" w:color="000000"/>
              <w:bottom w:val="single" w:sz="4" w:space="0" w:color="000000"/>
              <w:right w:val="single" w:sz="4" w:space="0" w:color="000000"/>
            </w:tcBorders>
            <w:shd w:val="clear" w:color="auto" w:fill="D3D3D3"/>
          </w:tcPr>
          <w:p>
            <w:pPr/>
          </w:p>
        </w:tc>
        <w:tc>
          <w:tcPr>
            <w:tcW w:w="606" w:type="dxa"/>
            <w:vMerge/>
            <w:tcBorders>
              <w:left w:val="single" w:sz="4" w:space="0" w:color="000000"/>
              <w:bottom w:val="single" w:sz="4" w:space="0" w:color="000000"/>
              <w:right w:val="single" w:sz="4" w:space="0" w:color="000000"/>
            </w:tcBorders>
            <w:shd w:val="clear" w:color="auto" w:fill="D3D3D3"/>
          </w:tcPr>
          <w:p>
            <w:pPr/>
          </w:p>
        </w:tc>
        <w:tc>
          <w:tcPr>
            <w:tcW w:w="726" w:type="dxa"/>
            <w:vMerge/>
            <w:tcBorders>
              <w:left w:val="single" w:sz="4" w:space="0" w:color="000000"/>
              <w:bottom w:val="single" w:sz="4" w:space="0" w:color="000000"/>
              <w:right w:val="single" w:sz="4" w:space="0" w:color="000000"/>
            </w:tcBorders>
            <w:shd w:val="clear" w:color="auto" w:fill="D3D3D3"/>
          </w:tcPr>
          <w:p>
            <w:pPr/>
          </w:p>
        </w:tc>
        <w:tc>
          <w:tcPr>
            <w:tcW w:w="726" w:type="dxa"/>
            <w:vMerge/>
            <w:tcBorders>
              <w:left w:val="single" w:sz="4" w:space="0" w:color="000000"/>
              <w:bottom w:val="single" w:sz="4" w:space="0" w:color="000000"/>
              <w:right w:val="single" w:sz="4" w:space="0" w:color="000000"/>
            </w:tcBorders>
            <w:shd w:val="clear" w:color="auto" w:fill="D3D3D3"/>
          </w:tcPr>
          <w:p>
            <w:pPr/>
          </w:p>
        </w:tc>
        <w:tc>
          <w:tcPr>
            <w:tcW w:w="726" w:type="dxa"/>
            <w:vMerge/>
            <w:tcBorders>
              <w:left w:val="single" w:sz="4" w:space="0" w:color="000000"/>
              <w:bottom w:val="single" w:sz="4" w:space="0" w:color="000000"/>
              <w:right w:val="single" w:sz="4" w:space="0" w:color="000000"/>
            </w:tcBorders>
            <w:shd w:val="clear" w:color="auto" w:fill="D3D3D3"/>
          </w:tcPr>
          <w:p>
            <w:pPr/>
          </w:p>
        </w:tc>
        <w:tc>
          <w:tcPr>
            <w:tcW w:w="727" w:type="dxa"/>
            <w:vMerge/>
            <w:tcBorders>
              <w:left w:val="single" w:sz="4" w:space="0" w:color="000000"/>
              <w:bottom w:val="single" w:sz="4" w:space="0" w:color="000000"/>
              <w:right w:val="single" w:sz="4" w:space="0" w:color="000000"/>
            </w:tcBorders>
            <w:shd w:val="clear" w:color="auto" w:fill="D3D3D3"/>
          </w:tcPr>
          <w:p>
            <w:pPr/>
          </w:p>
        </w:tc>
        <w:tc>
          <w:tcPr>
            <w:tcW w:w="726" w:type="dxa"/>
            <w:vMerge/>
            <w:tcBorders>
              <w:left w:val="single" w:sz="4" w:space="0" w:color="000000"/>
              <w:bottom w:val="single" w:sz="4" w:space="0" w:color="000000"/>
              <w:right w:val="single" w:sz="4" w:space="0" w:color="000000"/>
            </w:tcBorders>
            <w:shd w:val="clear" w:color="auto" w:fill="D3D3D3"/>
          </w:tcPr>
          <w:p>
            <w:pPr/>
          </w:p>
        </w:tc>
        <w:tc>
          <w:tcPr>
            <w:tcW w:w="616" w:type="dxa"/>
            <w:vMerge/>
            <w:tcBorders>
              <w:left w:val="single" w:sz="4" w:space="0" w:color="000000"/>
              <w:bottom w:val="single" w:sz="4" w:space="0" w:color="000000"/>
              <w:right w:val="single" w:sz="4" w:space="0" w:color="000000"/>
            </w:tcBorders>
            <w:shd w:val="clear" w:color="auto" w:fill="D3D3D3"/>
          </w:tcPr>
          <w:p>
            <w:pPr/>
          </w:p>
        </w:tc>
        <w:tc>
          <w:tcPr>
            <w:tcW w:w="709" w:type="dxa"/>
            <w:tcBorders>
              <w:top w:val="nil" w:sz="6" w:space="0" w:color="auto"/>
              <w:left w:val="single" w:sz="4" w:space="0" w:color="000000"/>
              <w:bottom w:val="single" w:sz="4" w:space="0" w:color="000000"/>
              <w:right w:val="single" w:sz="4" w:space="0" w:color="000000"/>
            </w:tcBorders>
            <w:shd w:val="clear" w:color="auto" w:fill="D3D3D3"/>
          </w:tcPr>
          <w:p>
            <w:pPr/>
          </w:p>
        </w:tc>
        <w:tc>
          <w:tcPr>
            <w:tcW w:w="864" w:type="dxa"/>
            <w:vMerge/>
            <w:tcBorders>
              <w:left w:val="single" w:sz="4" w:space="0" w:color="000000"/>
              <w:bottom w:val="single" w:sz="4" w:space="0" w:color="000000"/>
              <w:right w:val="single" w:sz="4" w:space="0" w:color="000000"/>
            </w:tcBorders>
            <w:shd w:val="clear" w:color="auto" w:fill="D3D3D3"/>
          </w:tcPr>
          <w:p>
            <w:pPr/>
          </w:p>
        </w:tc>
      </w:tr>
      <w:tr>
        <w:trPr>
          <w:trHeight w:val="160" w:hRule="exact"/>
        </w:trPr>
        <w:tc>
          <w:tcPr>
            <w:tcW w:w="1294" w:type="dxa"/>
            <w:tcBorders>
              <w:top w:val="single" w:sz="4" w:space="0" w:color="000000"/>
              <w:left w:val="single" w:sz="4" w:space="0" w:color="000000"/>
              <w:bottom w:val="nil" w:sz="6" w:space="0" w:color="auto"/>
              <w:right w:val="single" w:sz="4" w:space="0" w:color="000000"/>
            </w:tcBorders>
            <w:shd w:val="clear" w:color="auto" w:fill="D3D3D3"/>
          </w:tcPr>
          <w:p>
            <w:pPr/>
          </w:p>
        </w:tc>
        <w:tc>
          <w:tcPr>
            <w:tcW w:w="629" w:type="dxa"/>
            <w:vMerge w:val="restart"/>
            <w:tcBorders>
              <w:top w:val="single" w:sz="4" w:space="0" w:color="000000"/>
              <w:left w:val="single" w:sz="9" w:space="0" w:color="D3D3D3"/>
              <w:right w:val="single" w:sz="4" w:space="0" w:color="000000"/>
            </w:tcBorders>
          </w:tcPr>
          <w:p>
            <w:pPr>
              <w:pStyle w:val="TableParagraph"/>
              <w:spacing w:line="240" w:lineRule="auto" w:before="91"/>
              <w:ind w:left="39" w:right="0"/>
              <w:jc w:val="left"/>
              <w:rPr>
                <w:rFonts w:ascii="Arial" w:hAnsi="Arial" w:cs="Arial" w:eastAsia="Arial" w:hint="default"/>
                <w:sz w:val="18"/>
                <w:szCs w:val="18"/>
              </w:rPr>
            </w:pPr>
            <w:r>
              <w:rPr>
                <w:rFonts w:ascii="Arial"/>
                <w:sz w:val="18"/>
              </w:rPr>
              <w:t>622,20</w:t>
            </w:r>
          </w:p>
          <w:p>
            <w:pPr>
              <w:pStyle w:val="TableParagraph"/>
              <w:spacing w:line="240" w:lineRule="auto" w:before="105"/>
              <w:ind w:left="89" w:right="0"/>
              <w:jc w:val="left"/>
              <w:rPr>
                <w:rFonts w:ascii="Arial" w:hAnsi="Arial" w:cs="Arial" w:eastAsia="Arial" w:hint="default"/>
                <w:sz w:val="18"/>
                <w:szCs w:val="18"/>
              </w:rPr>
            </w:pPr>
            <w:r>
              <w:rPr>
                <w:rFonts w:ascii="Arial"/>
                <w:sz w:val="18"/>
              </w:rPr>
              <w:t>0,000.</w:t>
            </w:r>
          </w:p>
          <w:p>
            <w:pPr>
              <w:pStyle w:val="TableParagraph"/>
              <w:spacing w:line="240" w:lineRule="auto" w:before="106"/>
              <w:ind w:left="389" w:right="0"/>
              <w:jc w:val="left"/>
              <w:rPr>
                <w:rFonts w:ascii="Arial" w:hAnsi="Arial" w:cs="Arial" w:eastAsia="Arial" w:hint="default"/>
                <w:sz w:val="18"/>
                <w:szCs w:val="18"/>
              </w:rPr>
            </w:pPr>
            <w:r>
              <w:rPr>
                <w:rFonts w:ascii="Arial"/>
                <w:sz w:val="18"/>
              </w:rPr>
              <w:t>00</w:t>
            </w:r>
          </w:p>
        </w:tc>
        <w:tc>
          <w:tcPr>
            <w:tcW w:w="604" w:type="dxa"/>
            <w:vMerge w:val="restart"/>
            <w:tcBorders>
              <w:top w:val="single" w:sz="4" w:space="0" w:color="000000"/>
              <w:left w:val="single" w:sz="4" w:space="0" w:color="000000"/>
              <w:right w:val="single" w:sz="4" w:space="0" w:color="000000"/>
            </w:tcBorders>
          </w:tcPr>
          <w:p>
            <w:pPr/>
          </w:p>
        </w:tc>
        <w:tc>
          <w:tcPr>
            <w:tcW w:w="604" w:type="dxa"/>
            <w:vMerge w:val="restart"/>
            <w:tcBorders>
              <w:top w:val="single" w:sz="4" w:space="0" w:color="000000"/>
              <w:left w:val="single" w:sz="4" w:space="0" w:color="000000"/>
              <w:right w:val="single" w:sz="4" w:space="0" w:color="000000"/>
            </w:tcBorders>
          </w:tcPr>
          <w:p>
            <w:pPr/>
          </w:p>
        </w:tc>
        <w:tc>
          <w:tcPr>
            <w:tcW w:w="606" w:type="dxa"/>
            <w:vMerge w:val="restart"/>
            <w:tcBorders>
              <w:top w:val="single" w:sz="4" w:space="0" w:color="000000"/>
              <w:left w:val="single" w:sz="4" w:space="0" w:color="000000"/>
              <w:right w:val="single" w:sz="4" w:space="0" w:color="000000"/>
            </w:tcBorders>
          </w:tcPr>
          <w:p>
            <w:pPr/>
          </w:p>
        </w:tc>
        <w:tc>
          <w:tcPr>
            <w:tcW w:w="726" w:type="dxa"/>
            <w:vMerge w:val="restart"/>
            <w:tcBorders>
              <w:top w:val="single" w:sz="18" w:space="0" w:color="D3D3D3"/>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41" w:right="0"/>
              <w:jc w:val="left"/>
              <w:rPr>
                <w:rFonts w:ascii="Arial" w:hAnsi="Arial" w:cs="Arial" w:eastAsia="Arial" w:hint="default"/>
                <w:sz w:val="18"/>
                <w:szCs w:val="18"/>
              </w:rPr>
            </w:pPr>
            <w:r>
              <w:rPr>
                <w:rFonts w:ascii="Arial"/>
                <w:sz w:val="18"/>
              </w:rPr>
              <w:t>364,193</w:t>
            </w:r>
          </w:p>
          <w:p>
            <w:pPr>
              <w:pStyle w:val="TableParagraph"/>
              <w:spacing w:line="240" w:lineRule="auto" w:before="106"/>
              <w:ind w:left="92" w:right="0"/>
              <w:jc w:val="left"/>
              <w:rPr>
                <w:rFonts w:ascii="Arial" w:hAnsi="Arial" w:cs="Arial" w:eastAsia="Arial" w:hint="default"/>
                <w:sz w:val="18"/>
                <w:szCs w:val="18"/>
              </w:rPr>
            </w:pPr>
            <w:r>
              <w:rPr>
                <w:rFonts w:ascii="Arial"/>
                <w:sz w:val="18"/>
              </w:rPr>
              <w:t>,237.65</w:t>
            </w:r>
          </w:p>
        </w:tc>
        <w:tc>
          <w:tcPr>
            <w:tcW w:w="726" w:type="dxa"/>
            <w:vMerge w:val="restart"/>
            <w:tcBorders>
              <w:top w:val="single" w:sz="18" w:space="0" w:color="D3D3D3"/>
              <w:left w:val="single" w:sz="4" w:space="0" w:color="000000"/>
              <w:right w:val="single" w:sz="4" w:space="0" w:color="000000"/>
            </w:tcBorders>
          </w:tcPr>
          <w:p>
            <w:pPr/>
          </w:p>
        </w:tc>
        <w:tc>
          <w:tcPr>
            <w:tcW w:w="726" w:type="dxa"/>
            <w:vMerge w:val="restart"/>
            <w:tcBorders>
              <w:top w:val="single" w:sz="18" w:space="0" w:color="D3D3D3"/>
              <w:left w:val="single" w:sz="4" w:space="0" w:color="000000"/>
              <w:right w:val="single" w:sz="4" w:space="0" w:color="000000"/>
            </w:tcBorders>
          </w:tcPr>
          <w:p>
            <w:pPr/>
          </w:p>
        </w:tc>
        <w:tc>
          <w:tcPr>
            <w:tcW w:w="727" w:type="dxa"/>
            <w:vMerge w:val="restart"/>
            <w:tcBorders>
              <w:top w:val="single" w:sz="18" w:space="0" w:color="D3D3D3"/>
              <w:left w:val="single" w:sz="4" w:space="0" w:color="000000"/>
              <w:right w:val="single" w:sz="4" w:space="0" w:color="000000"/>
            </w:tcBorders>
          </w:tcPr>
          <w:p>
            <w:pPr/>
          </w:p>
        </w:tc>
        <w:tc>
          <w:tcPr>
            <w:tcW w:w="726" w:type="dxa"/>
            <w:vMerge w:val="restart"/>
            <w:tcBorders>
              <w:top w:val="single" w:sz="18" w:space="0" w:color="D3D3D3"/>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92" w:right="0"/>
              <w:jc w:val="left"/>
              <w:rPr>
                <w:rFonts w:ascii="Arial" w:hAnsi="Arial" w:cs="Arial" w:eastAsia="Arial" w:hint="default"/>
                <w:sz w:val="18"/>
                <w:szCs w:val="18"/>
              </w:rPr>
            </w:pPr>
            <w:r>
              <w:rPr>
                <w:rFonts w:ascii="Arial"/>
                <w:sz w:val="18"/>
              </w:rPr>
              <w:t>67,571,</w:t>
            </w:r>
          </w:p>
          <w:p>
            <w:pPr>
              <w:pStyle w:val="TableParagraph"/>
              <w:spacing w:line="240" w:lineRule="auto" w:before="106"/>
              <w:ind w:left="154" w:right="0"/>
              <w:jc w:val="left"/>
              <w:rPr>
                <w:rFonts w:ascii="Arial" w:hAnsi="Arial" w:cs="Arial" w:eastAsia="Arial" w:hint="default"/>
                <w:sz w:val="18"/>
                <w:szCs w:val="18"/>
              </w:rPr>
            </w:pPr>
            <w:r>
              <w:rPr>
                <w:rFonts w:ascii="Arial"/>
                <w:spacing w:val="-3"/>
                <w:sz w:val="18"/>
              </w:rPr>
              <w:t>711.68</w:t>
            </w:r>
          </w:p>
        </w:tc>
        <w:tc>
          <w:tcPr>
            <w:tcW w:w="616" w:type="dxa"/>
            <w:vMerge w:val="restart"/>
            <w:tcBorders>
              <w:top w:val="single" w:sz="18" w:space="0" w:color="D3D3D3"/>
              <w:left w:val="single" w:sz="4" w:space="0" w:color="000000"/>
              <w:right w:val="single" w:sz="4" w:space="0" w:color="000000"/>
            </w:tcBorders>
          </w:tcPr>
          <w:p>
            <w:pPr>
              <w:pStyle w:val="TableParagraph"/>
              <w:spacing w:line="240" w:lineRule="auto" w:before="73"/>
              <w:ind w:left="31" w:right="0"/>
              <w:jc w:val="left"/>
              <w:rPr>
                <w:rFonts w:ascii="Arial" w:hAnsi="Arial" w:cs="Arial" w:eastAsia="Arial" w:hint="default"/>
                <w:sz w:val="18"/>
                <w:szCs w:val="18"/>
              </w:rPr>
            </w:pPr>
            <w:r>
              <w:rPr>
                <w:rFonts w:ascii="Arial"/>
                <w:sz w:val="18"/>
              </w:rPr>
              <w:t>447,83</w:t>
            </w:r>
          </w:p>
          <w:p>
            <w:pPr>
              <w:pStyle w:val="TableParagraph"/>
              <w:spacing w:line="240" w:lineRule="auto" w:before="105"/>
              <w:ind w:left="81" w:right="0"/>
              <w:jc w:val="left"/>
              <w:rPr>
                <w:rFonts w:ascii="Arial" w:hAnsi="Arial" w:cs="Arial" w:eastAsia="Arial" w:hint="default"/>
                <w:sz w:val="18"/>
                <w:szCs w:val="18"/>
              </w:rPr>
            </w:pPr>
            <w:r>
              <w:rPr>
                <w:rFonts w:ascii="Arial"/>
                <w:sz w:val="18"/>
              </w:rPr>
              <w:t>7,996.</w:t>
            </w:r>
          </w:p>
          <w:p>
            <w:pPr>
              <w:pStyle w:val="TableParagraph"/>
              <w:spacing w:line="240" w:lineRule="auto" w:before="106"/>
              <w:ind w:left="381" w:right="0"/>
              <w:jc w:val="left"/>
              <w:rPr>
                <w:rFonts w:ascii="Arial" w:hAnsi="Arial" w:cs="Arial" w:eastAsia="Arial" w:hint="default"/>
                <w:sz w:val="18"/>
                <w:szCs w:val="18"/>
              </w:rPr>
            </w:pPr>
            <w:r>
              <w:rPr>
                <w:rFonts w:ascii="Arial"/>
                <w:sz w:val="18"/>
              </w:rPr>
              <w:t>47</w:t>
            </w:r>
          </w:p>
        </w:tc>
        <w:tc>
          <w:tcPr>
            <w:tcW w:w="709"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18" w:space="0" w:color="D3D3D3"/>
              <w:left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7"/>
                <w:szCs w:val="17"/>
              </w:rPr>
            </w:pPr>
          </w:p>
          <w:p>
            <w:pPr>
              <w:pStyle w:val="TableParagraph"/>
              <w:spacing w:line="240" w:lineRule="auto"/>
              <w:ind w:left="31" w:right="0"/>
              <w:jc w:val="left"/>
              <w:rPr>
                <w:rFonts w:ascii="Arial" w:hAnsi="Arial" w:cs="Arial" w:eastAsia="Arial" w:hint="default"/>
                <w:sz w:val="18"/>
                <w:szCs w:val="18"/>
              </w:rPr>
            </w:pPr>
            <w:r>
              <w:rPr>
                <w:rFonts w:ascii="Arial"/>
                <w:sz w:val="18"/>
              </w:rPr>
              <w:t>1,501,802</w:t>
            </w:r>
          </w:p>
          <w:p>
            <w:pPr>
              <w:pStyle w:val="TableParagraph"/>
              <w:spacing w:line="240" w:lineRule="auto" w:before="106"/>
              <w:ind w:left="231" w:right="0"/>
              <w:jc w:val="left"/>
              <w:rPr>
                <w:rFonts w:ascii="Arial" w:hAnsi="Arial" w:cs="Arial" w:eastAsia="Arial" w:hint="default"/>
                <w:sz w:val="18"/>
                <w:szCs w:val="18"/>
              </w:rPr>
            </w:pPr>
            <w:r>
              <w:rPr>
                <w:rFonts w:ascii="Arial"/>
                <w:sz w:val="18"/>
              </w:rPr>
              <w:t>,945.80</w:t>
            </w:r>
          </w:p>
        </w:tc>
      </w:tr>
      <w:tr>
        <w:trPr>
          <w:trHeight w:val="705" w:hRule="exact"/>
        </w:trPr>
        <w:tc>
          <w:tcPr>
            <w:tcW w:w="12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1"/>
              <w:ind w:left="11" w:right="20"/>
              <w:jc w:val="left"/>
              <w:rPr>
                <w:rFonts w:ascii="宋体" w:hAnsi="宋体" w:cs="宋体" w:eastAsia="宋体" w:hint="default"/>
                <w:sz w:val="18"/>
                <w:szCs w:val="18"/>
              </w:rPr>
            </w:pPr>
            <w:r>
              <w:rPr>
                <w:rFonts w:ascii="宋体" w:hAnsi="宋体" w:cs="宋体" w:eastAsia="宋体" w:hint="default"/>
                <w:spacing w:val="-2"/>
                <w:sz w:val="18"/>
                <w:szCs w:val="18"/>
              </w:rPr>
              <w:t>一、上年期末余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vMerge/>
            <w:tcBorders>
              <w:left w:val="single" w:sz="9" w:space="0" w:color="D3D3D3"/>
              <w:right w:val="single" w:sz="4" w:space="0" w:color="000000"/>
            </w:tcBorders>
          </w:tcPr>
          <w:p>
            <w:pPr/>
          </w:p>
        </w:tc>
        <w:tc>
          <w:tcPr>
            <w:tcW w:w="604" w:type="dxa"/>
            <w:vMerge/>
            <w:tcBorders>
              <w:left w:val="single" w:sz="4" w:space="0" w:color="000000"/>
              <w:right w:val="single" w:sz="4" w:space="0" w:color="000000"/>
            </w:tcBorders>
          </w:tcPr>
          <w:p>
            <w:pPr/>
          </w:p>
        </w:tc>
        <w:tc>
          <w:tcPr>
            <w:tcW w:w="604"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r>
      <w:tr>
        <w:trPr>
          <w:trHeight w:val="160" w:hRule="exact"/>
        </w:trPr>
        <w:tc>
          <w:tcPr>
            <w:tcW w:w="1294" w:type="dxa"/>
            <w:tcBorders>
              <w:top w:val="nil" w:sz="6" w:space="0" w:color="auto"/>
              <w:left w:val="single" w:sz="4" w:space="0" w:color="000000"/>
              <w:bottom w:val="single" w:sz="4" w:space="0" w:color="000000"/>
              <w:right w:val="single" w:sz="4" w:space="0" w:color="000000"/>
            </w:tcBorders>
            <w:shd w:val="clear" w:color="auto" w:fill="D3D3D3"/>
          </w:tcPr>
          <w:p>
            <w:pPr/>
          </w:p>
        </w:tc>
        <w:tc>
          <w:tcPr>
            <w:tcW w:w="629" w:type="dxa"/>
            <w:vMerge/>
            <w:tcBorders>
              <w:left w:val="single" w:sz="9" w:space="0" w:color="D3D3D3"/>
              <w:bottom w:val="single" w:sz="4" w:space="0" w:color="000000"/>
              <w:right w:val="single" w:sz="4" w:space="0" w:color="000000"/>
            </w:tcBorders>
          </w:tcPr>
          <w:p>
            <w:pPr/>
          </w:p>
        </w:tc>
        <w:tc>
          <w:tcPr>
            <w:tcW w:w="604" w:type="dxa"/>
            <w:vMerge/>
            <w:tcBorders>
              <w:left w:val="single" w:sz="4" w:space="0" w:color="000000"/>
              <w:bottom w:val="single" w:sz="4" w:space="0" w:color="000000"/>
              <w:right w:val="single" w:sz="4" w:space="0" w:color="000000"/>
            </w:tcBorders>
          </w:tcPr>
          <w:p>
            <w:pPr/>
          </w:p>
        </w:tc>
        <w:tc>
          <w:tcPr>
            <w:tcW w:w="604" w:type="dxa"/>
            <w:vMerge/>
            <w:tcBorders>
              <w:left w:val="single" w:sz="4" w:space="0" w:color="000000"/>
              <w:bottom w:val="single" w:sz="4" w:space="0" w:color="000000"/>
              <w:right w:val="single" w:sz="4" w:space="0" w:color="000000"/>
            </w:tcBorders>
          </w:tcPr>
          <w:p>
            <w:pPr/>
          </w:p>
        </w:tc>
        <w:tc>
          <w:tcPr>
            <w:tcW w:w="606"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c>
          <w:tcPr>
            <w:tcW w:w="616"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r>
      <w:tr>
        <w:trPr>
          <w:trHeight w:val="714" w:hRule="exact"/>
        </w:trPr>
        <w:tc>
          <w:tcPr>
            <w:tcW w:w="1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0" w:firstLine="360"/>
              <w:jc w:val="left"/>
              <w:rPr>
                <w:rFonts w:ascii="宋体" w:hAnsi="宋体" w:cs="宋体" w:eastAsia="宋体" w:hint="default"/>
                <w:sz w:val="18"/>
                <w:szCs w:val="18"/>
              </w:rPr>
            </w:pPr>
            <w:r>
              <w:rPr>
                <w:rFonts w:ascii="宋体" w:hAnsi="宋体" w:cs="宋体" w:eastAsia="宋体" w:hint="default"/>
                <w:spacing w:val="-2"/>
                <w:sz w:val="18"/>
                <w:szCs w:val="18"/>
              </w:rPr>
              <w:t>加：会计政</w:t>
            </w:r>
            <w:r>
              <w:rPr>
                <w:rFonts w:ascii="宋体" w:hAnsi="宋体" w:cs="宋体" w:eastAsia="宋体" w:hint="default"/>
                <w:sz w:val="18"/>
                <w:szCs w:val="18"/>
              </w:rPr>
              <w:t> 策变更</w:t>
            </w:r>
          </w:p>
        </w:tc>
        <w:tc>
          <w:tcPr>
            <w:tcW w:w="629" w:type="dxa"/>
            <w:tcBorders>
              <w:top w:val="single" w:sz="4" w:space="0" w:color="000000"/>
              <w:left w:val="single" w:sz="13" w:space="0" w:color="D3D3D3"/>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Arial" w:hAnsi="Arial" w:cs="Arial" w:eastAsia="Arial" w:hint="default"/>
                <w:sz w:val="18"/>
                <w:szCs w:val="18"/>
              </w:rPr>
            </w:pPr>
            <w:r>
              <w:rPr>
                <w:rFonts w:ascii="Arial"/>
                <w:sz w:val="18"/>
              </w:rPr>
              <w:t>27,740,</w:t>
            </w:r>
          </w:p>
          <w:p>
            <w:pPr>
              <w:pStyle w:val="TableParagraph"/>
              <w:spacing w:line="240" w:lineRule="auto" w:before="106"/>
              <w:ind w:left="142" w:right="0"/>
              <w:jc w:val="left"/>
              <w:rPr>
                <w:rFonts w:ascii="Arial" w:hAnsi="Arial" w:cs="Arial" w:eastAsia="Arial" w:hint="default"/>
                <w:sz w:val="18"/>
                <w:szCs w:val="18"/>
              </w:rPr>
            </w:pPr>
            <w:r>
              <w:rPr>
                <w:rFonts w:ascii="Arial"/>
                <w:sz w:val="18"/>
              </w:rPr>
              <w:t>277.77</w:t>
            </w: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Arial" w:hAnsi="Arial" w:cs="Arial" w:eastAsia="Arial" w:hint="default"/>
                <w:sz w:val="18"/>
                <w:szCs w:val="18"/>
              </w:rPr>
            </w:pPr>
            <w:r>
              <w:rPr>
                <w:rFonts w:ascii="Arial"/>
                <w:sz w:val="18"/>
              </w:rPr>
              <w:t>27,740,27</w:t>
            </w:r>
          </w:p>
          <w:p>
            <w:pPr>
              <w:pStyle w:val="TableParagraph"/>
              <w:spacing w:line="240" w:lineRule="auto" w:before="106"/>
              <w:ind w:left="481" w:right="0"/>
              <w:jc w:val="left"/>
              <w:rPr>
                <w:rFonts w:ascii="Arial" w:hAnsi="Arial" w:cs="Arial" w:eastAsia="Arial" w:hint="default"/>
                <w:sz w:val="18"/>
                <w:szCs w:val="18"/>
              </w:rPr>
            </w:pPr>
            <w:r>
              <w:rPr>
                <w:rFonts w:ascii="Arial"/>
                <w:sz w:val="18"/>
              </w:rPr>
              <w:t>7.77</w:t>
            </w:r>
          </w:p>
        </w:tc>
      </w:tr>
      <w:tr>
        <w:trPr>
          <w:trHeight w:val="714" w:hRule="exact"/>
        </w:trPr>
        <w:tc>
          <w:tcPr>
            <w:tcW w:w="1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91"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629" w:type="dxa"/>
            <w:tcBorders>
              <w:top w:val="single" w:sz="4" w:space="0" w:color="000000"/>
              <w:left w:val="single" w:sz="13" w:space="0" w:color="D3D3D3"/>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91"/>
              <w:jc w:val="right"/>
              <w:rPr>
                <w:rFonts w:ascii="宋体" w:hAnsi="宋体" w:cs="宋体" w:eastAsia="宋体" w:hint="default"/>
                <w:sz w:val="18"/>
                <w:szCs w:val="18"/>
              </w:rPr>
            </w:pPr>
            <w:r>
              <w:rPr>
                <w:rFonts w:ascii="宋体" w:hAnsi="宋体" w:cs="宋体" w:eastAsia="宋体" w:hint="default"/>
                <w:sz w:val="18"/>
                <w:szCs w:val="18"/>
              </w:rPr>
              <w:t>其他</w:t>
            </w:r>
          </w:p>
        </w:tc>
        <w:tc>
          <w:tcPr>
            <w:tcW w:w="629" w:type="dxa"/>
            <w:tcBorders>
              <w:top w:val="single" w:sz="4" w:space="0" w:color="000000"/>
              <w:left w:val="single" w:sz="13" w:space="0" w:color="D3D3D3"/>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60" w:hRule="exact"/>
        </w:trPr>
        <w:tc>
          <w:tcPr>
            <w:tcW w:w="1294" w:type="dxa"/>
            <w:tcBorders>
              <w:top w:val="single" w:sz="4" w:space="0" w:color="000000"/>
              <w:left w:val="single" w:sz="4" w:space="0" w:color="000000"/>
              <w:bottom w:val="nil" w:sz="6" w:space="0" w:color="auto"/>
              <w:right w:val="single" w:sz="4" w:space="0" w:color="000000"/>
            </w:tcBorders>
            <w:shd w:val="clear" w:color="auto" w:fill="D3D3D3"/>
          </w:tcPr>
          <w:p>
            <w:pPr/>
          </w:p>
        </w:tc>
        <w:tc>
          <w:tcPr>
            <w:tcW w:w="629" w:type="dxa"/>
            <w:vMerge w:val="restart"/>
            <w:tcBorders>
              <w:top w:val="single" w:sz="4" w:space="0" w:color="000000"/>
              <w:left w:val="single" w:sz="9" w:space="0" w:color="D3D3D3"/>
              <w:right w:val="single" w:sz="4" w:space="0" w:color="000000"/>
            </w:tcBorders>
          </w:tcPr>
          <w:p>
            <w:pPr>
              <w:pStyle w:val="TableParagraph"/>
              <w:spacing w:line="240" w:lineRule="auto" w:before="91"/>
              <w:ind w:left="39" w:right="0"/>
              <w:jc w:val="left"/>
              <w:rPr>
                <w:rFonts w:ascii="Arial" w:hAnsi="Arial" w:cs="Arial" w:eastAsia="Arial" w:hint="default"/>
                <w:sz w:val="18"/>
                <w:szCs w:val="18"/>
              </w:rPr>
            </w:pPr>
            <w:r>
              <w:rPr>
                <w:rFonts w:ascii="Arial"/>
                <w:sz w:val="18"/>
              </w:rPr>
              <w:t>622,20</w:t>
            </w:r>
          </w:p>
          <w:p>
            <w:pPr>
              <w:pStyle w:val="TableParagraph"/>
              <w:spacing w:line="240" w:lineRule="auto" w:before="105"/>
              <w:ind w:left="89" w:right="0"/>
              <w:jc w:val="left"/>
              <w:rPr>
                <w:rFonts w:ascii="Arial" w:hAnsi="Arial" w:cs="Arial" w:eastAsia="Arial" w:hint="default"/>
                <w:sz w:val="18"/>
                <w:szCs w:val="18"/>
              </w:rPr>
            </w:pPr>
            <w:r>
              <w:rPr>
                <w:rFonts w:ascii="Arial"/>
                <w:sz w:val="18"/>
              </w:rPr>
              <w:t>0,000.</w:t>
            </w:r>
          </w:p>
          <w:p>
            <w:pPr>
              <w:pStyle w:val="TableParagraph"/>
              <w:spacing w:line="240" w:lineRule="auto" w:before="106"/>
              <w:ind w:left="389" w:right="0"/>
              <w:jc w:val="left"/>
              <w:rPr>
                <w:rFonts w:ascii="Arial" w:hAnsi="Arial" w:cs="Arial" w:eastAsia="Arial" w:hint="default"/>
                <w:sz w:val="18"/>
                <w:szCs w:val="18"/>
              </w:rPr>
            </w:pPr>
            <w:r>
              <w:rPr>
                <w:rFonts w:ascii="Arial"/>
                <w:sz w:val="18"/>
              </w:rPr>
              <w:t>00</w:t>
            </w:r>
          </w:p>
        </w:tc>
        <w:tc>
          <w:tcPr>
            <w:tcW w:w="604" w:type="dxa"/>
            <w:vMerge w:val="restart"/>
            <w:tcBorders>
              <w:top w:val="single" w:sz="4" w:space="0" w:color="000000"/>
              <w:left w:val="single" w:sz="4" w:space="0" w:color="000000"/>
              <w:right w:val="single" w:sz="4" w:space="0" w:color="000000"/>
            </w:tcBorders>
          </w:tcPr>
          <w:p>
            <w:pPr/>
          </w:p>
        </w:tc>
        <w:tc>
          <w:tcPr>
            <w:tcW w:w="604" w:type="dxa"/>
            <w:vMerge w:val="restart"/>
            <w:tcBorders>
              <w:top w:val="single" w:sz="4" w:space="0" w:color="000000"/>
              <w:left w:val="single" w:sz="4" w:space="0" w:color="000000"/>
              <w:right w:val="single" w:sz="4" w:space="0" w:color="000000"/>
            </w:tcBorders>
          </w:tcPr>
          <w:p>
            <w:pPr/>
          </w:p>
        </w:tc>
        <w:tc>
          <w:tcPr>
            <w:tcW w:w="606" w:type="dxa"/>
            <w:vMerge w:val="restart"/>
            <w:tcBorders>
              <w:top w:val="single" w:sz="4" w:space="0" w:color="000000"/>
              <w:left w:val="single" w:sz="4" w:space="0" w:color="000000"/>
              <w:right w:val="single" w:sz="4" w:space="0" w:color="000000"/>
            </w:tcBorders>
          </w:tcPr>
          <w:p>
            <w:pPr/>
          </w:p>
        </w:tc>
        <w:tc>
          <w:tcPr>
            <w:tcW w:w="72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1" w:right="0"/>
              <w:jc w:val="left"/>
              <w:rPr>
                <w:rFonts w:ascii="Arial" w:hAnsi="Arial" w:cs="Arial" w:eastAsia="Arial" w:hint="default"/>
                <w:sz w:val="18"/>
                <w:szCs w:val="18"/>
              </w:rPr>
            </w:pPr>
            <w:r>
              <w:rPr>
                <w:rFonts w:ascii="Arial"/>
                <w:sz w:val="18"/>
              </w:rPr>
              <w:t>364,193</w:t>
            </w:r>
          </w:p>
          <w:p>
            <w:pPr>
              <w:pStyle w:val="TableParagraph"/>
              <w:spacing w:line="240" w:lineRule="auto" w:before="106"/>
              <w:ind w:left="92" w:right="0"/>
              <w:jc w:val="left"/>
              <w:rPr>
                <w:rFonts w:ascii="Arial" w:hAnsi="Arial" w:cs="Arial" w:eastAsia="Arial" w:hint="default"/>
                <w:sz w:val="18"/>
                <w:szCs w:val="18"/>
              </w:rPr>
            </w:pPr>
            <w:r>
              <w:rPr>
                <w:rFonts w:ascii="Arial"/>
                <w:sz w:val="18"/>
              </w:rPr>
              <w:t>,237.65</w:t>
            </w:r>
          </w:p>
        </w:tc>
        <w:tc>
          <w:tcPr>
            <w:tcW w:w="726" w:type="dxa"/>
            <w:vMerge w:val="restart"/>
            <w:tcBorders>
              <w:top w:val="single" w:sz="4" w:space="0" w:color="000000"/>
              <w:left w:val="single" w:sz="4" w:space="0" w:color="000000"/>
              <w:right w:val="single" w:sz="4" w:space="0" w:color="000000"/>
            </w:tcBorders>
          </w:tcPr>
          <w:p>
            <w:pPr/>
          </w:p>
        </w:tc>
        <w:tc>
          <w:tcPr>
            <w:tcW w:w="72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 w:right="0"/>
              <w:jc w:val="left"/>
              <w:rPr>
                <w:rFonts w:ascii="Arial" w:hAnsi="Arial" w:cs="Arial" w:eastAsia="Arial" w:hint="default"/>
                <w:sz w:val="18"/>
                <w:szCs w:val="18"/>
              </w:rPr>
            </w:pPr>
            <w:r>
              <w:rPr>
                <w:rFonts w:ascii="Arial"/>
                <w:sz w:val="18"/>
              </w:rPr>
              <w:t>27,740,</w:t>
            </w:r>
          </w:p>
          <w:p>
            <w:pPr>
              <w:pStyle w:val="TableParagraph"/>
              <w:spacing w:line="240" w:lineRule="auto" w:before="106"/>
              <w:ind w:left="142" w:right="0"/>
              <w:jc w:val="left"/>
              <w:rPr>
                <w:rFonts w:ascii="Arial" w:hAnsi="Arial" w:cs="Arial" w:eastAsia="Arial" w:hint="default"/>
                <w:sz w:val="18"/>
                <w:szCs w:val="18"/>
              </w:rPr>
            </w:pPr>
            <w:r>
              <w:rPr>
                <w:rFonts w:ascii="Arial"/>
                <w:sz w:val="18"/>
              </w:rPr>
              <w:t>277.77</w:t>
            </w:r>
          </w:p>
        </w:tc>
        <w:tc>
          <w:tcPr>
            <w:tcW w:w="727" w:type="dxa"/>
            <w:vMerge w:val="restart"/>
            <w:tcBorders>
              <w:top w:val="single" w:sz="4" w:space="0" w:color="000000"/>
              <w:left w:val="single" w:sz="4" w:space="0" w:color="000000"/>
              <w:right w:val="single" w:sz="4" w:space="0" w:color="000000"/>
            </w:tcBorders>
          </w:tcPr>
          <w:p>
            <w:pPr/>
          </w:p>
        </w:tc>
        <w:tc>
          <w:tcPr>
            <w:tcW w:w="72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2" w:right="0"/>
              <w:jc w:val="left"/>
              <w:rPr>
                <w:rFonts w:ascii="Arial" w:hAnsi="Arial" w:cs="Arial" w:eastAsia="Arial" w:hint="default"/>
                <w:sz w:val="18"/>
                <w:szCs w:val="18"/>
              </w:rPr>
            </w:pPr>
            <w:r>
              <w:rPr>
                <w:rFonts w:ascii="Arial"/>
                <w:sz w:val="18"/>
              </w:rPr>
              <w:t>67,571,</w:t>
            </w:r>
          </w:p>
          <w:p>
            <w:pPr>
              <w:pStyle w:val="TableParagraph"/>
              <w:spacing w:line="240" w:lineRule="auto" w:before="106"/>
              <w:ind w:left="154" w:right="0"/>
              <w:jc w:val="left"/>
              <w:rPr>
                <w:rFonts w:ascii="Arial" w:hAnsi="Arial" w:cs="Arial" w:eastAsia="Arial" w:hint="default"/>
                <w:sz w:val="18"/>
                <w:szCs w:val="18"/>
              </w:rPr>
            </w:pPr>
            <w:r>
              <w:rPr>
                <w:rFonts w:ascii="Arial"/>
                <w:spacing w:val="-3"/>
                <w:sz w:val="18"/>
              </w:rPr>
              <w:t>711.68</w:t>
            </w:r>
          </w:p>
        </w:tc>
        <w:tc>
          <w:tcPr>
            <w:tcW w:w="616" w:type="dxa"/>
            <w:vMerge w:val="restart"/>
            <w:tcBorders>
              <w:top w:val="single" w:sz="4" w:space="0" w:color="000000"/>
              <w:left w:val="single" w:sz="4" w:space="0" w:color="000000"/>
              <w:right w:val="single" w:sz="4" w:space="0" w:color="000000"/>
            </w:tcBorders>
          </w:tcPr>
          <w:p>
            <w:pPr>
              <w:pStyle w:val="TableParagraph"/>
              <w:spacing w:line="240" w:lineRule="auto" w:before="91"/>
              <w:ind w:left="31" w:right="0"/>
              <w:jc w:val="left"/>
              <w:rPr>
                <w:rFonts w:ascii="Arial" w:hAnsi="Arial" w:cs="Arial" w:eastAsia="Arial" w:hint="default"/>
                <w:sz w:val="18"/>
                <w:szCs w:val="18"/>
              </w:rPr>
            </w:pPr>
            <w:r>
              <w:rPr>
                <w:rFonts w:ascii="Arial"/>
                <w:sz w:val="18"/>
              </w:rPr>
              <w:t>447,83</w:t>
            </w:r>
          </w:p>
          <w:p>
            <w:pPr>
              <w:pStyle w:val="TableParagraph"/>
              <w:spacing w:line="240" w:lineRule="auto" w:before="105"/>
              <w:ind w:left="81" w:right="0"/>
              <w:jc w:val="left"/>
              <w:rPr>
                <w:rFonts w:ascii="Arial" w:hAnsi="Arial" w:cs="Arial" w:eastAsia="Arial" w:hint="default"/>
                <w:sz w:val="18"/>
                <w:szCs w:val="18"/>
              </w:rPr>
            </w:pPr>
            <w:r>
              <w:rPr>
                <w:rFonts w:ascii="Arial"/>
                <w:sz w:val="18"/>
              </w:rPr>
              <w:t>7,996.</w:t>
            </w:r>
          </w:p>
          <w:p>
            <w:pPr>
              <w:pStyle w:val="TableParagraph"/>
              <w:spacing w:line="240" w:lineRule="auto" w:before="106"/>
              <w:ind w:left="381" w:right="0"/>
              <w:jc w:val="left"/>
              <w:rPr>
                <w:rFonts w:ascii="Arial" w:hAnsi="Arial" w:cs="Arial" w:eastAsia="Arial" w:hint="default"/>
                <w:sz w:val="18"/>
                <w:szCs w:val="18"/>
              </w:rPr>
            </w:pPr>
            <w:r>
              <w:rPr>
                <w:rFonts w:ascii="Arial"/>
                <w:sz w:val="18"/>
              </w:rPr>
              <w:t>47</w:t>
            </w:r>
          </w:p>
        </w:tc>
        <w:tc>
          <w:tcPr>
            <w:tcW w:w="709"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Arial" w:hAnsi="Arial" w:cs="Arial" w:eastAsia="Arial" w:hint="default"/>
                <w:sz w:val="18"/>
                <w:szCs w:val="18"/>
              </w:rPr>
            </w:pPr>
            <w:r>
              <w:rPr>
                <w:rFonts w:ascii="Arial"/>
                <w:sz w:val="18"/>
              </w:rPr>
              <w:t>1,529,543</w:t>
            </w:r>
          </w:p>
          <w:p>
            <w:pPr>
              <w:pStyle w:val="TableParagraph"/>
              <w:spacing w:line="240" w:lineRule="auto" w:before="106"/>
              <w:ind w:left="231" w:right="0"/>
              <w:jc w:val="left"/>
              <w:rPr>
                <w:rFonts w:ascii="Arial" w:hAnsi="Arial" w:cs="Arial" w:eastAsia="Arial" w:hint="default"/>
                <w:sz w:val="18"/>
                <w:szCs w:val="18"/>
              </w:rPr>
            </w:pPr>
            <w:r>
              <w:rPr>
                <w:rFonts w:ascii="Arial"/>
                <w:sz w:val="18"/>
              </w:rPr>
              <w:t>,223.57</w:t>
            </w:r>
          </w:p>
        </w:tc>
      </w:tr>
      <w:tr>
        <w:trPr>
          <w:trHeight w:val="705" w:hRule="exact"/>
        </w:trPr>
        <w:tc>
          <w:tcPr>
            <w:tcW w:w="12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1"/>
              <w:ind w:left="11" w:right="20"/>
              <w:jc w:val="left"/>
              <w:rPr>
                <w:rFonts w:ascii="宋体" w:hAnsi="宋体" w:cs="宋体" w:eastAsia="宋体" w:hint="default"/>
                <w:sz w:val="18"/>
                <w:szCs w:val="18"/>
              </w:rPr>
            </w:pPr>
            <w:r>
              <w:rPr>
                <w:rFonts w:ascii="宋体" w:hAnsi="宋体" w:cs="宋体" w:eastAsia="宋体" w:hint="default"/>
                <w:spacing w:val="-2"/>
                <w:sz w:val="18"/>
                <w:szCs w:val="18"/>
              </w:rPr>
              <w:t>二、本年期初余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vMerge/>
            <w:tcBorders>
              <w:left w:val="single" w:sz="9" w:space="0" w:color="D3D3D3"/>
              <w:right w:val="single" w:sz="4" w:space="0" w:color="000000"/>
            </w:tcBorders>
          </w:tcPr>
          <w:p>
            <w:pPr/>
          </w:p>
        </w:tc>
        <w:tc>
          <w:tcPr>
            <w:tcW w:w="604" w:type="dxa"/>
            <w:vMerge/>
            <w:tcBorders>
              <w:left w:val="single" w:sz="4" w:space="0" w:color="000000"/>
              <w:right w:val="single" w:sz="4" w:space="0" w:color="000000"/>
            </w:tcBorders>
          </w:tcPr>
          <w:p>
            <w:pPr/>
          </w:p>
        </w:tc>
        <w:tc>
          <w:tcPr>
            <w:tcW w:w="604"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r>
      <w:tr>
        <w:trPr>
          <w:trHeight w:val="160" w:hRule="exact"/>
        </w:trPr>
        <w:tc>
          <w:tcPr>
            <w:tcW w:w="1294" w:type="dxa"/>
            <w:tcBorders>
              <w:top w:val="nil" w:sz="6" w:space="0" w:color="auto"/>
              <w:left w:val="single" w:sz="4" w:space="0" w:color="000000"/>
              <w:bottom w:val="single" w:sz="4" w:space="0" w:color="000000"/>
              <w:right w:val="single" w:sz="4" w:space="0" w:color="000000"/>
            </w:tcBorders>
            <w:shd w:val="clear" w:color="auto" w:fill="D3D3D3"/>
          </w:tcPr>
          <w:p>
            <w:pPr/>
          </w:p>
        </w:tc>
        <w:tc>
          <w:tcPr>
            <w:tcW w:w="629" w:type="dxa"/>
            <w:vMerge/>
            <w:tcBorders>
              <w:left w:val="single" w:sz="9" w:space="0" w:color="D3D3D3"/>
              <w:bottom w:val="single" w:sz="4" w:space="0" w:color="000000"/>
              <w:right w:val="single" w:sz="4" w:space="0" w:color="000000"/>
            </w:tcBorders>
          </w:tcPr>
          <w:p>
            <w:pPr/>
          </w:p>
        </w:tc>
        <w:tc>
          <w:tcPr>
            <w:tcW w:w="604" w:type="dxa"/>
            <w:vMerge/>
            <w:tcBorders>
              <w:left w:val="single" w:sz="4" w:space="0" w:color="000000"/>
              <w:bottom w:val="single" w:sz="4" w:space="0" w:color="000000"/>
              <w:right w:val="single" w:sz="4" w:space="0" w:color="000000"/>
            </w:tcBorders>
          </w:tcPr>
          <w:p>
            <w:pPr/>
          </w:p>
        </w:tc>
        <w:tc>
          <w:tcPr>
            <w:tcW w:w="604" w:type="dxa"/>
            <w:vMerge/>
            <w:tcBorders>
              <w:left w:val="single" w:sz="4" w:space="0" w:color="000000"/>
              <w:bottom w:val="single" w:sz="4" w:space="0" w:color="000000"/>
              <w:right w:val="single" w:sz="4" w:space="0" w:color="000000"/>
            </w:tcBorders>
          </w:tcPr>
          <w:p>
            <w:pPr/>
          </w:p>
        </w:tc>
        <w:tc>
          <w:tcPr>
            <w:tcW w:w="606"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c>
          <w:tcPr>
            <w:tcW w:w="616"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r>
      <w:tr>
        <w:trPr>
          <w:trHeight w:val="1026" w:hRule="exact"/>
        </w:trPr>
        <w:tc>
          <w:tcPr>
            <w:tcW w:w="1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0"/>
              <w:jc w:val="both"/>
              <w:rPr>
                <w:rFonts w:ascii="宋体" w:hAnsi="宋体" w:cs="宋体" w:eastAsia="宋体" w:hint="default"/>
                <w:sz w:val="18"/>
                <w:szCs w:val="18"/>
              </w:rPr>
            </w:pPr>
            <w:r>
              <w:rPr>
                <w:rFonts w:ascii="宋体" w:hAnsi="宋体" w:cs="宋体" w:eastAsia="宋体" w:hint="default"/>
                <w:spacing w:val="-2"/>
                <w:sz w:val="18"/>
                <w:szCs w:val="18"/>
              </w:rPr>
              <w:t>三、本期增减变</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pacing w:val="-2"/>
                <w:sz w:val="18"/>
                <w:szCs w:val="18"/>
              </w:rPr>
              <w:t>动金额（减少以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629" w:type="dxa"/>
            <w:tcBorders>
              <w:top w:val="single" w:sz="4" w:space="0" w:color="000000"/>
              <w:left w:val="single" w:sz="13" w:space="0" w:color="D3D3D3"/>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Arial" w:hAnsi="Arial" w:cs="Arial" w:eastAsia="Arial" w:hint="default"/>
                <w:sz w:val="18"/>
                <w:szCs w:val="18"/>
              </w:rPr>
            </w:pPr>
            <w:r>
              <w:rPr>
                <w:rFonts w:ascii="Arial"/>
                <w:sz w:val="18"/>
              </w:rPr>
              <w:t>8,715,4</w:t>
            </w:r>
          </w:p>
          <w:p>
            <w:pPr>
              <w:pStyle w:val="TableParagraph"/>
              <w:spacing w:line="240" w:lineRule="auto" w:before="106"/>
              <w:ind w:left="219" w:right="0"/>
              <w:jc w:val="center"/>
              <w:rPr>
                <w:rFonts w:ascii="Arial" w:hAnsi="Arial" w:cs="Arial" w:eastAsia="Arial" w:hint="default"/>
                <w:sz w:val="18"/>
                <w:szCs w:val="18"/>
              </w:rPr>
            </w:pPr>
            <w:r>
              <w:rPr>
                <w:rFonts w:ascii="Arial"/>
                <w:sz w:val="18"/>
              </w:rPr>
              <w:t>49.38</w:t>
            </w: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7" w:right="0"/>
              <w:jc w:val="center"/>
              <w:rPr>
                <w:rFonts w:ascii="Arial" w:hAnsi="Arial" w:cs="Arial" w:eastAsia="Arial" w:hint="default"/>
                <w:sz w:val="18"/>
                <w:szCs w:val="18"/>
              </w:rPr>
            </w:pPr>
            <w:r>
              <w:rPr>
                <w:rFonts w:ascii="Arial"/>
                <w:sz w:val="18"/>
              </w:rPr>
              <w:t>3,891,6</w:t>
            </w:r>
          </w:p>
          <w:p>
            <w:pPr>
              <w:pStyle w:val="TableParagraph"/>
              <w:spacing w:line="240" w:lineRule="auto" w:before="106"/>
              <w:ind w:left="217" w:right="0"/>
              <w:jc w:val="center"/>
              <w:rPr>
                <w:rFonts w:ascii="Arial" w:hAnsi="Arial" w:cs="Arial" w:eastAsia="Arial" w:hint="default"/>
                <w:sz w:val="18"/>
                <w:szCs w:val="18"/>
              </w:rPr>
            </w:pPr>
            <w:r>
              <w:rPr>
                <w:rFonts w:ascii="Arial"/>
                <w:sz w:val="18"/>
              </w:rPr>
              <w:t>90.52</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28,803</w:t>
            </w:r>
          </w:p>
          <w:p>
            <w:pPr>
              <w:pStyle w:val="TableParagraph"/>
              <w:spacing w:line="240" w:lineRule="auto" w:before="105"/>
              <w:ind w:right="22"/>
              <w:jc w:val="right"/>
              <w:rPr>
                <w:rFonts w:ascii="Arial" w:hAnsi="Arial" w:cs="Arial" w:eastAsia="Arial" w:hint="default"/>
                <w:sz w:val="18"/>
                <w:szCs w:val="18"/>
              </w:rPr>
            </w:pPr>
            <w:r>
              <w:rPr>
                <w:rFonts w:ascii="Arial"/>
                <w:spacing w:val="-1"/>
                <w:sz w:val="18"/>
              </w:rPr>
              <w:t>,214.6</w:t>
            </w:r>
            <w:r>
              <w:rPr>
                <w:rFonts w:ascii="Arial"/>
                <w:sz w:val="18"/>
              </w:rPr>
            </w:r>
          </w:p>
          <w:p>
            <w:pPr>
              <w:pStyle w:val="TableParagraph"/>
              <w:spacing w:line="240" w:lineRule="auto" w:before="106"/>
              <w:ind w:right="21"/>
              <w:jc w:val="right"/>
              <w:rPr>
                <w:rFonts w:ascii="Arial" w:hAnsi="Arial" w:cs="Arial" w:eastAsia="Arial" w:hint="default"/>
                <w:sz w:val="18"/>
                <w:szCs w:val="18"/>
              </w:rPr>
            </w:pPr>
            <w:r>
              <w:rPr>
                <w:rFonts w:ascii="Arial"/>
                <w:sz w:val="18"/>
              </w:rPr>
              <w:t>9</w:t>
            </w: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Arial" w:hAnsi="Arial" w:cs="Arial" w:eastAsia="Arial" w:hint="default"/>
                <w:sz w:val="18"/>
                <w:szCs w:val="18"/>
              </w:rPr>
            </w:pPr>
            <w:r>
              <w:rPr>
                <w:rFonts w:ascii="Arial"/>
                <w:sz w:val="18"/>
              </w:rPr>
              <w:t>41,410,35</w:t>
            </w:r>
          </w:p>
          <w:p>
            <w:pPr>
              <w:pStyle w:val="TableParagraph"/>
              <w:spacing w:line="240" w:lineRule="auto" w:before="106"/>
              <w:ind w:left="481" w:right="0"/>
              <w:jc w:val="left"/>
              <w:rPr>
                <w:rFonts w:ascii="Arial" w:hAnsi="Arial" w:cs="Arial" w:eastAsia="Arial" w:hint="default"/>
                <w:sz w:val="18"/>
                <w:szCs w:val="18"/>
              </w:rPr>
            </w:pPr>
            <w:r>
              <w:rPr>
                <w:rFonts w:ascii="Arial"/>
                <w:sz w:val="18"/>
              </w:rPr>
              <w:t>4.59</w:t>
            </w:r>
          </w:p>
        </w:tc>
      </w:tr>
      <w:tr>
        <w:trPr>
          <w:trHeight w:val="160" w:hRule="exact"/>
        </w:trPr>
        <w:tc>
          <w:tcPr>
            <w:tcW w:w="1294" w:type="dxa"/>
            <w:tcBorders>
              <w:top w:val="single" w:sz="4" w:space="0" w:color="000000"/>
              <w:left w:val="single" w:sz="4" w:space="0" w:color="000000"/>
              <w:bottom w:val="nil" w:sz="6" w:space="0" w:color="auto"/>
              <w:right w:val="single" w:sz="4" w:space="0" w:color="000000"/>
            </w:tcBorders>
            <w:shd w:val="clear" w:color="auto" w:fill="D3D3D3"/>
          </w:tcPr>
          <w:p>
            <w:pPr/>
          </w:p>
        </w:tc>
        <w:tc>
          <w:tcPr>
            <w:tcW w:w="629" w:type="dxa"/>
            <w:vMerge w:val="restart"/>
            <w:tcBorders>
              <w:top w:val="single" w:sz="4" w:space="0" w:color="000000"/>
              <w:left w:val="single" w:sz="9" w:space="0" w:color="D3D3D3"/>
              <w:right w:val="single" w:sz="4" w:space="0" w:color="000000"/>
            </w:tcBorders>
          </w:tcPr>
          <w:p>
            <w:pPr/>
          </w:p>
        </w:tc>
        <w:tc>
          <w:tcPr>
            <w:tcW w:w="604" w:type="dxa"/>
            <w:vMerge w:val="restart"/>
            <w:tcBorders>
              <w:top w:val="single" w:sz="4" w:space="0" w:color="000000"/>
              <w:left w:val="single" w:sz="4" w:space="0" w:color="000000"/>
              <w:right w:val="single" w:sz="4" w:space="0" w:color="000000"/>
            </w:tcBorders>
          </w:tcPr>
          <w:p>
            <w:pPr/>
          </w:p>
        </w:tc>
        <w:tc>
          <w:tcPr>
            <w:tcW w:w="604" w:type="dxa"/>
            <w:vMerge w:val="restart"/>
            <w:tcBorders>
              <w:top w:val="single" w:sz="4" w:space="0" w:color="000000"/>
              <w:left w:val="single" w:sz="4" w:space="0" w:color="000000"/>
              <w:right w:val="single" w:sz="4" w:space="0" w:color="000000"/>
            </w:tcBorders>
          </w:tcPr>
          <w:p>
            <w:pPr/>
          </w:p>
        </w:tc>
        <w:tc>
          <w:tcPr>
            <w:tcW w:w="606" w:type="dxa"/>
            <w:vMerge w:val="restart"/>
            <w:tcBorders>
              <w:top w:val="single" w:sz="4" w:space="0" w:color="000000"/>
              <w:left w:val="single" w:sz="4" w:space="0" w:color="000000"/>
              <w:right w:val="single" w:sz="4" w:space="0" w:color="000000"/>
            </w:tcBorders>
          </w:tcPr>
          <w:p>
            <w:pPr/>
          </w:p>
        </w:tc>
        <w:tc>
          <w:tcPr>
            <w:tcW w:w="726" w:type="dxa"/>
            <w:vMerge w:val="restart"/>
            <w:tcBorders>
              <w:top w:val="single" w:sz="4" w:space="0" w:color="000000"/>
              <w:left w:val="single" w:sz="4" w:space="0" w:color="000000"/>
              <w:right w:val="single" w:sz="4" w:space="0" w:color="000000"/>
            </w:tcBorders>
          </w:tcPr>
          <w:p>
            <w:pPr/>
          </w:p>
        </w:tc>
        <w:tc>
          <w:tcPr>
            <w:tcW w:w="726" w:type="dxa"/>
            <w:vMerge w:val="restart"/>
            <w:tcBorders>
              <w:top w:val="single" w:sz="4" w:space="0" w:color="000000"/>
              <w:left w:val="single" w:sz="4" w:space="0" w:color="000000"/>
              <w:right w:val="single" w:sz="4" w:space="0" w:color="000000"/>
            </w:tcBorders>
          </w:tcPr>
          <w:p>
            <w:pPr/>
          </w:p>
        </w:tc>
        <w:tc>
          <w:tcPr>
            <w:tcW w:w="72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9" w:right="0"/>
              <w:jc w:val="center"/>
              <w:rPr>
                <w:rFonts w:ascii="Arial" w:hAnsi="Arial" w:cs="Arial" w:eastAsia="Arial" w:hint="default"/>
                <w:sz w:val="18"/>
                <w:szCs w:val="18"/>
              </w:rPr>
            </w:pPr>
            <w:r>
              <w:rPr>
                <w:rFonts w:ascii="Arial"/>
                <w:sz w:val="18"/>
              </w:rPr>
              <w:t>8,715,4</w:t>
            </w:r>
          </w:p>
          <w:p>
            <w:pPr>
              <w:pStyle w:val="TableParagraph"/>
              <w:spacing w:line="240" w:lineRule="auto" w:before="106"/>
              <w:ind w:left="219" w:right="0"/>
              <w:jc w:val="center"/>
              <w:rPr>
                <w:rFonts w:ascii="Arial" w:hAnsi="Arial" w:cs="Arial" w:eastAsia="Arial" w:hint="default"/>
                <w:sz w:val="18"/>
                <w:szCs w:val="18"/>
              </w:rPr>
            </w:pPr>
            <w:r>
              <w:rPr>
                <w:rFonts w:ascii="Arial"/>
                <w:sz w:val="18"/>
              </w:rPr>
              <w:t>49.38</w:t>
            </w:r>
          </w:p>
        </w:tc>
        <w:tc>
          <w:tcPr>
            <w:tcW w:w="727" w:type="dxa"/>
            <w:vMerge w:val="restart"/>
            <w:tcBorders>
              <w:top w:val="single" w:sz="4" w:space="0" w:color="000000"/>
              <w:left w:val="single" w:sz="4" w:space="0" w:color="000000"/>
              <w:right w:val="single" w:sz="4" w:space="0" w:color="000000"/>
            </w:tcBorders>
          </w:tcPr>
          <w:p>
            <w:pPr/>
          </w:p>
        </w:tc>
        <w:tc>
          <w:tcPr>
            <w:tcW w:w="726" w:type="dxa"/>
            <w:vMerge w:val="restart"/>
            <w:tcBorders>
              <w:top w:val="single" w:sz="4" w:space="0" w:color="000000"/>
              <w:left w:val="single" w:sz="4" w:space="0" w:color="000000"/>
              <w:right w:val="single" w:sz="4" w:space="0" w:color="000000"/>
            </w:tcBorders>
          </w:tcPr>
          <w:p>
            <w:pPr/>
          </w:p>
        </w:tc>
        <w:tc>
          <w:tcPr>
            <w:tcW w:w="616"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38,916</w:t>
            </w:r>
          </w:p>
          <w:p>
            <w:pPr>
              <w:pStyle w:val="TableParagraph"/>
              <w:spacing w:line="240" w:lineRule="auto" w:before="105"/>
              <w:ind w:right="22"/>
              <w:jc w:val="right"/>
              <w:rPr>
                <w:rFonts w:ascii="Arial" w:hAnsi="Arial" w:cs="Arial" w:eastAsia="Arial" w:hint="default"/>
                <w:sz w:val="18"/>
                <w:szCs w:val="18"/>
              </w:rPr>
            </w:pPr>
            <w:r>
              <w:rPr>
                <w:rFonts w:ascii="Arial"/>
                <w:spacing w:val="-1"/>
                <w:sz w:val="18"/>
              </w:rPr>
              <w:t>,905.2</w:t>
            </w:r>
            <w:r>
              <w:rPr>
                <w:rFonts w:ascii="Arial"/>
                <w:sz w:val="18"/>
              </w:rPr>
            </w:r>
          </w:p>
          <w:p>
            <w:pPr>
              <w:pStyle w:val="TableParagraph"/>
              <w:spacing w:line="240" w:lineRule="auto" w:before="106"/>
              <w:ind w:right="21"/>
              <w:jc w:val="right"/>
              <w:rPr>
                <w:rFonts w:ascii="Arial" w:hAnsi="Arial" w:cs="Arial" w:eastAsia="Arial" w:hint="default"/>
                <w:sz w:val="18"/>
                <w:szCs w:val="18"/>
              </w:rPr>
            </w:pPr>
            <w:r>
              <w:rPr>
                <w:rFonts w:ascii="Arial"/>
                <w:sz w:val="18"/>
              </w:rPr>
              <w:t>1</w:t>
            </w:r>
          </w:p>
        </w:tc>
        <w:tc>
          <w:tcPr>
            <w:tcW w:w="709" w:type="dxa"/>
            <w:vMerge w:val="restart"/>
            <w:tcBorders>
              <w:top w:val="single" w:sz="4" w:space="0" w:color="000000"/>
              <w:left w:val="single" w:sz="4" w:space="0" w:color="000000"/>
              <w:right w:val="single" w:sz="4" w:space="0" w:color="000000"/>
            </w:tcBorders>
          </w:tcPr>
          <w:p>
            <w:pPr/>
          </w:p>
        </w:tc>
        <w:tc>
          <w:tcPr>
            <w:tcW w:w="8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Arial" w:hAnsi="Arial" w:cs="Arial" w:eastAsia="Arial" w:hint="default"/>
                <w:sz w:val="18"/>
                <w:szCs w:val="18"/>
              </w:rPr>
            </w:pPr>
            <w:r>
              <w:rPr>
                <w:rFonts w:ascii="Arial"/>
                <w:sz w:val="18"/>
              </w:rPr>
              <w:t>47,632,35</w:t>
            </w:r>
          </w:p>
          <w:p>
            <w:pPr>
              <w:pStyle w:val="TableParagraph"/>
              <w:spacing w:line="240" w:lineRule="auto" w:before="106"/>
              <w:ind w:left="481" w:right="0"/>
              <w:jc w:val="left"/>
              <w:rPr>
                <w:rFonts w:ascii="Arial" w:hAnsi="Arial" w:cs="Arial" w:eastAsia="Arial" w:hint="default"/>
                <w:sz w:val="18"/>
                <w:szCs w:val="18"/>
              </w:rPr>
            </w:pPr>
            <w:r>
              <w:rPr>
                <w:rFonts w:ascii="Arial"/>
                <w:sz w:val="18"/>
              </w:rPr>
              <w:t>4.59</w:t>
            </w:r>
          </w:p>
        </w:tc>
      </w:tr>
      <w:tr>
        <w:trPr>
          <w:trHeight w:val="705" w:hRule="exact"/>
        </w:trPr>
        <w:tc>
          <w:tcPr>
            <w:tcW w:w="129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1"/>
              <w:ind w:left="11" w:right="20"/>
              <w:jc w:val="left"/>
              <w:rPr>
                <w:rFonts w:ascii="宋体" w:hAnsi="宋体" w:cs="宋体" w:eastAsia="宋体" w:hint="default"/>
                <w:sz w:val="18"/>
                <w:szCs w:val="18"/>
              </w:rPr>
            </w:pPr>
            <w:r>
              <w:rPr>
                <w:rFonts w:ascii="宋体" w:hAnsi="宋体" w:cs="宋体" w:eastAsia="宋体" w:hint="default"/>
                <w:spacing w:val="-2"/>
                <w:sz w:val="18"/>
                <w:szCs w:val="18"/>
              </w:rPr>
              <w:t>（一）综合收益</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总额</w:t>
            </w:r>
          </w:p>
        </w:tc>
        <w:tc>
          <w:tcPr>
            <w:tcW w:w="629" w:type="dxa"/>
            <w:vMerge/>
            <w:tcBorders>
              <w:left w:val="single" w:sz="9" w:space="0" w:color="D3D3D3"/>
              <w:right w:val="single" w:sz="4" w:space="0" w:color="000000"/>
            </w:tcBorders>
          </w:tcPr>
          <w:p>
            <w:pPr/>
          </w:p>
        </w:tc>
        <w:tc>
          <w:tcPr>
            <w:tcW w:w="604" w:type="dxa"/>
            <w:vMerge/>
            <w:tcBorders>
              <w:left w:val="single" w:sz="4" w:space="0" w:color="000000"/>
              <w:right w:val="single" w:sz="4" w:space="0" w:color="000000"/>
            </w:tcBorders>
          </w:tcPr>
          <w:p>
            <w:pPr/>
          </w:p>
        </w:tc>
        <w:tc>
          <w:tcPr>
            <w:tcW w:w="604" w:type="dxa"/>
            <w:vMerge/>
            <w:tcBorders>
              <w:left w:val="single" w:sz="4" w:space="0" w:color="000000"/>
              <w:right w:val="single" w:sz="4" w:space="0" w:color="000000"/>
            </w:tcBorders>
          </w:tcPr>
          <w:p>
            <w:pPr/>
          </w:p>
        </w:tc>
        <w:tc>
          <w:tcPr>
            <w:tcW w:w="606"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727" w:type="dxa"/>
            <w:vMerge/>
            <w:tcBorders>
              <w:left w:val="single" w:sz="4" w:space="0" w:color="000000"/>
              <w:right w:val="single" w:sz="4" w:space="0" w:color="000000"/>
            </w:tcBorders>
          </w:tcPr>
          <w:p>
            <w:pPr/>
          </w:p>
        </w:tc>
        <w:tc>
          <w:tcPr>
            <w:tcW w:w="726" w:type="dxa"/>
            <w:vMerge/>
            <w:tcBorders>
              <w:left w:val="single" w:sz="4" w:space="0" w:color="000000"/>
              <w:right w:val="single" w:sz="4" w:space="0" w:color="000000"/>
            </w:tcBorders>
          </w:tcPr>
          <w:p>
            <w:pPr/>
          </w:p>
        </w:tc>
        <w:tc>
          <w:tcPr>
            <w:tcW w:w="616" w:type="dxa"/>
            <w:vMerge/>
            <w:tcBorders>
              <w:left w:val="single" w:sz="4" w:space="0" w:color="000000"/>
              <w:right w:val="single" w:sz="4" w:space="0" w:color="000000"/>
            </w:tcBorders>
          </w:tcPr>
          <w:p>
            <w:pPr/>
          </w:p>
        </w:tc>
        <w:tc>
          <w:tcPr>
            <w:tcW w:w="709" w:type="dxa"/>
            <w:vMerge/>
            <w:tcBorders>
              <w:left w:val="single" w:sz="4" w:space="0" w:color="000000"/>
              <w:right w:val="single" w:sz="4" w:space="0" w:color="000000"/>
            </w:tcBorders>
          </w:tcPr>
          <w:p>
            <w:pPr/>
          </w:p>
        </w:tc>
        <w:tc>
          <w:tcPr>
            <w:tcW w:w="864" w:type="dxa"/>
            <w:vMerge/>
            <w:tcBorders>
              <w:left w:val="single" w:sz="4" w:space="0" w:color="000000"/>
              <w:right w:val="single" w:sz="4" w:space="0" w:color="000000"/>
            </w:tcBorders>
          </w:tcPr>
          <w:p>
            <w:pPr/>
          </w:p>
        </w:tc>
      </w:tr>
      <w:tr>
        <w:trPr>
          <w:trHeight w:val="160" w:hRule="exact"/>
        </w:trPr>
        <w:tc>
          <w:tcPr>
            <w:tcW w:w="1294" w:type="dxa"/>
            <w:tcBorders>
              <w:top w:val="nil" w:sz="6" w:space="0" w:color="auto"/>
              <w:left w:val="single" w:sz="4" w:space="0" w:color="000000"/>
              <w:bottom w:val="single" w:sz="4" w:space="0" w:color="000000"/>
              <w:right w:val="single" w:sz="4" w:space="0" w:color="000000"/>
            </w:tcBorders>
            <w:shd w:val="clear" w:color="auto" w:fill="D3D3D3"/>
          </w:tcPr>
          <w:p>
            <w:pPr/>
          </w:p>
        </w:tc>
        <w:tc>
          <w:tcPr>
            <w:tcW w:w="629" w:type="dxa"/>
            <w:vMerge/>
            <w:tcBorders>
              <w:left w:val="single" w:sz="9" w:space="0" w:color="D3D3D3"/>
              <w:bottom w:val="single" w:sz="4" w:space="0" w:color="000000"/>
              <w:right w:val="single" w:sz="4" w:space="0" w:color="000000"/>
            </w:tcBorders>
          </w:tcPr>
          <w:p>
            <w:pPr/>
          </w:p>
        </w:tc>
        <w:tc>
          <w:tcPr>
            <w:tcW w:w="604" w:type="dxa"/>
            <w:vMerge/>
            <w:tcBorders>
              <w:left w:val="single" w:sz="4" w:space="0" w:color="000000"/>
              <w:bottom w:val="single" w:sz="4" w:space="0" w:color="000000"/>
              <w:right w:val="single" w:sz="4" w:space="0" w:color="000000"/>
            </w:tcBorders>
          </w:tcPr>
          <w:p>
            <w:pPr/>
          </w:p>
        </w:tc>
        <w:tc>
          <w:tcPr>
            <w:tcW w:w="604" w:type="dxa"/>
            <w:vMerge/>
            <w:tcBorders>
              <w:left w:val="single" w:sz="4" w:space="0" w:color="000000"/>
              <w:bottom w:val="single" w:sz="4" w:space="0" w:color="000000"/>
              <w:right w:val="single" w:sz="4" w:space="0" w:color="000000"/>
            </w:tcBorders>
          </w:tcPr>
          <w:p>
            <w:pPr/>
          </w:p>
        </w:tc>
        <w:tc>
          <w:tcPr>
            <w:tcW w:w="606"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c>
          <w:tcPr>
            <w:tcW w:w="727" w:type="dxa"/>
            <w:vMerge/>
            <w:tcBorders>
              <w:left w:val="single" w:sz="4" w:space="0" w:color="000000"/>
              <w:bottom w:val="single" w:sz="4" w:space="0" w:color="000000"/>
              <w:right w:val="single" w:sz="4" w:space="0" w:color="000000"/>
            </w:tcBorders>
          </w:tcPr>
          <w:p>
            <w:pPr/>
          </w:p>
        </w:tc>
        <w:tc>
          <w:tcPr>
            <w:tcW w:w="726" w:type="dxa"/>
            <w:vMerge/>
            <w:tcBorders>
              <w:left w:val="single" w:sz="4" w:space="0" w:color="000000"/>
              <w:bottom w:val="single" w:sz="4" w:space="0" w:color="000000"/>
              <w:right w:val="single" w:sz="4" w:space="0" w:color="000000"/>
            </w:tcBorders>
          </w:tcPr>
          <w:p>
            <w:pPr/>
          </w:p>
        </w:tc>
        <w:tc>
          <w:tcPr>
            <w:tcW w:w="616" w:type="dxa"/>
            <w:vMerge/>
            <w:tcBorders>
              <w:left w:val="single" w:sz="4" w:space="0" w:color="000000"/>
              <w:bottom w:val="single" w:sz="4" w:space="0" w:color="000000"/>
              <w:right w:val="single" w:sz="4" w:space="0" w:color="000000"/>
            </w:tcBorders>
          </w:tcPr>
          <w:p>
            <w:pPr/>
          </w:p>
        </w:tc>
        <w:tc>
          <w:tcPr>
            <w:tcW w:w="709" w:type="dxa"/>
            <w:vMerge/>
            <w:tcBorders>
              <w:left w:val="single" w:sz="4" w:space="0" w:color="000000"/>
              <w:bottom w:val="single" w:sz="4" w:space="0" w:color="000000"/>
              <w:right w:val="single" w:sz="4" w:space="0" w:color="000000"/>
            </w:tcBorders>
          </w:tcPr>
          <w:p>
            <w:pPr/>
          </w:p>
        </w:tc>
        <w:tc>
          <w:tcPr>
            <w:tcW w:w="864" w:type="dxa"/>
            <w:vMerge/>
            <w:tcBorders>
              <w:left w:val="single" w:sz="4" w:space="0" w:color="000000"/>
              <w:bottom w:val="single" w:sz="4" w:space="0" w:color="000000"/>
              <w:right w:val="single" w:sz="4" w:space="0" w:color="000000"/>
            </w:tcBorders>
          </w:tcPr>
          <w:p>
            <w:pPr/>
          </w:p>
        </w:tc>
      </w:tr>
      <w:tr>
        <w:trPr>
          <w:trHeight w:val="714" w:hRule="exact"/>
        </w:trPr>
        <w:tc>
          <w:tcPr>
            <w:tcW w:w="1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0"/>
              <w:jc w:val="left"/>
              <w:rPr>
                <w:rFonts w:ascii="宋体" w:hAnsi="宋体" w:cs="宋体" w:eastAsia="宋体" w:hint="default"/>
                <w:sz w:val="18"/>
                <w:szCs w:val="18"/>
              </w:rPr>
            </w:pPr>
            <w:r>
              <w:rPr>
                <w:rFonts w:ascii="宋体" w:hAnsi="宋体" w:cs="宋体" w:eastAsia="宋体" w:hint="default"/>
                <w:spacing w:val="-2"/>
                <w:sz w:val="18"/>
                <w:szCs w:val="18"/>
              </w:rPr>
              <w:t>（二）所有者投</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入和减少资本</w:t>
            </w:r>
          </w:p>
        </w:tc>
        <w:tc>
          <w:tcPr>
            <w:tcW w:w="629" w:type="dxa"/>
            <w:tcBorders>
              <w:top w:val="single" w:sz="4" w:space="0" w:color="000000"/>
              <w:left w:val="single" w:sz="13" w:space="0" w:color="D3D3D3"/>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91"/>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．所有者投入 的普通股</w:t>
            </w:r>
          </w:p>
        </w:tc>
        <w:tc>
          <w:tcPr>
            <w:tcW w:w="629" w:type="dxa"/>
            <w:tcBorders>
              <w:top w:val="single" w:sz="4" w:space="0" w:color="000000"/>
              <w:left w:val="single" w:sz="13" w:space="0" w:color="D3D3D3"/>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right="91"/>
              <w:jc w:val="right"/>
              <w:rPr>
                <w:rFonts w:ascii="宋体" w:hAnsi="宋体" w:cs="宋体" w:eastAsia="宋体" w:hint="default"/>
                <w:sz w:val="18"/>
                <w:szCs w:val="18"/>
              </w:rPr>
            </w:pPr>
            <w:r>
              <w:rPr>
                <w:rFonts w:ascii="Arial" w:hAnsi="Arial" w:cs="Arial" w:eastAsia="Arial" w:hint="default"/>
                <w:spacing w:val="-1"/>
                <w:sz w:val="18"/>
                <w:szCs w:val="18"/>
              </w:rPr>
              <w:t>2</w:t>
            </w:r>
            <w:r>
              <w:rPr>
                <w:rFonts w:ascii="宋体" w:hAnsi="宋体" w:cs="宋体" w:eastAsia="宋体" w:hint="default"/>
                <w:spacing w:val="-1"/>
                <w:sz w:val="18"/>
                <w:szCs w:val="18"/>
              </w:rPr>
              <w:t>．其他权益工</w:t>
            </w:r>
          </w:p>
        </w:tc>
        <w:tc>
          <w:tcPr>
            <w:tcW w:w="629" w:type="dxa"/>
            <w:tcBorders>
              <w:top w:val="single" w:sz="4" w:space="0" w:color="000000"/>
              <w:left w:val="single" w:sz="13" w:space="0" w:color="D3D3D3"/>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6"/>
        <w:gridCol w:w="629"/>
        <w:gridCol w:w="604"/>
        <w:gridCol w:w="604"/>
        <w:gridCol w:w="606"/>
        <w:gridCol w:w="726"/>
        <w:gridCol w:w="726"/>
        <w:gridCol w:w="726"/>
        <w:gridCol w:w="727"/>
        <w:gridCol w:w="726"/>
        <w:gridCol w:w="616"/>
        <w:gridCol w:w="709"/>
        <w:gridCol w:w="864"/>
      </w:tblGrid>
      <w:tr>
        <w:trPr>
          <w:trHeight w:val="674"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10"/>
              <w:ind w:left="22" w:right="191"/>
              <w:jc w:val="left"/>
              <w:rPr>
                <w:rFonts w:ascii="宋体" w:hAnsi="宋体" w:cs="宋体" w:eastAsia="宋体" w:hint="default"/>
                <w:sz w:val="18"/>
                <w:szCs w:val="18"/>
              </w:rPr>
            </w:pPr>
            <w:r>
              <w:rPr>
                <w:rFonts w:ascii="宋体" w:hAnsi="宋体" w:cs="宋体" w:eastAsia="宋体" w:hint="default"/>
                <w:sz w:val="18"/>
                <w:szCs w:val="18"/>
              </w:rPr>
              <w:t>具持有者投入 资本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91"/>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．股份支付计 入所有者权益 的金额</w:t>
            </w:r>
          </w:p>
        </w:tc>
        <w:tc>
          <w:tcPr>
            <w:tcW w:w="629"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2" w:right="0"/>
              <w:jc w:val="left"/>
              <w:rPr>
                <w:rFonts w:ascii="宋体" w:hAnsi="宋体" w:cs="宋体" w:eastAsia="宋体" w:hint="default"/>
                <w:sz w:val="18"/>
                <w:szCs w:val="18"/>
              </w:rPr>
            </w:pPr>
            <w:r>
              <w:rPr>
                <w:rFonts w:ascii="宋体" w:hAnsi="宋体" w:cs="宋体" w:eastAsia="宋体" w:hint="default"/>
                <w:sz w:val="18"/>
                <w:szCs w:val="18"/>
              </w:rPr>
              <w:t>（三）利润分配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Arial" w:hAnsi="Arial" w:cs="Arial" w:eastAsia="Arial" w:hint="default"/>
                <w:sz w:val="18"/>
                <w:szCs w:val="18"/>
              </w:rPr>
            </w:pPr>
            <w:r>
              <w:rPr>
                <w:rFonts w:ascii="Arial"/>
                <w:sz w:val="18"/>
              </w:rPr>
              <w:t>3,891,6</w:t>
            </w:r>
          </w:p>
          <w:p>
            <w:pPr>
              <w:pStyle w:val="TableParagraph"/>
              <w:spacing w:line="240" w:lineRule="auto" w:before="105"/>
              <w:ind w:left="217" w:right="0"/>
              <w:jc w:val="center"/>
              <w:rPr>
                <w:rFonts w:ascii="Arial" w:hAnsi="Arial" w:cs="Arial" w:eastAsia="Arial" w:hint="default"/>
                <w:sz w:val="18"/>
                <w:szCs w:val="18"/>
              </w:rPr>
            </w:pPr>
            <w:r>
              <w:rPr>
                <w:rFonts w:ascii="Arial"/>
                <w:sz w:val="18"/>
              </w:rPr>
              <w:t>90.52</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5" w:right="0"/>
              <w:jc w:val="left"/>
              <w:rPr>
                <w:rFonts w:ascii="Arial" w:hAnsi="Arial" w:cs="Arial" w:eastAsia="Arial" w:hint="default"/>
                <w:sz w:val="18"/>
                <w:szCs w:val="18"/>
              </w:rPr>
            </w:pPr>
            <w:r>
              <w:rPr>
                <w:rFonts w:ascii="Arial"/>
                <w:spacing w:val="-3"/>
                <w:sz w:val="18"/>
              </w:rPr>
              <w:t>-10,11</w:t>
            </w:r>
          </w:p>
          <w:p>
            <w:pPr>
              <w:pStyle w:val="TableParagraph"/>
              <w:spacing w:line="240" w:lineRule="auto" w:before="104"/>
              <w:ind w:left="81" w:right="0"/>
              <w:jc w:val="left"/>
              <w:rPr>
                <w:rFonts w:ascii="Arial" w:hAnsi="Arial" w:cs="Arial" w:eastAsia="Arial" w:hint="default"/>
                <w:sz w:val="18"/>
                <w:szCs w:val="18"/>
              </w:rPr>
            </w:pPr>
            <w:r>
              <w:rPr>
                <w:rFonts w:ascii="Arial"/>
                <w:sz w:val="18"/>
              </w:rPr>
              <w:t>3,690.</w:t>
            </w:r>
          </w:p>
          <w:p>
            <w:pPr>
              <w:pStyle w:val="TableParagraph"/>
              <w:spacing w:line="240" w:lineRule="auto" w:before="106"/>
              <w:ind w:left="381" w:right="0"/>
              <w:jc w:val="left"/>
              <w:rPr>
                <w:rFonts w:ascii="Arial" w:hAnsi="Arial" w:cs="Arial" w:eastAsia="Arial" w:hint="default"/>
                <w:sz w:val="18"/>
                <w:szCs w:val="18"/>
              </w:rPr>
            </w:pPr>
            <w:r>
              <w:rPr>
                <w:rFonts w:ascii="Arial"/>
                <w:sz w:val="18"/>
              </w:rPr>
              <w:t>52</w:t>
            </w: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left"/>
              <w:rPr>
                <w:rFonts w:ascii="Arial" w:hAnsi="Arial" w:cs="Arial" w:eastAsia="Arial" w:hint="default"/>
                <w:sz w:val="18"/>
                <w:szCs w:val="18"/>
              </w:rPr>
            </w:pPr>
            <w:r>
              <w:rPr>
                <w:rFonts w:ascii="Arial"/>
                <w:sz w:val="18"/>
              </w:rPr>
              <w:t>-6,222,00</w:t>
            </w:r>
          </w:p>
          <w:p>
            <w:pPr>
              <w:pStyle w:val="TableParagraph"/>
              <w:spacing w:line="240" w:lineRule="auto" w:before="105"/>
              <w:ind w:left="481" w:right="0"/>
              <w:jc w:val="left"/>
              <w:rPr>
                <w:rFonts w:ascii="Arial" w:hAnsi="Arial" w:cs="Arial" w:eastAsia="Arial" w:hint="default"/>
                <w:sz w:val="18"/>
                <w:szCs w:val="18"/>
              </w:rPr>
            </w:pPr>
            <w:r>
              <w:rPr>
                <w:rFonts w:ascii="Arial"/>
                <w:sz w:val="18"/>
              </w:rPr>
              <w:t>0.00</w:t>
            </w: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91"/>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．提取盈余公 积</w:t>
            </w:r>
          </w:p>
        </w:tc>
        <w:tc>
          <w:tcPr>
            <w:tcW w:w="629"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67" w:right="0"/>
              <w:jc w:val="center"/>
              <w:rPr>
                <w:rFonts w:ascii="Arial" w:hAnsi="Arial" w:cs="Arial" w:eastAsia="Arial" w:hint="default"/>
                <w:sz w:val="18"/>
                <w:szCs w:val="18"/>
              </w:rPr>
            </w:pPr>
            <w:r>
              <w:rPr>
                <w:rFonts w:ascii="Arial"/>
                <w:sz w:val="18"/>
              </w:rPr>
              <w:t>3,891,6</w:t>
            </w:r>
          </w:p>
          <w:p>
            <w:pPr>
              <w:pStyle w:val="TableParagraph"/>
              <w:spacing w:line="240" w:lineRule="auto" w:before="105"/>
              <w:ind w:left="217" w:right="0"/>
              <w:jc w:val="center"/>
              <w:rPr>
                <w:rFonts w:ascii="Arial" w:hAnsi="Arial" w:cs="Arial" w:eastAsia="Arial" w:hint="default"/>
                <w:sz w:val="18"/>
                <w:szCs w:val="18"/>
              </w:rPr>
            </w:pPr>
            <w:r>
              <w:rPr>
                <w:rFonts w:ascii="Arial"/>
                <w:sz w:val="18"/>
              </w:rPr>
              <w:t>90.52</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-3,891</w:t>
            </w:r>
            <w:r>
              <w:rPr>
                <w:rFonts w:ascii="Arial"/>
                <w:sz w:val="18"/>
              </w:rPr>
            </w:r>
          </w:p>
          <w:p>
            <w:pPr>
              <w:pStyle w:val="TableParagraph"/>
              <w:spacing w:line="240" w:lineRule="auto" w:before="104"/>
              <w:ind w:right="22"/>
              <w:jc w:val="right"/>
              <w:rPr>
                <w:rFonts w:ascii="Arial" w:hAnsi="Arial" w:cs="Arial" w:eastAsia="Arial" w:hint="default"/>
                <w:sz w:val="18"/>
                <w:szCs w:val="18"/>
              </w:rPr>
            </w:pPr>
            <w:r>
              <w:rPr>
                <w:rFonts w:ascii="Arial"/>
                <w:spacing w:val="-1"/>
                <w:sz w:val="18"/>
              </w:rPr>
              <w:t>,690.5</w:t>
            </w:r>
            <w:r>
              <w:rPr>
                <w:rFonts w:ascii="Arial"/>
                <w:sz w:val="18"/>
              </w:rPr>
            </w:r>
          </w:p>
          <w:p>
            <w:pPr>
              <w:pStyle w:val="TableParagraph"/>
              <w:spacing w:line="240" w:lineRule="auto" w:before="106"/>
              <w:ind w:right="21"/>
              <w:jc w:val="right"/>
              <w:rPr>
                <w:rFonts w:ascii="Arial" w:hAnsi="Arial" w:cs="Arial" w:eastAsia="Arial" w:hint="default"/>
                <w:sz w:val="18"/>
                <w:szCs w:val="18"/>
              </w:rPr>
            </w:pPr>
            <w:r>
              <w:rPr>
                <w:rFonts w:ascii="Arial"/>
                <w:sz w:val="18"/>
              </w:rPr>
              <w:t>2</w:t>
            </w: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02" w:lineRule="auto"/>
              <w:ind w:left="22" w:right="19"/>
              <w:jc w:val="left"/>
              <w:rPr>
                <w:rFonts w:ascii="宋体" w:hAnsi="宋体" w:cs="宋体" w:eastAsia="宋体" w:hint="default"/>
                <w:sz w:val="18"/>
                <w:szCs w:val="18"/>
              </w:rPr>
            </w:pPr>
            <w:r>
              <w:rPr>
                <w:rFonts w:ascii="Arial" w:hAnsi="Arial" w:cs="Arial" w:eastAsia="Arial" w:hint="default"/>
                <w:spacing w:val="-14"/>
                <w:sz w:val="18"/>
                <w:szCs w:val="18"/>
              </w:rPr>
              <w:t>2</w:t>
            </w:r>
            <w:r>
              <w:rPr>
                <w:rFonts w:ascii="宋体" w:hAnsi="宋体" w:cs="宋体" w:eastAsia="宋体" w:hint="default"/>
                <w:spacing w:val="-14"/>
                <w:sz w:val="18"/>
                <w:szCs w:val="18"/>
              </w:rPr>
              <w:t>．对所有者（或</w:t>
            </w:r>
            <w:r>
              <w:rPr>
                <w:rFonts w:ascii="宋体" w:hAnsi="宋体" w:cs="宋体" w:eastAsia="宋体" w:hint="default"/>
                <w:spacing w:val="1"/>
                <w:sz w:val="18"/>
                <w:szCs w:val="18"/>
              </w:rPr>
              <w:t> </w:t>
            </w:r>
            <w:r>
              <w:rPr>
                <w:rFonts w:ascii="宋体" w:hAnsi="宋体" w:cs="宋体" w:eastAsia="宋体" w:hint="default"/>
                <w:sz w:val="18"/>
                <w:szCs w:val="18"/>
              </w:rPr>
              <w:t>股东）的分配</w:t>
            </w:r>
          </w:p>
        </w:tc>
        <w:tc>
          <w:tcPr>
            <w:tcW w:w="629"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-6,222</w:t>
            </w:r>
            <w:r>
              <w:rPr>
                <w:rFonts w:ascii="Arial"/>
                <w:sz w:val="18"/>
              </w:rPr>
            </w:r>
          </w:p>
          <w:p>
            <w:pPr>
              <w:pStyle w:val="TableParagraph"/>
              <w:spacing w:line="240" w:lineRule="auto" w:before="104"/>
              <w:ind w:right="22"/>
              <w:jc w:val="right"/>
              <w:rPr>
                <w:rFonts w:ascii="Arial" w:hAnsi="Arial" w:cs="Arial" w:eastAsia="Arial" w:hint="default"/>
                <w:sz w:val="18"/>
                <w:szCs w:val="18"/>
              </w:rPr>
            </w:pPr>
            <w:r>
              <w:rPr>
                <w:rFonts w:ascii="Arial"/>
                <w:spacing w:val="-1"/>
                <w:sz w:val="18"/>
              </w:rPr>
              <w:t>,000.0</w:t>
            </w:r>
            <w:r>
              <w:rPr>
                <w:rFonts w:ascii="Arial"/>
                <w:sz w:val="18"/>
              </w:rPr>
            </w:r>
          </w:p>
          <w:p>
            <w:pPr>
              <w:pStyle w:val="TableParagraph"/>
              <w:spacing w:line="240" w:lineRule="auto" w:before="106"/>
              <w:ind w:right="21"/>
              <w:jc w:val="right"/>
              <w:rPr>
                <w:rFonts w:ascii="Arial" w:hAnsi="Arial" w:cs="Arial" w:eastAsia="Arial" w:hint="default"/>
                <w:sz w:val="18"/>
                <w:szCs w:val="18"/>
              </w:rPr>
            </w:pPr>
            <w:r>
              <w:rPr>
                <w:rFonts w:ascii="Arial"/>
                <w:sz w:val="18"/>
              </w:rPr>
              <w:t>0</w:t>
            </w: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70" w:right="0"/>
              <w:jc w:val="left"/>
              <w:rPr>
                <w:rFonts w:ascii="Arial" w:hAnsi="Arial" w:cs="Arial" w:eastAsia="Arial" w:hint="default"/>
                <w:sz w:val="18"/>
                <w:szCs w:val="18"/>
              </w:rPr>
            </w:pPr>
            <w:r>
              <w:rPr>
                <w:rFonts w:ascii="Arial"/>
                <w:sz w:val="18"/>
              </w:rPr>
              <w:t>-6,222,00</w:t>
            </w:r>
          </w:p>
          <w:p>
            <w:pPr>
              <w:pStyle w:val="TableParagraph"/>
              <w:spacing w:line="240" w:lineRule="auto" w:before="105"/>
              <w:ind w:left="481" w:right="0"/>
              <w:jc w:val="left"/>
              <w:rPr>
                <w:rFonts w:ascii="Arial" w:hAnsi="Arial" w:cs="Arial" w:eastAsia="Arial" w:hint="default"/>
                <w:sz w:val="18"/>
                <w:szCs w:val="18"/>
              </w:rPr>
            </w:pPr>
            <w:r>
              <w:rPr>
                <w:rFonts w:ascii="Arial"/>
                <w:sz w:val="18"/>
              </w:rPr>
              <w:t>0.00</w:t>
            </w: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（四）所有者权</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益内部结转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91"/>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．资本公积转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91"/>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．盈余公积转 增资本（或股 本）</w:t>
            </w:r>
          </w:p>
        </w:tc>
        <w:tc>
          <w:tcPr>
            <w:tcW w:w="629"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91"/>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．盈余公积弥 补亏损</w:t>
            </w:r>
          </w:p>
        </w:tc>
        <w:tc>
          <w:tcPr>
            <w:tcW w:w="629"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91"/>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．设定受益计 划变动额结转 留存收益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91"/>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．其他综合收 益结转留存收 益</w:t>
            </w:r>
          </w:p>
        </w:tc>
        <w:tc>
          <w:tcPr>
            <w:tcW w:w="629"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（五）专项储备</w:t>
            </w:r>
          </w:p>
        </w:tc>
        <w:tc>
          <w:tcPr>
            <w:tcW w:w="629"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．本期提取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．本期使用</w:t>
            </w:r>
          </w:p>
        </w:tc>
        <w:tc>
          <w:tcPr>
            <w:tcW w:w="629"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629"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left"/>
              <w:rPr>
                <w:rFonts w:ascii="宋体" w:hAnsi="宋体" w:cs="宋体" w:eastAsia="宋体" w:hint="default"/>
                <w:sz w:val="18"/>
                <w:szCs w:val="18"/>
              </w:rPr>
            </w:pPr>
            <w:r>
              <w:rPr>
                <w:rFonts w:ascii="宋体" w:hAnsi="宋体" w:cs="宋体" w:eastAsia="宋体" w:hint="default"/>
                <w:spacing w:val="-2"/>
                <w:sz w:val="18"/>
                <w:szCs w:val="18"/>
              </w:rPr>
              <w:t>四、本期期末余</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额</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45" w:right="0"/>
              <w:jc w:val="left"/>
              <w:rPr>
                <w:rFonts w:ascii="Arial" w:hAnsi="Arial" w:cs="Arial" w:eastAsia="Arial" w:hint="default"/>
                <w:sz w:val="18"/>
                <w:szCs w:val="18"/>
              </w:rPr>
            </w:pPr>
            <w:r>
              <w:rPr>
                <w:rFonts w:ascii="Arial"/>
                <w:sz w:val="18"/>
              </w:rPr>
              <w:t>622,20</w:t>
            </w:r>
          </w:p>
          <w:p>
            <w:pPr>
              <w:pStyle w:val="TableParagraph"/>
              <w:spacing w:line="240" w:lineRule="auto" w:before="104"/>
              <w:ind w:left="95" w:right="0"/>
              <w:jc w:val="left"/>
              <w:rPr>
                <w:rFonts w:ascii="Arial" w:hAnsi="Arial" w:cs="Arial" w:eastAsia="Arial" w:hint="default"/>
                <w:sz w:val="18"/>
                <w:szCs w:val="18"/>
              </w:rPr>
            </w:pPr>
            <w:r>
              <w:rPr>
                <w:rFonts w:ascii="Arial"/>
                <w:sz w:val="18"/>
              </w:rPr>
              <w:t>0,000.</w:t>
            </w: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1" w:right="0"/>
              <w:jc w:val="left"/>
              <w:rPr>
                <w:rFonts w:ascii="Arial" w:hAnsi="Arial" w:cs="Arial" w:eastAsia="Arial" w:hint="default"/>
                <w:sz w:val="18"/>
                <w:szCs w:val="18"/>
              </w:rPr>
            </w:pPr>
            <w:r>
              <w:rPr>
                <w:rFonts w:ascii="Arial"/>
                <w:sz w:val="18"/>
              </w:rPr>
              <w:t>364,193</w:t>
            </w:r>
          </w:p>
          <w:p>
            <w:pPr>
              <w:pStyle w:val="TableParagraph"/>
              <w:spacing w:line="240" w:lineRule="auto" w:before="105"/>
              <w:ind w:left="92" w:right="0"/>
              <w:jc w:val="left"/>
              <w:rPr>
                <w:rFonts w:ascii="Arial" w:hAnsi="Arial" w:cs="Arial" w:eastAsia="Arial" w:hint="default"/>
                <w:sz w:val="18"/>
                <w:szCs w:val="18"/>
              </w:rPr>
            </w:pPr>
            <w:r>
              <w:rPr>
                <w:rFonts w:ascii="Arial"/>
                <w:sz w:val="18"/>
              </w:rPr>
              <w:t>,237.65</w:t>
            </w: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Arial" w:hAnsi="Arial" w:cs="Arial" w:eastAsia="Arial" w:hint="default"/>
                <w:sz w:val="18"/>
                <w:szCs w:val="18"/>
              </w:rPr>
            </w:pPr>
            <w:r>
              <w:rPr>
                <w:rFonts w:ascii="Arial"/>
                <w:sz w:val="18"/>
              </w:rPr>
              <w:t>36,455,</w:t>
            </w:r>
          </w:p>
          <w:p>
            <w:pPr>
              <w:pStyle w:val="TableParagraph"/>
              <w:spacing w:line="240" w:lineRule="auto" w:before="105"/>
              <w:ind w:left="142" w:right="0"/>
              <w:jc w:val="left"/>
              <w:rPr>
                <w:rFonts w:ascii="Arial" w:hAnsi="Arial" w:cs="Arial" w:eastAsia="Arial" w:hint="default"/>
                <w:sz w:val="18"/>
                <w:szCs w:val="18"/>
              </w:rPr>
            </w:pPr>
            <w:r>
              <w:rPr>
                <w:rFonts w:ascii="Arial"/>
                <w:sz w:val="18"/>
              </w:rPr>
              <w:t>727.15</w:t>
            </w: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left"/>
              <w:rPr>
                <w:rFonts w:ascii="Arial" w:hAnsi="Arial" w:cs="Arial" w:eastAsia="Arial" w:hint="default"/>
                <w:sz w:val="18"/>
                <w:szCs w:val="18"/>
              </w:rPr>
            </w:pPr>
            <w:r>
              <w:rPr>
                <w:rFonts w:ascii="Arial"/>
                <w:sz w:val="18"/>
              </w:rPr>
              <w:t>71,463,</w:t>
            </w:r>
          </w:p>
          <w:p>
            <w:pPr>
              <w:pStyle w:val="TableParagraph"/>
              <w:spacing w:line="240" w:lineRule="auto" w:before="105"/>
              <w:ind w:left="141" w:right="0"/>
              <w:jc w:val="left"/>
              <w:rPr>
                <w:rFonts w:ascii="Arial" w:hAnsi="Arial" w:cs="Arial" w:eastAsia="Arial" w:hint="default"/>
                <w:sz w:val="18"/>
                <w:szCs w:val="18"/>
              </w:rPr>
            </w:pPr>
            <w:r>
              <w:rPr>
                <w:rFonts w:ascii="Arial"/>
                <w:sz w:val="18"/>
              </w:rPr>
              <w:t>402.20</w:t>
            </w: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1" w:right="0"/>
              <w:jc w:val="left"/>
              <w:rPr>
                <w:rFonts w:ascii="Arial" w:hAnsi="Arial" w:cs="Arial" w:eastAsia="Arial" w:hint="default"/>
                <w:sz w:val="18"/>
                <w:szCs w:val="18"/>
              </w:rPr>
            </w:pPr>
            <w:r>
              <w:rPr>
                <w:rFonts w:ascii="Arial"/>
                <w:sz w:val="18"/>
              </w:rPr>
              <w:t>476,64</w:t>
            </w:r>
          </w:p>
          <w:p>
            <w:pPr>
              <w:pStyle w:val="TableParagraph"/>
              <w:spacing w:line="240" w:lineRule="auto" w:before="104"/>
              <w:ind w:left="94" w:right="0"/>
              <w:jc w:val="left"/>
              <w:rPr>
                <w:rFonts w:ascii="Arial" w:hAnsi="Arial" w:cs="Arial" w:eastAsia="Arial" w:hint="default"/>
                <w:sz w:val="18"/>
                <w:szCs w:val="18"/>
              </w:rPr>
            </w:pPr>
            <w:r>
              <w:rPr>
                <w:rFonts w:ascii="Arial"/>
                <w:spacing w:val="-4"/>
                <w:sz w:val="18"/>
              </w:rPr>
              <w:t>1,211.</w:t>
            </w:r>
            <w:r>
              <w:rPr>
                <w:rFonts w:ascii="Arial"/>
                <w:sz w:val="18"/>
              </w:rPr>
            </w: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Arial" w:hAnsi="Arial" w:cs="Arial" w:eastAsia="Arial" w:hint="default"/>
                <w:sz w:val="18"/>
                <w:szCs w:val="18"/>
              </w:rPr>
            </w:pPr>
            <w:r>
              <w:rPr>
                <w:rFonts w:ascii="Arial"/>
                <w:sz w:val="18"/>
              </w:rPr>
              <w:t>1,570,953</w:t>
            </w:r>
          </w:p>
          <w:p>
            <w:pPr>
              <w:pStyle w:val="TableParagraph"/>
              <w:spacing w:line="240" w:lineRule="auto" w:before="105"/>
              <w:ind w:left="231" w:right="0"/>
              <w:jc w:val="left"/>
              <w:rPr>
                <w:rFonts w:ascii="Arial" w:hAnsi="Arial" w:cs="Arial" w:eastAsia="Arial" w:hint="default"/>
                <w:sz w:val="18"/>
                <w:szCs w:val="18"/>
              </w:rPr>
            </w:pPr>
            <w:r>
              <w:rPr>
                <w:rFonts w:ascii="Arial"/>
                <w:sz w:val="18"/>
              </w:rPr>
              <w:t>,578.16</w:t>
            </w:r>
          </w:p>
        </w:tc>
      </w:tr>
    </w:tbl>
    <w:p>
      <w:pPr>
        <w:spacing w:after="0" w:line="240" w:lineRule="auto"/>
        <w:jc w:val="left"/>
        <w:rPr>
          <w:rFonts w:ascii="Arial" w:hAnsi="Arial" w:cs="Arial" w:eastAsia="Arial"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306"/>
        <w:gridCol w:w="629"/>
        <w:gridCol w:w="604"/>
        <w:gridCol w:w="604"/>
        <w:gridCol w:w="606"/>
        <w:gridCol w:w="726"/>
        <w:gridCol w:w="726"/>
        <w:gridCol w:w="726"/>
        <w:gridCol w:w="727"/>
        <w:gridCol w:w="726"/>
        <w:gridCol w:w="616"/>
        <w:gridCol w:w="709"/>
        <w:gridCol w:w="864"/>
      </w:tblGrid>
      <w:tr>
        <w:trPr>
          <w:trHeight w:val="362" w:hRule="exact"/>
        </w:trPr>
        <w:tc>
          <w:tcPr>
            <w:tcW w:w="130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96" w:right="0"/>
              <w:jc w:val="left"/>
              <w:rPr>
                <w:rFonts w:ascii="Arial" w:hAnsi="Arial" w:cs="Arial" w:eastAsia="Arial" w:hint="default"/>
                <w:sz w:val="18"/>
                <w:szCs w:val="18"/>
              </w:rPr>
            </w:pPr>
            <w:r>
              <w:rPr>
                <w:rFonts w:ascii="Arial"/>
                <w:sz w:val="18"/>
              </w:rPr>
              <w:t>00</w:t>
            </w:r>
          </w:p>
        </w:tc>
        <w:tc>
          <w:tcPr>
            <w:tcW w:w="604" w:type="dxa"/>
            <w:tcBorders>
              <w:top w:val="single" w:sz="4" w:space="0" w:color="000000"/>
              <w:left w:val="single" w:sz="4" w:space="0" w:color="000000"/>
              <w:bottom w:val="single" w:sz="4" w:space="0" w:color="000000"/>
              <w:right w:val="single" w:sz="4" w:space="0" w:color="000000"/>
            </w:tcBorders>
          </w:tcPr>
          <w:p>
            <w:pPr/>
          </w:p>
        </w:tc>
        <w:tc>
          <w:tcPr>
            <w:tcW w:w="604" w:type="dxa"/>
            <w:tcBorders>
              <w:top w:val="single" w:sz="4" w:space="0" w:color="000000"/>
              <w:left w:val="single" w:sz="4" w:space="0" w:color="000000"/>
              <w:bottom w:val="single" w:sz="4" w:space="0" w:color="000000"/>
              <w:right w:val="single" w:sz="4" w:space="0" w:color="000000"/>
            </w:tcBorders>
          </w:tcPr>
          <w:p>
            <w:pPr/>
          </w:p>
        </w:tc>
        <w:tc>
          <w:tcPr>
            <w:tcW w:w="60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
        </w:tc>
        <w:tc>
          <w:tcPr>
            <w:tcW w:w="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81" w:right="0"/>
              <w:jc w:val="left"/>
              <w:rPr>
                <w:rFonts w:ascii="Arial" w:hAnsi="Arial" w:cs="Arial" w:eastAsia="Arial" w:hint="default"/>
                <w:sz w:val="18"/>
                <w:szCs w:val="18"/>
              </w:rPr>
            </w:pPr>
            <w:r>
              <w:rPr>
                <w:rFonts w:ascii="Arial"/>
                <w:sz w:val="18"/>
              </w:rPr>
              <w:t>16</w:t>
            </w:r>
          </w:p>
        </w:tc>
        <w:tc>
          <w:tcPr>
            <w:tcW w:w="709"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right="2239"/>
        <w:jc w:val="left"/>
      </w:pPr>
      <w:r>
        <w:rPr/>
        <w:t>上期金额</w:t>
      </w:r>
    </w:p>
    <w:p>
      <w:pPr>
        <w:pStyle w:val="BodyText"/>
        <w:spacing w:line="240" w:lineRule="auto" w:before="117"/>
        <w:ind w:left="0" w:right="1131"/>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208"/>
        <w:gridCol w:w="606"/>
        <w:gridCol w:w="572"/>
        <w:gridCol w:w="571"/>
        <w:gridCol w:w="572"/>
        <w:gridCol w:w="685"/>
        <w:gridCol w:w="685"/>
        <w:gridCol w:w="685"/>
        <w:gridCol w:w="781"/>
        <w:gridCol w:w="665"/>
        <w:gridCol w:w="798"/>
        <w:gridCol w:w="797"/>
        <w:gridCol w:w="930"/>
      </w:tblGrid>
      <w:tr>
        <w:trPr>
          <w:trHeight w:val="402" w:hRule="exact"/>
        </w:trPr>
        <w:tc>
          <w:tcPr>
            <w:tcW w:w="1208" w:type="dxa"/>
            <w:vMerge w:val="restart"/>
            <w:tcBorders>
              <w:top w:val="single" w:sz="4" w:space="0" w:color="000000"/>
              <w:left w:val="single" w:sz="4" w:space="0" w:color="000000"/>
              <w:right w:val="single" w:sz="4" w:space="0" w:color="000000"/>
            </w:tcBorders>
            <w:shd w:val="clear" w:color="auto" w:fill="D3D3D3"/>
          </w:tcPr>
          <w:p>
            <w:pPr/>
          </w:p>
        </w:tc>
        <w:tc>
          <w:tcPr>
            <w:tcW w:w="8348"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9"/>
                <w:sz w:val="18"/>
                <w:szCs w:val="18"/>
              </w:rPr>
              <w:t> </w:t>
            </w:r>
            <w:r>
              <w:rPr>
                <w:rFonts w:ascii="宋体" w:hAnsi="宋体" w:cs="宋体" w:eastAsia="宋体" w:hint="default"/>
                <w:sz w:val="18"/>
                <w:szCs w:val="18"/>
              </w:rPr>
              <w:t>年年度</w:t>
            </w:r>
          </w:p>
        </w:tc>
      </w:tr>
      <w:tr>
        <w:trPr>
          <w:trHeight w:val="184" w:hRule="exact"/>
        </w:trPr>
        <w:tc>
          <w:tcPr>
            <w:tcW w:w="1208" w:type="dxa"/>
            <w:vMerge/>
            <w:tcBorders>
              <w:left w:val="single" w:sz="4" w:space="0" w:color="000000"/>
              <w:bottom w:val="nil" w:sz="6" w:space="0" w:color="auto"/>
              <w:right w:val="single" w:sz="4" w:space="0" w:color="000000"/>
            </w:tcBorders>
            <w:shd w:val="clear" w:color="auto" w:fill="D3D3D3"/>
          </w:tcPr>
          <w:p>
            <w:pPr/>
          </w:p>
        </w:tc>
        <w:tc>
          <w:tcPr>
            <w:tcW w:w="606" w:type="dxa"/>
            <w:vMerge w:val="restart"/>
            <w:tcBorders>
              <w:top w:val="single" w:sz="4" w:space="0" w:color="000000"/>
              <w:left w:val="single" w:sz="4" w:space="0" w:color="000000"/>
              <w:right w:val="single" w:sz="4" w:space="0" w:color="000000"/>
            </w:tcBorders>
            <w:shd w:val="clear" w:color="auto" w:fill="D3D3D3"/>
          </w:tcPr>
          <w:p>
            <w:pPr/>
          </w:p>
        </w:tc>
        <w:tc>
          <w:tcPr>
            <w:tcW w:w="1716"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2"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tcBorders>
              <w:top w:val="single" w:sz="4" w:space="0" w:color="000000"/>
              <w:left w:val="single" w:sz="4" w:space="0" w:color="000000"/>
              <w:bottom w:val="nil" w:sz="6" w:space="0" w:color="auto"/>
              <w:right w:val="single" w:sz="4" w:space="0" w:color="000000"/>
            </w:tcBorders>
            <w:shd w:val="clear" w:color="auto" w:fill="D3D3D3"/>
          </w:tcPr>
          <w:p>
            <w:pPr/>
          </w:p>
        </w:tc>
        <w:tc>
          <w:tcPr>
            <w:tcW w:w="781" w:type="dxa"/>
            <w:vMerge w:val="restart"/>
            <w:tcBorders>
              <w:top w:val="single" w:sz="4" w:space="0" w:color="000000"/>
              <w:left w:val="single" w:sz="4" w:space="0" w:color="000000"/>
              <w:right w:val="single" w:sz="4" w:space="0" w:color="FFFFFF"/>
            </w:tcBorders>
            <w:shd w:val="clear" w:color="auto" w:fill="D3D3D3"/>
          </w:tcPr>
          <w:p>
            <w:pPr/>
          </w:p>
        </w:tc>
        <w:tc>
          <w:tcPr>
            <w:tcW w:w="665" w:type="dxa"/>
            <w:tcBorders>
              <w:top w:val="single" w:sz="4" w:space="0" w:color="000000"/>
              <w:left w:val="single" w:sz="4" w:space="0" w:color="FFFFFF"/>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7" w:type="dxa"/>
            <w:vMerge w:val="restart"/>
            <w:tcBorders>
              <w:top w:val="single" w:sz="4" w:space="0" w:color="000000"/>
              <w:left w:val="single" w:sz="4" w:space="0" w:color="000000"/>
              <w:right w:val="single" w:sz="4" w:space="0" w:color="000000"/>
            </w:tcBorders>
            <w:shd w:val="clear" w:color="auto" w:fill="D3D3D3"/>
          </w:tcPr>
          <w:p>
            <w:pPr/>
          </w:p>
        </w:tc>
        <w:tc>
          <w:tcPr>
            <w:tcW w:w="930"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81" w:hRule="exact"/>
        </w:trPr>
        <w:tc>
          <w:tcPr>
            <w:tcW w:w="120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28"/>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606" w:type="dxa"/>
            <w:vMerge/>
            <w:tcBorders>
              <w:left w:val="single" w:sz="4" w:space="0" w:color="000000"/>
              <w:bottom w:val="nil" w:sz="6" w:space="0" w:color="auto"/>
              <w:right w:val="single" w:sz="4" w:space="0" w:color="000000"/>
            </w:tcBorders>
            <w:shd w:val="clear" w:color="auto" w:fill="D3D3D3"/>
          </w:tcPr>
          <w:p>
            <w:pPr/>
          </w:p>
        </w:tc>
        <w:tc>
          <w:tcPr>
            <w:tcW w:w="1716" w:type="dxa"/>
            <w:gridSpan w:val="3"/>
            <w:vMerge/>
            <w:tcBorders>
              <w:left w:val="single" w:sz="4" w:space="0" w:color="000000"/>
              <w:bottom w:val="single" w:sz="4" w:space="0" w:color="000000"/>
              <w:right w:val="single" w:sz="4" w:space="0" w:color="000000"/>
            </w:tcBorders>
            <w:shd w:val="clear" w:color="auto" w:fill="D3D3D3"/>
          </w:tcPr>
          <w:p>
            <w:pPr/>
          </w:p>
        </w:tc>
        <w:tc>
          <w:tcPr>
            <w:tcW w:w="68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62"/>
              <w:ind w:left="247" w:right="66"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62"/>
              <w:ind w:left="247" w:right="20" w:hanging="225"/>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p>
        </w:tc>
        <w:tc>
          <w:tcPr>
            <w:tcW w:w="685"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62"/>
              <w:ind w:left="68" w:right="65"/>
              <w:jc w:val="left"/>
              <w:rPr>
                <w:rFonts w:ascii="宋体" w:hAnsi="宋体" w:cs="宋体" w:eastAsia="宋体" w:hint="default"/>
                <w:sz w:val="18"/>
                <w:szCs w:val="18"/>
              </w:rPr>
            </w:pPr>
            <w:r>
              <w:rPr>
                <w:rFonts w:ascii="宋体" w:hAnsi="宋体" w:cs="宋体" w:eastAsia="宋体" w:hint="default"/>
                <w:sz w:val="18"/>
                <w:szCs w:val="18"/>
              </w:rPr>
              <w:t>其他综 合收益</w:t>
            </w:r>
          </w:p>
        </w:tc>
        <w:tc>
          <w:tcPr>
            <w:tcW w:w="781" w:type="dxa"/>
            <w:vMerge/>
            <w:tcBorders>
              <w:left w:val="single" w:sz="4" w:space="0" w:color="000000"/>
              <w:bottom w:val="nil" w:sz="6" w:space="0" w:color="auto"/>
              <w:right w:val="single" w:sz="4" w:space="0" w:color="FFFFFF"/>
            </w:tcBorders>
            <w:shd w:val="clear" w:color="auto" w:fill="D3D3D3"/>
          </w:tcPr>
          <w:p>
            <w:pPr/>
          </w:p>
        </w:tc>
        <w:tc>
          <w:tcPr>
            <w:tcW w:w="665" w:type="dxa"/>
            <w:vMerge w:val="restart"/>
            <w:tcBorders>
              <w:top w:val="nil" w:sz="6" w:space="0" w:color="auto"/>
              <w:left w:val="single" w:sz="4" w:space="0" w:color="FFFFFF"/>
              <w:right w:val="single" w:sz="4" w:space="0" w:color="000000"/>
            </w:tcBorders>
            <w:shd w:val="clear" w:color="auto" w:fill="D3D3D3"/>
          </w:tcPr>
          <w:p>
            <w:pPr>
              <w:pStyle w:val="TableParagraph"/>
              <w:spacing w:line="316" w:lineRule="auto" w:before="56"/>
              <w:ind w:left="236" w:right="56"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798"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6"/>
              <w:ind w:left="303" w:right="32" w:hanging="270"/>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797" w:type="dxa"/>
            <w:vMerge/>
            <w:tcBorders>
              <w:left w:val="single" w:sz="4" w:space="0" w:color="000000"/>
              <w:bottom w:val="nil" w:sz="6" w:space="0" w:color="auto"/>
              <w:right w:val="single" w:sz="4" w:space="0" w:color="000000"/>
            </w:tcBorders>
            <w:shd w:val="clear" w:color="auto" w:fill="D3D3D3"/>
          </w:tcPr>
          <w:p>
            <w:pPr/>
          </w:p>
        </w:tc>
        <w:tc>
          <w:tcPr>
            <w:tcW w:w="930" w:type="dxa"/>
            <w:vMerge w:val="restart"/>
            <w:tcBorders>
              <w:top w:val="nil" w:sz="6" w:space="0" w:color="auto"/>
              <w:left w:val="single" w:sz="4" w:space="0" w:color="000000"/>
              <w:right w:val="single" w:sz="4" w:space="0" w:color="000000"/>
            </w:tcBorders>
            <w:shd w:val="clear" w:color="auto" w:fill="D3D3D3"/>
          </w:tcPr>
          <w:p>
            <w:pPr>
              <w:pStyle w:val="TableParagraph"/>
              <w:spacing w:line="316" w:lineRule="auto" w:before="56"/>
              <w:ind w:left="190" w:right="97" w:hanging="90"/>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85" w:hRule="exact"/>
        </w:trPr>
        <w:tc>
          <w:tcPr>
            <w:tcW w:w="1208" w:type="dxa"/>
            <w:vMerge/>
            <w:tcBorders>
              <w:left w:val="single" w:sz="4" w:space="0" w:color="000000"/>
              <w:bottom w:val="nil" w:sz="6" w:space="0" w:color="auto"/>
              <w:right w:val="single" w:sz="4" w:space="0" w:color="000000"/>
            </w:tcBorders>
            <w:shd w:val="clear" w:color="auto" w:fill="D3D3D3"/>
          </w:tcPr>
          <w:p>
            <w:pPr/>
          </w:p>
        </w:tc>
        <w:tc>
          <w:tcPr>
            <w:tcW w:w="606"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31"/>
              <w:ind w:left="123"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57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1"/>
              <w:ind w:left="190" w:right="101" w:hanging="90"/>
              <w:jc w:val="left"/>
              <w:rPr>
                <w:rFonts w:ascii="宋体" w:hAnsi="宋体" w:cs="宋体" w:eastAsia="宋体" w:hint="default"/>
                <w:sz w:val="18"/>
                <w:szCs w:val="18"/>
              </w:rPr>
            </w:pPr>
            <w:r>
              <w:rPr>
                <w:rFonts w:ascii="宋体" w:hAnsi="宋体" w:cs="宋体" w:eastAsia="宋体" w:hint="default"/>
                <w:sz w:val="18"/>
                <w:szCs w:val="18"/>
              </w:rPr>
              <w:t>优先 股</w:t>
            </w:r>
          </w:p>
        </w:tc>
        <w:tc>
          <w:tcPr>
            <w:tcW w:w="571"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71"/>
              <w:ind w:left="190" w:right="98" w:hanging="90"/>
              <w:jc w:val="left"/>
              <w:rPr>
                <w:rFonts w:ascii="宋体" w:hAnsi="宋体" w:cs="宋体" w:eastAsia="宋体" w:hint="default"/>
                <w:sz w:val="18"/>
                <w:szCs w:val="18"/>
              </w:rPr>
            </w:pPr>
            <w:r>
              <w:rPr>
                <w:rFonts w:ascii="宋体" w:hAnsi="宋体" w:cs="宋体" w:eastAsia="宋体" w:hint="default"/>
                <w:sz w:val="18"/>
                <w:szCs w:val="18"/>
              </w:rPr>
              <w:t>永续 债</w:t>
            </w:r>
          </w:p>
        </w:tc>
        <w:tc>
          <w:tcPr>
            <w:tcW w:w="572" w:type="dxa"/>
            <w:tcBorders>
              <w:top w:val="single" w:sz="4" w:space="0" w:color="000000"/>
              <w:left w:val="single" w:sz="4" w:space="0" w:color="000000"/>
              <w:bottom w:val="nil" w:sz="6" w:space="0" w:color="auto"/>
              <w:right w:val="single" w:sz="4" w:space="0" w:color="000000"/>
            </w:tcBorders>
            <w:shd w:val="clear" w:color="auto" w:fill="D3D3D3"/>
          </w:tcPr>
          <w:p>
            <w:pPr/>
          </w:p>
        </w:tc>
        <w:tc>
          <w:tcPr>
            <w:tcW w:w="685" w:type="dxa"/>
            <w:vMerge/>
            <w:tcBorders>
              <w:left w:val="single" w:sz="4" w:space="0" w:color="000000"/>
              <w:right w:val="single" w:sz="4" w:space="0" w:color="000000"/>
            </w:tcBorders>
            <w:shd w:val="clear" w:color="auto" w:fill="D3D3D3"/>
          </w:tcPr>
          <w:p>
            <w:pPr/>
          </w:p>
        </w:tc>
        <w:tc>
          <w:tcPr>
            <w:tcW w:w="685" w:type="dxa"/>
            <w:vMerge/>
            <w:tcBorders>
              <w:left w:val="single" w:sz="4" w:space="0" w:color="000000"/>
              <w:right w:val="single" w:sz="4" w:space="0" w:color="000000"/>
            </w:tcBorders>
            <w:shd w:val="clear" w:color="auto" w:fill="D3D3D3"/>
          </w:tcPr>
          <w:p>
            <w:pPr/>
          </w:p>
        </w:tc>
        <w:tc>
          <w:tcPr>
            <w:tcW w:w="685" w:type="dxa"/>
            <w:vMerge/>
            <w:tcBorders>
              <w:left w:val="single" w:sz="4" w:space="0" w:color="000000"/>
              <w:right w:val="single" w:sz="4" w:space="0" w:color="000000"/>
            </w:tcBorders>
            <w:shd w:val="clear" w:color="auto" w:fill="D3D3D3"/>
          </w:tcPr>
          <w:p>
            <w:pPr/>
          </w:p>
        </w:tc>
        <w:tc>
          <w:tcPr>
            <w:tcW w:w="781" w:type="dxa"/>
            <w:vMerge w:val="restart"/>
            <w:tcBorders>
              <w:top w:val="nil" w:sz="6" w:space="0" w:color="auto"/>
              <w:left w:val="single" w:sz="4" w:space="0" w:color="000000"/>
              <w:right w:val="single" w:sz="4" w:space="0" w:color="FFFFFF"/>
            </w:tcBorders>
            <w:shd w:val="clear" w:color="auto" w:fill="D3D3D3"/>
          </w:tcPr>
          <w:p>
            <w:pPr>
              <w:pStyle w:val="TableParagraph"/>
              <w:spacing w:line="240" w:lineRule="auto" w:before="41"/>
              <w:ind w:left="25"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665" w:type="dxa"/>
            <w:vMerge/>
            <w:tcBorders>
              <w:left w:val="single" w:sz="4" w:space="0" w:color="FFFFFF"/>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41"/>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30" w:type="dxa"/>
            <w:vMerge/>
            <w:tcBorders>
              <w:left w:val="single" w:sz="4" w:space="0" w:color="000000"/>
              <w:right w:val="single" w:sz="4" w:space="0" w:color="000000"/>
            </w:tcBorders>
            <w:shd w:val="clear" w:color="auto" w:fill="D3D3D3"/>
          </w:tcPr>
          <w:p>
            <w:pPr/>
          </w:p>
        </w:tc>
      </w:tr>
      <w:tr>
        <w:trPr>
          <w:trHeight w:val="195" w:hRule="exact"/>
        </w:trPr>
        <w:tc>
          <w:tcPr>
            <w:tcW w:w="1208" w:type="dxa"/>
            <w:vMerge w:val="restart"/>
            <w:tcBorders>
              <w:top w:val="nil" w:sz="6" w:space="0" w:color="auto"/>
              <w:left w:val="single" w:sz="4" w:space="0" w:color="000000"/>
              <w:right w:val="single" w:sz="4" w:space="0" w:color="000000"/>
            </w:tcBorders>
            <w:shd w:val="clear" w:color="auto" w:fill="D3D3D3"/>
          </w:tcPr>
          <w:p>
            <w:pPr/>
          </w:p>
        </w:tc>
        <w:tc>
          <w:tcPr>
            <w:tcW w:w="606" w:type="dxa"/>
            <w:vMerge/>
            <w:tcBorders>
              <w:left w:val="single" w:sz="4" w:space="0" w:color="000000"/>
              <w:bottom w:val="nil" w:sz="6" w:space="0" w:color="auto"/>
              <w:right w:val="single" w:sz="4" w:space="0" w:color="000000"/>
            </w:tcBorders>
            <w:shd w:val="clear" w:color="auto" w:fill="D3D3D3"/>
          </w:tcPr>
          <w:p>
            <w:pPr/>
          </w:p>
        </w:tc>
        <w:tc>
          <w:tcPr>
            <w:tcW w:w="572" w:type="dxa"/>
            <w:vMerge/>
            <w:tcBorders>
              <w:left w:val="single" w:sz="4" w:space="0" w:color="000000"/>
              <w:right w:val="single" w:sz="4" w:space="0" w:color="000000"/>
            </w:tcBorders>
            <w:shd w:val="clear" w:color="auto" w:fill="D3D3D3"/>
          </w:tcPr>
          <w:p>
            <w:pPr/>
          </w:p>
        </w:tc>
        <w:tc>
          <w:tcPr>
            <w:tcW w:w="571" w:type="dxa"/>
            <w:vMerge/>
            <w:tcBorders>
              <w:left w:val="single" w:sz="4" w:space="0" w:color="000000"/>
              <w:right w:val="single" w:sz="4" w:space="0" w:color="000000"/>
            </w:tcBorders>
            <w:shd w:val="clear" w:color="auto" w:fill="D3D3D3"/>
          </w:tcPr>
          <w:p>
            <w:pPr/>
          </w:p>
        </w:tc>
        <w:tc>
          <w:tcPr>
            <w:tcW w:w="57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6"/>
              <w:ind w:left="100"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5" w:type="dxa"/>
            <w:vMerge/>
            <w:tcBorders>
              <w:left w:val="single" w:sz="4" w:space="0" w:color="000000"/>
              <w:right w:val="single" w:sz="4" w:space="0" w:color="000000"/>
            </w:tcBorders>
            <w:shd w:val="clear" w:color="auto" w:fill="D3D3D3"/>
          </w:tcPr>
          <w:p>
            <w:pPr/>
          </w:p>
        </w:tc>
        <w:tc>
          <w:tcPr>
            <w:tcW w:w="685" w:type="dxa"/>
            <w:vMerge/>
            <w:tcBorders>
              <w:left w:val="single" w:sz="4" w:space="0" w:color="000000"/>
              <w:right w:val="single" w:sz="4" w:space="0" w:color="000000"/>
            </w:tcBorders>
            <w:shd w:val="clear" w:color="auto" w:fill="D3D3D3"/>
          </w:tcPr>
          <w:p>
            <w:pPr/>
          </w:p>
        </w:tc>
        <w:tc>
          <w:tcPr>
            <w:tcW w:w="685" w:type="dxa"/>
            <w:vMerge/>
            <w:tcBorders>
              <w:left w:val="single" w:sz="4" w:space="0" w:color="000000"/>
              <w:right w:val="single" w:sz="4" w:space="0" w:color="000000"/>
            </w:tcBorders>
            <w:shd w:val="clear" w:color="auto" w:fill="D3D3D3"/>
          </w:tcPr>
          <w:p>
            <w:pPr/>
          </w:p>
        </w:tc>
        <w:tc>
          <w:tcPr>
            <w:tcW w:w="781" w:type="dxa"/>
            <w:vMerge/>
            <w:tcBorders>
              <w:left w:val="single" w:sz="4" w:space="0" w:color="000000"/>
              <w:bottom w:val="nil" w:sz="6" w:space="0" w:color="auto"/>
              <w:right w:val="single" w:sz="4" w:space="0" w:color="FFFFFF"/>
            </w:tcBorders>
            <w:shd w:val="clear" w:color="auto" w:fill="D3D3D3"/>
          </w:tcPr>
          <w:p>
            <w:pPr/>
          </w:p>
        </w:tc>
        <w:tc>
          <w:tcPr>
            <w:tcW w:w="665" w:type="dxa"/>
            <w:vMerge/>
            <w:tcBorders>
              <w:left w:val="single" w:sz="4" w:space="0" w:color="FFFFFF"/>
              <w:right w:val="single" w:sz="4" w:space="0" w:color="000000"/>
            </w:tcBorders>
            <w:shd w:val="clear" w:color="auto" w:fill="D3D3D3"/>
          </w:tcPr>
          <w:p>
            <w:pPr/>
          </w:p>
        </w:tc>
        <w:tc>
          <w:tcPr>
            <w:tcW w:w="798" w:type="dxa"/>
            <w:vMerge/>
            <w:tcBorders>
              <w:left w:val="single" w:sz="4" w:space="0" w:color="000000"/>
              <w:right w:val="single" w:sz="4" w:space="0" w:color="000000"/>
            </w:tcBorders>
            <w:shd w:val="clear" w:color="auto" w:fill="D3D3D3"/>
          </w:tcPr>
          <w:p>
            <w:pPr/>
          </w:p>
        </w:tc>
        <w:tc>
          <w:tcPr>
            <w:tcW w:w="797" w:type="dxa"/>
            <w:vMerge/>
            <w:tcBorders>
              <w:left w:val="single" w:sz="4" w:space="0" w:color="000000"/>
              <w:bottom w:val="nil" w:sz="6" w:space="0" w:color="auto"/>
              <w:right w:val="single" w:sz="4" w:space="0" w:color="000000"/>
            </w:tcBorders>
            <w:shd w:val="clear" w:color="auto" w:fill="D3D3D3"/>
          </w:tcPr>
          <w:p>
            <w:pPr/>
          </w:p>
        </w:tc>
        <w:tc>
          <w:tcPr>
            <w:tcW w:w="930" w:type="dxa"/>
            <w:vMerge/>
            <w:tcBorders>
              <w:left w:val="single" w:sz="4" w:space="0" w:color="000000"/>
              <w:right w:val="single" w:sz="4" w:space="0" w:color="000000"/>
            </w:tcBorders>
            <w:shd w:val="clear" w:color="auto" w:fill="D3D3D3"/>
          </w:tcPr>
          <w:p>
            <w:pPr/>
          </w:p>
        </w:tc>
      </w:tr>
      <w:tr>
        <w:trPr>
          <w:trHeight w:val="156" w:hRule="exact"/>
        </w:trPr>
        <w:tc>
          <w:tcPr>
            <w:tcW w:w="1208" w:type="dxa"/>
            <w:vMerge/>
            <w:tcBorders>
              <w:left w:val="single" w:sz="4" w:space="0" w:color="000000"/>
              <w:right w:val="single" w:sz="4" w:space="0" w:color="000000"/>
            </w:tcBorders>
            <w:shd w:val="clear" w:color="auto" w:fill="D3D3D3"/>
          </w:tcPr>
          <w:p>
            <w:pPr/>
          </w:p>
        </w:tc>
        <w:tc>
          <w:tcPr>
            <w:tcW w:w="606" w:type="dxa"/>
            <w:vMerge w:val="restart"/>
            <w:tcBorders>
              <w:top w:val="nil" w:sz="6" w:space="0" w:color="auto"/>
              <w:left w:val="single" w:sz="4" w:space="0" w:color="000000"/>
              <w:right w:val="single" w:sz="4" w:space="0" w:color="000000"/>
            </w:tcBorders>
            <w:shd w:val="clear" w:color="auto" w:fill="D3D3D3"/>
          </w:tcPr>
          <w:p>
            <w:pPr/>
          </w:p>
        </w:tc>
        <w:tc>
          <w:tcPr>
            <w:tcW w:w="572" w:type="dxa"/>
            <w:vMerge/>
            <w:tcBorders>
              <w:left w:val="single" w:sz="4" w:space="0" w:color="000000"/>
              <w:right w:val="single" w:sz="4" w:space="0" w:color="000000"/>
            </w:tcBorders>
            <w:shd w:val="clear" w:color="auto" w:fill="D3D3D3"/>
          </w:tcPr>
          <w:p>
            <w:pPr/>
          </w:p>
        </w:tc>
        <w:tc>
          <w:tcPr>
            <w:tcW w:w="571" w:type="dxa"/>
            <w:vMerge/>
            <w:tcBorders>
              <w:left w:val="single" w:sz="4" w:space="0" w:color="000000"/>
              <w:right w:val="single" w:sz="4" w:space="0" w:color="000000"/>
            </w:tcBorders>
            <w:shd w:val="clear" w:color="auto" w:fill="D3D3D3"/>
          </w:tcPr>
          <w:p>
            <w:pPr/>
          </w:p>
        </w:tc>
        <w:tc>
          <w:tcPr>
            <w:tcW w:w="572" w:type="dxa"/>
            <w:vMerge/>
            <w:tcBorders>
              <w:left w:val="single" w:sz="4" w:space="0" w:color="000000"/>
              <w:bottom w:val="nil" w:sz="6" w:space="0" w:color="auto"/>
              <w:right w:val="single" w:sz="4" w:space="0" w:color="000000"/>
            </w:tcBorders>
            <w:shd w:val="clear" w:color="auto" w:fill="D3D3D3"/>
          </w:tcPr>
          <w:p>
            <w:pPr/>
          </w:p>
        </w:tc>
        <w:tc>
          <w:tcPr>
            <w:tcW w:w="685" w:type="dxa"/>
            <w:vMerge/>
            <w:tcBorders>
              <w:left w:val="single" w:sz="4" w:space="0" w:color="000000"/>
              <w:bottom w:val="nil" w:sz="6" w:space="0" w:color="auto"/>
              <w:right w:val="single" w:sz="4" w:space="0" w:color="000000"/>
            </w:tcBorders>
            <w:shd w:val="clear" w:color="auto" w:fill="D3D3D3"/>
          </w:tcPr>
          <w:p>
            <w:pPr/>
          </w:p>
        </w:tc>
        <w:tc>
          <w:tcPr>
            <w:tcW w:w="685" w:type="dxa"/>
            <w:vMerge/>
            <w:tcBorders>
              <w:left w:val="single" w:sz="4" w:space="0" w:color="000000"/>
              <w:bottom w:val="nil" w:sz="6" w:space="0" w:color="auto"/>
              <w:right w:val="single" w:sz="4" w:space="0" w:color="000000"/>
            </w:tcBorders>
            <w:shd w:val="clear" w:color="auto" w:fill="D3D3D3"/>
          </w:tcPr>
          <w:p>
            <w:pPr/>
          </w:p>
        </w:tc>
        <w:tc>
          <w:tcPr>
            <w:tcW w:w="685" w:type="dxa"/>
            <w:vMerge/>
            <w:tcBorders>
              <w:left w:val="single" w:sz="4" w:space="0" w:color="000000"/>
              <w:bottom w:val="nil" w:sz="6" w:space="0" w:color="auto"/>
              <w:right w:val="single" w:sz="4" w:space="0" w:color="000000"/>
            </w:tcBorders>
            <w:shd w:val="clear" w:color="auto" w:fill="D3D3D3"/>
          </w:tcPr>
          <w:p>
            <w:pPr/>
          </w:p>
        </w:tc>
        <w:tc>
          <w:tcPr>
            <w:tcW w:w="781" w:type="dxa"/>
            <w:vMerge w:val="restart"/>
            <w:tcBorders>
              <w:top w:val="nil" w:sz="6" w:space="0" w:color="auto"/>
              <w:left w:val="single" w:sz="4" w:space="0" w:color="000000"/>
              <w:right w:val="single" w:sz="4" w:space="0" w:color="FFFFFF"/>
            </w:tcBorders>
            <w:shd w:val="clear" w:color="auto" w:fill="D3D3D3"/>
          </w:tcPr>
          <w:p>
            <w:pPr/>
          </w:p>
        </w:tc>
        <w:tc>
          <w:tcPr>
            <w:tcW w:w="665" w:type="dxa"/>
            <w:vMerge/>
            <w:tcBorders>
              <w:left w:val="single" w:sz="4" w:space="0" w:color="FFFFFF"/>
              <w:bottom w:val="nil" w:sz="6" w:space="0" w:color="auto"/>
              <w:right w:val="single" w:sz="4" w:space="0" w:color="000000"/>
            </w:tcBorders>
            <w:shd w:val="clear" w:color="auto" w:fill="D3D3D3"/>
          </w:tcPr>
          <w:p>
            <w:pPr/>
          </w:p>
        </w:tc>
        <w:tc>
          <w:tcPr>
            <w:tcW w:w="798" w:type="dxa"/>
            <w:vMerge/>
            <w:tcBorders>
              <w:left w:val="single" w:sz="4" w:space="0" w:color="000000"/>
              <w:bottom w:val="nil" w:sz="6" w:space="0" w:color="auto"/>
              <w:right w:val="single" w:sz="4" w:space="0" w:color="000000"/>
            </w:tcBorders>
            <w:shd w:val="clear" w:color="auto" w:fill="D3D3D3"/>
          </w:tcPr>
          <w:p>
            <w:pPr/>
          </w:p>
        </w:tc>
        <w:tc>
          <w:tcPr>
            <w:tcW w:w="797" w:type="dxa"/>
            <w:vMerge w:val="restart"/>
            <w:tcBorders>
              <w:top w:val="nil" w:sz="6" w:space="0" w:color="auto"/>
              <w:left w:val="single" w:sz="4" w:space="0" w:color="000000"/>
              <w:right w:val="single" w:sz="4" w:space="0" w:color="000000"/>
            </w:tcBorders>
            <w:shd w:val="clear" w:color="auto" w:fill="D3D3D3"/>
          </w:tcPr>
          <w:p>
            <w:pPr/>
          </w:p>
        </w:tc>
        <w:tc>
          <w:tcPr>
            <w:tcW w:w="930" w:type="dxa"/>
            <w:vMerge/>
            <w:tcBorders>
              <w:left w:val="single" w:sz="4" w:space="0" w:color="000000"/>
              <w:bottom w:val="nil" w:sz="6" w:space="0" w:color="auto"/>
              <w:right w:val="single" w:sz="4" w:space="0" w:color="000000"/>
            </w:tcBorders>
            <w:shd w:val="clear" w:color="auto" w:fill="D3D3D3"/>
          </w:tcPr>
          <w:p>
            <w:pPr/>
          </w:p>
        </w:tc>
      </w:tr>
      <w:tr>
        <w:trPr>
          <w:trHeight w:val="207" w:hRule="exact"/>
        </w:trPr>
        <w:tc>
          <w:tcPr>
            <w:tcW w:w="1208" w:type="dxa"/>
            <w:vMerge/>
            <w:tcBorders>
              <w:left w:val="single" w:sz="4" w:space="0" w:color="000000"/>
              <w:bottom w:val="single" w:sz="4" w:space="0" w:color="000000"/>
              <w:right w:val="single" w:sz="4" w:space="0" w:color="000000"/>
            </w:tcBorders>
            <w:shd w:val="clear" w:color="auto" w:fill="D3D3D3"/>
          </w:tcPr>
          <w:p>
            <w:pPr/>
          </w:p>
        </w:tc>
        <w:tc>
          <w:tcPr>
            <w:tcW w:w="606" w:type="dxa"/>
            <w:vMerge/>
            <w:tcBorders>
              <w:left w:val="single" w:sz="4" w:space="0" w:color="000000"/>
              <w:bottom w:val="single" w:sz="4" w:space="0" w:color="000000"/>
              <w:right w:val="single" w:sz="4" w:space="0" w:color="000000"/>
            </w:tcBorders>
            <w:shd w:val="clear" w:color="auto" w:fill="D3D3D3"/>
          </w:tcPr>
          <w:p>
            <w:pPr/>
          </w:p>
        </w:tc>
        <w:tc>
          <w:tcPr>
            <w:tcW w:w="572" w:type="dxa"/>
            <w:vMerge/>
            <w:tcBorders>
              <w:left w:val="single" w:sz="4" w:space="0" w:color="000000"/>
              <w:bottom w:val="single" w:sz="4" w:space="0" w:color="000000"/>
              <w:right w:val="single" w:sz="4" w:space="0" w:color="000000"/>
            </w:tcBorders>
            <w:shd w:val="clear" w:color="auto" w:fill="D3D3D3"/>
          </w:tcPr>
          <w:p>
            <w:pPr/>
          </w:p>
        </w:tc>
        <w:tc>
          <w:tcPr>
            <w:tcW w:w="571" w:type="dxa"/>
            <w:vMerge/>
            <w:tcBorders>
              <w:left w:val="single" w:sz="4" w:space="0" w:color="000000"/>
              <w:bottom w:val="single" w:sz="4" w:space="0" w:color="000000"/>
              <w:right w:val="single" w:sz="4" w:space="0" w:color="000000"/>
            </w:tcBorders>
            <w:shd w:val="clear" w:color="auto" w:fill="D3D3D3"/>
          </w:tcPr>
          <w:p>
            <w:pPr/>
          </w:p>
        </w:tc>
        <w:tc>
          <w:tcPr>
            <w:tcW w:w="572"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685" w:type="dxa"/>
            <w:tcBorders>
              <w:top w:val="nil" w:sz="6" w:space="0" w:color="auto"/>
              <w:left w:val="single" w:sz="4" w:space="0" w:color="000000"/>
              <w:bottom w:val="single" w:sz="4" w:space="0" w:color="000000"/>
              <w:right w:val="single" w:sz="4" w:space="0" w:color="000000"/>
            </w:tcBorders>
            <w:shd w:val="clear" w:color="auto" w:fill="D3D3D3"/>
          </w:tcPr>
          <w:p>
            <w:pPr/>
          </w:p>
        </w:tc>
        <w:tc>
          <w:tcPr>
            <w:tcW w:w="781" w:type="dxa"/>
            <w:vMerge/>
            <w:tcBorders>
              <w:left w:val="single" w:sz="4" w:space="0" w:color="000000"/>
              <w:bottom w:val="single" w:sz="4" w:space="0" w:color="000000"/>
              <w:right w:val="single" w:sz="4" w:space="0" w:color="FFFFFF"/>
            </w:tcBorders>
            <w:shd w:val="clear" w:color="auto" w:fill="D3D3D3"/>
          </w:tcPr>
          <w:p>
            <w:pPr/>
          </w:p>
        </w:tc>
        <w:tc>
          <w:tcPr>
            <w:tcW w:w="665" w:type="dxa"/>
            <w:tcBorders>
              <w:top w:val="nil" w:sz="6" w:space="0" w:color="auto"/>
              <w:left w:val="single" w:sz="4" w:space="0" w:color="FFFFFF"/>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7" w:type="dxa"/>
            <w:vMerge/>
            <w:tcBorders>
              <w:left w:val="single" w:sz="4" w:space="0" w:color="000000"/>
              <w:bottom w:val="single" w:sz="4" w:space="0" w:color="000000"/>
              <w:right w:val="single" w:sz="4" w:space="0" w:color="000000"/>
            </w:tcBorders>
            <w:shd w:val="clear" w:color="auto" w:fill="D3D3D3"/>
          </w:tcPr>
          <w:p>
            <w:pPr/>
          </w:p>
        </w:tc>
        <w:tc>
          <w:tcPr>
            <w:tcW w:w="930"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161" w:hRule="exact"/>
        </w:trPr>
        <w:tc>
          <w:tcPr>
            <w:tcW w:w="1208" w:type="dxa"/>
            <w:tcBorders>
              <w:top w:val="single" w:sz="4" w:space="0" w:color="000000"/>
              <w:left w:val="single" w:sz="4" w:space="0" w:color="000000"/>
              <w:bottom w:val="nil" w:sz="6" w:space="0" w:color="auto"/>
              <w:right w:val="single" w:sz="4" w:space="0" w:color="000000"/>
            </w:tcBorders>
            <w:shd w:val="clear" w:color="auto" w:fill="D3D3D3"/>
          </w:tcPr>
          <w:p>
            <w:pPr/>
          </w:p>
        </w:tc>
        <w:tc>
          <w:tcPr>
            <w:tcW w:w="606" w:type="dxa"/>
            <w:vMerge w:val="restart"/>
            <w:tcBorders>
              <w:top w:val="single" w:sz="4" w:space="0" w:color="000000"/>
              <w:left w:val="single" w:sz="10" w:space="0" w:color="D3D3D3"/>
              <w:right w:val="single" w:sz="4" w:space="0" w:color="000000"/>
            </w:tcBorders>
          </w:tcPr>
          <w:p>
            <w:pPr>
              <w:pStyle w:val="TableParagraph"/>
              <w:spacing w:line="240" w:lineRule="auto" w:before="91"/>
              <w:ind w:left="115" w:right="0"/>
              <w:jc w:val="left"/>
              <w:rPr>
                <w:rFonts w:ascii="Arial" w:hAnsi="Arial" w:cs="Arial" w:eastAsia="Arial" w:hint="default"/>
                <w:sz w:val="18"/>
                <w:szCs w:val="18"/>
              </w:rPr>
            </w:pPr>
            <w:r>
              <w:rPr>
                <w:rFonts w:ascii="Arial"/>
                <w:sz w:val="18"/>
              </w:rPr>
              <w:t>622,2</w:t>
            </w:r>
          </w:p>
          <w:p>
            <w:pPr>
              <w:pStyle w:val="TableParagraph"/>
              <w:spacing w:line="240" w:lineRule="auto" w:before="105"/>
              <w:ind w:left="115" w:right="0"/>
              <w:jc w:val="left"/>
              <w:rPr>
                <w:rFonts w:ascii="Arial" w:hAnsi="Arial" w:cs="Arial" w:eastAsia="Arial" w:hint="default"/>
                <w:sz w:val="18"/>
                <w:szCs w:val="18"/>
              </w:rPr>
            </w:pPr>
            <w:r>
              <w:rPr>
                <w:rFonts w:ascii="Arial"/>
                <w:sz w:val="18"/>
              </w:rPr>
              <w:t>00,00</w:t>
            </w:r>
          </w:p>
          <w:p>
            <w:pPr>
              <w:pStyle w:val="TableParagraph"/>
              <w:spacing w:line="240" w:lineRule="auto" w:before="106"/>
              <w:ind w:left="214" w:right="0"/>
              <w:jc w:val="left"/>
              <w:rPr>
                <w:rFonts w:ascii="Arial" w:hAnsi="Arial" w:cs="Arial" w:eastAsia="Arial" w:hint="default"/>
                <w:sz w:val="18"/>
                <w:szCs w:val="18"/>
              </w:rPr>
            </w:pPr>
            <w:r>
              <w:rPr>
                <w:rFonts w:ascii="Arial"/>
                <w:sz w:val="18"/>
              </w:rPr>
              <w:t>0.00</w:t>
            </w: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364,19</w:t>
            </w:r>
          </w:p>
          <w:p>
            <w:pPr>
              <w:pStyle w:val="TableParagraph"/>
              <w:spacing w:line="240" w:lineRule="auto" w:before="105"/>
              <w:ind w:right="23"/>
              <w:jc w:val="right"/>
              <w:rPr>
                <w:rFonts w:ascii="Arial" w:hAnsi="Arial" w:cs="Arial" w:eastAsia="Arial" w:hint="default"/>
                <w:sz w:val="18"/>
                <w:szCs w:val="18"/>
              </w:rPr>
            </w:pPr>
            <w:r>
              <w:rPr>
                <w:rFonts w:ascii="Arial"/>
                <w:spacing w:val="-1"/>
                <w:sz w:val="18"/>
              </w:rPr>
              <w:t>3,237.6</w:t>
            </w:r>
            <w:r>
              <w:rPr>
                <w:rFonts w:ascii="Arial"/>
                <w:sz w:val="18"/>
              </w:rPr>
            </w:r>
          </w:p>
          <w:p>
            <w:pPr>
              <w:pStyle w:val="TableParagraph"/>
              <w:spacing w:line="240" w:lineRule="auto" w:before="106"/>
              <w:ind w:right="21"/>
              <w:jc w:val="right"/>
              <w:rPr>
                <w:rFonts w:ascii="Arial" w:hAnsi="Arial" w:cs="Arial" w:eastAsia="Arial" w:hint="default"/>
                <w:sz w:val="18"/>
                <w:szCs w:val="18"/>
              </w:rPr>
            </w:pPr>
            <w:r>
              <w:rPr>
                <w:rFonts w:ascii="Arial"/>
                <w:sz w:val="18"/>
              </w:rPr>
              <w:t>5</w:t>
            </w:r>
          </w:p>
        </w:tc>
        <w:tc>
          <w:tcPr>
            <w:tcW w:w="685"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FFFFFF"/>
            </w:tcBorders>
          </w:tcPr>
          <w:p>
            <w:pPr/>
          </w:p>
        </w:tc>
        <w:tc>
          <w:tcPr>
            <w:tcW w:w="665" w:type="dxa"/>
            <w:vMerge w:val="restart"/>
            <w:tcBorders>
              <w:top w:val="single" w:sz="4" w:space="0" w:color="000000"/>
              <w:left w:val="single" w:sz="4" w:space="0" w:color="FFFFFF"/>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Arial" w:hAnsi="Arial" w:cs="Arial" w:eastAsia="Arial" w:hint="default"/>
                <w:sz w:val="18"/>
                <w:szCs w:val="18"/>
              </w:rPr>
            </w:pPr>
            <w:r>
              <w:rPr>
                <w:rFonts w:ascii="Arial"/>
                <w:sz w:val="18"/>
              </w:rPr>
              <w:t>62,544,</w:t>
            </w:r>
          </w:p>
          <w:p>
            <w:pPr>
              <w:pStyle w:val="TableParagraph"/>
              <w:spacing w:line="240" w:lineRule="auto" w:before="106"/>
              <w:ind w:left="80" w:right="0"/>
              <w:jc w:val="left"/>
              <w:rPr>
                <w:rFonts w:ascii="Arial" w:hAnsi="Arial" w:cs="Arial" w:eastAsia="Arial" w:hint="default"/>
                <w:sz w:val="18"/>
                <w:szCs w:val="18"/>
              </w:rPr>
            </w:pPr>
            <w:r>
              <w:rPr>
                <w:rFonts w:ascii="Arial"/>
                <w:sz w:val="18"/>
              </w:rPr>
              <w:t>866.36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center"/>
              <w:rPr>
                <w:rFonts w:ascii="Arial" w:hAnsi="Arial" w:cs="Arial" w:eastAsia="Arial" w:hint="default"/>
                <w:sz w:val="18"/>
                <w:szCs w:val="18"/>
              </w:rPr>
            </w:pPr>
            <w:r>
              <w:rPr>
                <w:rFonts w:ascii="Arial"/>
                <w:sz w:val="18"/>
              </w:rPr>
              <w:t>408,818,</w:t>
            </w:r>
          </w:p>
          <w:p>
            <w:pPr>
              <w:pStyle w:val="TableParagraph"/>
              <w:spacing w:line="240" w:lineRule="auto" w:before="106"/>
              <w:ind w:left="188" w:right="0"/>
              <w:jc w:val="center"/>
              <w:rPr>
                <w:rFonts w:ascii="Arial" w:hAnsi="Arial" w:cs="Arial" w:eastAsia="Arial" w:hint="default"/>
                <w:sz w:val="18"/>
                <w:szCs w:val="18"/>
              </w:rPr>
            </w:pPr>
            <w:r>
              <w:rPr>
                <w:rFonts w:ascii="Arial"/>
                <w:sz w:val="18"/>
              </w:rPr>
              <w:t>388.57</w:t>
            </w:r>
          </w:p>
        </w:tc>
        <w:tc>
          <w:tcPr>
            <w:tcW w:w="797" w:type="dxa"/>
            <w:vMerge w:val="restart"/>
            <w:tcBorders>
              <w:top w:val="single" w:sz="4" w:space="0" w:color="000000"/>
              <w:left w:val="single" w:sz="4" w:space="0" w:color="000000"/>
              <w:right w:val="single" w:sz="4" w:space="0" w:color="000000"/>
            </w:tcBorders>
          </w:tcPr>
          <w:p>
            <w:pP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Arial" w:hAnsi="Arial" w:cs="Arial" w:eastAsia="Arial" w:hint="default"/>
                <w:sz w:val="18"/>
                <w:szCs w:val="18"/>
              </w:rPr>
            </w:pPr>
            <w:r>
              <w:rPr>
                <w:rFonts w:ascii="Arial"/>
                <w:sz w:val="18"/>
              </w:rPr>
              <w:t>1,457,756,</w:t>
            </w:r>
          </w:p>
          <w:p>
            <w:pPr>
              <w:pStyle w:val="TableParagraph"/>
              <w:spacing w:line="240" w:lineRule="auto" w:before="106"/>
              <w:ind w:left="346" w:right="0"/>
              <w:jc w:val="left"/>
              <w:rPr>
                <w:rFonts w:ascii="Arial" w:hAnsi="Arial" w:cs="Arial" w:eastAsia="Arial" w:hint="default"/>
                <w:sz w:val="18"/>
                <w:szCs w:val="18"/>
              </w:rPr>
            </w:pPr>
            <w:r>
              <w:rPr>
                <w:rFonts w:ascii="Arial"/>
                <w:sz w:val="18"/>
              </w:rPr>
              <w:t>492.58</w:t>
            </w:r>
          </w:p>
        </w:tc>
      </w:tr>
      <w:tr>
        <w:trPr>
          <w:trHeight w:val="704" w:hRule="exact"/>
        </w:trPr>
        <w:tc>
          <w:tcPr>
            <w:tcW w:w="120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1"/>
              <w:ind w:left="11" w:right="11"/>
              <w:jc w:val="left"/>
              <w:rPr>
                <w:rFonts w:ascii="宋体" w:hAnsi="宋体" w:cs="宋体" w:eastAsia="宋体" w:hint="default"/>
                <w:sz w:val="18"/>
                <w:szCs w:val="18"/>
              </w:rPr>
            </w:pPr>
            <w:r>
              <w:rPr>
                <w:rFonts w:ascii="宋体" w:hAnsi="宋体" w:cs="宋体" w:eastAsia="宋体" w:hint="default"/>
                <w:spacing w:val="-13"/>
                <w:sz w:val="18"/>
                <w:szCs w:val="18"/>
              </w:rPr>
              <w:t>一、上年期末余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606" w:type="dxa"/>
            <w:vMerge/>
            <w:tcBorders>
              <w:left w:val="single" w:sz="10" w:space="0" w:color="D3D3D3"/>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781" w:type="dxa"/>
            <w:vMerge/>
            <w:tcBorders>
              <w:left w:val="single" w:sz="4" w:space="0" w:color="000000"/>
              <w:right w:val="single" w:sz="4" w:space="0" w:color="FFFFFF"/>
            </w:tcBorders>
          </w:tcPr>
          <w:p>
            <w:pPr/>
          </w:p>
        </w:tc>
        <w:tc>
          <w:tcPr>
            <w:tcW w:w="665" w:type="dxa"/>
            <w:vMerge/>
            <w:tcBorders>
              <w:left w:val="single" w:sz="4" w:space="0" w:color="FFFFFF"/>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r>
      <w:tr>
        <w:trPr>
          <w:trHeight w:val="161" w:hRule="exact"/>
        </w:trPr>
        <w:tc>
          <w:tcPr>
            <w:tcW w:w="1208" w:type="dxa"/>
            <w:tcBorders>
              <w:top w:val="nil" w:sz="6" w:space="0" w:color="auto"/>
              <w:left w:val="single" w:sz="4" w:space="0" w:color="000000"/>
              <w:bottom w:val="single" w:sz="4" w:space="0" w:color="000000"/>
              <w:right w:val="single" w:sz="4" w:space="0" w:color="000000"/>
            </w:tcBorders>
            <w:shd w:val="clear" w:color="auto" w:fill="D3D3D3"/>
          </w:tcPr>
          <w:p>
            <w:pPr/>
          </w:p>
        </w:tc>
        <w:tc>
          <w:tcPr>
            <w:tcW w:w="606" w:type="dxa"/>
            <w:vMerge/>
            <w:tcBorders>
              <w:left w:val="single" w:sz="10" w:space="0" w:color="D3D3D3"/>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FFFFFF"/>
            </w:tcBorders>
          </w:tcPr>
          <w:p>
            <w:pPr/>
          </w:p>
        </w:tc>
        <w:tc>
          <w:tcPr>
            <w:tcW w:w="665" w:type="dxa"/>
            <w:vMerge/>
            <w:tcBorders>
              <w:left w:val="single" w:sz="4" w:space="0" w:color="FFFFFF"/>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r>
      <w:tr>
        <w:trPr>
          <w:trHeight w:val="714" w:hRule="exact"/>
        </w:trPr>
        <w:tc>
          <w:tcPr>
            <w:tcW w:w="1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1" w:firstLine="360"/>
              <w:jc w:val="left"/>
              <w:rPr>
                <w:rFonts w:ascii="宋体" w:hAnsi="宋体" w:cs="宋体" w:eastAsia="宋体" w:hint="default"/>
                <w:sz w:val="18"/>
                <w:szCs w:val="18"/>
              </w:rPr>
            </w:pPr>
            <w:r>
              <w:rPr>
                <w:rFonts w:ascii="宋体" w:hAnsi="宋体" w:cs="宋体" w:eastAsia="宋体" w:hint="default"/>
                <w:spacing w:val="-18"/>
                <w:sz w:val="18"/>
                <w:szCs w:val="18"/>
              </w:rPr>
              <w:t>加：会计政</w:t>
            </w:r>
            <w:r>
              <w:rPr>
                <w:rFonts w:ascii="宋体" w:hAnsi="宋体" w:cs="宋体" w:eastAsia="宋体" w:hint="default"/>
                <w:sz w:val="18"/>
                <w:szCs w:val="18"/>
              </w:rPr>
              <w:t> 策变更</w:t>
            </w:r>
          </w:p>
        </w:tc>
        <w:tc>
          <w:tcPr>
            <w:tcW w:w="606"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04" w:firstLine="720"/>
              <w:jc w:val="left"/>
              <w:rPr>
                <w:rFonts w:ascii="宋体" w:hAnsi="宋体" w:cs="宋体" w:eastAsia="宋体" w:hint="default"/>
                <w:sz w:val="18"/>
                <w:szCs w:val="18"/>
              </w:rPr>
            </w:pPr>
            <w:r>
              <w:rPr>
                <w:rFonts w:ascii="宋体" w:hAnsi="宋体" w:cs="宋体" w:eastAsia="宋体" w:hint="default"/>
                <w:sz w:val="18"/>
                <w:szCs w:val="18"/>
              </w:rPr>
              <w:t>前期 差错更正</w:t>
            </w:r>
          </w:p>
        </w:tc>
        <w:tc>
          <w:tcPr>
            <w:tcW w:w="606"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4"/>
              <w:jc w:val="right"/>
              <w:rPr>
                <w:rFonts w:ascii="宋体" w:hAnsi="宋体" w:cs="宋体" w:eastAsia="宋体" w:hint="default"/>
                <w:sz w:val="18"/>
                <w:szCs w:val="18"/>
              </w:rPr>
            </w:pPr>
            <w:r>
              <w:rPr>
                <w:rFonts w:ascii="宋体" w:hAnsi="宋体" w:cs="宋体" w:eastAsia="宋体" w:hint="default"/>
                <w:sz w:val="18"/>
                <w:szCs w:val="18"/>
              </w:rPr>
              <w:t>其他</w:t>
            </w:r>
          </w:p>
        </w:tc>
        <w:tc>
          <w:tcPr>
            <w:tcW w:w="606"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08" w:type="dxa"/>
            <w:tcBorders>
              <w:top w:val="single" w:sz="4" w:space="0" w:color="000000"/>
              <w:left w:val="single" w:sz="4" w:space="0" w:color="000000"/>
              <w:bottom w:val="nil" w:sz="6" w:space="0" w:color="auto"/>
              <w:right w:val="single" w:sz="4" w:space="0" w:color="000000"/>
            </w:tcBorders>
            <w:shd w:val="clear" w:color="auto" w:fill="D3D3D3"/>
          </w:tcPr>
          <w:p>
            <w:pPr/>
          </w:p>
        </w:tc>
        <w:tc>
          <w:tcPr>
            <w:tcW w:w="606" w:type="dxa"/>
            <w:vMerge w:val="restart"/>
            <w:tcBorders>
              <w:top w:val="single" w:sz="4" w:space="0" w:color="000000"/>
              <w:left w:val="single" w:sz="10" w:space="0" w:color="D3D3D3"/>
              <w:right w:val="single" w:sz="4" w:space="0" w:color="000000"/>
            </w:tcBorders>
          </w:tcPr>
          <w:p>
            <w:pPr>
              <w:pStyle w:val="TableParagraph"/>
              <w:spacing w:line="240" w:lineRule="auto" w:before="91"/>
              <w:ind w:left="115" w:right="0"/>
              <w:jc w:val="left"/>
              <w:rPr>
                <w:rFonts w:ascii="Arial" w:hAnsi="Arial" w:cs="Arial" w:eastAsia="Arial" w:hint="default"/>
                <w:sz w:val="18"/>
                <w:szCs w:val="18"/>
              </w:rPr>
            </w:pPr>
            <w:r>
              <w:rPr>
                <w:rFonts w:ascii="Arial"/>
                <w:sz w:val="18"/>
              </w:rPr>
              <w:t>622,2</w:t>
            </w:r>
          </w:p>
          <w:p>
            <w:pPr>
              <w:pStyle w:val="TableParagraph"/>
              <w:spacing w:line="240" w:lineRule="auto" w:before="105"/>
              <w:ind w:left="115" w:right="0"/>
              <w:jc w:val="left"/>
              <w:rPr>
                <w:rFonts w:ascii="Arial" w:hAnsi="Arial" w:cs="Arial" w:eastAsia="Arial" w:hint="default"/>
                <w:sz w:val="18"/>
                <w:szCs w:val="18"/>
              </w:rPr>
            </w:pPr>
            <w:r>
              <w:rPr>
                <w:rFonts w:ascii="Arial"/>
                <w:sz w:val="18"/>
              </w:rPr>
              <w:t>00,00</w:t>
            </w:r>
          </w:p>
          <w:p>
            <w:pPr>
              <w:pStyle w:val="TableParagraph"/>
              <w:spacing w:line="240" w:lineRule="auto" w:before="106"/>
              <w:ind w:left="214" w:right="0"/>
              <w:jc w:val="left"/>
              <w:rPr>
                <w:rFonts w:ascii="Arial" w:hAnsi="Arial" w:cs="Arial" w:eastAsia="Arial" w:hint="default"/>
                <w:sz w:val="18"/>
                <w:szCs w:val="18"/>
              </w:rPr>
            </w:pPr>
            <w:r>
              <w:rPr>
                <w:rFonts w:ascii="Arial"/>
                <w:sz w:val="18"/>
              </w:rPr>
              <w:t>0.00</w:t>
            </w: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364,19</w:t>
            </w:r>
          </w:p>
          <w:p>
            <w:pPr>
              <w:pStyle w:val="TableParagraph"/>
              <w:spacing w:line="240" w:lineRule="auto" w:before="105"/>
              <w:ind w:right="23"/>
              <w:jc w:val="right"/>
              <w:rPr>
                <w:rFonts w:ascii="Arial" w:hAnsi="Arial" w:cs="Arial" w:eastAsia="Arial" w:hint="default"/>
                <w:sz w:val="18"/>
                <w:szCs w:val="18"/>
              </w:rPr>
            </w:pPr>
            <w:r>
              <w:rPr>
                <w:rFonts w:ascii="Arial"/>
                <w:spacing w:val="-1"/>
                <w:sz w:val="18"/>
              </w:rPr>
              <w:t>3,237.6</w:t>
            </w:r>
            <w:r>
              <w:rPr>
                <w:rFonts w:ascii="Arial"/>
                <w:sz w:val="18"/>
              </w:rPr>
            </w:r>
          </w:p>
          <w:p>
            <w:pPr>
              <w:pStyle w:val="TableParagraph"/>
              <w:spacing w:line="240" w:lineRule="auto" w:before="106"/>
              <w:ind w:right="21"/>
              <w:jc w:val="right"/>
              <w:rPr>
                <w:rFonts w:ascii="Arial" w:hAnsi="Arial" w:cs="Arial" w:eastAsia="Arial" w:hint="default"/>
                <w:sz w:val="18"/>
                <w:szCs w:val="18"/>
              </w:rPr>
            </w:pPr>
            <w:r>
              <w:rPr>
                <w:rFonts w:ascii="Arial"/>
                <w:sz w:val="18"/>
              </w:rPr>
              <w:t>5</w:t>
            </w:r>
          </w:p>
        </w:tc>
        <w:tc>
          <w:tcPr>
            <w:tcW w:w="685"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FFFFFF"/>
            </w:tcBorders>
          </w:tcPr>
          <w:p>
            <w:pPr/>
          </w:p>
        </w:tc>
        <w:tc>
          <w:tcPr>
            <w:tcW w:w="665" w:type="dxa"/>
            <w:vMerge w:val="restart"/>
            <w:tcBorders>
              <w:top w:val="single" w:sz="4" w:space="0" w:color="000000"/>
              <w:left w:val="single" w:sz="4" w:space="0" w:color="FFFFFF"/>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Arial" w:hAnsi="Arial" w:cs="Arial" w:eastAsia="Arial" w:hint="default"/>
                <w:sz w:val="18"/>
                <w:szCs w:val="18"/>
              </w:rPr>
            </w:pPr>
            <w:r>
              <w:rPr>
                <w:rFonts w:ascii="Arial"/>
                <w:sz w:val="18"/>
              </w:rPr>
              <w:t>62,544,</w:t>
            </w:r>
          </w:p>
          <w:p>
            <w:pPr>
              <w:pStyle w:val="TableParagraph"/>
              <w:spacing w:line="240" w:lineRule="auto" w:before="106"/>
              <w:ind w:left="80" w:right="0"/>
              <w:jc w:val="left"/>
              <w:rPr>
                <w:rFonts w:ascii="Arial" w:hAnsi="Arial" w:cs="Arial" w:eastAsia="Arial" w:hint="default"/>
                <w:sz w:val="18"/>
                <w:szCs w:val="18"/>
              </w:rPr>
            </w:pPr>
            <w:r>
              <w:rPr>
                <w:rFonts w:ascii="Arial"/>
                <w:sz w:val="18"/>
              </w:rPr>
              <w:t>866.36</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center"/>
              <w:rPr>
                <w:rFonts w:ascii="Arial" w:hAnsi="Arial" w:cs="Arial" w:eastAsia="Arial" w:hint="default"/>
                <w:sz w:val="18"/>
                <w:szCs w:val="18"/>
              </w:rPr>
            </w:pPr>
            <w:r>
              <w:rPr>
                <w:rFonts w:ascii="Arial"/>
                <w:sz w:val="18"/>
              </w:rPr>
              <w:t>408,818,</w:t>
            </w:r>
          </w:p>
          <w:p>
            <w:pPr>
              <w:pStyle w:val="TableParagraph"/>
              <w:spacing w:line="240" w:lineRule="auto" w:before="106"/>
              <w:ind w:left="188" w:right="0"/>
              <w:jc w:val="center"/>
              <w:rPr>
                <w:rFonts w:ascii="Arial" w:hAnsi="Arial" w:cs="Arial" w:eastAsia="Arial" w:hint="default"/>
                <w:sz w:val="18"/>
                <w:szCs w:val="18"/>
              </w:rPr>
            </w:pPr>
            <w:r>
              <w:rPr>
                <w:rFonts w:ascii="Arial"/>
                <w:sz w:val="18"/>
              </w:rPr>
              <w:t>388.57</w:t>
            </w:r>
          </w:p>
        </w:tc>
        <w:tc>
          <w:tcPr>
            <w:tcW w:w="797" w:type="dxa"/>
            <w:vMerge w:val="restart"/>
            <w:tcBorders>
              <w:top w:val="single" w:sz="4" w:space="0" w:color="000000"/>
              <w:left w:val="single" w:sz="4" w:space="0" w:color="000000"/>
              <w:right w:val="single" w:sz="4" w:space="0" w:color="000000"/>
            </w:tcBorders>
          </w:tcPr>
          <w:p>
            <w:pP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Arial" w:hAnsi="Arial" w:cs="Arial" w:eastAsia="Arial" w:hint="default"/>
                <w:sz w:val="18"/>
                <w:szCs w:val="18"/>
              </w:rPr>
            </w:pPr>
            <w:r>
              <w:rPr>
                <w:rFonts w:ascii="Arial"/>
                <w:sz w:val="18"/>
              </w:rPr>
              <w:t>1,457,756,</w:t>
            </w:r>
          </w:p>
          <w:p>
            <w:pPr>
              <w:pStyle w:val="TableParagraph"/>
              <w:spacing w:line="240" w:lineRule="auto" w:before="106"/>
              <w:ind w:left="346" w:right="0"/>
              <w:jc w:val="left"/>
              <w:rPr>
                <w:rFonts w:ascii="Arial" w:hAnsi="Arial" w:cs="Arial" w:eastAsia="Arial" w:hint="default"/>
                <w:sz w:val="18"/>
                <w:szCs w:val="18"/>
              </w:rPr>
            </w:pPr>
            <w:r>
              <w:rPr>
                <w:rFonts w:ascii="Arial"/>
                <w:sz w:val="18"/>
              </w:rPr>
              <w:t>492.58</w:t>
            </w:r>
          </w:p>
        </w:tc>
      </w:tr>
      <w:tr>
        <w:trPr>
          <w:trHeight w:val="704" w:hRule="exact"/>
        </w:trPr>
        <w:tc>
          <w:tcPr>
            <w:tcW w:w="120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51"/>
              <w:ind w:left="11" w:right="11"/>
              <w:jc w:val="left"/>
              <w:rPr>
                <w:rFonts w:ascii="宋体" w:hAnsi="宋体" w:cs="宋体" w:eastAsia="宋体" w:hint="default"/>
                <w:sz w:val="18"/>
                <w:szCs w:val="18"/>
              </w:rPr>
            </w:pPr>
            <w:r>
              <w:rPr>
                <w:rFonts w:ascii="宋体" w:hAnsi="宋体" w:cs="宋体" w:eastAsia="宋体" w:hint="default"/>
                <w:spacing w:val="-13"/>
                <w:sz w:val="18"/>
                <w:szCs w:val="18"/>
              </w:rPr>
              <w:t>二、本年期初余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606" w:type="dxa"/>
            <w:vMerge/>
            <w:tcBorders>
              <w:left w:val="single" w:sz="10" w:space="0" w:color="D3D3D3"/>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781" w:type="dxa"/>
            <w:vMerge/>
            <w:tcBorders>
              <w:left w:val="single" w:sz="4" w:space="0" w:color="000000"/>
              <w:right w:val="single" w:sz="4" w:space="0" w:color="FFFFFF"/>
            </w:tcBorders>
          </w:tcPr>
          <w:p>
            <w:pPr/>
          </w:p>
        </w:tc>
        <w:tc>
          <w:tcPr>
            <w:tcW w:w="665" w:type="dxa"/>
            <w:vMerge/>
            <w:tcBorders>
              <w:left w:val="single" w:sz="4" w:space="0" w:color="FFFFFF"/>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r>
      <w:tr>
        <w:trPr>
          <w:trHeight w:val="161" w:hRule="exact"/>
        </w:trPr>
        <w:tc>
          <w:tcPr>
            <w:tcW w:w="1208" w:type="dxa"/>
            <w:tcBorders>
              <w:top w:val="nil" w:sz="6" w:space="0" w:color="auto"/>
              <w:left w:val="single" w:sz="4" w:space="0" w:color="000000"/>
              <w:bottom w:val="single" w:sz="4" w:space="0" w:color="000000"/>
              <w:right w:val="single" w:sz="4" w:space="0" w:color="000000"/>
            </w:tcBorders>
            <w:shd w:val="clear" w:color="auto" w:fill="D3D3D3"/>
          </w:tcPr>
          <w:p>
            <w:pPr/>
          </w:p>
        </w:tc>
        <w:tc>
          <w:tcPr>
            <w:tcW w:w="606" w:type="dxa"/>
            <w:vMerge/>
            <w:tcBorders>
              <w:left w:val="single" w:sz="10" w:space="0" w:color="D3D3D3"/>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FFFFFF"/>
            </w:tcBorders>
          </w:tcPr>
          <w:p>
            <w:pPr/>
          </w:p>
        </w:tc>
        <w:tc>
          <w:tcPr>
            <w:tcW w:w="665" w:type="dxa"/>
            <w:vMerge/>
            <w:tcBorders>
              <w:left w:val="single" w:sz="4" w:space="0" w:color="FFFFFF"/>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r>
      <w:tr>
        <w:trPr>
          <w:trHeight w:val="1026" w:hRule="exact"/>
        </w:trPr>
        <w:tc>
          <w:tcPr>
            <w:tcW w:w="1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1"/>
              <w:jc w:val="both"/>
              <w:rPr>
                <w:rFonts w:ascii="宋体" w:hAnsi="宋体" w:cs="宋体" w:eastAsia="宋体" w:hint="default"/>
                <w:sz w:val="18"/>
                <w:szCs w:val="18"/>
              </w:rPr>
            </w:pPr>
            <w:r>
              <w:rPr>
                <w:rFonts w:ascii="宋体" w:hAnsi="宋体" w:cs="宋体" w:eastAsia="宋体" w:hint="default"/>
                <w:spacing w:val="-13"/>
                <w:sz w:val="18"/>
                <w:szCs w:val="18"/>
              </w:rPr>
              <w:t>三、本期增减变</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13"/>
                <w:sz w:val="18"/>
                <w:szCs w:val="18"/>
              </w:rPr>
              <w:t>动金额（减少以</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606"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Arial" w:hAnsi="Arial" w:cs="Arial" w:eastAsia="Arial" w:hint="default"/>
                <w:sz w:val="18"/>
                <w:szCs w:val="18"/>
              </w:rPr>
            </w:pPr>
            <w:r>
              <w:rPr>
                <w:rFonts w:ascii="Arial"/>
                <w:sz w:val="18"/>
              </w:rPr>
              <w:t>5,026,8</w:t>
            </w:r>
          </w:p>
          <w:p>
            <w:pPr>
              <w:pStyle w:val="TableParagraph"/>
              <w:spacing w:line="240" w:lineRule="auto" w:before="106"/>
              <w:ind w:left="155" w:right="0"/>
              <w:jc w:val="center"/>
              <w:rPr>
                <w:rFonts w:ascii="Arial" w:hAnsi="Arial" w:cs="Arial" w:eastAsia="Arial" w:hint="default"/>
                <w:sz w:val="18"/>
                <w:szCs w:val="18"/>
              </w:rPr>
            </w:pPr>
            <w:r>
              <w:rPr>
                <w:rFonts w:ascii="Arial"/>
                <w:sz w:val="18"/>
              </w:rPr>
              <w:t>45.32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3" w:right="0"/>
              <w:jc w:val="left"/>
              <w:rPr>
                <w:rFonts w:ascii="Arial" w:hAnsi="Arial" w:cs="Arial" w:eastAsia="Arial" w:hint="default"/>
                <w:sz w:val="18"/>
                <w:szCs w:val="18"/>
              </w:rPr>
            </w:pPr>
            <w:r>
              <w:rPr>
                <w:rFonts w:ascii="Arial"/>
                <w:sz w:val="18"/>
              </w:rPr>
              <w:t>39,019,6</w:t>
            </w:r>
          </w:p>
          <w:p>
            <w:pPr>
              <w:pStyle w:val="TableParagraph"/>
              <w:spacing w:line="240" w:lineRule="auto" w:before="106"/>
              <w:ind w:left="314" w:right="0"/>
              <w:jc w:val="left"/>
              <w:rPr>
                <w:rFonts w:ascii="Arial" w:hAnsi="Arial" w:cs="Arial" w:eastAsia="Arial" w:hint="default"/>
                <w:sz w:val="18"/>
                <w:szCs w:val="18"/>
              </w:rPr>
            </w:pPr>
            <w:r>
              <w:rPr>
                <w:rFonts w:ascii="Arial"/>
                <w:sz w:val="18"/>
              </w:rPr>
              <w:t>07.90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7" w:right="0"/>
              <w:jc w:val="left"/>
              <w:rPr>
                <w:rFonts w:ascii="Arial" w:hAnsi="Arial" w:cs="Arial" w:eastAsia="Arial" w:hint="default"/>
                <w:sz w:val="18"/>
                <w:szCs w:val="18"/>
              </w:rPr>
            </w:pPr>
            <w:r>
              <w:rPr>
                <w:rFonts w:ascii="Arial"/>
                <w:sz w:val="18"/>
              </w:rPr>
              <w:t>44,046,45</w:t>
            </w:r>
          </w:p>
          <w:p>
            <w:pPr>
              <w:pStyle w:val="TableParagraph"/>
              <w:spacing w:line="240" w:lineRule="auto" w:before="106"/>
              <w:ind w:left="547" w:right="0"/>
              <w:jc w:val="left"/>
              <w:rPr>
                <w:rFonts w:ascii="Arial" w:hAnsi="Arial" w:cs="Arial" w:eastAsia="Arial" w:hint="default"/>
                <w:sz w:val="18"/>
                <w:szCs w:val="18"/>
              </w:rPr>
            </w:pPr>
            <w:r>
              <w:rPr>
                <w:rFonts w:ascii="Arial"/>
                <w:sz w:val="18"/>
              </w:rPr>
              <w:t>3.22</w:t>
            </w:r>
          </w:p>
        </w:tc>
      </w:tr>
      <w:tr>
        <w:trPr>
          <w:trHeight w:val="714" w:hRule="exact"/>
        </w:trPr>
        <w:tc>
          <w:tcPr>
            <w:tcW w:w="1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1"/>
              <w:jc w:val="left"/>
              <w:rPr>
                <w:rFonts w:ascii="宋体" w:hAnsi="宋体" w:cs="宋体" w:eastAsia="宋体" w:hint="default"/>
                <w:sz w:val="18"/>
                <w:szCs w:val="18"/>
              </w:rPr>
            </w:pPr>
            <w:r>
              <w:rPr>
                <w:rFonts w:ascii="宋体" w:hAnsi="宋体" w:cs="宋体" w:eastAsia="宋体" w:hint="default"/>
                <w:spacing w:val="-13"/>
                <w:sz w:val="18"/>
                <w:szCs w:val="18"/>
              </w:rPr>
              <w:t>（一）综合收益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总额</w:t>
            </w:r>
          </w:p>
        </w:tc>
        <w:tc>
          <w:tcPr>
            <w:tcW w:w="606"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Arial" w:hAnsi="Arial" w:cs="Arial" w:eastAsia="Arial" w:hint="default"/>
                <w:sz w:val="18"/>
                <w:szCs w:val="18"/>
              </w:rPr>
            </w:pPr>
            <w:r>
              <w:rPr>
                <w:rFonts w:ascii="Arial"/>
                <w:sz w:val="18"/>
              </w:rPr>
              <w:t>50,268,4</w:t>
            </w:r>
          </w:p>
          <w:p>
            <w:pPr>
              <w:pStyle w:val="TableParagraph"/>
              <w:spacing w:line="240" w:lineRule="auto" w:before="106"/>
              <w:ind w:left="314" w:right="0"/>
              <w:jc w:val="left"/>
              <w:rPr>
                <w:rFonts w:ascii="Arial" w:hAnsi="Arial" w:cs="Arial" w:eastAsia="Arial" w:hint="default"/>
                <w:sz w:val="18"/>
                <w:szCs w:val="18"/>
              </w:rPr>
            </w:pPr>
            <w:r>
              <w:rPr>
                <w:rFonts w:ascii="Arial"/>
                <w:sz w:val="18"/>
              </w:rPr>
              <w:t>53.22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left"/>
              <w:rPr>
                <w:rFonts w:ascii="Arial" w:hAnsi="Arial" w:cs="Arial" w:eastAsia="Arial" w:hint="default"/>
                <w:sz w:val="18"/>
                <w:szCs w:val="18"/>
              </w:rPr>
            </w:pPr>
            <w:r>
              <w:rPr>
                <w:rFonts w:ascii="Arial"/>
                <w:sz w:val="18"/>
              </w:rPr>
              <w:t>50,268,45</w:t>
            </w:r>
          </w:p>
          <w:p>
            <w:pPr>
              <w:pStyle w:val="TableParagraph"/>
              <w:spacing w:line="240" w:lineRule="auto" w:before="106"/>
              <w:ind w:left="547" w:right="0"/>
              <w:jc w:val="left"/>
              <w:rPr>
                <w:rFonts w:ascii="Arial" w:hAnsi="Arial" w:cs="Arial" w:eastAsia="Arial" w:hint="default"/>
                <w:sz w:val="18"/>
                <w:szCs w:val="18"/>
              </w:rPr>
            </w:pPr>
            <w:r>
              <w:rPr>
                <w:rFonts w:ascii="Arial"/>
                <w:sz w:val="18"/>
              </w:rPr>
              <w:t>3.22</w:t>
            </w:r>
          </w:p>
        </w:tc>
      </w:tr>
      <w:tr>
        <w:trPr>
          <w:trHeight w:val="714" w:hRule="exact"/>
        </w:trPr>
        <w:tc>
          <w:tcPr>
            <w:tcW w:w="1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1"/>
              <w:jc w:val="left"/>
              <w:rPr>
                <w:rFonts w:ascii="宋体" w:hAnsi="宋体" w:cs="宋体" w:eastAsia="宋体" w:hint="default"/>
                <w:sz w:val="18"/>
                <w:szCs w:val="18"/>
              </w:rPr>
            </w:pPr>
            <w:r>
              <w:rPr>
                <w:rFonts w:ascii="宋体" w:hAnsi="宋体" w:cs="宋体" w:eastAsia="宋体" w:hint="default"/>
                <w:spacing w:val="-13"/>
                <w:sz w:val="18"/>
                <w:szCs w:val="18"/>
              </w:rPr>
              <w:t>（二）所有者投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入和减少资本</w:t>
            </w:r>
          </w:p>
        </w:tc>
        <w:tc>
          <w:tcPr>
            <w:tcW w:w="606"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1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．所有者投入 的普通股</w:t>
            </w:r>
          </w:p>
        </w:tc>
        <w:tc>
          <w:tcPr>
            <w:tcW w:w="606"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11" w:right="1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．其他权益工 具持有者投入 资本</w:t>
            </w:r>
          </w:p>
        </w:tc>
        <w:tc>
          <w:tcPr>
            <w:tcW w:w="606"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11" w:right="1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．股份支付计 入所有者权益 的金额</w:t>
            </w:r>
          </w:p>
        </w:tc>
        <w:tc>
          <w:tcPr>
            <w:tcW w:w="606"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．其他</w:t>
            </w:r>
          </w:p>
        </w:tc>
        <w:tc>
          <w:tcPr>
            <w:tcW w:w="606"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1208" w:type="dxa"/>
            <w:tcBorders>
              <w:top w:val="single" w:sz="4" w:space="0" w:color="000000"/>
              <w:left w:val="single" w:sz="4" w:space="0" w:color="000000"/>
              <w:bottom w:val="nil" w:sz="6" w:space="0" w:color="auto"/>
              <w:right w:val="single" w:sz="4" w:space="0" w:color="000000"/>
            </w:tcBorders>
            <w:shd w:val="clear" w:color="auto" w:fill="D3D3D3"/>
          </w:tcPr>
          <w:p>
            <w:pPr/>
          </w:p>
        </w:tc>
        <w:tc>
          <w:tcPr>
            <w:tcW w:w="606" w:type="dxa"/>
            <w:vMerge w:val="restart"/>
            <w:tcBorders>
              <w:top w:val="single" w:sz="4" w:space="0" w:color="000000"/>
              <w:left w:val="single" w:sz="10" w:space="0" w:color="D3D3D3"/>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571" w:type="dxa"/>
            <w:vMerge w:val="restart"/>
            <w:tcBorders>
              <w:top w:val="single" w:sz="4" w:space="0" w:color="000000"/>
              <w:left w:val="single" w:sz="4" w:space="0" w:color="000000"/>
              <w:right w:val="single" w:sz="4" w:space="0" w:color="000000"/>
            </w:tcBorders>
          </w:tcPr>
          <w:p>
            <w:pPr/>
          </w:p>
        </w:tc>
        <w:tc>
          <w:tcPr>
            <w:tcW w:w="572"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781" w:type="dxa"/>
            <w:vMerge w:val="restart"/>
            <w:tcBorders>
              <w:top w:val="single" w:sz="4" w:space="0" w:color="000000"/>
              <w:left w:val="single" w:sz="4" w:space="0" w:color="000000"/>
              <w:right w:val="single" w:sz="4" w:space="0" w:color="FFFFFF"/>
            </w:tcBorders>
          </w:tcPr>
          <w:p>
            <w:pPr/>
          </w:p>
        </w:tc>
        <w:tc>
          <w:tcPr>
            <w:tcW w:w="665" w:type="dxa"/>
            <w:vMerge w:val="restart"/>
            <w:tcBorders>
              <w:top w:val="single" w:sz="4" w:space="0" w:color="000000"/>
              <w:left w:val="single" w:sz="4" w:space="0" w:color="FFFFFF"/>
              <w:right w:val="single" w:sz="4" w:space="0" w:color="000000"/>
            </w:tcBorders>
          </w:tcPr>
          <w:p>
            <w:pPr>
              <w:pStyle w:val="TableParagraph"/>
              <w:spacing w:line="240" w:lineRule="auto" w:before="91"/>
              <w:ind w:left="6" w:right="0"/>
              <w:jc w:val="center"/>
              <w:rPr>
                <w:rFonts w:ascii="Arial" w:hAnsi="Arial" w:cs="Arial" w:eastAsia="Arial" w:hint="default"/>
                <w:sz w:val="18"/>
                <w:szCs w:val="18"/>
              </w:rPr>
            </w:pPr>
            <w:r>
              <w:rPr>
                <w:rFonts w:ascii="Arial"/>
                <w:sz w:val="18"/>
              </w:rPr>
              <w:t>5,026,8</w:t>
            </w:r>
          </w:p>
          <w:p>
            <w:pPr>
              <w:pStyle w:val="TableParagraph"/>
              <w:spacing w:line="240" w:lineRule="auto" w:before="106"/>
              <w:ind w:left="155" w:right="0"/>
              <w:jc w:val="center"/>
              <w:rPr>
                <w:rFonts w:ascii="Arial" w:hAnsi="Arial" w:cs="Arial" w:eastAsia="Arial" w:hint="default"/>
                <w:sz w:val="18"/>
                <w:szCs w:val="18"/>
              </w:rPr>
            </w:pPr>
            <w:r>
              <w:rPr>
                <w:rFonts w:ascii="Arial"/>
                <w:sz w:val="18"/>
              </w:rPr>
              <w:t>45.32</w:t>
            </w:r>
          </w:p>
        </w:tc>
        <w:tc>
          <w:tcPr>
            <w:tcW w:w="798" w:type="dxa"/>
            <w:vMerge w:val="restart"/>
            <w:tcBorders>
              <w:top w:val="single" w:sz="4" w:space="0" w:color="000000"/>
              <w:left w:val="single" w:sz="4" w:space="0" w:color="000000"/>
              <w:right w:val="single" w:sz="4" w:space="0" w:color="000000"/>
            </w:tcBorders>
          </w:tcPr>
          <w:p>
            <w:pPr>
              <w:pStyle w:val="TableParagraph"/>
              <w:spacing w:line="240" w:lineRule="auto" w:before="91"/>
              <w:ind w:left="117" w:right="0"/>
              <w:jc w:val="left"/>
              <w:rPr>
                <w:rFonts w:ascii="Arial" w:hAnsi="Arial" w:cs="Arial" w:eastAsia="Arial" w:hint="default"/>
                <w:sz w:val="18"/>
                <w:szCs w:val="18"/>
              </w:rPr>
            </w:pPr>
            <w:r>
              <w:rPr>
                <w:rFonts w:ascii="Arial"/>
                <w:spacing w:val="-3"/>
                <w:sz w:val="18"/>
              </w:rPr>
              <w:t>-11,248,</w:t>
            </w:r>
            <w:r>
              <w:rPr>
                <w:rFonts w:ascii="Arial"/>
                <w:sz w:val="18"/>
              </w:rPr>
            </w:r>
          </w:p>
          <w:p>
            <w:pPr>
              <w:pStyle w:val="TableParagraph"/>
              <w:spacing w:line="240" w:lineRule="auto" w:before="106"/>
              <w:ind w:left="213" w:right="0"/>
              <w:jc w:val="left"/>
              <w:rPr>
                <w:rFonts w:ascii="Arial" w:hAnsi="Arial" w:cs="Arial" w:eastAsia="Arial" w:hint="default"/>
                <w:sz w:val="18"/>
                <w:szCs w:val="18"/>
              </w:rPr>
            </w:pPr>
            <w:r>
              <w:rPr>
                <w:rFonts w:ascii="Arial"/>
                <w:sz w:val="18"/>
              </w:rPr>
              <w:t>845.32</w:t>
            </w:r>
          </w:p>
        </w:tc>
        <w:tc>
          <w:tcPr>
            <w:tcW w:w="797" w:type="dxa"/>
            <w:vMerge w:val="restart"/>
            <w:tcBorders>
              <w:top w:val="single" w:sz="4" w:space="0" w:color="000000"/>
              <w:left w:val="single" w:sz="4" w:space="0" w:color="000000"/>
              <w:right w:val="single" w:sz="4" w:space="0" w:color="000000"/>
            </w:tcBorders>
          </w:tcPr>
          <w:p>
            <w:pPr/>
          </w:p>
        </w:tc>
        <w:tc>
          <w:tcPr>
            <w:tcW w:w="930"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-6,222,000</w:t>
            </w:r>
          </w:p>
          <w:p>
            <w:pPr>
              <w:pStyle w:val="TableParagraph"/>
              <w:spacing w:line="240" w:lineRule="auto" w:before="106"/>
              <w:ind w:right="21"/>
              <w:jc w:val="right"/>
              <w:rPr>
                <w:rFonts w:ascii="Arial" w:hAnsi="Arial" w:cs="Arial" w:eastAsia="Arial" w:hint="default"/>
                <w:sz w:val="18"/>
                <w:szCs w:val="18"/>
              </w:rPr>
            </w:pPr>
            <w:r>
              <w:rPr>
                <w:rFonts w:ascii="Arial"/>
                <w:spacing w:val="-1"/>
                <w:w w:val="95"/>
                <w:sz w:val="18"/>
              </w:rPr>
              <w:t>.00</w:t>
            </w:r>
            <w:r>
              <w:rPr>
                <w:rFonts w:ascii="Arial"/>
                <w:w w:val="95"/>
                <w:sz w:val="18"/>
              </w:rPr>
            </w:r>
          </w:p>
        </w:tc>
      </w:tr>
      <w:tr>
        <w:trPr>
          <w:trHeight w:val="392" w:hRule="exact"/>
        </w:trPr>
        <w:tc>
          <w:tcPr>
            <w:tcW w:w="120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1"/>
              <w:jc w:val="righ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6"/>
                <w:sz w:val="18"/>
                <w:szCs w:val="18"/>
              </w:rPr>
              <w:t>）</w:t>
            </w:r>
            <w:r>
              <w:rPr>
                <w:rFonts w:ascii="宋体" w:hAnsi="宋体" w:cs="宋体" w:eastAsia="宋体" w:hint="default"/>
                <w:sz w:val="18"/>
                <w:szCs w:val="18"/>
              </w:rPr>
              <w:t>利润分配</w:t>
            </w:r>
          </w:p>
        </w:tc>
        <w:tc>
          <w:tcPr>
            <w:tcW w:w="606" w:type="dxa"/>
            <w:vMerge/>
            <w:tcBorders>
              <w:left w:val="single" w:sz="10" w:space="0" w:color="D3D3D3"/>
              <w:right w:val="single" w:sz="4" w:space="0" w:color="000000"/>
            </w:tcBorders>
          </w:tcPr>
          <w:p>
            <w:pPr/>
          </w:p>
        </w:tc>
        <w:tc>
          <w:tcPr>
            <w:tcW w:w="572" w:type="dxa"/>
            <w:vMerge/>
            <w:tcBorders>
              <w:left w:val="single" w:sz="4" w:space="0" w:color="000000"/>
              <w:right w:val="single" w:sz="4" w:space="0" w:color="000000"/>
            </w:tcBorders>
          </w:tcPr>
          <w:p>
            <w:pPr/>
          </w:p>
        </w:tc>
        <w:tc>
          <w:tcPr>
            <w:tcW w:w="571" w:type="dxa"/>
            <w:vMerge/>
            <w:tcBorders>
              <w:left w:val="single" w:sz="4" w:space="0" w:color="000000"/>
              <w:right w:val="single" w:sz="4" w:space="0" w:color="000000"/>
            </w:tcBorders>
          </w:tcPr>
          <w:p>
            <w:pPr/>
          </w:p>
        </w:tc>
        <w:tc>
          <w:tcPr>
            <w:tcW w:w="57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781" w:type="dxa"/>
            <w:vMerge/>
            <w:tcBorders>
              <w:left w:val="single" w:sz="4" w:space="0" w:color="000000"/>
              <w:right w:val="single" w:sz="4" w:space="0" w:color="FFFFFF"/>
            </w:tcBorders>
          </w:tcPr>
          <w:p>
            <w:pPr/>
          </w:p>
        </w:tc>
        <w:tc>
          <w:tcPr>
            <w:tcW w:w="665" w:type="dxa"/>
            <w:vMerge/>
            <w:tcBorders>
              <w:left w:val="single" w:sz="4" w:space="0" w:color="FFFFFF"/>
              <w:right w:val="single" w:sz="4" w:space="0" w:color="000000"/>
            </w:tcBorders>
          </w:tcPr>
          <w:p>
            <w:pPr/>
          </w:p>
        </w:tc>
        <w:tc>
          <w:tcPr>
            <w:tcW w:w="798" w:type="dxa"/>
            <w:vMerge/>
            <w:tcBorders>
              <w:left w:val="single" w:sz="4" w:space="0" w:color="000000"/>
              <w:right w:val="single" w:sz="4" w:space="0" w:color="000000"/>
            </w:tcBorders>
          </w:tcPr>
          <w:p>
            <w:pPr/>
          </w:p>
        </w:tc>
        <w:tc>
          <w:tcPr>
            <w:tcW w:w="797" w:type="dxa"/>
            <w:vMerge/>
            <w:tcBorders>
              <w:left w:val="single" w:sz="4" w:space="0" w:color="000000"/>
              <w:right w:val="single" w:sz="4" w:space="0" w:color="000000"/>
            </w:tcBorders>
          </w:tcPr>
          <w:p>
            <w:pPr/>
          </w:p>
        </w:tc>
        <w:tc>
          <w:tcPr>
            <w:tcW w:w="930" w:type="dxa"/>
            <w:vMerge/>
            <w:tcBorders>
              <w:left w:val="single" w:sz="4" w:space="0" w:color="000000"/>
              <w:right w:val="single" w:sz="4" w:space="0" w:color="000000"/>
            </w:tcBorders>
          </w:tcPr>
          <w:p>
            <w:pPr/>
          </w:p>
        </w:tc>
      </w:tr>
      <w:tr>
        <w:trPr>
          <w:trHeight w:val="161" w:hRule="exact"/>
        </w:trPr>
        <w:tc>
          <w:tcPr>
            <w:tcW w:w="1208" w:type="dxa"/>
            <w:tcBorders>
              <w:top w:val="nil" w:sz="6" w:space="0" w:color="auto"/>
              <w:left w:val="single" w:sz="4" w:space="0" w:color="000000"/>
              <w:bottom w:val="single" w:sz="4" w:space="0" w:color="000000"/>
              <w:right w:val="single" w:sz="4" w:space="0" w:color="000000"/>
            </w:tcBorders>
            <w:shd w:val="clear" w:color="auto" w:fill="D3D3D3"/>
          </w:tcPr>
          <w:p>
            <w:pPr/>
          </w:p>
        </w:tc>
        <w:tc>
          <w:tcPr>
            <w:tcW w:w="606" w:type="dxa"/>
            <w:vMerge/>
            <w:tcBorders>
              <w:left w:val="single" w:sz="10" w:space="0" w:color="D3D3D3"/>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571" w:type="dxa"/>
            <w:vMerge/>
            <w:tcBorders>
              <w:left w:val="single" w:sz="4" w:space="0" w:color="000000"/>
              <w:bottom w:val="single" w:sz="4" w:space="0" w:color="000000"/>
              <w:right w:val="single" w:sz="4" w:space="0" w:color="000000"/>
            </w:tcBorders>
          </w:tcPr>
          <w:p>
            <w:pPr/>
          </w:p>
        </w:tc>
        <w:tc>
          <w:tcPr>
            <w:tcW w:w="572"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781" w:type="dxa"/>
            <w:vMerge/>
            <w:tcBorders>
              <w:left w:val="single" w:sz="4" w:space="0" w:color="000000"/>
              <w:bottom w:val="single" w:sz="4" w:space="0" w:color="000000"/>
              <w:right w:val="single" w:sz="4" w:space="0" w:color="FFFFFF"/>
            </w:tcBorders>
          </w:tcPr>
          <w:p>
            <w:pPr/>
          </w:p>
        </w:tc>
        <w:tc>
          <w:tcPr>
            <w:tcW w:w="665" w:type="dxa"/>
            <w:vMerge/>
            <w:tcBorders>
              <w:left w:val="single" w:sz="4" w:space="0" w:color="FFFFFF"/>
              <w:bottom w:val="single" w:sz="4" w:space="0" w:color="000000"/>
              <w:right w:val="single" w:sz="4" w:space="0" w:color="000000"/>
            </w:tcBorders>
          </w:tcPr>
          <w:p>
            <w:pPr/>
          </w:p>
        </w:tc>
        <w:tc>
          <w:tcPr>
            <w:tcW w:w="798"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000000"/>
            </w:tcBorders>
          </w:tcPr>
          <w:p>
            <w:pPr/>
          </w:p>
        </w:tc>
        <w:tc>
          <w:tcPr>
            <w:tcW w:w="930" w:type="dxa"/>
            <w:vMerge/>
            <w:tcBorders>
              <w:left w:val="single" w:sz="4" w:space="0" w:color="000000"/>
              <w:bottom w:val="single" w:sz="4" w:space="0" w:color="000000"/>
              <w:right w:val="single" w:sz="4" w:space="0" w:color="000000"/>
            </w:tcBorders>
          </w:tcPr>
          <w:p>
            <w:pPr/>
          </w:p>
        </w:tc>
      </w:tr>
      <w:tr>
        <w:trPr>
          <w:trHeight w:val="714" w:hRule="exact"/>
        </w:trPr>
        <w:tc>
          <w:tcPr>
            <w:tcW w:w="12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1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．提取盈余公 积</w:t>
            </w:r>
          </w:p>
        </w:tc>
        <w:tc>
          <w:tcPr>
            <w:tcW w:w="606" w:type="dxa"/>
            <w:tcBorders>
              <w:top w:val="single" w:sz="4" w:space="0" w:color="000000"/>
              <w:left w:val="single" w:sz="13" w:space="0" w:color="D3D3D3"/>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FFFFFF"/>
            </w:tcBorders>
          </w:tcPr>
          <w:p>
            <w:pPr/>
          </w:p>
        </w:tc>
        <w:tc>
          <w:tcPr>
            <w:tcW w:w="665"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left="6" w:right="0"/>
              <w:jc w:val="center"/>
              <w:rPr>
                <w:rFonts w:ascii="Arial" w:hAnsi="Arial" w:cs="Arial" w:eastAsia="Arial" w:hint="default"/>
                <w:sz w:val="18"/>
                <w:szCs w:val="18"/>
              </w:rPr>
            </w:pPr>
            <w:r>
              <w:rPr>
                <w:rFonts w:ascii="Arial"/>
                <w:sz w:val="18"/>
              </w:rPr>
              <w:t>5,026,8</w:t>
            </w:r>
          </w:p>
          <w:p>
            <w:pPr>
              <w:pStyle w:val="TableParagraph"/>
              <w:spacing w:line="240" w:lineRule="auto" w:before="106"/>
              <w:ind w:left="155" w:right="0"/>
              <w:jc w:val="center"/>
              <w:rPr>
                <w:rFonts w:ascii="Arial" w:hAnsi="Arial" w:cs="Arial" w:eastAsia="Arial" w:hint="default"/>
                <w:sz w:val="18"/>
                <w:szCs w:val="18"/>
              </w:rPr>
            </w:pPr>
            <w:r>
              <w:rPr>
                <w:rFonts w:ascii="Arial"/>
                <w:sz w:val="18"/>
              </w:rPr>
              <w:t>45.32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left"/>
              <w:rPr>
                <w:rFonts w:ascii="Arial" w:hAnsi="Arial" w:cs="Arial" w:eastAsia="Arial" w:hint="default"/>
                <w:sz w:val="18"/>
                <w:szCs w:val="18"/>
              </w:rPr>
            </w:pPr>
            <w:r>
              <w:rPr>
                <w:rFonts w:ascii="Arial"/>
                <w:sz w:val="18"/>
              </w:rPr>
              <w:t>-5,026,8</w:t>
            </w:r>
          </w:p>
          <w:p>
            <w:pPr>
              <w:pStyle w:val="TableParagraph"/>
              <w:spacing w:line="240" w:lineRule="auto" w:before="106"/>
              <w:ind w:left="314" w:right="0"/>
              <w:jc w:val="left"/>
              <w:rPr>
                <w:rFonts w:ascii="Arial" w:hAnsi="Arial" w:cs="Arial" w:eastAsia="Arial" w:hint="default"/>
                <w:sz w:val="18"/>
                <w:szCs w:val="18"/>
              </w:rPr>
            </w:pPr>
            <w:r>
              <w:rPr>
                <w:rFonts w:ascii="Arial"/>
                <w:sz w:val="18"/>
              </w:rPr>
              <w:t>45.32</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31"/>
        <w:gridCol w:w="594"/>
        <w:gridCol w:w="572"/>
        <w:gridCol w:w="571"/>
        <w:gridCol w:w="572"/>
        <w:gridCol w:w="685"/>
        <w:gridCol w:w="685"/>
        <w:gridCol w:w="685"/>
        <w:gridCol w:w="781"/>
        <w:gridCol w:w="665"/>
        <w:gridCol w:w="798"/>
        <w:gridCol w:w="797"/>
        <w:gridCol w:w="930"/>
      </w:tblGrid>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．对所有者</w:t>
            </w:r>
          </w:p>
          <w:p>
            <w:pPr>
              <w:pStyle w:val="TableParagraph"/>
              <w:spacing w:line="319" w:lineRule="auto" w:before="63"/>
              <w:ind w:left="22" w:right="23"/>
              <w:jc w:val="left"/>
              <w:rPr>
                <w:rFonts w:ascii="宋体" w:hAnsi="宋体" w:cs="宋体" w:eastAsia="宋体" w:hint="default"/>
                <w:sz w:val="18"/>
                <w:szCs w:val="18"/>
              </w:rPr>
            </w:pPr>
            <w:r>
              <w:rPr>
                <w:rFonts w:ascii="宋体" w:hAnsi="宋体" w:cs="宋体" w:eastAsia="宋体" w:hint="default"/>
                <w:spacing w:val="-13"/>
                <w:sz w:val="18"/>
                <w:szCs w:val="18"/>
              </w:rPr>
              <w:t>（或股东）的分</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配</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4" w:right="0"/>
              <w:jc w:val="left"/>
              <w:rPr>
                <w:rFonts w:ascii="Arial" w:hAnsi="Arial" w:cs="Arial" w:eastAsia="Arial" w:hint="default"/>
                <w:sz w:val="18"/>
                <w:szCs w:val="18"/>
              </w:rPr>
            </w:pPr>
            <w:r>
              <w:rPr>
                <w:rFonts w:ascii="Arial"/>
                <w:sz w:val="18"/>
              </w:rPr>
              <w:t>-6,222,0</w:t>
            </w:r>
          </w:p>
          <w:p>
            <w:pPr>
              <w:pStyle w:val="TableParagraph"/>
              <w:spacing w:line="240" w:lineRule="auto" w:before="106"/>
              <w:ind w:left="314" w:right="0"/>
              <w:jc w:val="left"/>
              <w:rPr>
                <w:rFonts w:ascii="Arial" w:hAnsi="Arial" w:cs="Arial" w:eastAsia="Arial" w:hint="default"/>
                <w:sz w:val="18"/>
                <w:szCs w:val="18"/>
              </w:rPr>
            </w:pPr>
            <w:r>
              <w:rPr>
                <w:rFonts w:ascii="Arial"/>
                <w:sz w:val="18"/>
              </w:rPr>
              <w:t>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-6,222,000</w:t>
            </w:r>
          </w:p>
          <w:p>
            <w:pPr>
              <w:pStyle w:val="TableParagraph"/>
              <w:spacing w:line="240" w:lineRule="auto" w:before="106"/>
              <w:ind w:right="21"/>
              <w:jc w:val="right"/>
              <w:rPr>
                <w:rFonts w:ascii="Arial" w:hAnsi="Arial" w:cs="Arial" w:eastAsia="Arial" w:hint="default"/>
                <w:sz w:val="18"/>
                <w:szCs w:val="18"/>
              </w:rPr>
            </w:pPr>
            <w:r>
              <w:rPr>
                <w:rFonts w:ascii="Arial"/>
                <w:spacing w:val="-1"/>
                <w:w w:val="95"/>
                <w:sz w:val="18"/>
              </w:rPr>
              <w:t>.00</w:t>
            </w:r>
            <w:r>
              <w:rPr>
                <w:rFonts w:ascii="Arial"/>
                <w:w w:val="95"/>
                <w:sz w:val="18"/>
              </w:rPr>
            </w: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．其他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13"/>
                <w:sz w:val="18"/>
                <w:szCs w:val="18"/>
              </w:rPr>
              <w:t>（四）所有者权</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益内部结转</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2"/>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．资本公积转 增资本（或股 本）</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2"/>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．盈余公积转 增资本（或股 本）</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2"/>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．盈余公积弥 补亏损</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2"/>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．设定受益计 划变动额结转 留存收益</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9" w:lineRule="auto" w:before="51"/>
              <w:ind w:left="22" w:right="22"/>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．其他综合收 益结转留存收 益</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．其他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6"/>
                <w:sz w:val="18"/>
                <w:szCs w:val="18"/>
              </w:rPr>
              <w:t>）</w:t>
            </w:r>
            <w:r>
              <w:rPr>
                <w:rFonts w:ascii="宋体" w:hAnsi="宋体" w:cs="宋体" w:eastAsia="宋体" w:hint="default"/>
                <w:sz w:val="18"/>
                <w:szCs w:val="18"/>
              </w:rPr>
              <w:t>专项储备</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．本期提取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．本期使用</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594"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3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23"/>
              <w:jc w:val="left"/>
              <w:rPr>
                <w:rFonts w:ascii="宋体" w:hAnsi="宋体" w:cs="宋体" w:eastAsia="宋体" w:hint="default"/>
                <w:sz w:val="18"/>
                <w:szCs w:val="18"/>
              </w:rPr>
            </w:pPr>
            <w:r>
              <w:rPr>
                <w:rFonts w:ascii="宋体" w:hAnsi="宋体" w:cs="宋体" w:eastAsia="宋体" w:hint="default"/>
                <w:spacing w:val="-13"/>
                <w:sz w:val="18"/>
                <w:szCs w:val="18"/>
              </w:rPr>
              <w:t>四、本期期末余</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额</w:t>
            </w:r>
          </w:p>
        </w:tc>
        <w:tc>
          <w:tcPr>
            <w:tcW w:w="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0" w:right="0"/>
              <w:jc w:val="left"/>
              <w:rPr>
                <w:rFonts w:ascii="Arial" w:hAnsi="Arial" w:cs="Arial" w:eastAsia="Arial" w:hint="default"/>
                <w:sz w:val="18"/>
                <w:szCs w:val="18"/>
              </w:rPr>
            </w:pPr>
            <w:r>
              <w:rPr>
                <w:rFonts w:ascii="Arial"/>
                <w:sz w:val="18"/>
              </w:rPr>
              <w:t>622,2</w:t>
            </w:r>
          </w:p>
          <w:p>
            <w:pPr>
              <w:pStyle w:val="TableParagraph"/>
              <w:spacing w:line="240" w:lineRule="auto" w:before="105"/>
              <w:ind w:left="110" w:right="0"/>
              <w:jc w:val="left"/>
              <w:rPr>
                <w:rFonts w:ascii="Arial" w:hAnsi="Arial" w:cs="Arial" w:eastAsia="Arial" w:hint="default"/>
                <w:sz w:val="18"/>
                <w:szCs w:val="18"/>
              </w:rPr>
            </w:pPr>
            <w:r>
              <w:rPr>
                <w:rFonts w:ascii="Arial"/>
                <w:sz w:val="18"/>
              </w:rPr>
              <w:t>00,00</w:t>
            </w:r>
          </w:p>
          <w:p>
            <w:pPr>
              <w:pStyle w:val="TableParagraph"/>
              <w:spacing w:line="240" w:lineRule="auto" w:before="106"/>
              <w:ind w:left="210" w:right="0"/>
              <w:jc w:val="left"/>
              <w:rPr>
                <w:rFonts w:ascii="Arial" w:hAnsi="Arial" w:cs="Arial" w:eastAsia="Arial" w:hint="default"/>
                <w:sz w:val="18"/>
                <w:szCs w:val="18"/>
              </w:rPr>
            </w:pPr>
            <w:r>
              <w:rPr>
                <w:rFonts w:ascii="Arial"/>
                <w:sz w:val="18"/>
              </w:rPr>
              <w:t>0.00</w:t>
            </w:r>
          </w:p>
        </w:tc>
        <w:tc>
          <w:tcPr>
            <w:tcW w:w="572" w:type="dxa"/>
            <w:tcBorders>
              <w:top w:val="single" w:sz="4" w:space="0" w:color="000000"/>
              <w:left w:val="single" w:sz="4" w:space="0" w:color="000000"/>
              <w:bottom w:val="single" w:sz="4" w:space="0" w:color="000000"/>
              <w:right w:val="single" w:sz="4" w:space="0" w:color="000000"/>
            </w:tcBorders>
          </w:tcPr>
          <w:p>
            <w:pPr/>
          </w:p>
        </w:tc>
        <w:tc>
          <w:tcPr>
            <w:tcW w:w="571" w:type="dxa"/>
            <w:tcBorders>
              <w:top w:val="single" w:sz="4" w:space="0" w:color="000000"/>
              <w:left w:val="single" w:sz="4" w:space="0" w:color="000000"/>
              <w:bottom w:val="single" w:sz="4" w:space="0" w:color="000000"/>
              <w:right w:val="single" w:sz="4" w:space="0" w:color="000000"/>
            </w:tcBorders>
          </w:tcPr>
          <w:p>
            <w:pPr/>
          </w:p>
        </w:tc>
        <w:tc>
          <w:tcPr>
            <w:tcW w:w="57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364,19</w:t>
            </w:r>
          </w:p>
          <w:p>
            <w:pPr>
              <w:pStyle w:val="TableParagraph"/>
              <w:spacing w:line="240" w:lineRule="auto" w:before="105"/>
              <w:ind w:right="23"/>
              <w:jc w:val="right"/>
              <w:rPr>
                <w:rFonts w:ascii="Arial" w:hAnsi="Arial" w:cs="Arial" w:eastAsia="Arial" w:hint="default"/>
                <w:sz w:val="18"/>
                <w:szCs w:val="18"/>
              </w:rPr>
            </w:pPr>
            <w:r>
              <w:rPr>
                <w:rFonts w:ascii="Arial"/>
                <w:spacing w:val="-1"/>
                <w:sz w:val="18"/>
              </w:rPr>
              <w:t>3,237.6</w:t>
            </w:r>
            <w:r>
              <w:rPr>
                <w:rFonts w:ascii="Arial"/>
                <w:sz w:val="18"/>
              </w:rPr>
            </w:r>
          </w:p>
          <w:p>
            <w:pPr>
              <w:pStyle w:val="TableParagraph"/>
              <w:spacing w:line="240" w:lineRule="auto" w:before="106"/>
              <w:ind w:right="21"/>
              <w:jc w:val="right"/>
              <w:rPr>
                <w:rFonts w:ascii="Arial" w:hAnsi="Arial" w:cs="Arial" w:eastAsia="Arial" w:hint="default"/>
                <w:sz w:val="18"/>
                <w:szCs w:val="18"/>
              </w:rPr>
            </w:pPr>
            <w:r>
              <w:rPr>
                <w:rFonts w:ascii="Arial"/>
                <w:sz w:val="18"/>
              </w:rPr>
              <w:t>5</w:t>
            </w:r>
          </w:p>
        </w:tc>
        <w:tc>
          <w:tcPr>
            <w:tcW w:w="685"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1" w:right="0"/>
              <w:jc w:val="left"/>
              <w:rPr>
                <w:rFonts w:ascii="Arial" w:hAnsi="Arial" w:cs="Arial" w:eastAsia="Arial" w:hint="default"/>
                <w:sz w:val="18"/>
                <w:szCs w:val="18"/>
              </w:rPr>
            </w:pPr>
            <w:r>
              <w:rPr>
                <w:rFonts w:ascii="Arial"/>
                <w:sz w:val="18"/>
              </w:rPr>
              <w:t>67,571,</w:t>
            </w:r>
          </w:p>
          <w:p>
            <w:pPr>
              <w:pStyle w:val="TableParagraph"/>
              <w:spacing w:line="240" w:lineRule="auto" w:before="106"/>
              <w:ind w:left="93" w:right="0"/>
              <w:jc w:val="left"/>
              <w:rPr>
                <w:rFonts w:ascii="Arial" w:hAnsi="Arial" w:cs="Arial" w:eastAsia="Arial" w:hint="default"/>
                <w:sz w:val="18"/>
                <w:szCs w:val="18"/>
              </w:rPr>
            </w:pPr>
            <w:r>
              <w:rPr>
                <w:rFonts w:ascii="Arial"/>
                <w:spacing w:val="-3"/>
                <w:sz w:val="18"/>
              </w:rPr>
              <w:t>711.68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7" w:right="0"/>
              <w:jc w:val="center"/>
              <w:rPr>
                <w:rFonts w:ascii="Arial" w:hAnsi="Arial" w:cs="Arial" w:eastAsia="Arial" w:hint="default"/>
                <w:sz w:val="18"/>
                <w:szCs w:val="18"/>
              </w:rPr>
            </w:pPr>
            <w:r>
              <w:rPr>
                <w:rFonts w:ascii="Arial"/>
                <w:sz w:val="18"/>
              </w:rPr>
              <w:t>447,837,</w:t>
            </w:r>
          </w:p>
          <w:p>
            <w:pPr>
              <w:pStyle w:val="TableParagraph"/>
              <w:spacing w:line="240" w:lineRule="auto" w:before="106"/>
              <w:ind w:left="188" w:right="0"/>
              <w:jc w:val="center"/>
              <w:rPr>
                <w:rFonts w:ascii="Arial" w:hAnsi="Arial" w:cs="Arial" w:eastAsia="Arial" w:hint="default"/>
                <w:sz w:val="18"/>
                <w:szCs w:val="18"/>
              </w:rPr>
            </w:pPr>
            <w:r>
              <w:rPr>
                <w:rFonts w:ascii="Arial"/>
                <w:sz w:val="18"/>
              </w:rPr>
              <w:t>996.47</w:t>
            </w:r>
          </w:p>
        </w:tc>
        <w:tc>
          <w:tcPr>
            <w:tcW w:w="797" w:type="dxa"/>
            <w:tcBorders>
              <w:top w:val="single" w:sz="4" w:space="0" w:color="000000"/>
              <w:left w:val="single" w:sz="4" w:space="0" w:color="000000"/>
              <w:bottom w:val="single" w:sz="4" w:space="0" w:color="000000"/>
              <w:right w:val="single" w:sz="4" w:space="0" w:color="000000"/>
            </w:tcBorders>
          </w:tcPr>
          <w:p>
            <w:pPr/>
          </w:p>
        </w:tc>
        <w:tc>
          <w:tcPr>
            <w:tcW w:w="9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 w:right="0"/>
              <w:jc w:val="left"/>
              <w:rPr>
                <w:rFonts w:ascii="Arial" w:hAnsi="Arial" w:cs="Arial" w:eastAsia="Arial" w:hint="default"/>
                <w:sz w:val="18"/>
                <w:szCs w:val="18"/>
              </w:rPr>
            </w:pPr>
            <w:r>
              <w:rPr>
                <w:rFonts w:ascii="Arial"/>
                <w:sz w:val="18"/>
              </w:rPr>
              <w:t>1,501,802,</w:t>
            </w:r>
          </w:p>
          <w:p>
            <w:pPr>
              <w:pStyle w:val="TableParagraph"/>
              <w:spacing w:line="240" w:lineRule="auto" w:before="106"/>
              <w:ind w:left="346" w:right="0"/>
              <w:jc w:val="left"/>
              <w:rPr>
                <w:rFonts w:ascii="Arial" w:hAnsi="Arial" w:cs="Arial" w:eastAsia="Arial" w:hint="default"/>
                <w:sz w:val="18"/>
                <w:szCs w:val="18"/>
              </w:rPr>
            </w:pPr>
            <w:r>
              <w:rPr>
                <w:rFonts w:ascii="Arial"/>
                <w:sz w:val="18"/>
              </w:rPr>
              <w:t>945.80</w:t>
            </w:r>
          </w:p>
        </w:tc>
      </w:tr>
    </w:tbl>
    <w:p>
      <w:pPr>
        <w:spacing w:line="240" w:lineRule="auto" w:before="2"/>
        <w:rPr>
          <w:rFonts w:ascii="宋体" w:hAnsi="宋体" w:cs="宋体" w:eastAsia="宋体" w:hint="default"/>
          <w:sz w:val="18"/>
          <w:szCs w:val="18"/>
        </w:rPr>
      </w:pPr>
    </w:p>
    <w:p>
      <w:pPr>
        <w:pStyle w:val="Heading2"/>
        <w:spacing w:line="240" w:lineRule="auto" w:before="26"/>
        <w:ind w:right="2239"/>
        <w:jc w:val="left"/>
        <w:rPr>
          <w:b w:val="0"/>
          <w:bCs w:val="0"/>
        </w:rPr>
      </w:pPr>
      <w:r>
        <w:rPr/>
        <w:t>三、公司基本情况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2239"/>
        <w:jc w:val="left"/>
      </w:pPr>
      <w:r>
        <w:rPr>
          <w:rFonts w:ascii="Arial" w:hAnsi="Arial" w:cs="Arial" w:eastAsia="Arial" w:hint="default"/>
        </w:rPr>
        <w:t>1</w:t>
      </w:r>
      <w:r>
        <w:rPr/>
        <w:t>、公司概况</w:t>
      </w:r>
    </w:p>
    <w:p>
      <w:pPr>
        <w:spacing w:line="240" w:lineRule="auto" w:before="5"/>
        <w:rPr>
          <w:rFonts w:ascii="宋体" w:hAnsi="宋体" w:cs="宋体" w:eastAsia="宋体" w:hint="default"/>
          <w:sz w:val="21"/>
          <w:szCs w:val="21"/>
        </w:rPr>
      </w:pPr>
    </w:p>
    <w:p>
      <w:pPr>
        <w:pStyle w:val="BodyText"/>
        <w:spacing w:line="240" w:lineRule="auto"/>
        <w:ind w:left="153" w:right="2239"/>
        <w:jc w:val="left"/>
      </w:pPr>
      <w:r>
        <w:rPr/>
        <w:t>（</w:t>
      </w:r>
      <w:r>
        <w:rPr>
          <w:rFonts w:ascii="Arial" w:hAnsi="Arial" w:cs="Arial" w:eastAsia="Arial" w:hint="default"/>
        </w:rPr>
        <w:t>1</w:t>
      </w:r>
      <w:r>
        <w:rPr/>
        <w:t>）历史沿革</w:t>
      </w:r>
    </w:p>
    <w:p>
      <w:pPr>
        <w:spacing w:line="240" w:lineRule="auto" w:before="5"/>
        <w:rPr>
          <w:rFonts w:ascii="宋体" w:hAnsi="宋体" w:cs="宋体" w:eastAsia="宋体" w:hint="default"/>
          <w:sz w:val="21"/>
          <w:szCs w:val="21"/>
        </w:rPr>
      </w:pPr>
    </w:p>
    <w:p>
      <w:pPr>
        <w:pStyle w:val="BodyText"/>
        <w:spacing w:line="302" w:lineRule="auto"/>
        <w:ind w:left="153" w:right="0" w:firstLine="360"/>
        <w:jc w:val="left"/>
      </w:pPr>
      <w:r>
        <w:rPr/>
        <w:t>福建榕基软件股份有限公司（以下简称</w:t>
      </w:r>
      <w:r>
        <w:rPr>
          <w:rFonts w:ascii="Arial" w:hAnsi="Arial" w:cs="Arial" w:eastAsia="Arial" w:hint="default"/>
        </w:rPr>
        <w:t>“</w:t>
      </w:r>
      <w:r>
        <w:rPr/>
        <w:t>本公司</w:t>
      </w:r>
      <w:r>
        <w:rPr>
          <w:rFonts w:ascii="Arial" w:hAnsi="Arial" w:cs="Arial" w:eastAsia="Arial" w:hint="default"/>
        </w:rPr>
        <w:t>”</w:t>
      </w:r>
      <w:r>
        <w:rPr/>
        <w:t>）原由刘启鄂、侯伟及宁金成等三个自然人股东共同投资设立，于</w:t>
      </w:r>
      <w:r>
        <w:rPr>
          <w:rFonts w:ascii="Arial" w:hAnsi="Arial" w:cs="Arial" w:eastAsia="Arial" w:hint="default"/>
        </w:rPr>
        <w:t>1993 </w:t>
      </w:r>
      <w:r>
        <w:rPr/>
        <w:t>年</w:t>
      </w:r>
      <w:r>
        <w:rPr>
          <w:rFonts w:ascii="Arial" w:hAnsi="Arial" w:cs="Arial" w:eastAsia="Arial" w:hint="default"/>
        </w:rPr>
        <w:t>10</w:t>
      </w:r>
      <w:r>
        <w:rPr/>
        <w:t>月</w:t>
      </w:r>
      <w:r>
        <w:rPr>
          <w:rFonts w:ascii="Arial" w:hAnsi="Arial" w:cs="Arial" w:eastAsia="Arial" w:hint="default"/>
        </w:rPr>
        <w:t>22</w:t>
      </w:r>
      <w:r>
        <w:rPr/>
        <w:t>日取得《企业法人营业执照》。</w:t>
      </w:r>
      <w:r>
        <w:rPr>
          <w:rFonts w:ascii="Arial" w:hAnsi="Arial" w:cs="Arial" w:eastAsia="Arial" w:hint="default"/>
        </w:rPr>
        <w:t>2007</w:t>
      </w:r>
      <w:r>
        <w:rPr/>
        <w:t>年</w:t>
      </w:r>
      <w:r>
        <w:rPr>
          <w:rFonts w:ascii="Arial" w:hAnsi="Arial" w:cs="Arial" w:eastAsia="Arial" w:hint="default"/>
        </w:rPr>
        <w:t>10</w:t>
      </w:r>
      <w:r>
        <w:rPr/>
        <w:t>月</w:t>
      </w:r>
      <w:r>
        <w:rPr>
          <w:rFonts w:ascii="Arial" w:hAnsi="Arial" w:cs="Arial" w:eastAsia="Arial" w:hint="default"/>
        </w:rPr>
        <w:t>23</w:t>
      </w:r>
      <w:r>
        <w:rPr/>
        <w:t>日采取发起方式整体变更为福建榕基软件股份有限公司，取得福建 </w:t>
      </w:r>
      <w:r>
        <w:rPr>
          <w:spacing w:val="-3"/>
        </w:rPr>
        <w:t>省工商行政管理局核发的</w:t>
      </w:r>
      <w:r>
        <w:rPr>
          <w:rFonts w:ascii="Arial" w:hAnsi="Arial" w:cs="Arial" w:eastAsia="Arial" w:hint="default"/>
          <w:spacing w:val="-3"/>
        </w:rPr>
        <w:t>350000100001214</w:t>
      </w:r>
      <w:r>
        <w:rPr>
          <w:spacing w:val="-3"/>
        </w:rPr>
        <w:t>号《企业法人营业执照》，注册资本变更为人民币</w:t>
      </w:r>
      <w:r>
        <w:rPr>
          <w:rFonts w:ascii="Arial" w:hAnsi="Arial" w:cs="Arial" w:eastAsia="Arial" w:hint="default"/>
          <w:spacing w:val="-3"/>
        </w:rPr>
        <w:t>7,770</w:t>
      </w:r>
      <w:r>
        <w:rPr>
          <w:spacing w:val="-3"/>
        </w:rPr>
        <w:t>万元，股本总额为</w:t>
      </w:r>
      <w:r>
        <w:rPr>
          <w:rFonts w:ascii="Arial" w:hAnsi="Arial" w:cs="Arial" w:eastAsia="Arial" w:hint="default"/>
          <w:spacing w:val="-3"/>
        </w:rPr>
        <w:t>7,770</w:t>
      </w:r>
      <w:r>
        <w:rPr>
          <w:rFonts w:ascii="Arial" w:hAnsi="Arial" w:cs="Arial" w:eastAsia="Arial" w:hint="default"/>
          <w:spacing w:val="-13"/>
        </w:rPr>
        <w:t> </w:t>
      </w:r>
      <w:r>
        <w:rPr/>
        <w:t>万股，每股面值</w:t>
      </w:r>
      <w:r>
        <w:rPr>
          <w:rFonts w:ascii="Arial" w:hAnsi="Arial" w:cs="Arial" w:eastAsia="Arial" w:hint="default"/>
        </w:rPr>
        <w:t>1</w:t>
      </w:r>
      <w:r>
        <w:rPr/>
        <w:t>元。</w:t>
      </w:r>
      <w:r>
        <w:rPr>
          <w:rFonts w:ascii="Arial" w:hAnsi="Arial" w:cs="Arial" w:eastAsia="Arial" w:hint="default"/>
        </w:rPr>
        <w:t>2010</w:t>
      </w:r>
      <w:r>
        <w:rPr/>
        <w:t>年</w:t>
      </w:r>
      <w:r>
        <w:rPr>
          <w:rFonts w:ascii="Arial" w:hAnsi="Arial" w:cs="Arial" w:eastAsia="Arial" w:hint="default"/>
        </w:rPr>
        <w:t>8</w:t>
      </w:r>
      <w:r>
        <w:rPr/>
        <w:t>月</w:t>
      </w:r>
      <w:r>
        <w:rPr>
          <w:rFonts w:ascii="Arial" w:hAnsi="Arial" w:cs="Arial" w:eastAsia="Arial" w:hint="default"/>
        </w:rPr>
        <w:t>11</w:t>
      </w:r>
      <w:r>
        <w:rPr/>
        <w:t>日，经中国证券监督管理委员会</w:t>
      </w:r>
      <w:r>
        <w:rPr>
          <w:rFonts w:ascii="Arial" w:hAnsi="Arial" w:cs="Arial" w:eastAsia="Arial" w:hint="default"/>
        </w:rPr>
        <w:t>“</w:t>
      </w:r>
      <w:r>
        <w:rPr/>
        <w:t>证监许可</w:t>
      </w:r>
      <w:r>
        <w:rPr>
          <w:rFonts w:ascii="Arial" w:hAnsi="Arial" w:cs="Arial" w:eastAsia="Arial" w:hint="default"/>
        </w:rPr>
        <w:t>[2010]1099</w:t>
      </w:r>
      <w:r>
        <w:rPr/>
        <w:t>号</w:t>
      </w:r>
      <w:r>
        <w:rPr>
          <w:rFonts w:ascii="Arial" w:hAnsi="Arial" w:cs="Arial" w:eastAsia="Arial" w:hint="default"/>
        </w:rPr>
        <w:t>”</w:t>
      </w:r>
      <w:r>
        <w:rPr/>
        <w:t>文《关于核准福建榕基软件股</w:t>
      </w:r>
      <w:r>
        <w:rPr>
          <w:spacing w:val="-36"/>
        </w:rPr>
        <w:t> </w:t>
      </w:r>
      <w:r>
        <w:rPr>
          <w:spacing w:val="-36"/>
        </w:rPr>
      </w:r>
      <w:r>
        <w:rPr>
          <w:spacing w:val="-2"/>
        </w:rPr>
        <w:t>份有限公司首次公开发行股票的批复》核准，本公司于</w:t>
      </w:r>
      <w:r>
        <w:rPr>
          <w:rFonts w:ascii="Arial" w:hAnsi="Arial" w:cs="Arial" w:eastAsia="Arial" w:hint="default"/>
          <w:spacing w:val="-2"/>
        </w:rPr>
        <w:t>2010</w:t>
      </w:r>
      <w:r>
        <w:rPr>
          <w:spacing w:val="-2"/>
        </w:rPr>
        <w:t>年</w:t>
      </w:r>
      <w:r>
        <w:rPr>
          <w:rFonts w:ascii="Arial" w:hAnsi="Arial" w:cs="Arial" w:eastAsia="Arial" w:hint="default"/>
          <w:spacing w:val="-2"/>
        </w:rPr>
        <w:t>9</w:t>
      </w:r>
      <w:r>
        <w:rPr>
          <w:spacing w:val="-2"/>
        </w:rPr>
        <w:t>月</w:t>
      </w:r>
      <w:r>
        <w:rPr>
          <w:rFonts w:ascii="Arial" w:hAnsi="Arial" w:cs="Arial" w:eastAsia="Arial" w:hint="default"/>
          <w:spacing w:val="-2"/>
        </w:rPr>
        <w:t>1</w:t>
      </w:r>
      <w:r>
        <w:rPr>
          <w:spacing w:val="-2"/>
        </w:rPr>
        <w:t>日首次向社会公开发行人民币普通股（</w:t>
      </w:r>
      <w:r>
        <w:rPr>
          <w:rFonts w:ascii="Arial" w:hAnsi="Arial" w:cs="Arial" w:eastAsia="Arial" w:hint="default"/>
          <w:spacing w:val="-2"/>
        </w:rPr>
        <w:t>A</w:t>
      </w:r>
      <w:r>
        <w:rPr>
          <w:spacing w:val="-2"/>
        </w:rPr>
        <w:t>股）</w:t>
      </w:r>
      <w:r>
        <w:rPr>
          <w:rFonts w:ascii="Arial" w:hAnsi="Arial" w:cs="Arial" w:eastAsia="Arial" w:hint="default"/>
          <w:spacing w:val="-2"/>
        </w:rPr>
        <w:t>2,600</w:t>
      </w:r>
      <w:r>
        <w:rPr>
          <w:spacing w:val="-2"/>
        </w:rPr>
        <w:t>万股，</w:t>
      </w:r>
      <w:r>
        <w:rPr>
          <w:spacing w:val="-64"/>
        </w:rPr>
        <w:t> </w:t>
      </w:r>
      <w:r>
        <w:rPr/>
        <w:t>每股面值</w:t>
      </w:r>
      <w:r>
        <w:rPr>
          <w:rFonts w:ascii="Arial" w:hAnsi="Arial" w:cs="Arial" w:eastAsia="Arial" w:hint="default"/>
        </w:rPr>
        <w:t>1</w:t>
      </w:r>
      <w:r>
        <w:rPr/>
        <w:t>元，每股发行价格</w:t>
      </w:r>
      <w:r>
        <w:rPr>
          <w:rFonts w:ascii="Arial" w:hAnsi="Arial" w:cs="Arial" w:eastAsia="Arial" w:hint="default"/>
        </w:rPr>
        <w:t>37.00</w:t>
      </w:r>
      <w:r>
        <w:rPr/>
        <w:t>元。</w:t>
      </w:r>
      <w:r>
        <w:rPr>
          <w:rFonts w:ascii="Arial" w:hAnsi="Arial" w:cs="Arial" w:eastAsia="Arial" w:hint="default"/>
        </w:rPr>
        <w:t>2010</w:t>
      </w:r>
      <w:r>
        <w:rPr/>
        <w:t>年</w:t>
      </w:r>
      <w:r>
        <w:rPr>
          <w:rFonts w:ascii="Arial" w:hAnsi="Arial" w:cs="Arial" w:eastAsia="Arial" w:hint="default"/>
        </w:rPr>
        <w:t>9</w:t>
      </w:r>
      <w:r>
        <w:rPr/>
        <w:t>月</w:t>
      </w:r>
      <w:r>
        <w:rPr>
          <w:rFonts w:ascii="Arial" w:hAnsi="Arial" w:cs="Arial" w:eastAsia="Arial" w:hint="default"/>
        </w:rPr>
        <w:t>15</w:t>
      </w:r>
      <w:r>
        <w:rPr/>
        <w:t>日，本公司向社会公开发行的</w:t>
      </w:r>
      <w:r>
        <w:rPr>
          <w:rFonts w:ascii="Arial" w:hAnsi="Arial" w:cs="Arial" w:eastAsia="Arial" w:hint="default"/>
        </w:rPr>
        <w:t>2,600</w:t>
      </w:r>
      <w:r>
        <w:rPr/>
        <w:t>万股人民币普通股（</w:t>
      </w:r>
      <w:r>
        <w:rPr>
          <w:rFonts w:ascii="Arial" w:hAnsi="Arial" w:cs="Arial" w:eastAsia="Arial" w:hint="default"/>
        </w:rPr>
        <w:t>A</w:t>
      </w:r>
      <w:r>
        <w:rPr/>
        <w:t>股）在深圳</w:t>
      </w:r>
    </w:p>
    <w:p>
      <w:pPr>
        <w:spacing w:after="0" w:line="302"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153" w:right="0"/>
        <w:jc w:val="left"/>
      </w:pPr>
      <w:r>
        <w:rPr/>
        <w:t>证券交易所挂牌上市（股票简称：榕基软件，股票代码</w:t>
      </w:r>
      <w:r>
        <w:rPr>
          <w:rFonts w:ascii="Arial" w:hAnsi="Arial" w:cs="Arial" w:eastAsia="Arial" w:hint="default"/>
        </w:rPr>
        <w:t>002474</w:t>
      </w:r>
      <w:r>
        <w:rPr/>
        <w:t>），发行后注册资本变更为人民币</w:t>
      </w:r>
      <w:r>
        <w:rPr>
          <w:rFonts w:ascii="Arial" w:hAnsi="Arial" w:cs="Arial" w:eastAsia="Arial" w:hint="default"/>
        </w:rPr>
        <w:t>10,370</w:t>
      </w:r>
      <w:r>
        <w:rPr/>
        <w:t>万元。</w:t>
      </w:r>
    </w:p>
    <w:p>
      <w:pPr>
        <w:spacing w:line="240" w:lineRule="auto" w:before="5"/>
        <w:rPr>
          <w:rFonts w:ascii="宋体" w:hAnsi="宋体" w:cs="宋体" w:eastAsia="宋体" w:hint="default"/>
          <w:sz w:val="21"/>
          <w:szCs w:val="21"/>
        </w:rPr>
      </w:pPr>
    </w:p>
    <w:p>
      <w:pPr>
        <w:pStyle w:val="BodyText"/>
        <w:spacing w:line="240" w:lineRule="auto"/>
        <w:ind w:left="514" w:right="0"/>
        <w:jc w:val="left"/>
        <w:rPr>
          <w:rFonts w:ascii="Arial" w:hAnsi="Arial" w:cs="Arial" w:eastAsia="Arial" w:hint="default"/>
        </w:rPr>
      </w:pPr>
      <w:r>
        <w:rPr>
          <w:rFonts w:ascii="Arial" w:hAnsi="Arial" w:cs="Arial" w:eastAsia="Arial" w:hint="default"/>
        </w:rPr>
        <w:t>2012</w:t>
      </w:r>
      <w:r>
        <w:rPr/>
        <w:t>年</w:t>
      </w:r>
      <w:r>
        <w:rPr>
          <w:rFonts w:ascii="Arial" w:hAnsi="Arial" w:cs="Arial" w:eastAsia="Arial" w:hint="default"/>
        </w:rPr>
        <w:t>4</w:t>
      </w:r>
      <w:r>
        <w:rPr/>
        <w:t>月</w:t>
      </w:r>
      <w:r>
        <w:rPr>
          <w:rFonts w:ascii="Arial" w:hAnsi="Arial" w:cs="Arial" w:eastAsia="Arial" w:hint="default"/>
        </w:rPr>
        <w:t>24</w:t>
      </w:r>
      <w:r>
        <w:rPr/>
        <w:t>日，本公司以资本公积</w:t>
      </w:r>
      <w:r>
        <w:rPr>
          <w:rFonts w:ascii="Arial" w:hAnsi="Arial" w:cs="Arial" w:eastAsia="Arial" w:hint="default"/>
        </w:rPr>
        <w:t>10,370</w:t>
      </w:r>
      <w:r>
        <w:rPr/>
        <w:t>万元转增资本，转增后注册资本变更为人民币</w:t>
      </w:r>
      <w:r>
        <w:rPr>
          <w:rFonts w:ascii="Arial" w:hAnsi="Arial" w:cs="Arial" w:eastAsia="Arial" w:hint="default"/>
        </w:rPr>
        <w:t>20,740</w:t>
      </w:r>
      <w:r>
        <w:rPr/>
        <w:t>万元。</w:t>
      </w:r>
      <w:r>
        <w:rPr>
          <w:rFonts w:ascii="Arial" w:hAnsi="Arial" w:cs="Arial" w:eastAsia="Arial" w:hint="default"/>
        </w:rPr>
        <w:t>2012</w:t>
      </w:r>
      <w:r>
        <w:rPr/>
        <w:t>年</w:t>
      </w:r>
      <w:r>
        <w:rPr>
          <w:rFonts w:ascii="Arial" w:hAnsi="Arial" w:cs="Arial" w:eastAsia="Arial" w:hint="default"/>
        </w:rPr>
        <w:t>6</w:t>
      </w:r>
      <w:r>
        <w:rPr/>
        <w:t>月</w:t>
      </w:r>
      <w:r>
        <w:rPr>
          <w:rFonts w:ascii="Arial" w:hAnsi="Arial" w:cs="Arial" w:eastAsia="Arial" w:hint="default"/>
        </w:rPr>
        <w:t>18</w:t>
      </w:r>
    </w:p>
    <w:p>
      <w:pPr>
        <w:pStyle w:val="BodyText"/>
        <w:spacing w:line="240" w:lineRule="auto" w:before="63"/>
        <w:ind w:left="153" w:right="2239"/>
        <w:jc w:val="left"/>
      </w:pPr>
      <w:r>
        <w:rPr/>
        <w:t>日，本公司办理完成相关工商登记变更手续，注册资本和股本均由</w:t>
      </w:r>
      <w:r>
        <w:rPr>
          <w:rFonts w:ascii="Arial" w:hAnsi="Arial" w:cs="Arial" w:eastAsia="Arial" w:hint="default"/>
        </w:rPr>
        <w:t>10,370</w:t>
      </w:r>
      <w:r>
        <w:rPr/>
        <w:t>万元变更为</w:t>
      </w:r>
      <w:r>
        <w:rPr>
          <w:rFonts w:ascii="Arial" w:hAnsi="Arial" w:cs="Arial" w:eastAsia="Arial" w:hint="default"/>
        </w:rPr>
        <w:t>20,740</w:t>
      </w:r>
      <w:r>
        <w:rPr/>
        <w:t>万元。</w:t>
      </w:r>
    </w:p>
    <w:p>
      <w:pPr>
        <w:spacing w:line="240" w:lineRule="auto" w:before="5"/>
        <w:rPr>
          <w:rFonts w:ascii="宋体" w:hAnsi="宋体" w:cs="宋体" w:eastAsia="宋体" w:hint="default"/>
          <w:sz w:val="21"/>
          <w:szCs w:val="21"/>
        </w:rPr>
      </w:pPr>
    </w:p>
    <w:p>
      <w:pPr>
        <w:pStyle w:val="BodyText"/>
        <w:spacing w:line="302" w:lineRule="auto"/>
        <w:ind w:right="1131" w:firstLine="360"/>
        <w:jc w:val="both"/>
      </w:pPr>
      <w:r>
        <w:rPr>
          <w:rFonts w:ascii="Arial" w:hAnsi="Arial" w:cs="Arial" w:eastAsia="Arial" w:hint="default"/>
        </w:rPr>
        <w:t>2013</w:t>
      </w:r>
      <w:r>
        <w:rPr/>
        <w:t>年</w:t>
      </w:r>
      <w:r>
        <w:rPr>
          <w:rFonts w:ascii="Arial" w:hAnsi="Arial" w:cs="Arial" w:eastAsia="Arial" w:hint="default"/>
        </w:rPr>
        <w:t>4</w:t>
      </w:r>
      <w:r>
        <w:rPr/>
        <w:t>月</w:t>
      </w:r>
      <w:r>
        <w:rPr>
          <w:rFonts w:ascii="Arial" w:hAnsi="Arial" w:cs="Arial" w:eastAsia="Arial" w:hint="default"/>
        </w:rPr>
        <w:t>19</w:t>
      </w:r>
      <w:r>
        <w:rPr/>
        <w:t>日，本公司以资本公积</w:t>
      </w:r>
      <w:r>
        <w:rPr>
          <w:rFonts w:ascii="Arial" w:hAnsi="Arial" w:cs="Arial" w:eastAsia="Arial" w:hint="default"/>
        </w:rPr>
        <w:t>10,370</w:t>
      </w:r>
      <w:r>
        <w:rPr/>
        <w:t>万元转增资本，转增后注册资本变更为</w:t>
      </w:r>
      <w:r>
        <w:rPr>
          <w:rFonts w:ascii="Arial" w:hAnsi="Arial" w:cs="Arial" w:eastAsia="Arial" w:hint="default"/>
        </w:rPr>
        <w:t>31,110</w:t>
      </w:r>
      <w:r>
        <w:rPr/>
        <w:t>万元。</w:t>
      </w:r>
      <w:r>
        <w:rPr>
          <w:rFonts w:ascii="Arial" w:hAnsi="Arial" w:cs="Arial" w:eastAsia="Arial" w:hint="default"/>
        </w:rPr>
        <w:t>2013</w:t>
      </w:r>
      <w:r>
        <w:rPr/>
        <w:t>年</w:t>
      </w:r>
      <w:r>
        <w:rPr>
          <w:rFonts w:ascii="Arial" w:hAnsi="Arial" w:cs="Arial" w:eastAsia="Arial" w:hint="default"/>
        </w:rPr>
        <w:t>6</w:t>
      </w:r>
      <w:r>
        <w:rPr/>
        <w:t>月</w:t>
      </w:r>
      <w:r>
        <w:rPr>
          <w:rFonts w:ascii="Arial" w:hAnsi="Arial" w:cs="Arial" w:eastAsia="Arial" w:hint="default"/>
        </w:rPr>
        <w:t>4</w:t>
      </w:r>
      <w:r>
        <w:rPr/>
        <w:t>日，本公 司办理完成相关工商登记变更手续，注册资本和股本均由</w:t>
      </w:r>
      <w:r>
        <w:rPr>
          <w:rFonts w:ascii="Arial" w:hAnsi="Arial" w:cs="Arial" w:eastAsia="Arial" w:hint="default"/>
        </w:rPr>
        <w:t>20,740</w:t>
      </w:r>
      <w:r>
        <w:rPr/>
        <w:t>万元变更为</w:t>
      </w:r>
      <w:r>
        <w:rPr>
          <w:rFonts w:ascii="Arial" w:hAnsi="Arial" w:cs="Arial" w:eastAsia="Arial" w:hint="default"/>
        </w:rPr>
        <w:t>31,110</w:t>
      </w:r>
      <w:r>
        <w:rPr/>
        <w:t>万元。</w:t>
      </w:r>
    </w:p>
    <w:p>
      <w:pPr>
        <w:spacing w:line="240" w:lineRule="auto" w:before="5"/>
        <w:rPr>
          <w:rFonts w:ascii="宋体" w:hAnsi="宋体" w:cs="宋体" w:eastAsia="宋体" w:hint="default"/>
          <w:sz w:val="17"/>
          <w:szCs w:val="17"/>
        </w:rPr>
      </w:pPr>
    </w:p>
    <w:p>
      <w:pPr>
        <w:pStyle w:val="BodyText"/>
        <w:spacing w:line="302" w:lineRule="auto"/>
        <w:ind w:right="1129" w:firstLine="360"/>
        <w:jc w:val="both"/>
      </w:pPr>
      <w:r>
        <w:rPr>
          <w:rFonts w:ascii="Arial" w:hAnsi="Arial" w:cs="Arial" w:eastAsia="Arial" w:hint="default"/>
        </w:rPr>
        <w:t>2014</w:t>
      </w:r>
      <w:r>
        <w:rPr/>
        <w:t>年</w:t>
      </w:r>
      <w:r>
        <w:rPr>
          <w:rFonts w:ascii="Arial" w:hAnsi="Arial" w:cs="Arial" w:eastAsia="Arial" w:hint="default"/>
        </w:rPr>
        <w:t>5</w:t>
      </w:r>
      <w:r>
        <w:rPr/>
        <w:t>月</w:t>
      </w:r>
      <w:r>
        <w:rPr>
          <w:rFonts w:ascii="Arial" w:hAnsi="Arial" w:cs="Arial" w:eastAsia="Arial" w:hint="default"/>
        </w:rPr>
        <w:t>8</w:t>
      </w:r>
      <w:r>
        <w:rPr/>
        <w:t>日，本公司以资本公积</w:t>
      </w:r>
      <w:r>
        <w:rPr>
          <w:rFonts w:ascii="Arial" w:hAnsi="Arial" w:cs="Arial" w:eastAsia="Arial" w:hint="default"/>
        </w:rPr>
        <w:t>31,110</w:t>
      </w:r>
      <w:r>
        <w:rPr/>
        <w:t>万元转增资本，转增后注册资本变更为</w:t>
      </w:r>
      <w:r>
        <w:rPr>
          <w:rFonts w:ascii="Arial" w:hAnsi="Arial" w:cs="Arial" w:eastAsia="Arial" w:hint="default"/>
        </w:rPr>
        <w:t>62,220</w:t>
      </w:r>
      <w:r>
        <w:rPr/>
        <w:t>万元。</w:t>
      </w:r>
      <w:r>
        <w:rPr>
          <w:rFonts w:ascii="Arial" w:hAnsi="Arial" w:cs="Arial" w:eastAsia="Arial" w:hint="default"/>
        </w:rPr>
        <w:t>2014</w:t>
      </w:r>
      <w:r>
        <w:rPr/>
        <w:t>年</w:t>
      </w:r>
      <w:r>
        <w:rPr>
          <w:rFonts w:ascii="Arial" w:hAnsi="Arial" w:cs="Arial" w:eastAsia="Arial" w:hint="default"/>
        </w:rPr>
        <w:t>5</w:t>
      </w:r>
      <w:r>
        <w:rPr/>
        <w:t>月</w:t>
      </w:r>
      <w:r>
        <w:rPr>
          <w:rFonts w:ascii="Arial" w:hAnsi="Arial" w:cs="Arial" w:eastAsia="Arial" w:hint="default"/>
        </w:rPr>
        <w:t>29</w:t>
      </w:r>
      <w:r>
        <w:rPr/>
        <w:t>日，本公</w:t>
      </w:r>
      <w:r>
        <w:rPr>
          <w:spacing w:val="1"/>
        </w:rPr>
        <w:t> </w:t>
      </w:r>
      <w:r>
        <w:rPr/>
        <w:t>司办理完成相关工商登记变更手续，注册资本和股本均由</w:t>
      </w:r>
      <w:r>
        <w:rPr>
          <w:rFonts w:ascii="Arial" w:hAnsi="Arial" w:cs="Arial" w:eastAsia="Arial" w:hint="default"/>
        </w:rPr>
        <w:t>31,110</w:t>
      </w:r>
      <w:r>
        <w:rPr/>
        <w:t>万元变更为</w:t>
      </w:r>
      <w:r>
        <w:rPr>
          <w:rFonts w:ascii="Arial" w:hAnsi="Arial" w:cs="Arial" w:eastAsia="Arial" w:hint="default"/>
        </w:rPr>
        <w:t>62,220</w:t>
      </w:r>
      <w:r>
        <w:rPr/>
        <w:t>万元。</w:t>
      </w:r>
    </w:p>
    <w:p>
      <w:pPr>
        <w:spacing w:line="240" w:lineRule="auto" w:before="5"/>
        <w:rPr>
          <w:rFonts w:ascii="宋体" w:hAnsi="宋体" w:cs="宋体" w:eastAsia="宋体" w:hint="default"/>
          <w:sz w:val="17"/>
          <w:szCs w:val="17"/>
        </w:rPr>
      </w:pPr>
    </w:p>
    <w:p>
      <w:pPr>
        <w:pStyle w:val="BodyText"/>
        <w:spacing w:line="302" w:lineRule="auto"/>
        <w:ind w:left="153" w:right="1131" w:firstLine="360"/>
        <w:jc w:val="both"/>
      </w:pPr>
      <w:r>
        <w:rPr>
          <w:rFonts w:ascii="Arial" w:hAnsi="Arial" w:cs="Arial" w:eastAsia="Arial" w:hint="default"/>
        </w:rPr>
        <w:t>2016</w:t>
      </w:r>
      <w:r>
        <w:rPr/>
        <w:t>年</w:t>
      </w:r>
      <w:r>
        <w:rPr>
          <w:rFonts w:ascii="Arial" w:hAnsi="Arial" w:cs="Arial" w:eastAsia="Arial" w:hint="default"/>
        </w:rPr>
        <w:t>1</w:t>
      </w:r>
      <w:r>
        <w:rPr/>
        <w:t>月</w:t>
      </w:r>
      <w:r>
        <w:rPr>
          <w:rFonts w:ascii="Arial" w:hAnsi="Arial" w:cs="Arial" w:eastAsia="Arial" w:hint="default"/>
        </w:rPr>
        <w:t>14</w:t>
      </w:r>
      <w:r>
        <w:rPr/>
        <w:t>日，本公司向福建省工商行政管理局申请并完成了</w:t>
      </w:r>
      <w:r>
        <w:rPr>
          <w:rFonts w:ascii="Arial" w:hAnsi="Arial" w:cs="Arial" w:eastAsia="Arial" w:hint="default"/>
        </w:rPr>
        <w:t>“</w:t>
      </w:r>
      <w:r>
        <w:rPr/>
        <w:t>三证合一</w:t>
      </w:r>
      <w:r>
        <w:rPr>
          <w:rFonts w:ascii="Arial" w:hAnsi="Arial" w:cs="Arial" w:eastAsia="Arial" w:hint="default"/>
        </w:rPr>
        <w:t>”</w:t>
      </w:r>
      <w:r>
        <w:rPr/>
        <w:t>的工商变更登记，新取得的《营业执照》统 一社会信用代码为</w:t>
      </w:r>
      <w:r>
        <w:rPr>
          <w:rFonts w:ascii="Arial" w:hAnsi="Arial" w:cs="Arial" w:eastAsia="Arial" w:hint="default"/>
        </w:rPr>
        <w:t>913500006285075795</w:t>
      </w:r>
      <w:r>
        <w:rPr/>
        <w:t>。</w:t>
      </w:r>
    </w:p>
    <w:p>
      <w:pPr>
        <w:spacing w:line="240" w:lineRule="auto" w:before="5"/>
        <w:rPr>
          <w:rFonts w:ascii="宋体" w:hAnsi="宋体" w:cs="宋体" w:eastAsia="宋体" w:hint="default"/>
          <w:sz w:val="17"/>
          <w:szCs w:val="17"/>
        </w:rPr>
      </w:pPr>
    </w:p>
    <w:p>
      <w:pPr>
        <w:pStyle w:val="BodyText"/>
        <w:spacing w:line="511" w:lineRule="auto"/>
        <w:ind w:left="513" w:right="3731" w:hanging="360"/>
        <w:jc w:val="left"/>
      </w:pPr>
      <w:r>
        <w:rPr/>
        <w:t>（</w:t>
      </w:r>
      <w:r>
        <w:rPr>
          <w:rFonts w:ascii="Arial" w:hAnsi="Arial" w:cs="Arial" w:eastAsia="Arial" w:hint="default"/>
        </w:rPr>
        <w:t>2</w:t>
      </w:r>
      <w:r>
        <w:rPr/>
        <w:t>）法人代表及公司地址 本公司法定代表人为鲁峰，本公司住址为福州市鼓楼区铜盘路福州软件园产业基地。</w:t>
      </w:r>
    </w:p>
    <w:p>
      <w:pPr>
        <w:pStyle w:val="BodyText"/>
        <w:spacing w:line="240" w:lineRule="auto" w:before="89"/>
        <w:ind w:left="153" w:right="2239"/>
        <w:jc w:val="left"/>
      </w:pPr>
      <w:r>
        <w:rPr/>
        <w:t>（</w:t>
      </w:r>
      <w:r>
        <w:rPr>
          <w:rFonts w:ascii="Arial" w:hAnsi="Arial" w:cs="Arial" w:eastAsia="Arial" w:hint="default"/>
        </w:rPr>
        <w:t>3</w:t>
      </w:r>
      <w:r>
        <w:rPr/>
        <w:t>）组织架构</w:t>
      </w:r>
    </w:p>
    <w:p>
      <w:pPr>
        <w:spacing w:line="240" w:lineRule="auto" w:before="5"/>
        <w:rPr>
          <w:rFonts w:ascii="宋体" w:hAnsi="宋体" w:cs="宋体" w:eastAsia="宋体" w:hint="default"/>
          <w:sz w:val="21"/>
          <w:szCs w:val="21"/>
        </w:rPr>
      </w:pPr>
    </w:p>
    <w:p>
      <w:pPr>
        <w:pStyle w:val="BodyText"/>
        <w:spacing w:line="316" w:lineRule="auto"/>
        <w:ind w:left="153" w:right="1131" w:firstLine="360"/>
        <w:jc w:val="both"/>
      </w:pPr>
      <w:r>
        <w:rPr>
          <w:spacing w:val="-2"/>
        </w:rPr>
        <w:t>本公司建立了股东大会、董事会、监事会的法人治理结构，目前设总裁办公室、研发部、财务部、证券部、人力资源部</w:t>
      </w:r>
      <w:r>
        <w:rPr/>
        <w:t> 等部门，拥有浙江榕基信息技术有限公司、榕基五一（北京）信息技术有限公司等</w:t>
      </w:r>
      <w:r>
        <w:rPr>
          <w:rFonts w:ascii="Arial" w:hAnsi="Arial" w:cs="Arial" w:eastAsia="Arial" w:hint="default"/>
        </w:rPr>
        <w:t>15</w:t>
      </w:r>
      <w:r>
        <w:rPr/>
        <w:t>家子公司及</w:t>
      </w:r>
      <w:r>
        <w:rPr>
          <w:rFonts w:ascii="Arial" w:hAnsi="Arial" w:cs="Arial" w:eastAsia="Arial" w:hint="default"/>
        </w:rPr>
        <w:t>3</w:t>
      </w:r>
      <w:r>
        <w:rPr/>
        <w:t>家孙公司。</w:t>
      </w:r>
    </w:p>
    <w:p>
      <w:pPr>
        <w:pStyle w:val="BodyText"/>
        <w:spacing w:line="528" w:lineRule="exact" w:before="3"/>
        <w:ind w:left="513" w:right="0" w:hanging="360"/>
        <w:jc w:val="left"/>
      </w:pPr>
      <w:r>
        <w:rPr/>
        <w:t>（</w:t>
      </w:r>
      <w:r>
        <w:rPr>
          <w:rFonts w:ascii="Arial" w:hAnsi="Arial" w:cs="Arial" w:eastAsia="Arial" w:hint="default"/>
        </w:rPr>
        <w:t>4</w:t>
      </w:r>
      <w:r>
        <w:rPr/>
        <w:t>）行业性质及经营范围 </w:t>
      </w:r>
      <w:r>
        <w:rPr>
          <w:spacing w:val="-1"/>
        </w:rPr>
        <w:t>本公司及子公司（以下简称</w:t>
      </w:r>
      <w:r>
        <w:rPr>
          <w:rFonts w:ascii="Arial" w:hAnsi="Arial" w:cs="Arial" w:eastAsia="Arial" w:hint="default"/>
          <w:spacing w:val="-1"/>
        </w:rPr>
        <w:t>“</w:t>
      </w:r>
      <w:r>
        <w:rPr>
          <w:spacing w:val="-1"/>
        </w:rPr>
        <w:t>本集团</w:t>
      </w:r>
      <w:r>
        <w:rPr>
          <w:rFonts w:ascii="Arial" w:hAnsi="Arial" w:cs="Arial" w:eastAsia="Arial" w:hint="default"/>
          <w:spacing w:val="-1"/>
        </w:rPr>
        <w:t>”</w:t>
      </w:r>
      <w:r>
        <w:rPr>
          <w:spacing w:val="-1"/>
        </w:rPr>
        <w:t>）所处行业主要为信息技术行业，本集团经营范围主要包括：计算机及网络软件开</w:t>
      </w:r>
    </w:p>
    <w:p>
      <w:pPr>
        <w:pStyle w:val="BodyText"/>
        <w:spacing w:line="316" w:lineRule="auto"/>
        <w:ind w:left="153" w:right="0"/>
        <w:jc w:val="left"/>
      </w:pPr>
      <w:r>
        <w:rPr>
          <w:spacing w:val="-2"/>
        </w:rPr>
        <w:t>发服务；计算机硬件技术服务；电子计算机及配件的批发零售；对外贸易；电子与智能化工程设计与施工服务；建筑机电安</w:t>
      </w:r>
      <w:r>
        <w:rPr>
          <w:spacing w:val="-66"/>
        </w:rPr>
        <w:t> </w:t>
      </w:r>
      <w:r>
        <w:rPr>
          <w:spacing w:val="-66"/>
        </w:rPr>
      </w:r>
      <w:r>
        <w:rPr/>
        <w:t>装工程设计与施工服务；安防工程设计与施工服务；房地产业的投资。</w:t>
      </w:r>
    </w:p>
    <w:p>
      <w:pPr>
        <w:pStyle w:val="BodyText"/>
        <w:spacing w:line="528" w:lineRule="exact" w:before="22"/>
        <w:ind w:left="513" w:right="1110"/>
        <w:jc w:val="left"/>
      </w:pPr>
      <w:r>
        <w:rPr/>
        <w:t>本财务报表及财务报表附注业经本公司第五届董事会第二次会议于</w:t>
      </w:r>
      <w:r>
        <w:rPr>
          <w:rFonts w:ascii="Arial" w:hAnsi="Arial" w:cs="Arial" w:eastAsia="Arial" w:hint="default"/>
        </w:rPr>
        <w:t>2020</w:t>
      </w:r>
      <w:r>
        <w:rPr/>
        <w:t>年</w:t>
      </w:r>
      <w:r>
        <w:rPr>
          <w:rFonts w:ascii="Arial" w:hAnsi="Arial" w:cs="Arial" w:eastAsia="Arial" w:hint="default"/>
        </w:rPr>
        <w:t>4</w:t>
      </w:r>
      <w:r>
        <w:rPr/>
        <w:t>月</w:t>
      </w:r>
      <w:r>
        <w:rPr>
          <w:rFonts w:ascii="Arial" w:hAnsi="Arial" w:cs="Arial" w:eastAsia="Arial" w:hint="default"/>
        </w:rPr>
        <w:t>27</w:t>
      </w:r>
      <w:r>
        <w:rPr/>
        <w:t>日批准。 本集团</w:t>
      </w:r>
      <w:r>
        <w:rPr>
          <w:rFonts w:ascii="Arial" w:hAnsi="Arial" w:cs="Arial" w:eastAsia="Arial" w:hint="default"/>
        </w:rPr>
        <w:t>2019</w:t>
      </w:r>
      <w:r>
        <w:rPr/>
        <w:t>年度纳入合并范围的子公司</w:t>
      </w:r>
      <w:r>
        <w:rPr>
          <w:rFonts w:ascii="Arial" w:hAnsi="Arial" w:cs="Arial" w:eastAsia="Arial" w:hint="default"/>
        </w:rPr>
        <w:t>15</w:t>
      </w:r>
      <w:r>
        <w:rPr/>
        <w:t>家、孙公司</w:t>
      </w:r>
      <w:r>
        <w:rPr>
          <w:rFonts w:ascii="Arial" w:hAnsi="Arial" w:cs="Arial" w:eastAsia="Arial" w:hint="default"/>
        </w:rPr>
        <w:t>3</w:t>
      </w:r>
      <w:r>
        <w:rPr/>
        <w:t>家，各家子、孙公司情况详见附注</w:t>
      </w:r>
      <w:r>
        <w:rPr>
          <w:rFonts w:ascii="Arial" w:hAnsi="Arial" w:cs="Arial" w:eastAsia="Arial" w:hint="default"/>
        </w:rPr>
        <w:t>“</w:t>
      </w:r>
      <w:r>
        <w:rPr/>
        <w:t>七、在其他主体中的权益</w:t>
      </w:r>
      <w:r>
        <w:rPr>
          <w:rFonts w:ascii="Arial" w:hAnsi="Arial" w:cs="Arial" w:eastAsia="Arial" w:hint="default"/>
        </w:rPr>
        <w:t>”</w:t>
      </w:r>
      <w:r>
        <w:rPr/>
        <w:t>。</w:t>
      </w:r>
    </w:p>
    <w:p>
      <w:pPr>
        <w:pStyle w:val="BodyText"/>
        <w:spacing w:line="302" w:lineRule="auto"/>
        <w:ind w:left="153" w:right="0"/>
        <w:jc w:val="left"/>
      </w:pPr>
      <w:r>
        <w:rPr/>
        <w:t>本集团本年度合并范围较上年度减少</w:t>
      </w:r>
      <w:r>
        <w:rPr>
          <w:rFonts w:ascii="Arial" w:hAnsi="Arial" w:cs="Arial" w:eastAsia="Arial" w:hint="default"/>
        </w:rPr>
        <w:t>2</w:t>
      </w:r>
      <w:r>
        <w:rPr/>
        <w:t>家，系</w:t>
      </w:r>
      <w:r>
        <w:rPr>
          <w:rFonts w:ascii="Arial" w:hAnsi="Arial" w:cs="Arial" w:eastAsia="Arial" w:hint="default"/>
        </w:rPr>
        <w:t>2</w:t>
      </w:r>
      <w:r>
        <w:rPr/>
        <w:t>家孙公司浙江检榕网络科技有限公司及榕基国计（北京）信息技术有限公司</w:t>
      </w:r>
      <w:r>
        <w:rPr>
          <w:spacing w:val="-29"/>
        </w:rPr>
        <w:t> </w:t>
      </w:r>
      <w:r>
        <w:rPr>
          <w:spacing w:val="-29"/>
        </w:rPr>
      </w:r>
      <w:r>
        <w:rPr/>
        <w:t>于</w:t>
      </w:r>
      <w:r>
        <w:rPr>
          <w:rFonts w:ascii="Arial" w:hAnsi="Arial" w:cs="Arial" w:eastAsia="Arial" w:hint="default"/>
        </w:rPr>
        <w:t>2019</w:t>
      </w:r>
      <w:r>
        <w:rPr/>
        <w:t>年度注销，详见附注</w:t>
      </w:r>
      <w:r>
        <w:rPr>
          <w:rFonts w:ascii="Arial" w:hAnsi="Arial" w:cs="Arial" w:eastAsia="Arial" w:hint="default"/>
        </w:rPr>
        <w:t>“</w:t>
      </w:r>
      <w:r>
        <w:rPr/>
        <w:t>六、合并范围的变动</w:t>
      </w:r>
      <w:r>
        <w:rPr>
          <w:rFonts w:ascii="Arial" w:hAnsi="Arial" w:cs="Arial" w:eastAsia="Arial" w:hint="default"/>
        </w:rPr>
        <w:t>”</w:t>
      </w:r>
      <w:r>
        <w:rPr/>
        <w:t>。</w:t>
      </w:r>
    </w:p>
    <w:p>
      <w:pPr>
        <w:spacing w:line="240" w:lineRule="auto" w:before="2"/>
        <w:rPr>
          <w:rFonts w:ascii="宋体" w:hAnsi="宋体" w:cs="宋体" w:eastAsia="宋体" w:hint="default"/>
          <w:sz w:val="20"/>
          <w:szCs w:val="20"/>
        </w:rPr>
      </w:pPr>
    </w:p>
    <w:p>
      <w:pPr>
        <w:pStyle w:val="Heading2"/>
        <w:spacing w:line="240" w:lineRule="auto"/>
        <w:ind w:right="2239"/>
        <w:jc w:val="left"/>
        <w:rPr>
          <w:b w:val="0"/>
          <w:bCs w:val="0"/>
        </w:rPr>
      </w:pPr>
      <w:r>
        <w:rPr/>
        <w:t>四、财务报表的编制基础</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1</w:t>
      </w:r>
      <w:r>
        <w:rPr/>
        <w:t>、编制基础</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left="153" w:right="1108" w:firstLine="360"/>
        <w:jc w:val="both"/>
      </w:pPr>
      <w:r>
        <w:rPr/>
        <w:t>本财务报表按照财政部颁布的企业会计准则及其应用指南、解释及其他有关规定（统称</w:t>
      </w:r>
      <w:r>
        <w:rPr>
          <w:rFonts w:ascii="Arial" w:hAnsi="Arial" w:cs="Arial" w:eastAsia="Arial" w:hint="default"/>
        </w:rPr>
        <w:t>“</w:t>
      </w:r>
      <w:r>
        <w:rPr/>
        <w:t>企业会计准则</w:t>
      </w:r>
      <w:r>
        <w:rPr>
          <w:rFonts w:ascii="Arial" w:hAnsi="Arial" w:cs="Arial" w:eastAsia="Arial" w:hint="default"/>
        </w:rPr>
        <w:t>”</w:t>
      </w:r>
      <w:r>
        <w:rPr/>
        <w:t>）编制。此外， 本集团还按照中国证监会《公开发行证券的公司信息披露编报规则第</w:t>
      </w:r>
      <w:r>
        <w:rPr>
          <w:rFonts w:ascii="Arial" w:hAnsi="Arial" w:cs="Arial" w:eastAsia="Arial" w:hint="default"/>
        </w:rPr>
        <w:t>15</w:t>
      </w:r>
      <w:r>
        <w:rPr/>
        <w:t>号</w:t>
      </w:r>
      <w:r>
        <w:rPr>
          <w:rFonts w:ascii="Arial" w:hAnsi="Arial" w:cs="Arial" w:eastAsia="Arial" w:hint="default"/>
        </w:rPr>
        <w:t>—</w:t>
      </w:r>
      <w:r>
        <w:rPr/>
        <w:t>财务报告的一般规定》（</w:t>
      </w:r>
      <w:r>
        <w:rPr>
          <w:rFonts w:ascii="Arial" w:hAnsi="Arial" w:cs="Arial" w:eastAsia="Arial" w:hint="default"/>
        </w:rPr>
        <w:t>2014</w:t>
      </w:r>
      <w:r>
        <w:rPr/>
        <w:t>年修订）披露有</w:t>
      </w:r>
      <w:r>
        <w:rPr>
          <w:spacing w:val="-61"/>
        </w:rPr>
        <w:t> </w:t>
      </w:r>
      <w:r>
        <w:rPr>
          <w:spacing w:val="-61"/>
        </w:rPr>
      </w:r>
      <w:r>
        <w:rPr/>
        <w:t>关财务信息。</w:t>
      </w:r>
    </w:p>
    <w:p>
      <w:pPr>
        <w:spacing w:line="240" w:lineRule="auto" w:before="4"/>
        <w:rPr>
          <w:rFonts w:ascii="宋体" w:hAnsi="宋体" w:cs="宋体" w:eastAsia="宋体" w:hint="default"/>
          <w:sz w:val="23"/>
          <w:szCs w:val="23"/>
        </w:rPr>
      </w:pPr>
    </w:p>
    <w:p>
      <w:pPr>
        <w:pStyle w:val="Heading4"/>
        <w:spacing w:line="240" w:lineRule="auto"/>
        <w:ind w:right="2239"/>
        <w:jc w:val="left"/>
        <w:rPr>
          <w:b w:val="0"/>
          <w:bCs w:val="0"/>
        </w:rPr>
      </w:pPr>
      <w:r>
        <w:rPr>
          <w:rFonts w:ascii="Arial" w:hAnsi="Arial" w:cs="Arial" w:eastAsia="Arial" w:hint="default"/>
        </w:rPr>
        <w:t>2</w:t>
      </w:r>
      <w:r>
        <w:rPr/>
        <w:t>、持续经营</w:t>
      </w:r>
      <w:r>
        <w:rPr>
          <w:b w:val="0"/>
          <w:bCs w:val="0"/>
        </w:rPr>
      </w:r>
    </w:p>
    <w:p>
      <w:pPr>
        <w:pStyle w:val="BodyText"/>
        <w:spacing w:line="520" w:lineRule="atLeast" w:before="63"/>
        <w:ind w:left="513" w:right="1031"/>
        <w:jc w:val="left"/>
      </w:pPr>
      <w:r>
        <w:rPr/>
        <w:t>本财务报表以持续经营为基础列报。 本集团会计核算以权责发生制为基础。除某些金融工具外，本财务报表均以历史成本为计量基础。资产如果发生减值，</w:t>
      </w:r>
    </w:p>
    <w:p>
      <w:pPr>
        <w:pStyle w:val="BodyText"/>
        <w:spacing w:line="240" w:lineRule="auto" w:before="76"/>
        <w:ind w:left="153" w:right="2239"/>
        <w:jc w:val="left"/>
      </w:pPr>
      <w:r>
        <w:rPr/>
        <w:t>则按照相关规定计提相应的减值准备。</w:t>
      </w:r>
    </w:p>
    <w:p>
      <w:pPr>
        <w:spacing w:after="0" w:line="240" w:lineRule="auto"/>
        <w:jc w:val="left"/>
        <w:sectPr>
          <w:pgSz w:w="11910" w:h="16840"/>
          <w:pgMar w:header="747" w:footer="982" w:top="1060" w:bottom="1180" w:left="980" w:right="0"/>
        </w:sectPr>
      </w:pPr>
    </w:p>
    <w:p>
      <w:pPr>
        <w:spacing w:line="240" w:lineRule="auto" w:before="9"/>
        <w:rPr>
          <w:rFonts w:ascii="宋体" w:hAnsi="宋体" w:cs="宋体" w:eastAsia="宋体" w:hint="default"/>
          <w:sz w:val="23"/>
          <w:szCs w:val="23"/>
        </w:rPr>
      </w:pPr>
    </w:p>
    <w:p>
      <w:pPr>
        <w:pStyle w:val="Heading2"/>
        <w:spacing w:line="240" w:lineRule="auto" w:before="26"/>
        <w:ind w:right="2239"/>
        <w:jc w:val="left"/>
        <w:rPr>
          <w:b w:val="0"/>
          <w:bCs w:val="0"/>
        </w:rPr>
      </w:pPr>
      <w:r>
        <w:rPr/>
        <w:t>五、重要会计政策及会计估计</w:t>
      </w:r>
      <w:r>
        <w:rPr>
          <w:b w:val="0"/>
          <w:bCs w:val="0"/>
        </w:rPr>
      </w:r>
    </w:p>
    <w:p>
      <w:pPr>
        <w:pStyle w:val="BodyText"/>
        <w:spacing w:line="540" w:lineRule="atLeast" w:before="42"/>
        <w:ind w:left="513" w:right="0"/>
        <w:jc w:val="left"/>
      </w:pPr>
      <w:r>
        <w:rPr/>
        <w:t>具体会计政策和会计估计提示： 本集团根据自身生产经营特点，确定研发费用资本化条件以及收入确认政策，具体会计政策见附注三、</w:t>
      </w:r>
      <w:r>
        <w:rPr>
          <w:rFonts w:ascii="Arial" w:hAnsi="Arial" w:cs="Arial" w:eastAsia="Arial" w:hint="default"/>
        </w:rPr>
        <w:t>19</w:t>
      </w:r>
      <w:r>
        <w:rPr/>
        <w:t>和附注三、</w:t>
      </w:r>
    </w:p>
    <w:p>
      <w:pPr>
        <w:pStyle w:val="BodyText"/>
        <w:spacing w:line="240" w:lineRule="auto" w:before="63"/>
        <w:ind w:left="153" w:right="2239"/>
        <w:jc w:val="left"/>
      </w:pPr>
      <w:r>
        <w:rPr>
          <w:rFonts w:ascii="Arial" w:hAnsi="Arial" w:cs="Arial" w:eastAsia="Arial" w:hint="default"/>
        </w:rPr>
        <w:t>23</w:t>
      </w:r>
      <w:r>
        <w:rPr/>
        <w:t>。</w:t>
      </w:r>
    </w:p>
    <w:p>
      <w:pPr>
        <w:spacing w:line="240" w:lineRule="auto" w:before="12"/>
        <w:rPr>
          <w:rFonts w:ascii="宋体" w:hAnsi="宋体" w:cs="宋体" w:eastAsia="宋体" w:hint="default"/>
          <w:sz w:val="25"/>
          <w:szCs w:val="25"/>
        </w:rPr>
      </w:pPr>
    </w:p>
    <w:p>
      <w:pPr>
        <w:pStyle w:val="Heading4"/>
        <w:spacing w:line="240" w:lineRule="auto"/>
        <w:ind w:right="2239"/>
        <w:jc w:val="left"/>
        <w:rPr>
          <w:b w:val="0"/>
          <w:bCs w:val="0"/>
        </w:rPr>
      </w:pPr>
      <w:r>
        <w:rPr>
          <w:rFonts w:ascii="Arial" w:hAnsi="Arial" w:cs="Arial" w:eastAsia="Arial" w:hint="default"/>
        </w:rPr>
        <w:t>1</w:t>
      </w:r>
      <w:r>
        <w:rPr/>
        <w:t>、遵循企业会计准则的声明</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1131" w:firstLine="359"/>
        <w:jc w:val="both"/>
      </w:pPr>
      <w:r>
        <w:rPr>
          <w:spacing w:val="-1"/>
        </w:rPr>
        <w:t>本财务报表符合企业会计准则的要求，真实、完整地反映了本公司</w:t>
      </w:r>
      <w:r>
        <w:rPr>
          <w:rFonts w:ascii="Arial" w:hAnsi="Arial" w:cs="Arial" w:eastAsia="Arial" w:hint="default"/>
          <w:spacing w:val="-1"/>
        </w:rPr>
        <w:t>2019</w:t>
      </w:r>
      <w:r>
        <w:rPr>
          <w:spacing w:val="-1"/>
        </w:rPr>
        <w:t>年</w:t>
      </w:r>
      <w:r>
        <w:rPr>
          <w:rFonts w:ascii="Arial" w:hAnsi="Arial" w:cs="Arial" w:eastAsia="Arial" w:hint="default"/>
          <w:spacing w:val="-1"/>
        </w:rPr>
        <w:t>12</w:t>
      </w:r>
      <w:r>
        <w:rPr>
          <w:spacing w:val="-1"/>
        </w:rPr>
        <w:t>月</w:t>
      </w:r>
      <w:r>
        <w:rPr>
          <w:rFonts w:ascii="Arial" w:hAnsi="Arial" w:cs="Arial" w:eastAsia="Arial" w:hint="default"/>
          <w:spacing w:val="-1"/>
        </w:rPr>
        <w:t>31</w:t>
      </w:r>
      <w:r>
        <w:rPr>
          <w:spacing w:val="-1"/>
        </w:rPr>
        <w:t>日的合并及公司财务状况以及</w:t>
      </w:r>
      <w:r>
        <w:rPr>
          <w:rFonts w:ascii="Arial" w:hAnsi="Arial" w:cs="Arial" w:eastAsia="Arial" w:hint="default"/>
          <w:spacing w:val="-1"/>
        </w:rPr>
        <w:t>2019</w:t>
      </w:r>
      <w:r>
        <w:rPr>
          <w:spacing w:val="-1"/>
        </w:rPr>
        <w:t>年</w:t>
      </w:r>
      <w:r>
        <w:rPr/>
        <w:t> 的合并及公司经营成果和合并及公司现金流量等有关信息。</w:t>
      </w:r>
    </w:p>
    <w:p>
      <w:pPr>
        <w:spacing w:line="240" w:lineRule="auto" w:before="4"/>
        <w:rPr>
          <w:rFonts w:ascii="宋体" w:hAnsi="宋体" w:cs="宋体" w:eastAsia="宋体" w:hint="default"/>
          <w:sz w:val="23"/>
          <w:szCs w:val="23"/>
        </w:rPr>
      </w:pPr>
    </w:p>
    <w:p>
      <w:pPr>
        <w:pStyle w:val="Heading4"/>
        <w:spacing w:line="240" w:lineRule="auto"/>
        <w:ind w:right="2239"/>
        <w:jc w:val="left"/>
        <w:rPr>
          <w:b w:val="0"/>
          <w:bCs w:val="0"/>
        </w:rPr>
      </w:pPr>
      <w:r>
        <w:rPr>
          <w:rFonts w:ascii="Arial" w:hAnsi="Arial" w:cs="Arial" w:eastAsia="Arial" w:hint="default"/>
        </w:rPr>
        <w:t>2</w:t>
      </w:r>
      <w:r>
        <w:rPr/>
        <w:t>、会计期间</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2239"/>
        <w:jc w:val="left"/>
      </w:pPr>
      <w:r>
        <w:rPr/>
        <w:t>本集团会计期间采用公历年度，即每年自</w:t>
      </w:r>
      <w:r>
        <w:rPr>
          <w:rFonts w:ascii="Arial" w:hAnsi="Arial" w:cs="Arial" w:eastAsia="Arial" w:hint="default"/>
        </w:rPr>
        <w:t>1</w:t>
      </w:r>
      <w:r>
        <w:rPr/>
        <w:t>月</w:t>
      </w:r>
      <w:r>
        <w:rPr>
          <w:rFonts w:ascii="Arial" w:hAnsi="Arial" w:cs="Arial" w:eastAsia="Arial" w:hint="default"/>
        </w:rPr>
        <w:t>1</w:t>
      </w:r>
      <w:r>
        <w:rPr/>
        <w:t>日起至</w:t>
      </w:r>
      <w:r>
        <w:rPr>
          <w:rFonts w:ascii="Arial" w:hAnsi="Arial" w:cs="Arial" w:eastAsia="Arial" w:hint="default"/>
        </w:rPr>
        <w:t>12</w:t>
      </w:r>
      <w:r>
        <w:rPr/>
        <w:t>月</w:t>
      </w:r>
      <w:r>
        <w:rPr>
          <w:rFonts w:ascii="Arial" w:hAnsi="Arial" w:cs="Arial" w:eastAsia="Arial" w:hint="default"/>
        </w:rPr>
        <w:t>31</w:t>
      </w:r>
      <w:r>
        <w:rPr/>
        <w:t>日止。</w:t>
      </w:r>
    </w:p>
    <w:p>
      <w:pPr>
        <w:spacing w:line="240" w:lineRule="auto" w:before="12"/>
        <w:rPr>
          <w:rFonts w:ascii="宋体" w:hAnsi="宋体" w:cs="宋体" w:eastAsia="宋体" w:hint="default"/>
          <w:sz w:val="25"/>
          <w:szCs w:val="25"/>
        </w:rPr>
      </w:pPr>
    </w:p>
    <w:p>
      <w:pPr>
        <w:pStyle w:val="Heading4"/>
        <w:spacing w:line="240" w:lineRule="auto"/>
        <w:ind w:right="2239"/>
        <w:jc w:val="left"/>
        <w:rPr>
          <w:b w:val="0"/>
          <w:bCs w:val="0"/>
        </w:rPr>
      </w:pPr>
      <w:r>
        <w:rPr>
          <w:rFonts w:ascii="Arial" w:hAnsi="Arial" w:cs="Arial" w:eastAsia="Arial" w:hint="default"/>
        </w:rPr>
        <w:t>3</w:t>
      </w:r>
      <w:r>
        <w:rPr/>
        <w:t>、营业周期</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2239"/>
        <w:jc w:val="left"/>
      </w:pPr>
      <w:r>
        <w:rPr/>
        <w:t>本集团的营业周期为</w:t>
      </w:r>
      <w:r>
        <w:rPr>
          <w:rFonts w:ascii="Arial" w:hAnsi="Arial" w:cs="Arial" w:eastAsia="Arial" w:hint="default"/>
        </w:rPr>
        <w:t>12</w:t>
      </w:r>
      <w:r>
        <w:rPr/>
        <w:t>个月。</w:t>
      </w:r>
    </w:p>
    <w:p>
      <w:pPr>
        <w:spacing w:line="240" w:lineRule="auto" w:before="12"/>
        <w:rPr>
          <w:rFonts w:ascii="宋体" w:hAnsi="宋体" w:cs="宋体" w:eastAsia="宋体" w:hint="default"/>
          <w:sz w:val="25"/>
          <w:szCs w:val="25"/>
        </w:rPr>
      </w:pPr>
    </w:p>
    <w:p>
      <w:pPr>
        <w:pStyle w:val="Heading4"/>
        <w:spacing w:line="240" w:lineRule="auto"/>
        <w:ind w:right="2239"/>
        <w:jc w:val="left"/>
        <w:rPr>
          <w:b w:val="0"/>
          <w:bCs w:val="0"/>
        </w:rPr>
      </w:pPr>
      <w:r>
        <w:rPr>
          <w:rFonts w:ascii="Arial" w:hAnsi="Arial" w:cs="Arial" w:eastAsia="Arial" w:hint="default"/>
        </w:rPr>
        <w:t>4</w:t>
      </w:r>
      <w:r>
        <w:rPr/>
        <w:t>、记账本位币</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131" w:firstLine="360"/>
        <w:jc w:val="both"/>
      </w:pPr>
      <w:r>
        <w:rPr>
          <w:spacing w:val="-2"/>
        </w:rPr>
        <w:t>本公司及境内子公司以人民币为记账本位币。本公司之境外子公司根据其经营所处的主要经济环境中的货币确定港币为</w:t>
      </w:r>
      <w:r>
        <w:rPr/>
        <w:t> 其记账本位币。本集团编制本财务报表时所采用的货币为人民币。</w:t>
      </w:r>
    </w:p>
    <w:p>
      <w:pPr>
        <w:spacing w:line="240" w:lineRule="auto" w:before="7"/>
        <w:rPr>
          <w:rFonts w:ascii="宋体" w:hAnsi="宋体" w:cs="宋体" w:eastAsia="宋体" w:hint="default"/>
          <w:sz w:val="22"/>
          <w:szCs w:val="22"/>
        </w:rPr>
      </w:pPr>
    </w:p>
    <w:p>
      <w:pPr>
        <w:pStyle w:val="Heading4"/>
        <w:spacing w:line="240" w:lineRule="auto"/>
        <w:ind w:right="2239"/>
        <w:jc w:val="left"/>
        <w:rPr>
          <w:b w:val="0"/>
          <w:bCs w:val="0"/>
        </w:rPr>
      </w:pPr>
      <w:r>
        <w:rPr>
          <w:rFonts w:ascii="Arial" w:hAnsi="Arial" w:cs="Arial" w:eastAsia="Arial" w:hint="default"/>
        </w:rPr>
        <w:t>5</w:t>
      </w:r>
      <w:r>
        <w:rPr/>
        <w:t>、同一控制下和非同一控制下企业合并的会计处理方法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left="513" w:right="0" w:hanging="90"/>
        <w:jc w:val="left"/>
      </w:pPr>
      <w:r>
        <w:rPr/>
        <w:t>（</w:t>
      </w:r>
      <w:r>
        <w:rPr>
          <w:rFonts w:ascii="Arial" w:hAnsi="Arial" w:cs="Arial" w:eastAsia="Arial" w:hint="default"/>
        </w:rPr>
        <w:t>1</w:t>
      </w:r>
      <w:r>
        <w:rPr/>
        <w:t>）同一控制下的企业合并 </w:t>
      </w:r>
      <w:r>
        <w:rPr>
          <w:spacing w:val="-2"/>
        </w:rPr>
        <w:t>对于同一控制下的企业合并，合并方在合并中取得的被合并方的资产、负债，除因会计政策不同而进行的调整以外，按</w:t>
      </w:r>
    </w:p>
    <w:p>
      <w:pPr>
        <w:pStyle w:val="BodyText"/>
        <w:spacing w:line="316" w:lineRule="auto" w:before="29"/>
        <w:ind w:left="153" w:right="0"/>
        <w:jc w:val="left"/>
      </w:pPr>
      <w:r>
        <w:rPr>
          <w:spacing w:val="-2"/>
        </w:rPr>
        <w:t>合并日被合并方在最终控制方合并财务报表中的账面价值计量。合并对价的账面价值与合并中取得的净资产账面价值的差额</w:t>
      </w:r>
      <w:r>
        <w:rPr>
          <w:spacing w:val="-64"/>
        </w:rPr>
        <w:t> </w:t>
      </w:r>
      <w:r>
        <w:rPr>
          <w:spacing w:val="-64"/>
        </w:rPr>
      </w:r>
      <w:r>
        <w:rPr/>
        <w:t>调整资本公积（股本溢价），资本公积（股本溢价）不足冲减的，调整留存收益。</w:t>
      </w:r>
    </w:p>
    <w:p>
      <w:pPr>
        <w:pStyle w:val="BodyText"/>
        <w:spacing w:line="316" w:lineRule="auto" w:before="19"/>
        <w:ind w:left="513" w:right="0"/>
        <w:jc w:val="left"/>
      </w:pPr>
      <w:r>
        <w:rPr/>
        <w:t>通过多次交易分步实现同一控制下的企业合并 </w:t>
      </w:r>
      <w:r>
        <w:rPr>
          <w:spacing w:val="-2"/>
        </w:rPr>
        <w:t>在个别财务报表中，以合并日持股比例计算的合并日应享有被合并方净资产在最终控制方合并财务报表中的账面价值的</w:t>
      </w:r>
    </w:p>
    <w:p>
      <w:pPr>
        <w:pStyle w:val="BodyText"/>
        <w:spacing w:line="316" w:lineRule="auto" w:before="19"/>
        <w:ind w:left="153" w:right="0"/>
        <w:jc w:val="left"/>
      </w:pPr>
      <w:r>
        <w:rPr>
          <w:spacing w:val="-2"/>
        </w:rPr>
        <w:t>份额作为该项投资的初始投资成本；初始投资成本与合并前持有投资的账面价值加上合并日新支付对价的账面价值之和的差</w:t>
      </w:r>
      <w:r>
        <w:rPr>
          <w:spacing w:val="-64"/>
        </w:rPr>
        <w:t> </w:t>
      </w:r>
      <w:r>
        <w:rPr>
          <w:spacing w:val="-64"/>
        </w:rPr>
      </w:r>
      <w:r>
        <w:rPr/>
        <w:t>额，调整资本公积（股本溢价），资本公积（股本溢价）不足冲减的，调整留存收益。</w:t>
      </w:r>
    </w:p>
    <w:p>
      <w:pPr>
        <w:pStyle w:val="BodyText"/>
        <w:spacing w:line="316" w:lineRule="auto" w:before="19"/>
        <w:ind w:left="153" w:right="1041" w:firstLine="360"/>
        <w:jc w:val="both"/>
      </w:pPr>
      <w:r>
        <w:rPr>
          <w:spacing w:val="-2"/>
        </w:rPr>
        <w:t>在合并财务报表中，合并方在合并中取得的被合并方的资产、负债，除因会计政策不同而进行的调整以外，按合并日在</w:t>
      </w:r>
      <w:r>
        <w:rPr/>
        <w:t> </w:t>
      </w:r>
      <w:r>
        <w:rPr>
          <w:spacing w:val="-2"/>
        </w:rPr>
        <w:t>最终控制方合并财务报表中的账面价值计量；合并前持有投资的账面价值加上合并日新支付对价的账面价值之和，与合并中</w:t>
      </w:r>
      <w:r>
        <w:rPr>
          <w:spacing w:val="-64"/>
        </w:rPr>
        <w:t> </w:t>
      </w:r>
      <w:r>
        <w:rPr>
          <w:spacing w:val="-64"/>
        </w:rPr>
      </w:r>
      <w:r>
        <w:rPr>
          <w:spacing w:val="-2"/>
        </w:rPr>
        <w:t>取得的净资产账面价值的差额，调整资本公积（股本溢价），资本公积（股本溢价）不足冲减的，调整留存收益。合并方在</w:t>
      </w:r>
      <w:r>
        <w:rPr>
          <w:spacing w:val="-67"/>
        </w:rPr>
        <w:t> </w:t>
      </w:r>
      <w:r>
        <w:rPr>
          <w:spacing w:val="-67"/>
        </w:rPr>
      </w:r>
      <w:r>
        <w:rPr>
          <w:spacing w:val="-2"/>
        </w:rPr>
        <w:t>取得被合并方控制权之前持有的长期股权投资，在取得原股权之日与合并方与被合并方同处于同一方最终控制之日孰晚日起</w:t>
      </w:r>
      <w:r>
        <w:rPr>
          <w:spacing w:val="-64"/>
        </w:rPr>
        <w:t> </w:t>
      </w:r>
      <w:r>
        <w:rPr>
          <w:spacing w:val="-64"/>
        </w:rPr>
      </w:r>
      <w:r>
        <w:rPr>
          <w:spacing w:val="-4"/>
        </w:rPr>
        <w:t>至合并日之间已确认有关损益、其他综合收益和其他所有者权益变动，应分别冲减比较报表期间的期初留存收益或当期损益。</w:t>
      </w:r>
    </w:p>
    <w:p>
      <w:pPr>
        <w:pStyle w:val="BodyText"/>
        <w:spacing w:line="302" w:lineRule="auto" w:before="19"/>
        <w:ind w:left="514" w:right="0" w:hanging="90"/>
        <w:jc w:val="left"/>
      </w:pPr>
      <w:r>
        <w:rPr/>
        <w:t>（</w:t>
      </w:r>
      <w:r>
        <w:rPr>
          <w:rFonts w:ascii="Arial" w:hAnsi="Arial" w:cs="Arial" w:eastAsia="Arial" w:hint="default"/>
        </w:rPr>
        <w:t>2</w:t>
      </w:r>
      <w:r>
        <w:rPr/>
        <w:t>）企业合并中有关交易费用的处理 </w:t>
      </w:r>
      <w:r>
        <w:rPr>
          <w:spacing w:val="-2"/>
        </w:rPr>
        <w:t>为进行企业合并发生的审计、法律服务、评估咨询等中介费用以及其他相关管理费用，于发生时计入当期损益。作为合</w:t>
      </w:r>
    </w:p>
    <w:p>
      <w:pPr>
        <w:pStyle w:val="BodyText"/>
        <w:spacing w:line="240" w:lineRule="auto" w:before="29"/>
        <w:ind w:right="2239"/>
        <w:jc w:val="left"/>
      </w:pPr>
      <w:r>
        <w:rPr/>
        <w:t>并对价发行的权益性证券或债务性证券的交易费用，计入权益性证券或债务性证券的初始确认金额。</w:t>
      </w:r>
    </w:p>
    <w:p>
      <w:pPr>
        <w:spacing w:after="0" w:line="240" w:lineRule="auto"/>
        <w:jc w:val="left"/>
        <w:sectPr>
          <w:pgSz w:w="11910" w:h="16840"/>
          <w:pgMar w:header="747" w:footer="982" w:top="1060" w:bottom="118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2239"/>
        <w:jc w:val="left"/>
        <w:rPr>
          <w:b w:val="0"/>
          <w:bCs w:val="0"/>
        </w:rPr>
      </w:pPr>
      <w:r>
        <w:rPr>
          <w:rFonts w:ascii="Arial" w:hAnsi="Arial" w:cs="Arial" w:eastAsia="Arial" w:hint="default"/>
        </w:rPr>
        <w:t>6</w:t>
      </w:r>
      <w:r>
        <w:rPr/>
        <w:t>、合并财务报表的编制方法</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left="423" w:right="1121"/>
        <w:jc w:val="left"/>
      </w:pPr>
      <w:r>
        <w:rPr/>
        <w:t>（</w:t>
      </w:r>
      <w:r>
        <w:rPr>
          <w:rFonts w:ascii="Arial" w:hAnsi="Arial" w:cs="Arial" w:eastAsia="Arial" w:hint="default"/>
        </w:rPr>
        <w:t>1</w:t>
      </w:r>
      <w:r>
        <w:rPr/>
        <w:t>）合并范围 合并财务报表的合并范围以控制为基础予以确定。控制，是指本公司拥有对被投资单位的权力，通过参与被投资单位的</w:t>
      </w:r>
    </w:p>
    <w:p>
      <w:pPr>
        <w:pStyle w:val="BodyText"/>
        <w:spacing w:line="316" w:lineRule="auto" w:before="29"/>
        <w:ind w:left="153" w:right="0"/>
        <w:jc w:val="left"/>
      </w:pPr>
      <w:r>
        <w:rPr>
          <w:spacing w:val="-2"/>
        </w:rPr>
        <w:t>相关活动而享有可变回报，并且有能力运用对被投资单位的权力影响其回报金额。子公司，是指被本公司控制的主体（含企</w:t>
      </w:r>
      <w:r>
        <w:rPr>
          <w:spacing w:val="-66"/>
        </w:rPr>
        <w:t> </w:t>
      </w:r>
      <w:r>
        <w:rPr>
          <w:spacing w:val="-66"/>
        </w:rPr>
      </w:r>
      <w:r>
        <w:rPr/>
        <w:t>业、被投资单位中可分割的部分、结构化主体等）。</w:t>
      </w:r>
    </w:p>
    <w:p>
      <w:pPr>
        <w:pStyle w:val="BodyText"/>
        <w:spacing w:line="302" w:lineRule="auto" w:before="19"/>
        <w:ind w:left="513" w:right="0" w:hanging="90"/>
        <w:jc w:val="left"/>
      </w:pPr>
      <w:r>
        <w:rPr/>
        <w:t>（</w:t>
      </w:r>
      <w:r>
        <w:rPr>
          <w:rFonts w:ascii="Arial" w:hAnsi="Arial" w:cs="Arial" w:eastAsia="Arial" w:hint="default"/>
        </w:rPr>
        <w:t>2</w:t>
      </w:r>
      <w:r>
        <w:rPr/>
        <w:t>）合并财务报表的编制方法 </w:t>
      </w:r>
      <w:r>
        <w:rPr>
          <w:spacing w:val="-2"/>
        </w:rPr>
        <w:t>合并财务报表以本公司和子公司的财务报表为基础，根据其他有关资料，由本公司编制。在编制合并财务报表时，本公</w:t>
      </w:r>
    </w:p>
    <w:p>
      <w:pPr>
        <w:pStyle w:val="BodyText"/>
        <w:spacing w:line="316" w:lineRule="auto" w:before="29"/>
        <w:ind w:left="513" w:right="0" w:hanging="360"/>
        <w:jc w:val="left"/>
      </w:pPr>
      <w:r>
        <w:rPr/>
        <w:t>司和子公司的会计政策和会计期间要求保持一致，公司间的重大交易和往来余额予以抵销。 </w:t>
      </w:r>
      <w:r>
        <w:rPr>
          <w:spacing w:val="-2"/>
        </w:rPr>
        <w:t>在报告期内因同一控制下企业合并增加的子公司以及业务，视同该子公司以及业务自同受最终控制方控制之日起纳入本</w:t>
      </w:r>
    </w:p>
    <w:p>
      <w:pPr>
        <w:pStyle w:val="BodyText"/>
        <w:spacing w:line="316" w:lineRule="auto" w:before="19"/>
        <w:ind w:left="513" w:right="0" w:hanging="360"/>
        <w:jc w:val="left"/>
      </w:pPr>
      <w:r>
        <w:rPr/>
        <w:t>公司的合并范围，将其自同受最终控制方控制之日起的经营成果、现金流量分别纳入合并利润表、合并现金流量表中。 </w:t>
      </w:r>
      <w:r>
        <w:rPr>
          <w:spacing w:val="-2"/>
        </w:rPr>
        <w:t>子公司的股东权益中不属于本公司所拥有的部分，作为少数股东权益在合并资产负债表中股东权益项下单独列示；子公</w:t>
      </w:r>
    </w:p>
    <w:p>
      <w:pPr>
        <w:pStyle w:val="BodyText"/>
        <w:spacing w:line="302" w:lineRule="auto" w:before="19"/>
        <w:ind w:left="153" w:right="0"/>
        <w:jc w:val="left"/>
      </w:pPr>
      <w:r>
        <w:rPr>
          <w:spacing w:val="-1"/>
        </w:rPr>
        <w:t>司当期净损益中属于少数股东权益的份额，在合并利润表中净利润项目下以</w:t>
      </w:r>
      <w:r>
        <w:rPr>
          <w:rFonts w:ascii="Arial" w:hAnsi="Arial" w:cs="Arial" w:eastAsia="Arial" w:hint="default"/>
          <w:spacing w:val="-1"/>
        </w:rPr>
        <w:t>“</w:t>
      </w:r>
      <w:r>
        <w:rPr>
          <w:spacing w:val="-1"/>
        </w:rPr>
        <w:t>少数股东损益</w:t>
      </w:r>
      <w:r>
        <w:rPr>
          <w:rFonts w:ascii="Arial" w:hAnsi="Arial" w:cs="Arial" w:eastAsia="Arial" w:hint="default"/>
          <w:spacing w:val="-1"/>
        </w:rPr>
        <w:t>”</w:t>
      </w:r>
      <w:r>
        <w:rPr>
          <w:spacing w:val="-1"/>
        </w:rPr>
        <w:t>项目列示。少数股东分担的子公</w:t>
      </w:r>
      <w:r>
        <w:rPr>
          <w:spacing w:val="-57"/>
        </w:rPr>
        <w:t> </w:t>
      </w:r>
      <w:r>
        <w:rPr>
          <w:spacing w:val="-57"/>
        </w:rPr>
      </w:r>
      <w:r>
        <w:rPr/>
        <w:t>司的亏损超过了少数股东在该子公司期初所有者权益中所享有的份额，其余额仍冲减少数股东权益。</w:t>
      </w:r>
    </w:p>
    <w:p>
      <w:pPr>
        <w:pStyle w:val="BodyText"/>
        <w:spacing w:line="302" w:lineRule="auto" w:before="29"/>
        <w:ind w:left="513" w:right="0" w:hanging="90"/>
        <w:jc w:val="left"/>
      </w:pPr>
      <w:r>
        <w:rPr/>
        <w:t>（</w:t>
      </w:r>
      <w:r>
        <w:rPr>
          <w:rFonts w:ascii="Arial" w:hAnsi="Arial" w:cs="Arial" w:eastAsia="Arial" w:hint="default"/>
        </w:rPr>
        <w:t>3</w:t>
      </w:r>
      <w:r>
        <w:rPr/>
        <w:t>）购买子公司少数股东股权 因购买少数股权新取得的长期股权投资成本与按照新增持股比例计算应享有子公司自购买日或合并日开始持续计算的</w:t>
      </w:r>
    </w:p>
    <w:p>
      <w:pPr>
        <w:pStyle w:val="BodyText"/>
        <w:spacing w:line="316" w:lineRule="auto" w:before="29"/>
        <w:ind w:left="153" w:right="1130"/>
        <w:jc w:val="both"/>
      </w:pPr>
      <w:r>
        <w:rPr>
          <w:spacing w:val="-2"/>
        </w:rPr>
        <w:t>净资产份额之间的差额，以及在不丧失控制权的情况下因部分处置对子公司的股权投资而取得的处置价款与处置长期股权投</w:t>
      </w:r>
      <w:r>
        <w:rPr>
          <w:spacing w:val="-64"/>
        </w:rPr>
        <w:t> </w:t>
      </w:r>
      <w:r>
        <w:rPr>
          <w:spacing w:val="-64"/>
        </w:rPr>
      </w:r>
      <w:r>
        <w:rPr>
          <w:spacing w:val="-2"/>
        </w:rPr>
        <w:t>资相对应享有子公司自购买日或合并日开始持续计算的净资产份额之间的差额，均调整合并资产负债表中的资本公积（股本</w:t>
      </w:r>
      <w:r>
        <w:rPr>
          <w:spacing w:val="-64"/>
        </w:rPr>
        <w:t> </w:t>
      </w:r>
      <w:r>
        <w:rPr>
          <w:spacing w:val="-64"/>
        </w:rPr>
      </w:r>
      <w:r>
        <w:rPr/>
        <w:t>溢价），资本公积（股本溢价）不足冲减的，调整留存收益。</w:t>
      </w:r>
    </w:p>
    <w:p>
      <w:pPr>
        <w:pStyle w:val="BodyText"/>
        <w:spacing w:line="302" w:lineRule="auto" w:before="19"/>
        <w:ind w:left="513" w:right="0" w:hanging="90"/>
        <w:jc w:val="left"/>
      </w:pPr>
      <w:r>
        <w:rPr/>
        <w:t>（</w:t>
      </w:r>
      <w:r>
        <w:rPr>
          <w:rFonts w:ascii="Arial" w:hAnsi="Arial" w:cs="Arial" w:eastAsia="Arial" w:hint="default"/>
        </w:rPr>
        <w:t>4</w:t>
      </w:r>
      <w:r>
        <w:rPr/>
        <w:t>）丧失子公司控制权的处理 </w:t>
      </w:r>
      <w:r>
        <w:rPr>
          <w:spacing w:val="-2"/>
        </w:rPr>
        <w:t>因处置部分股权投资或其他原因丧失了对原有子公司控制权的，剩余股权按照其在丧失控制权日的公允价值进行重新计</w:t>
      </w:r>
    </w:p>
    <w:p>
      <w:pPr>
        <w:pStyle w:val="BodyText"/>
        <w:spacing w:line="316" w:lineRule="auto" w:before="29"/>
        <w:ind w:left="153" w:right="0"/>
        <w:jc w:val="left"/>
      </w:pPr>
      <w:r>
        <w:rPr>
          <w:spacing w:val="-2"/>
        </w:rPr>
        <w:t>量；处置股权取得的对价与剩余股权公允价值之和，减去按原持股比例计算应享有原有子公司自购买日开始持续计算的净资</w:t>
      </w:r>
      <w:r>
        <w:rPr>
          <w:spacing w:val="-64"/>
        </w:rPr>
        <w:t> </w:t>
      </w:r>
      <w:r>
        <w:rPr>
          <w:spacing w:val="-64"/>
        </w:rPr>
      </w:r>
      <w:r>
        <w:rPr/>
        <w:t>产账面价值的份额与商誉之和，形成的差额计入丧失控制权当期的投资收益。</w:t>
      </w:r>
    </w:p>
    <w:p>
      <w:pPr>
        <w:pStyle w:val="BodyText"/>
        <w:spacing w:line="316" w:lineRule="auto" w:before="19"/>
        <w:ind w:left="153" w:right="1130" w:firstLine="360"/>
        <w:jc w:val="both"/>
      </w:pPr>
      <w:r>
        <w:rPr>
          <w:spacing w:val="-2"/>
        </w:rPr>
        <w:t>与原有子公司的股权投资相关的其他综合收益等，在丧失控制权时转入当期损益，由于被投资方重新计量设定收益计划</w:t>
      </w:r>
      <w:r>
        <w:rPr/>
        <w:t> 净负债或净资产变动而产生的其他综合收益除外。</w:t>
      </w:r>
    </w:p>
    <w:p>
      <w:pPr>
        <w:spacing w:line="240" w:lineRule="auto" w:before="7"/>
        <w:rPr>
          <w:rFonts w:ascii="宋体" w:hAnsi="宋体" w:cs="宋体" w:eastAsia="宋体" w:hint="default"/>
          <w:sz w:val="22"/>
          <w:szCs w:val="22"/>
        </w:rPr>
      </w:pPr>
    </w:p>
    <w:p>
      <w:pPr>
        <w:pStyle w:val="Heading4"/>
        <w:spacing w:line="240" w:lineRule="auto"/>
        <w:ind w:right="2239"/>
        <w:jc w:val="left"/>
        <w:rPr>
          <w:b w:val="0"/>
          <w:bCs w:val="0"/>
        </w:rPr>
      </w:pPr>
      <w:r>
        <w:rPr>
          <w:rFonts w:ascii="Arial" w:hAnsi="Arial" w:cs="Arial" w:eastAsia="Arial" w:hint="default"/>
        </w:rPr>
        <w:t>7</w:t>
      </w:r>
      <w:r>
        <w:rPr/>
        <w:t>、合营安排分类及共同经营会计处理方法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2239"/>
        <w:jc w:val="left"/>
      </w:pPr>
      <w:r>
        <w:rPr/>
        <w:t>无。</w:t>
      </w:r>
    </w:p>
    <w:p>
      <w:pPr>
        <w:spacing w:line="240" w:lineRule="auto" w:before="10"/>
        <w:rPr>
          <w:rFonts w:ascii="宋体" w:hAnsi="宋体" w:cs="宋体" w:eastAsia="宋体" w:hint="default"/>
          <w:sz w:val="26"/>
          <w:szCs w:val="26"/>
        </w:rPr>
      </w:pPr>
    </w:p>
    <w:p>
      <w:pPr>
        <w:pStyle w:val="Heading4"/>
        <w:spacing w:line="240" w:lineRule="auto"/>
        <w:ind w:right="2239"/>
        <w:jc w:val="left"/>
        <w:rPr>
          <w:b w:val="0"/>
          <w:bCs w:val="0"/>
        </w:rPr>
      </w:pPr>
      <w:r>
        <w:rPr>
          <w:rFonts w:ascii="Arial" w:hAnsi="Arial" w:cs="Arial" w:eastAsia="Arial" w:hint="default"/>
        </w:rPr>
        <w:t>8</w:t>
      </w:r>
      <w:r>
        <w:rPr/>
        <w:t>、现金及现金等价物的确定标准</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1129" w:firstLine="360"/>
        <w:jc w:val="both"/>
      </w:pPr>
      <w:r>
        <w:rPr>
          <w:spacing w:val="-2"/>
        </w:rPr>
        <w:t>现金是指库存现金以及可以随时用于支付的存款。现金等价物，是指本集团持有的期限短、流动性强、易于转换为已知</w:t>
      </w:r>
      <w:r>
        <w:rPr/>
        <w:t> 金额现金、价值变动风险很小的投资。</w:t>
      </w:r>
    </w:p>
    <w:p>
      <w:pPr>
        <w:spacing w:line="240" w:lineRule="auto" w:before="7"/>
        <w:rPr>
          <w:rFonts w:ascii="宋体" w:hAnsi="宋体" w:cs="宋体" w:eastAsia="宋体" w:hint="default"/>
          <w:sz w:val="22"/>
          <w:szCs w:val="22"/>
        </w:rPr>
      </w:pPr>
    </w:p>
    <w:p>
      <w:pPr>
        <w:pStyle w:val="Heading4"/>
        <w:spacing w:line="240" w:lineRule="auto"/>
        <w:ind w:right="2239"/>
        <w:jc w:val="left"/>
        <w:rPr>
          <w:b w:val="0"/>
          <w:bCs w:val="0"/>
        </w:rPr>
      </w:pPr>
      <w:r>
        <w:rPr>
          <w:rFonts w:ascii="Arial" w:hAnsi="Arial" w:cs="Arial" w:eastAsia="Arial" w:hint="default"/>
        </w:rPr>
        <w:t>9</w:t>
      </w:r>
      <w:r>
        <w:rPr/>
        <w:t>、外币业务和外币报表折算</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left="513" w:right="4631"/>
        <w:jc w:val="left"/>
      </w:pPr>
      <w:r>
        <w:rPr/>
        <w:t>（</w:t>
      </w:r>
      <w:r>
        <w:rPr>
          <w:rFonts w:ascii="Arial" w:hAnsi="Arial" w:cs="Arial" w:eastAsia="Arial" w:hint="default"/>
        </w:rPr>
        <w:t>1</w:t>
      </w:r>
      <w:r>
        <w:rPr/>
        <w:t>）外币业务 本集团发生外币业务，按交易发生日的即期汇率折算为记账本位币金额。</w:t>
      </w:r>
    </w:p>
    <w:p>
      <w:pPr>
        <w:pStyle w:val="BodyText"/>
        <w:spacing w:line="316" w:lineRule="auto" w:before="29"/>
        <w:ind w:left="153" w:right="1131" w:firstLine="360"/>
        <w:jc w:val="both"/>
      </w:pPr>
      <w:r>
        <w:rPr>
          <w:spacing w:val="-2"/>
        </w:rPr>
        <w:t>资产负债表日，对外币货币性项目，采用资产负债表日即期汇率折算。因资产负债表日即期汇率与初始确认时或者前一</w:t>
      </w:r>
      <w:r>
        <w:rPr/>
        <w:t> </w:t>
      </w:r>
      <w:r>
        <w:rPr>
          <w:spacing w:val="-2"/>
        </w:rPr>
        <w:t>资产负债表日即期汇率不同而产生的汇兑差额，计入当期损益；对以历史成本计量的外币非货币性项目，仍采用交易发生日</w:t>
      </w:r>
      <w:r>
        <w:rPr>
          <w:spacing w:val="-66"/>
        </w:rPr>
        <w:t> </w:t>
      </w:r>
      <w:r>
        <w:rPr>
          <w:spacing w:val="-66"/>
        </w:rPr>
      </w:r>
      <w:r>
        <w:rPr>
          <w:spacing w:val="-2"/>
        </w:rPr>
        <w:t>的即期汇率折算；对以公允价值计量的外币非货币性项目，采用公允价值确定日的即期汇率折算，折算后的记账本位币金额</w:t>
      </w:r>
      <w:r>
        <w:rPr>
          <w:spacing w:val="-66"/>
        </w:rPr>
        <w:t> </w:t>
      </w:r>
      <w:r>
        <w:rPr>
          <w:spacing w:val="-66"/>
        </w:rPr>
      </w:r>
      <w:r>
        <w:rPr/>
        <w:t>与原记账本位币金额的差额，计入当期损益。</w:t>
      </w:r>
    </w:p>
    <w:p>
      <w:pPr>
        <w:pStyle w:val="BodyText"/>
        <w:spacing w:line="302" w:lineRule="auto" w:before="19"/>
        <w:ind w:left="513" w:right="0"/>
        <w:jc w:val="left"/>
      </w:pPr>
      <w:r>
        <w:rPr/>
        <w:t>（</w:t>
      </w:r>
      <w:r>
        <w:rPr>
          <w:rFonts w:ascii="Arial" w:hAnsi="Arial" w:cs="Arial" w:eastAsia="Arial" w:hint="default"/>
        </w:rPr>
        <w:t>2</w:t>
      </w:r>
      <w:r>
        <w:rPr/>
        <w:t>）外币财务报表的折算 </w:t>
      </w:r>
      <w:r>
        <w:rPr>
          <w:spacing w:val="-2"/>
        </w:rPr>
        <w:t>资产负债表日，对境外子公司外币财务报表进行折算时，资产负债表中的资产和负债项目，采用资产负债表日的即期汇</w:t>
      </w:r>
    </w:p>
    <w:p>
      <w:pPr>
        <w:spacing w:after="0" w:line="302"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09" w:lineRule="auto" w:before="44"/>
        <w:ind w:left="513" w:right="0" w:hanging="360"/>
        <w:jc w:val="left"/>
      </w:pPr>
      <w:r>
        <w:rPr/>
        <w:t>率折算，股东权益项目除</w:t>
      </w:r>
      <w:r>
        <w:rPr>
          <w:rFonts w:ascii="Arial" w:hAnsi="Arial" w:cs="Arial" w:eastAsia="Arial" w:hint="default"/>
        </w:rPr>
        <w:t>“</w:t>
      </w:r>
      <w:r>
        <w:rPr/>
        <w:t>未分配利润</w:t>
      </w:r>
      <w:r>
        <w:rPr>
          <w:rFonts w:ascii="Arial" w:hAnsi="Arial" w:cs="Arial" w:eastAsia="Arial" w:hint="default"/>
        </w:rPr>
        <w:t>”</w:t>
      </w:r>
      <w:r>
        <w:rPr/>
        <w:t>外，其他项目采用发生日的即期汇率折算。 利润表中的收入和费用项目，采用按照系统合理的方法确定的、与交易发生日即期汇率近似的汇率折算。 </w:t>
      </w:r>
      <w:r>
        <w:rPr>
          <w:spacing w:val="-2"/>
        </w:rPr>
        <w:t>现金流量表所有项目均按照系统合理的方法确定的、与现金流量发生日即期汇率近似的汇率折算。汇率变动对现金的影</w:t>
      </w:r>
    </w:p>
    <w:p>
      <w:pPr>
        <w:pStyle w:val="BodyText"/>
        <w:spacing w:line="302" w:lineRule="auto" w:before="24"/>
        <w:ind w:left="513" w:right="0" w:hanging="360"/>
        <w:jc w:val="left"/>
      </w:pPr>
      <w:r>
        <w:rPr/>
        <w:t>响额作为调节项目，在现金流量表中单独列示</w:t>
      </w:r>
      <w:r>
        <w:rPr>
          <w:rFonts w:ascii="Arial" w:hAnsi="Arial" w:cs="Arial" w:eastAsia="Arial" w:hint="default"/>
        </w:rPr>
        <w:t>“</w:t>
      </w:r>
      <w:r>
        <w:rPr/>
        <w:t>汇率变动对现金及现金等价物的影响</w:t>
      </w:r>
      <w:r>
        <w:rPr>
          <w:rFonts w:ascii="Arial" w:hAnsi="Arial" w:cs="Arial" w:eastAsia="Arial" w:hint="default"/>
        </w:rPr>
        <w:t>”</w:t>
      </w:r>
      <w:r>
        <w:rPr/>
        <w:t>项目反映。 由于财务报表折算而产生的差额，在资产负债表股东权益项目下的</w:t>
      </w:r>
      <w:r>
        <w:rPr>
          <w:rFonts w:ascii="Arial" w:hAnsi="Arial" w:cs="Arial" w:eastAsia="Arial" w:hint="default"/>
        </w:rPr>
        <w:t>“</w:t>
      </w:r>
      <w:r>
        <w:rPr/>
        <w:t>其他综合收益</w:t>
      </w:r>
      <w:r>
        <w:rPr>
          <w:rFonts w:ascii="Arial" w:hAnsi="Arial" w:cs="Arial" w:eastAsia="Arial" w:hint="default"/>
        </w:rPr>
        <w:t>”</w:t>
      </w:r>
      <w:r>
        <w:rPr/>
        <w:t>项目反映。 </w:t>
      </w:r>
      <w:r>
        <w:rPr>
          <w:spacing w:val="-2"/>
        </w:rPr>
        <w:t>处置境外经营并丧失控制权时，将资产负债表中股东权益项目下列示的、与该境外经营相关的外币报表折算差额，全部</w:t>
      </w:r>
    </w:p>
    <w:p>
      <w:pPr>
        <w:pStyle w:val="BodyText"/>
        <w:spacing w:line="240" w:lineRule="auto" w:before="29"/>
        <w:ind w:left="153" w:right="2239"/>
        <w:jc w:val="left"/>
      </w:pPr>
      <w:r>
        <w:rPr/>
        <w:t>或按处置该境外经营的比例转入处置当期损益。</w:t>
      </w:r>
    </w:p>
    <w:p>
      <w:pPr>
        <w:spacing w:line="240" w:lineRule="auto" w:before="12"/>
        <w:rPr>
          <w:rFonts w:ascii="宋体" w:hAnsi="宋体" w:cs="宋体" w:eastAsia="宋体" w:hint="default"/>
          <w:sz w:val="26"/>
          <w:szCs w:val="26"/>
        </w:rPr>
      </w:pPr>
    </w:p>
    <w:p>
      <w:pPr>
        <w:pStyle w:val="Heading4"/>
        <w:spacing w:line="240" w:lineRule="auto"/>
        <w:ind w:right="2239"/>
        <w:jc w:val="left"/>
        <w:rPr>
          <w:b w:val="0"/>
          <w:bCs w:val="0"/>
        </w:rPr>
      </w:pPr>
      <w:r>
        <w:rPr>
          <w:rFonts w:ascii="Arial" w:hAnsi="Arial" w:cs="Arial" w:eastAsia="Arial" w:hint="default"/>
        </w:rPr>
        <w:t>10</w:t>
      </w:r>
      <w:r>
        <w:rPr/>
        <w:t>、金融工具</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2239"/>
        <w:jc w:val="left"/>
      </w:pPr>
      <w:r>
        <w:rPr/>
        <w:t>金融工具是指形成一方的金融资产，并形成其他方的金融负债或权益工具的合同。</w:t>
      </w:r>
    </w:p>
    <w:p>
      <w:pPr>
        <w:pStyle w:val="BodyText"/>
        <w:spacing w:line="309" w:lineRule="auto" w:before="76"/>
        <w:ind w:left="513" w:right="4991"/>
        <w:jc w:val="left"/>
      </w:pPr>
      <w:r>
        <w:rPr/>
        <w:t>（</w:t>
      </w:r>
      <w:r>
        <w:rPr>
          <w:rFonts w:ascii="Arial" w:hAnsi="Arial" w:cs="Arial" w:eastAsia="Arial" w:hint="default"/>
        </w:rPr>
        <w:t>1</w:t>
      </w:r>
      <w:r>
        <w:rPr/>
        <w:t>）金融工具的确认和终止确认 本集团于成为金融工具合同的一方时确认一项金融资产或金融负债。 金融资产满足下列条件之一的，终止确认：</w:t>
      </w:r>
    </w:p>
    <w:p>
      <w:pPr>
        <w:pStyle w:val="BodyText"/>
        <w:spacing w:line="240" w:lineRule="auto" w:before="24"/>
        <w:ind w:left="513" w:right="2239"/>
        <w:jc w:val="left"/>
      </w:pPr>
      <w:r>
        <w:rPr/>
        <w:t>① 收取该金融资产现金流量的合同权利终止；</w:t>
      </w:r>
    </w:p>
    <w:p>
      <w:pPr>
        <w:pStyle w:val="BodyText"/>
        <w:spacing w:line="316" w:lineRule="auto" w:before="76"/>
        <w:ind w:left="513" w:right="0"/>
        <w:jc w:val="left"/>
      </w:pPr>
      <w:r>
        <w:rPr/>
        <w:t>② 该金融资产已转移，且符合下述金融资产转移的终止确认条件。 </w:t>
      </w:r>
      <w:r>
        <w:rPr>
          <w:spacing w:val="-2"/>
        </w:rPr>
        <w:t>金融负债的现时义务全部或部分已经解除的，终止确认该金融负债或其一部分。本集团（债务人）与债权人之间签订协</w:t>
      </w:r>
    </w:p>
    <w:p>
      <w:pPr>
        <w:pStyle w:val="BodyText"/>
        <w:spacing w:line="316" w:lineRule="auto" w:before="19"/>
        <w:ind w:left="153" w:right="0"/>
        <w:jc w:val="left"/>
      </w:pPr>
      <w:r>
        <w:rPr>
          <w:spacing w:val="-2"/>
        </w:rPr>
        <w:t>议，以承担新金融负债方式替换现存金融负债，且新金融负债与现存金融负债的合同条款实质上不同的，终止确认现存金融</w:t>
      </w:r>
      <w:r>
        <w:rPr>
          <w:spacing w:val="-66"/>
        </w:rPr>
        <w:t> </w:t>
      </w:r>
      <w:r>
        <w:rPr>
          <w:spacing w:val="-66"/>
        </w:rPr>
      </w:r>
      <w:r>
        <w:rPr/>
        <w:t>负债，并同时确认新金融负债。</w:t>
      </w:r>
    </w:p>
    <w:p>
      <w:pPr>
        <w:pStyle w:val="BodyText"/>
        <w:spacing w:line="240" w:lineRule="auto" w:before="19"/>
        <w:ind w:left="513" w:right="2239"/>
        <w:jc w:val="left"/>
      </w:pPr>
      <w:r>
        <w:rPr/>
        <w:t>以常规方式买卖金融资产，按交易日进行会计确认和终止确认。</w:t>
      </w:r>
    </w:p>
    <w:p>
      <w:pPr>
        <w:pStyle w:val="BodyText"/>
        <w:spacing w:line="302" w:lineRule="auto" w:before="76"/>
        <w:ind w:left="513" w:right="0"/>
        <w:jc w:val="left"/>
      </w:pPr>
      <w:r>
        <w:rPr/>
        <w:t>（</w:t>
      </w:r>
      <w:r>
        <w:rPr>
          <w:rFonts w:ascii="Arial" w:hAnsi="Arial" w:cs="Arial" w:eastAsia="Arial" w:hint="default"/>
        </w:rPr>
        <w:t>2</w:t>
      </w:r>
      <w:r>
        <w:rPr/>
        <w:t>）金融资产分类和计量 </w:t>
      </w:r>
      <w:r>
        <w:rPr>
          <w:spacing w:val="-2"/>
        </w:rPr>
        <w:t>本集团在初始确认时根据管理金融资产的业务模式和金融资产的合同现金流量特征，将金融资产分为以下三类：以摊余</w:t>
      </w:r>
    </w:p>
    <w:p>
      <w:pPr>
        <w:pStyle w:val="BodyText"/>
        <w:spacing w:line="316" w:lineRule="auto" w:before="29"/>
        <w:ind w:left="153" w:right="1030"/>
        <w:jc w:val="left"/>
      </w:pPr>
      <w:r>
        <w:rPr>
          <w:spacing w:val="-2"/>
        </w:rPr>
        <w:t>成本计量的金融资产、以公允价值计量且其变动计入其他综合收益的金融资产、以公允价值计量且其变动计入当期损益的金</w:t>
      </w:r>
      <w:r>
        <w:rPr>
          <w:spacing w:val="-64"/>
        </w:rPr>
        <w:t> </w:t>
      </w:r>
      <w:r>
        <w:rPr>
          <w:spacing w:val="-64"/>
        </w:rPr>
      </w:r>
      <w:r>
        <w:rPr/>
        <w:t>融资产。</w:t>
      </w:r>
    </w:p>
    <w:p>
      <w:pPr>
        <w:pStyle w:val="BodyText"/>
        <w:spacing w:line="379" w:lineRule="auto" w:before="81"/>
        <w:ind w:left="514" w:right="0" w:firstLine="1"/>
        <w:jc w:val="left"/>
      </w:pPr>
      <w:r>
        <w:rPr>
          <w:rFonts w:ascii="宋体" w:hAnsi="宋体" w:cs="宋体" w:eastAsia="宋体" w:hint="default"/>
          <w:b/>
          <w:bCs/>
        </w:rPr>
        <w:t>以摊余成本计量的金融资产</w:t>
      </w:r>
      <w:r>
        <w:rPr>
          <w:rFonts w:ascii="宋体" w:hAnsi="宋体" w:cs="宋体" w:eastAsia="宋体" w:hint="default"/>
          <w:b/>
          <w:bCs/>
          <w:w w:val="99"/>
        </w:rPr>
        <w:t> </w:t>
      </w:r>
      <w:r>
        <w:rPr>
          <w:spacing w:val="-2"/>
        </w:rPr>
        <w:t>本集团将同时符合下列条件且未被指定为以公允价值计量且其变动计入当期损益的金融资产，分类为以摊余成本计量的</w:t>
      </w:r>
    </w:p>
    <w:p>
      <w:pPr>
        <w:pStyle w:val="BodyText"/>
        <w:spacing w:line="208" w:lineRule="exact"/>
        <w:ind w:right="2239"/>
        <w:jc w:val="left"/>
      </w:pPr>
      <w:r>
        <w:rPr/>
        <w:t>金融资产：</w:t>
      </w:r>
    </w:p>
    <w:p>
      <w:pPr>
        <w:pStyle w:val="BodyText"/>
        <w:spacing w:line="240" w:lineRule="auto" w:before="76"/>
        <w:ind w:left="514" w:right="2239"/>
        <w:jc w:val="left"/>
      </w:pPr>
      <w:r>
        <w:rPr/>
        <w:t>·</w:t>
      </w:r>
      <w:r>
        <w:rPr>
          <w:spacing w:val="79"/>
        </w:rPr>
        <w:t> </w:t>
      </w:r>
      <w:r>
        <w:rPr/>
        <w:t>本集团管理该金融资产的业务模式是以收取合同现金流量为目标；</w:t>
      </w:r>
    </w:p>
    <w:p>
      <w:pPr>
        <w:pStyle w:val="BodyText"/>
        <w:spacing w:line="316" w:lineRule="auto" w:before="76"/>
        <w:ind w:left="514" w:right="1041"/>
        <w:jc w:val="left"/>
      </w:pPr>
      <w:r>
        <w:rPr/>
        <w:t>·</w:t>
      </w:r>
      <w:r>
        <w:rPr>
          <w:spacing w:val="79"/>
        </w:rPr>
        <w:t> </w:t>
      </w:r>
      <w:r>
        <w:rPr/>
        <w:t>该金融资产的合同条款规定，在特定日期产生的现金流量，仅为对本金和以未偿付本金金额为基础的利息的支付。</w:t>
      </w:r>
      <w:r>
        <w:rPr/>
        <w:t> </w:t>
      </w:r>
      <w:r>
        <w:rPr>
          <w:spacing w:val="-2"/>
        </w:rPr>
        <w:t>初始确认后，对于该类金融资产采用实际利率法以摊余成本计量。以摊余成本计量且不属于任何套期关系的一部分的金</w:t>
      </w:r>
    </w:p>
    <w:p>
      <w:pPr>
        <w:spacing w:line="381" w:lineRule="auto" w:before="19"/>
        <w:ind w:left="513" w:right="0" w:hanging="360"/>
        <w:jc w:val="left"/>
        <w:rPr>
          <w:rFonts w:ascii="宋体" w:hAnsi="宋体" w:cs="宋体" w:eastAsia="宋体" w:hint="default"/>
          <w:sz w:val="18"/>
          <w:szCs w:val="18"/>
        </w:rPr>
      </w:pPr>
      <w:r>
        <w:rPr>
          <w:rFonts w:ascii="宋体" w:hAnsi="宋体" w:cs="宋体" w:eastAsia="宋体" w:hint="default"/>
          <w:sz w:val="18"/>
          <w:szCs w:val="18"/>
        </w:rPr>
        <w:t>融资产所产生的利得或损失，在终止确认、按照实际利率法摊销或确认减值时，计入当期损益。 </w:t>
      </w:r>
      <w:r>
        <w:rPr>
          <w:rFonts w:ascii="宋体" w:hAnsi="宋体" w:cs="宋体" w:eastAsia="宋体" w:hint="default"/>
          <w:b/>
          <w:bCs/>
          <w:sz w:val="18"/>
          <w:szCs w:val="18"/>
        </w:rPr>
        <w:t>以公允价值计量且其变动计入其他综合收益的金融资产</w:t>
      </w:r>
      <w:r>
        <w:rPr>
          <w:rFonts w:ascii="宋体" w:hAnsi="宋体" w:cs="宋体" w:eastAsia="宋体" w:hint="default"/>
          <w:b/>
          <w:bCs/>
          <w:w w:val="99"/>
          <w:sz w:val="18"/>
          <w:szCs w:val="18"/>
        </w:rPr>
        <w:t> </w:t>
      </w:r>
      <w:r>
        <w:rPr>
          <w:rFonts w:ascii="宋体" w:hAnsi="宋体" w:cs="宋体" w:eastAsia="宋体" w:hint="default"/>
          <w:spacing w:val="-2"/>
          <w:sz w:val="18"/>
          <w:szCs w:val="18"/>
        </w:rPr>
        <w:t>本集团将同时符合下列条件且未被指定为以公允价值计量且其变动计入当期损益的金融资产，分类为以公允价值计量且</w:t>
      </w:r>
    </w:p>
    <w:p>
      <w:pPr>
        <w:pStyle w:val="BodyText"/>
        <w:spacing w:line="206" w:lineRule="exact"/>
        <w:ind w:left="153" w:right="2239"/>
        <w:jc w:val="left"/>
      </w:pPr>
      <w:r>
        <w:rPr/>
        <w:t>其变动计入其他综合收益的金融资产：</w:t>
      </w:r>
    </w:p>
    <w:p>
      <w:pPr>
        <w:pStyle w:val="BodyText"/>
        <w:spacing w:line="240" w:lineRule="auto" w:before="76"/>
        <w:ind w:left="513" w:right="2239"/>
        <w:jc w:val="left"/>
      </w:pPr>
      <w:r>
        <w:rPr/>
        <w:t>·</w:t>
      </w:r>
      <w:r>
        <w:rPr>
          <w:spacing w:val="79"/>
        </w:rPr>
        <w:t> </w:t>
      </w:r>
      <w:r>
        <w:rPr/>
        <w:t>本集团管理该金融资产的业务模式既以收取合同现金流量为目标又以出售该金融资产为目标；</w:t>
      </w:r>
    </w:p>
    <w:p>
      <w:pPr>
        <w:pStyle w:val="BodyText"/>
        <w:spacing w:line="316" w:lineRule="auto" w:before="76"/>
        <w:ind w:left="513" w:right="1042"/>
        <w:jc w:val="left"/>
      </w:pPr>
      <w:r>
        <w:rPr/>
        <w:t>·</w:t>
      </w:r>
      <w:r>
        <w:rPr>
          <w:spacing w:val="79"/>
        </w:rPr>
        <w:t> </w:t>
      </w:r>
      <w:r>
        <w:rPr/>
        <w:t>该金融资产的合同条款规定，在特定日期产生的现金流量，仅为对本金和以未偿付本金金额为基础的利息的支付。</w:t>
      </w:r>
      <w:r>
        <w:rPr/>
        <w:t> </w:t>
      </w:r>
      <w:r>
        <w:rPr>
          <w:spacing w:val="-2"/>
        </w:rPr>
        <w:t>初始确认后，对于该类金融资产以公允价值进行后续计量。采用实际利率法计算的利息、减值损失或利得及汇兑损益计</w:t>
      </w:r>
    </w:p>
    <w:p>
      <w:pPr>
        <w:pStyle w:val="BodyText"/>
        <w:spacing w:line="316" w:lineRule="auto" w:before="19"/>
        <w:ind w:left="153" w:right="0"/>
        <w:jc w:val="left"/>
      </w:pPr>
      <w:r>
        <w:rPr>
          <w:spacing w:val="-2"/>
        </w:rPr>
        <w:t>入当期损益，其他利得或损失计入其他综合收益。终止确认时，将之前计入其他综合收益的累计利得或损失从其他综合收益</w:t>
      </w:r>
      <w:r>
        <w:rPr>
          <w:spacing w:val="-66"/>
        </w:rPr>
        <w:t> </w:t>
      </w:r>
      <w:r>
        <w:rPr>
          <w:spacing w:val="-66"/>
        </w:rPr>
      </w:r>
      <w:r>
        <w:rPr/>
        <w:t>中转出，计入当期损益。</w:t>
      </w:r>
    </w:p>
    <w:p>
      <w:pPr>
        <w:spacing w:line="379" w:lineRule="auto" w:before="81"/>
        <w:ind w:left="513" w:right="0" w:firstLine="1"/>
        <w:jc w:val="left"/>
        <w:rPr>
          <w:rFonts w:ascii="宋体" w:hAnsi="宋体" w:cs="宋体" w:eastAsia="宋体" w:hint="default"/>
          <w:sz w:val="18"/>
          <w:szCs w:val="18"/>
        </w:rPr>
      </w:pPr>
      <w:r>
        <w:rPr>
          <w:rFonts w:ascii="宋体" w:hAnsi="宋体" w:cs="宋体" w:eastAsia="宋体" w:hint="default"/>
          <w:b/>
          <w:bCs/>
          <w:sz w:val="18"/>
          <w:szCs w:val="18"/>
        </w:rPr>
        <w:t>以公允价值计量且其变动计入当期损益的金融资产</w:t>
      </w:r>
      <w:r>
        <w:rPr>
          <w:rFonts w:ascii="宋体" w:hAnsi="宋体" w:cs="宋体" w:eastAsia="宋体" w:hint="default"/>
          <w:b/>
          <w:bCs/>
          <w:w w:val="99"/>
          <w:sz w:val="18"/>
          <w:szCs w:val="18"/>
        </w:rPr>
        <w:t> </w:t>
      </w:r>
      <w:r>
        <w:rPr>
          <w:rFonts w:ascii="宋体" w:hAnsi="宋体" w:cs="宋体" w:eastAsia="宋体" w:hint="default"/>
          <w:spacing w:val="-2"/>
          <w:sz w:val="18"/>
          <w:szCs w:val="18"/>
        </w:rPr>
        <w:t>除上述以摊余成本计量和以公允价值计量且其变动计入其他综合收益的金融资产外，本集团将其余所有的金融资产分类</w:t>
      </w:r>
    </w:p>
    <w:p>
      <w:pPr>
        <w:pStyle w:val="BodyText"/>
        <w:spacing w:line="208" w:lineRule="exact"/>
        <w:ind w:left="153" w:right="0"/>
        <w:jc w:val="left"/>
      </w:pPr>
      <w:r>
        <w:rPr/>
        <w:t>为以公允价值计量且其变动计入当期损益的金融资产。在初始确认时，为消除或显著减少会计错配，本集团将部分本应以摊</w:t>
      </w:r>
    </w:p>
    <w:p>
      <w:pPr>
        <w:pStyle w:val="BodyText"/>
        <w:spacing w:line="240" w:lineRule="auto" w:before="76"/>
        <w:ind w:left="153" w:right="0"/>
        <w:jc w:val="left"/>
      </w:pPr>
      <w:r>
        <w:rPr/>
        <w:t>余成本计量或以公允价值计量且其变动计入其他综合收益的金融资产不可撤销地指定为以公允价值计量且其变动计入当期</w:t>
      </w:r>
    </w:p>
    <w:p>
      <w:pPr>
        <w:spacing w:after="0" w:line="240"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3" w:right="1031" w:hanging="360"/>
        <w:jc w:val="left"/>
      </w:pPr>
      <w:r>
        <w:rPr/>
        <w:t>损益的金融资产。 初始确认后，对于该类金融资产以公允价值进行后续计量，产生的利得或损失（包括利息和股利收入）计入当期损益，</w:t>
      </w:r>
    </w:p>
    <w:p>
      <w:pPr>
        <w:pStyle w:val="BodyText"/>
        <w:spacing w:line="316" w:lineRule="auto" w:before="19"/>
        <w:ind w:left="513" w:right="0" w:hanging="360"/>
        <w:jc w:val="left"/>
      </w:pPr>
      <w:r>
        <w:rPr/>
        <w:t>除非该金融资产属于套期关系的一部分。 </w:t>
      </w:r>
      <w:r>
        <w:rPr>
          <w:spacing w:val="-2"/>
        </w:rPr>
        <w:t>但是，对于非交易性权益工具投资，本集团在初始确认时将其不可撤销地指定为以公允价值计量且其变动计入其他综合</w:t>
      </w:r>
    </w:p>
    <w:p>
      <w:pPr>
        <w:pStyle w:val="BodyText"/>
        <w:spacing w:line="316" w:lineRule="auto" w:before="19"/>
        <w:ind w:left="513" w:right="0" w:hanging="360"/>
        <w:jc w:val="left"/>
      </w:pPr>
      <w:r>
        <w:rPr/>
        <w:t>收益的金融资产。该指定在单项投资的基础上作出，且相关投资从发行方的角度符合权益工具的定义。 </w:t>
      </w:r>
      <w:r>
        <w:rPr>
          <w:spacing w:val="-2"/>
        </w:rPr>
        <w:t>初始确认后，对于该类金融资产以公允价值进行后续计量。满足条件的股利收入计入损益，其他利得或损失及公允价值</w:t>
      </w:r>
    </w:p>
    <w:p>
      <w:pPr>
        <w:pStyle w:val="BodyText"/>
        <w:spacing w:line="316" w:lineRule="auto" w:before="19"/>
        <w:ind w:left="514" w:right="1030" w:hanging="360"/>
        <w:jc w:val="left"/>
      </w:pPr>
      <w:r>
        <w:rPr/>
        <w:t>变动计入其他综合收益。终止确认时，将之前计入其他综合收益的累计利得或损失从其他综合收益中转出，计入留存收益。 </w:t>
      </w:r>
      <w:r>
        <w:rPr>
          <w:spacing w:val="-2"/>
        </w:rPr>
        <w:t>管理金融资产的业务模式，是指本集团如何管理金融资产以产生现金流量。业务模式决定本集团所管理金融资产现金流</w:t>
      </w:r>
    </w:p>
    <w:p>
      <w:pPr>
        <w:pStyle w:val="BodyText"/>
        <w:spacing w:line="316" w:lineRule="auto" w:before="19"/>
        <w:ind w:right="0"/>
        <w:jc w:val="left"/>
      </w:pPr>
      <w:r>
        <w:rPr>
          <w:spacing w:val="-2"/>
        </w:rPr>
        <w:t>量的来源是收取合同现金流量、出售金融资产还是两者兼有。本集团以客观事实为依据、以关键管理人员决定的对金融资产</w:t>
      </w:r>
      <w:r>
        <w:rPr>
          <w:spacing w:val="-66"/>
        </w:rPr>
        <w:t> </w:t>
      </w:r>
      <w:r>
        <w:rPr>
          <w:spacing w:val="-66"/>
        </w:rPr>
      </w:r>
      <w:r>
        <w:rPr/>
        <w:t>进行管理的特定业务目标为基础，确定管理金融资产的业务模式。</w:t>
      </w:r>
    </w:p>
    <w:p>
      <w:pPr>
        <w:pStyle w:val="BodyText"/>
        <w:spacing w:line="316" w:lineRule="auto" w:before="19"/>
        <w:ind w:right="1030" w:firstLine="360"/>
        <w:jc w:val="left"/>
      </w:pPr>
      <w:r>
        <w:rPr>
          <w:spacing w:val="-2"/>
        </w:rPr>
        <w:t>本集团对金融资产的合同现金流量特征进行评估，以确定相关金融资产在特定日期产生的合同现金流量是否仅为对本金</w:t>
      </w:r>
      <w:r>
        <w:rPr/>
        <w:t> 和以未偿付本金金额为基础的利息的支付。其中，本金是指金融资产在初始确认时的公允价值；利息包括对货币时间价值、 </w:t>
      </w:r>
      <w:r>
        <w:rPr>
          <w:spacing w:val="-2"/>
        </w:rPr>
        <w:t>与特定时期未偿付本金金额相关的信用风险、以及其他基本借贷风险、成本和利润的对价。此外，本集团对可能导致金融资</w:t>
      </w:r>
      <w:r>
        <w:rPr>
          <w:spacing w:val="-66"/>
        </w:rPr>
        <w:t> </w:t>
      </w:r>
      <w:r>
        <w:rPr>
          <w:spacing w:val="-66"/>
        </w:rPr>
      </w:r>
      <w:r>
        <w:rPr/>
        <w:t>产合同现金流量的时间分布或金额发生变更的合同条款进行评估，以确定其是否满足上述合同现金流量特征的要求。</w:t>
      </w:r>
    </w:p>
    <w:p>
      <w:pPr>
        <w:pStyle w:val="BodyText"/>
        <w:spacing w:line="316" w:lineRule="auto" w:before="19"/>
        <w:ind w:right="0" w:firstLine="360"/>
        <w:jc w:val="left"/>
      </w:pPr>
      <w:r>
        <w:rPr>
          <w:spacing w:val="-2"/>
        </w:rPr>
        <w:t>仅在本集团改变管理金融资产的业务模式时，所有受影响的相关金融资产在业务模式发生变更后的首个报告期间的第一</w:t>
      </w:r>
      <w:r>
        <w:rPr/>
        <w:t> 天进行重分类，否则金融资产在初始确认后不得进行重分类。</w:t>
      </w:r>
    </w:p>
    <w:p>
      <w:pPr>
        <w:pStyle w:val="BodyText"/>
        <w:spacing w:line="316" w:lineRule="auto" w:before="19"/>
        <w:ind w:right="1129" w:firstLine="360"/>
        <w:jc w:val="both"/>
      </w:pPr>
      <w:r>
        <w:rPr>
          <w:spacing w:val="-2"/>
        </w:rPr>
        <w:t>金融资产在初始确认时以公允价值计量。对于以公允价值计量且其变动计入当期损益的金融资产，相关交易费用直接计</w:t>
      </w:r>
      <w:r>
        <w:rPr/>
        <w:t> </w:t>
      </w:r>
      <w:r>
        <w:rPr>
          <w:spacing w:val="-2"/>
        </w:rPr>
        <w:t>入当期损益；对于其他类别的金融资产，相关交易费用计入初始确认金额。因销售产品或提供劳务而产生的、未包含或不考</w:t>
      </w:r>
      <w:r>
        <w:rPr>
          <w:spacing w:val="-66"/>
        </w:rPr>
        <w:t> </w:t>
      </w:r>
      <w:r>
        <w:rPr>
          <w:spacing w:val="-66"/>
        </w:rPr>
      </w:r>
      <w:r>
        <w:rPr/>
        <w:t>虑重大融资成分的应收账款，本集团按照预期有权收取的对价金额作为初始确认金额。</w:t>
      </w:r>
    </w:p>
    <w:p>
      <w:pPr>
        <w:pStyle w:val="BodyText"/>
        <w:spacing w:line="302" w:lineRule="auto" w:before="19"/>
        <w:ind w:left="514" w:right="0"/>
        <w:jc w:val="left"/>
      </w:pPr>
      <w:r>
        <w:rPr/>
        <w:t>（</w:t>
      </w:r>
      <w:r>
        <w:rPr>
          <w:rFonts w:ascii="Arial" w:hAnsi="Arial" w:cs="Arial" w:eastAsia="Arial" w:hint="default"/>
        </w:rPr>
        <w:t>3</w:t>
      </w:r>
      <w:r>
        <w:rPr/>
        <w:t>）金融负债分类和计量 </w:t>
      </w:r>
      <w:r>
        <w:rPr>
          <w:spacing w:val="-2"/>
        </w:rPr>
        <w:t>本集团的金融负债于初始确认时分类为：以公允价值计量且其变动计入当期损益的金融负债、以摊余成本计量的金融负</w:t>
      </w:r>
    </w:p>
    <w:p>
      <w:pPr>
        <w:pStyle w:val="BodyText"/>
        <w:spacing w:line="381" w:lineRule="auto" w:before="29"/>
        <w:ind w:left="514" w:right="0" w:hanging="360"/>
        <w:jc w:val="left"/>
      </w:pPr>
      <w:r>
        <w:rPr/>
        <w:t>债。对于未划分为以公允价值计量且其变动计入当期损益的金融负债的，相关交易费用计入其初始确认金额。 </w:t>
      </w:r>
      <w:r>
        <w:rPr>
          <w:rFonts w:ascii="宋体" w:hAnsi="宋体" w:cs="宋体" w:eastAsia="宋体" w:hint="default"/>
          <w:b/>
          <w:bCs/>
        </w:rPr>
        <w:t>以公允价值计量且其变动计入当期损益的金融负债</w:t>
      </w:r>
      <w:r>
        <w:rPr>
          <w:rFonts w:ascii="宋体" w:hAnsi="宋体" w:cs="宋体" w:eastAsia="宋体" w:hint="default"/>
          <w:b/>
          <w:bCs/>
          <w:w w:val="99"/>
        </w:rPr>
        <w:t> </w:t>
      </w:r>
      <w:r>
        <w:rPr>
          <w:spacing w:val="-2"/>
        </w:rPr>
        <w:t>以公允价值计量且其变动计入当期损益的金融负债，包括交易性金融负债和初始确认时指定为以公允价值计量且其变动</w:t>
      </w:r>
    </w:p>
    <w:p>
      <w:pPr>
        <w:pStyle w:val="BodyText"/>
        <w:spacing w:line="206" w:lineRule="exact"/>
        <w:ind w:right="0"/>
        <w:jc w:val="left"/>
      </w:pPr>
      <w:r>
        <w:rPr/>
        <w:t>计入当期损益的金融负债。对于此类金融负债，按照公允价值进行后续计量，公允价值变动形成的利得或损失以及与该等金</w:t>
      </w:r>
    </w:p>
    <w:p>
      <w:pPr>
        <w:spacing w:line="381" w:lineRule="auto" w:before="76"/>
        <w:ind w:left="515" w:right="7151" w:hanging="362"/>
        <w:jc w:val="left"/>
        <w:rPr>
          <w:rFonts w:ascii="宋体" w:hAnsi="宋体" w:cs="宋体" w:eastAsia="宋体" w:hint="default"/>
          <w:sz w:val="18"/>
          <w:szCs w:val="18"/>
        </w:rPr>
      </w:pPr>
      <w:r>
        <w:rPr>
          <w:rFonts w:ascii="宋体" w:hAnsi="宋体" w:cs="宋体" w:eastAsia="宋体" w:hint="default"/>
          <w:sz w:val="18"/>
          <w:szCs w:val="18"/>
        </w:rPr>
        <w:t>融负债相关的股利和利息支出计入当期损益。 </w:t>
      </w:r>
      <w:r>
        <w:rPr>
          <w:rFonts w:ascii="宋体" w:hAnsi="宋体" w:cs="宋体" w:eastAsia="宋体" w:hint="default"/>
          <w:b/>
          <w:bCs/>
          <w:sz w:val="18"/>
          <w:szCs w:val="18"/>
        </w:rPr>
        <w:t>以摊余成本计量的金融负债</w:t>
      </w:r>
      <w:r>
        <w:rPr>
          <w:rFonts w:ascii="宋体" w:hAnsi="宋体" w:cs="宋体" w:eastAsia="宋体" w:hint="default"/>
          <w:sz w:val="18"/>
          <w:szCs w:val="18"/>
        </w:rPr>
      </w:r>
    </w:p>
    <w:p>
      <w:pPr>
        <w:pStyle w:val="BodyText"/>
        <w:spacing w:line="381" w:lineRule="auto" w:before="32"/>
        <w:ind w:left="515" w:right="1751" w:hanging="2"/>
        <w:jc w:val="left"/>
        <w:rPr>
          <w:rFonts w:ascii="宋体" w:hAnsi="宋体" w:cs="宋体" w:eastAsia="宋体" w:hint="default"/>
        </w:rPr>
      </w:pPr>
      <w:r>
        <w:rPr/>
        <w:t>其他金融负债采用实际利率法，按摊余成本进行后续计量，终止确认或摊销产生的利得或损失计入当期损益。 </w:t>
      </w:r>
      <w:r>
        <w:rPr>
          <w:rFonts w:ascii="宋体" w:hAnsi="宋体" w:cs="宋体" w:eastAsia="宋体" w:hint="default"/>
          <w:b/>
          <w:bCs/>
        </w:rPr>
        <w:t>金融负债与权益工具的区分</w:t>
      </w:r>
      <w:r>
        <w:rPr>
          <w:rFonts w:ascii="宋体" w:hAnsi="宋体" w:cs="宋体" w:eastAsia="宋体" w:hint="default"/>
        </w:rPr>
      </w:r>
    </w:p>
    <w:p>
      <w:pPr>
        <w:pStyle w:val="BodyText"/>
        <w:spacing w:line="240" w:lineRule="auto" w:before="31"/>
        <w:ind w:left="514" w:right="2239"/>
        <w:jc w:val="left"/>
      </w:pPr>
      <w:r>
        <w:rPr/>
        <w:t>金融负债，是指符合下列条件之一的负债：</w:t>
      </w:r>
    </w:p>
    <w:p>
      <w:pPr>
        <w:pStyle w:val="BodyText"/>
        <w:spacing w:line="240" w:lineRule="auto" w:before="76"/>
        <w:ind w:left="514" w:right="2239"/>
        <w:jc w:val="left"/>
      </w:pPr>
      <w:r>
        <w:rPr/>
        <w:t>①向其他方交付现金或其他金融资产的合同义务。</w:t>
      </w:r>
    </w:p>
    <w:p>
      <w:pPr>
        <w:pStyle w:val="BodyText"/>
        <w:spacing w:line="240" w:lineRule="auto" w:before="76"/>
        <w:ind w:left="514" w:right="2239"/>
        <w:jc w:val="left"/>
      </w:pPr>
      <w:r>
        <w:rPr/>
        <w:t>②在潜在不利条件下，与其他方交换金融资产或金融负债的合同义务。</w:t>
      </w:r>
    </w:p>
    <w:p>
      <w:pPr>
        <w:pStyle w:val="BodyText"/>
        <w:spacing w:line="240" w:lineRule="auto" w:before="76"/>
        <w:ind w:left="514" w:right="0"/>
        <w:jc w:val="left"/>
      </w:pPr>
      <w:r>
        <w:rPr/>
        <w:t>③将来须用或可用企业自身权益工具进行结算的非衍生工具合同，且企业根据该合同将交付可变数量的自身权益工具。</w:t>
      </w:r>
    </w:p>
    <w:p>
      <w:pPr>
        <w:pStyle w:val="BodyText"/>
        <w:spacing w:line="316" w:lineRule="auto" w:before="76"/>
        <w:ind w:right="0" w:firstLine="360"/>
        <w:jc w:val="left"/>
      </w:pPr>
      <w:r>
        <w:rPr>
          <w:spacing w:val="-2"/>
        </w:rPr>
        <w:t>④将来须用或可用企业自身权益工具进行结算的衍生工具合同，但以固定数量的自身权益工具交换固定金额的现金或其</w:t>
      </w:r>
      <w:r>
        <w:rPr/>
        <w:t> 他金融资产的衍生工具合同除外。</w:t>
      </w:r>
    </w:p>
    <w:p>
      <w:pPr>
        <w:pStyle w:val="BodyText"/>
        <w:spacing w:line="316" w:lineRule="auto" w:before="19"/>
        <w:ind w:left="514" w:right="0"/>
        <w:jc w:val="left"/>
      </w:pPr>
      <w:r>
        <w:rPr/>
        <w:t>权益工具，是指能证明拥有某个企业在扣除所有负债后的资产中剩余权益的合同。 如果本集团不能无条件地避免以交付现金或其他金融资产来履行一项合同义务，则该合同义务符合金融负债的定义。 </w:t>
      </w:r>
      <w:r>
        <w:rPr>
          <w:spacing w:val="-2"/>
        </w:rPr>
        <w:t>如果一项金融工具须用或可用本集团自身权益工具进行结算，需要考虑用于结算该工具的本集团自身权益工具，是作为</w:t>
      </w:r>
    </w:p>
    <w:p>
      <w:pPr>
        <w:pStyle w:val="BodyText"/>
        <w:spacing w:line="316" w:lineRule="auto" w:before="19"/>
        <w:ind w:right="1030"/>
        <w:jc w:val="left"/>
      </w:pPr>
      <w:r>
        <w:rPr/>
        <w:t>现金或其他金融资产的替代品，还是为了使该工具持有方享有在发行方扣除所有负债后的资产中的剩余权益。如果是前者， 该工具是本集团的金融负债；如果是后者，该工具是本集团的权益工具。</w:t>
      </w:r>
    </w:p>
    <w:p>
      <w:pPr>
        <w:pStyle w:val="BodyText"/>
        <w:spacing w:line="302" w:lineRule="auto" w:before="19"/>
        <w:ind w:left="514" w:right="5870"/>
        <w:jc w:val="left"/>
      </w:pPr>
      <w:r>
        <w:rPr/>
        <w:t>（</w:t>
      </w:r>
      <w:r>
        <w:rPr>
          <w:rFonts w:ascii="Arial" w:hAnsi="Arial" w:cs="Arial" w:eastAsia="Arial" w:hint="default"/>
        </w:rPr>
        <w:t>4</w:t>
      </w:r>
      <w:r>
        <w:rPr/>
        <w:t>）金融工具的公允价值 金融资产和金融负债的公允价值确定方法见附注三、</w:t>
      </w:r>
      <w:r>
        <w:rPr>
          <w:rFonts w:ascii="Arial" w:hAnsi="Arial" w:cs="Arial" w:eastAsia="Arial" w:hint="default"/>
        </w:rPr>
        <w:t>10</w:t>
      </w:r>
      <w:r>
        <w:rPr/>
        <w:t>。</w:t>
      </w:r>
    </w:p>
    <w:p>
      <w:pPr>
        <w:pStyle w:val="BodyText"/>
        <w:spacing w:line="240" w:lineRule="auto" w:before="11"/>
        <w:ind w:left="514" w:right="2239"/>
        <w:jc w:val="left"/>
      </w:pPr>
      <w:r>
        <w:rPr/>
        <w:t>（</w:t>
      </w:r>
      <w:r>
        <w:rPr>
          <w:rFonts w:ascii="Arial" w:hAnsi="Arial" w:cs="Arial" w:eastAsia="Arial" w:hint="default"/>
        </w:rPr>
        <w:t>5</w:t>
      </w:r>
      <w:r>
        <w:rPr/>
        <w:t>）金融资产减值</w:t>
      </w:r>
    </w:p>
    <w:p>
      <w:pPr>
        <w:spacing w:after="0" w:line="240"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3" w:right="2239"/>
        <w:jc w:val="left"/>
      </w:pPr>
      <w:r>
        <w:rPr/>
        <w:t>本集团以预期信用损失为基础，对下列项目进行减值会计处理并确认损失准备：</w:t>
      </w:r>
    </w:p>
    <w:p>
      <w:pPr>
        <w:pStyle w:val="BodyText"/>
        <w:spacing w:line="240" w:lineRule="auto" w:before="76"/>
        <w:ind w:left="513" w:right="2239"/>
        <w:jc w:val="left"/>
      </w:pPr>
      <w:r>
        <w:rPr/>
        <w:t>·</w:t>
      </w:r>
      <w:r>
        <w:rPr>
          <w:spacing w:val="79"/>
        </w:rPr>
        <w:t> </w:t>
      </w:r>
      <w:r>
        <w:rPr/>
        <w:t>以摊余成本计量的金融资产；</w:t>
      </w:r>
    </w:p>
    <w:p>
      <w:pPr>
        <w:pStyle w:val="BodyText"/>
        <w:spacing w:line="240" w:lineRule="auto" w:before="76"/>
        <w:ind w:left="513" w:right="2239"/>
        <w:jc w:val="left"/>
      </w:pPr>
      <w:r>
        <w:rPr/>
        <w:t>·</w:t>
      </w:r>
      <w:r>
        <w:rPr>
          <w:spacing w:val="79"/>
        </w:rPr>
        <w:t> </w:t>
      </w:r>
      <w:r>
        <w:rPr/>
        <w:t>以公允价值计量且其变动计入其他综合收益的应收款项和债权投资；</w:t>
      </w:r>
    </w:p>
    <w:p>
      <w:pPr>
        <w:pStyle w:val="BodyText"/>
        <w:spacing w:line="240" w:lineRule="auto" w:before="76"/>
        <w:ind w:left="513" w:right="2239"/>
        <w:jc w:val="left"/>
      </w:pPr>
      <w:r>
        <w:rPr/>
        <w:t>·</w:t>
      </w:r>
      <w:r>
        <w:rPr>
          <w:spacing w:val="79"/>
        </w:rPr>
        <w:t> </w:t>
      </w:r>
      <w:r>
        <w:rPr/>
        <w:t>租赁应收款；</w:t>
      </w:r>
    </w:p>
    <w:p>
      <w:pPr>
        <w:pStyle w:val="BodyText"/>
        <w:spacing w:line="316" w:lineRule="auto" w:before="76"/>
        <w:ind w:left="153" w:right="1131" w:firstLine="420"/>
        <w:jc w:val="both"/>
      </w:pPr>
      <w:r>
        <w:rPr/>
        <w:t>·</w:t>
      </w:r>
      <w:r>
        <w:rPr>
          <w:spacing w:val="-48"/>
        </w:rPr>
        <w:t> </w:t>
      </w:r>
      <w:r>
        <w:rPr/>
        <w:t>财务担保合同（以公允价值计量且其变动计入当期损益、金融资产转移不符合终止确认条件或继续涉入被转移金融</w:t>
      </w:r>
      <w:r>
        <w:rPr/>
        <w:t> 资产所形成的除外）。</w:t>
      </w:r>
    </w:p>
    <w:p>
      <w:pPr>
        <w:pStyle w:val="BodyText"/>
        <w:spacing w:line="379" w:lineRule="auto" w:before="81"/>
        <w:ind w:left="513" w:right="0" w:firstLine="1"/>
        <w:jc w:val="left"/>
      </w:pPr>
      <w:r>
        <w:rPr>
          <w:rFonts w:ascii="宋体" w:hAnsi="宋体" w:cs="宋体" w:eastAsia="宋体" w:hint="default"/>
          <w:b/>
          <w:bCs/>
        </w:rPr>
        <w:t>预期信用损失的计量</w:t>
      </w:r>
      <w:r>
        <w:rPr>
          <w:rFonts w:ascii="宋体" w:hAnsi="宋体" w:cs="宋体" w:eastAsia="宋体" w:hint="default"/>
          <w:b/>
          <w:bCs/>
          <w:spacing w:val="1"/>
          <w:w w:val="99"/>
        </w:rPr>
        <w:t> </w:t>
      </w:r>
      <w:r>
        <w:rPr>
          <w:spacing w:val="-2"/>
        </w:rPr>
        <w:t>预期信用损失，是指以发生违约的风险为权重的金融工具信用损失的加权平均值。信用损失，是指本集团按照原实际利</w:t>
      </w:r>
    </w:p>
    <w:p>
      <w:pPr>
        <w:pStyle w:val="BodyText"/>
        <w:spacing w:line="208" w:lineRule="exact"/>
        <w:ind w:left="153" w:right="0"/>
        <w:jc w:val="left"/>
      </w:pPr>
      <w:r>
        <w:rPr/>
        <w:t>率折现的、根据合同应收的所有合同现金流量与预期收取的所有现金流量之间的差额，即全部现金短缺的现值。</w:t>
      </w:r>
    </w:p>
    <w:p>
      <w:pPr>
        <w:pStyle w:val="BodyText"/>
        <w:spacing w:line="316" w:lineRule="auto" w:before="76"/>
        <w:ind w:left="153" w:right="1131" w:firstLine="360"/>
        <w:jc w:val="both"/>
      </w:pPr>
      <w:r>
        <w:rPr>
          <w:spacing w:val="-2"/>
        </w:rPr>
        <w:t>本公司考虑有关过去事项、当前状况以及对未来经济状况的预测等合理且有依据的信息，以发生违约的风险为权重，计</w:t>
      </w:r>
      <w:r>
        <w:rPr/>
        <w:t> 算合同应收的现金流量与预期能收到的现金流量之间差额的现值的概率加权金额，确认预期信用损失。</w:t>
      </w:r>
    </w:p>
    <w:p>
      <w:pPr>
        <w:pStyle w:val="BodyText"/>
        <w:spacing w:line="312" w:lineRule="auto" w:before="19"/>
        <w:ind w:left="153" w:right="1130" w:firstLine="360"/>
        <w:jc w:val="both"/>
      </w:pPr>
      <w:r>
        <w:rPr>
          <w:spacing w:val="-2"/>
        </w:rPr>
        <w:t>本集团对于处于不同阶段的金融工具的预期信用损失分别进行计量。金融工具自初始确认后信用风险未显著增加的，处</w:t>
      </w:r>
      <w:r>
        <w:rPr/>
        <w:t> 于第一阶段，本集团按照未来</w:t>
      </w:r>
      <w:r>
        <w:rPr>
          <w:rFonts w:ascii="Arial" w:hAnsi="Arial" w:cs="Arial" w:eastAsia="Arial" w:hint="default"/>
        </w:rPr>
        <w:t>12</w:t>
      </w:r>
      <w:r>
        <w:rPr/>
        <w:t>个月内的预期信用损失计量损失准备；金融工具自初始确认后信用风险已显著增加但尚未</w:t>
      </w:r>
      <w:r>
        <w:rPr>
          <w:spacing w:val="-36"/>
        </w:rPr>
        <w:t> </w:t>
      </w:r>
      <w:r>
        <w:rPr>
          <w:spacing w:val="-36"/>
        </w:rPr>
      </w:r>
      <w:r>
        <w:rPr>
          <w:spacing w:val="-2"/>
        </w:rPr>
        <w:t>发生信用减值的，处于第二阶段，本集团按照该工具整个存续期的预期信用损失计量损失准备；金融工具自初始确认后已经</w:t>
      </w:r>
      <w:r>
        <w:rPr>
          <w:spacing w:val="-66"/>
        </w:rPr>
        <w:t> </w:t>
      </w:r>
      <w:r>
        <w:rPr>
          <w:spacing w:val="-66"/>
        </w:rPr>
      </w:r>
      <w:r>
        <w:rPr/>
        <w:t>发生信用减值的，处于第三阶段，本集团按照该工具整个存续期的预期信用损失计量损失准备。</w:t>
      </w:r>
    </w:p>
    <w:p>
      <w:pPr>
        <w:pStyle w:val="BodyText"/>
        <w:spacing w:line="302" w:lineRule="auto" w:before="22"/>
        <w:ind w:left="153" w:right="1130" w:firstLine="360"/>
        <w:jc w:val="both"/>
      </w:pPr>
      <w:r>
        <w:rPr/>
        <w:t>对于在资产负债表日具有较低信用风险的金融工具，本集团假设其信用风险自初始确认后并未显著增加，按照未来</w:t>
      </w:r>
      <w:r>
        <w:rPr>
          <w:rFonts w:ascii="Arial" w:hAnsi="Arial" w:cs="Arial" w:eastAsia="Arial" w:hint="default"/>
        </w:rPr>
        <w:t>12</w:t>
      </w:r>
      <w:r>
        <w:rPr>
          <w:rFonts w:ascii="Arial" w:hAnsi="Arial" w:cs="Arial" w:eastAsia="Arial" w:hint="default"/>
          <w:spacing w:val="-1"/>
        </w:rPr>
        <w:t> </w:t>
      </w:r>
      <w:r>
        <w:rPr/>
        <w:t>个月内的预期信用损失计量损失准备。</w:t>
      </w:r>
    </w:p>
    <w:p>
      <w:pPr>
        <w:pStyle w:val="BodyText"/>
        <w:spacing w:line="309" w:lineRule="auto" w:before="29"/>
        <w:ind w:left="153" w:right="1125" w:firstLine="360"/>
        <w:jc w:val="both"/>
      </w:pPr>
      <w:r>
        <w:rPr/>
        <w:t>整个存续期预期信用损失，是指因金融工具整个预计存续期内所有可能发生的违约事件而导致的预期信用损失。未来</w:t>
      </w:r>
      <w:r>
        <w:rPr>
          <w:spacing w:val="2"/>
        </w:rPr>
        <w:t> </w:t>
      </w:r>
      <w:r>
        <w:rPr>
          <w:rFonts w:ascii="Arial" w:hAnsi="Arial" w:cs="Arial" w:eastAsia="Arial" w:hint="default"/>
        </w:rPr>
        <w:t>12</w:t>
      </w:r>
      <w:r>
        <w:rPr/>
        <w:t>个月内预期信用损失，是指因资产负债表日后</w:t>
      </w:r>
      <w:r>
        <w:rPr>
          <w:rFonts w:ascii="Arial" w:hAnsi="Arial" w:cs="Arial" w:eastAsia="Arial" w:hint="default"/>
        </w:rPr>
        <w:t>12</w:t>
      </w:r>
      <w:r>
        <w:rPr/>
        <w:t>个月内（若金融工具的预计存续期少于</w:t>
      </w:r>
      <w:r>
        <w:rPr>
          <w:rFonts w:ascii="Arial" w:hAnsi="Arial" w:cs="Arial" w:eastAsia="Arial" w:hint="default"/>
        </w:rPr>
        <w:t>12</w:t>
      </w:r>
      <w:r>
        <w:rPr/>
        <w:t>个月，则为预计存续期）可能</w:t>
      </w:r>
      <w:r>
        <w:rPr>
          <w:spacing w:val="-61"/>
        </w:rPr>
        <w:t> </w:t>
      </w:r>
      <w:r>
        <w:rPr>
          <w:spacing w:val="-61"/>
        </w:rPr>
      </w:r>
      <w:r>
        <w:rPr/>
        <w:t>发生的金融工具违约事件而导致的预期信用损失，是整个存续期预期信用损失的一部分。</w:t>
      </w:r>
    </w:p>
    <w:p>
      <w:pPr>
        <w:pStyle w:val="BodyText"/>
        <w:spacing w:line="316" w:lineRule="auto" w:before="24"/>
        <w:ind w:left="513" w:right="0"/>
        <w:jc w:val="left"/>
      </w:pPr>
      <w:r>
        <w:rPr/>
        <w:t>在计量预期信用损失时，本集团需考虑的最长期限为企业面临信用风险的最长合同期限（包括考虑续约选择权）。 </w:t>
      </w:r>
      <w:r>
        <w:rPr>
          <w:spacing w:val="-2"/>
        </w:rPr>
        <w:t>本集团对于处于第一阶段和第二阶段、以及较低信用风险的金融工具，按照其未扣除减值准备的账面余额和实际利率计</w:t>
      </w:r>
    </w:p>
    <w:p>
      <w:pPr>
        <w:pStyle w:val="BodyText"/>
        <w:spacing w:line="316" w:lineRule="auto" w:before="19"/>
        <w:ind w:left="513" w:right="0" w:hanging="360"/>
        <w:jc w:val="left"/>
      </w:pPr>
      <w:r>
        <w:rPr/>
        <w:t>算利息收入。对于处于第三阶段的金融工具，按照其账面余额减已计提减值准备后的摊余成本和实际利率计算利息收入。 </w:t>
      </w:r>
      <w:r>
        <w:rPr>
          <w:spacing w:val="-2"/>
        </w:rPr>
        <w:t>对于应收票据、应收账款，无论是否存在重大融资成分，本集团始终按照相当于整个存续期内预期信用损失的金额计量</w:t>
      </w:r>
    </w:p>
    <w:p>
      <w:pPr>
        <w:pStyle w:val="BodyText"/>
        <w:spacing w:line="240" w:lineRule="auto" w:before="19"/>
        <w:ind w:left="153" w:right="2239"/>
        <w:jc w:val="left"/>
      </w:pPr>
      <w:r>
        <w:rPr/>
        <w:t>其损失准备。</w:t>
      </w:r>
    </w:p>
    <w:p>
      <w:pPr>
        <w:pStyle w:val="BodyText"/>
        <w:spacing w:line="316" w:lineRule="auto" w:before="76"/>
        <w:ind w:left="153" w:right="1125" w:firstLine="360"/>
        <w:jc w:val="both"/>
      </w:pPr>
      <w:r>
        <w:rPr/>
        <w:t>当单项金融资产无法以合理成本评估预期信用损失的信息时，本集团依据信用风险特征对应收票据和应收账款划分组</w:t>
      </w:r>
      <w:r>
        <w:rPr>
          <w:spacing w:val="2"/>
        </w:rPr>
        <w:t> </w:t>
      </w:r>
      <w:r>
        <w:rPr/>
        <w:t>合，在组合基础上计算预期信用损失，确定组合的依据如下：</w:t>
      </w:r>
    </w:p>
    <w:p>
      <w:pPr>
        <w:pStyle w:val="BodyText"/>
        <w:spacing w:line="240" w:lineRule="auto" w:before="19"/>
        <w:ind w:left="513" w:right="2239"/>
        <w:jc w:val="left"/>
      </w:pPr>
      <w:r>
        <w:rPr>
          <w:rFonts w:ascii="Arial" w:hAnsi="Arial" w:cs="Arial" w:eastAsia="Arial" w:hint="default"/>
        </w:rPr>
        <w:t>A</w:t>
      </w:r>
      <w:r>
        <w:rPr/>
        <w:t>、应收票据</w:t>
      </w:r>
    </w:p>
    <w:p>
      <w:pPr>
        <w:pStyle w:val="BodyText"/>
        <w:spacing w:line="302" w:lineRule="auto" w:before="63"/>
        <w:ind w:left="993" w:right="7471"/>
        <w:jc w:val="left"/>
      </w:pPr>
      <w:r>
        <w:rPr/>
        <w:t>应收票据组合</w:t>
      </w:r>
      <w:r>
        <w:rPr>
          <w:rFonts w:ascii="Arial" w:hAnsi="Arial" w:cs="Arial" w:eastAsia="Arial" w:hint="default"/>
        </w:rPr>
        <w:t>1</w:t>
      </w:r>
      <w:r>
        <w:rPr/>
        <w:t>：银行承兑汇票 应收票据组合</w:t>
      </w:r>
      <w:r>
        <w:rPr>
          <w:rFonts w:ascii="Arial" w:hAnsi="Arial" w:cs="Arial" w:eastAsia="Arial" w:hint="default"/>
        </w:rPr>
        <w:t>2</w:t>
      </w:r>
      <w:r>
        <w:rPr/>
        <w:t>：商业承兑汇票</w:t>
      </w:r>
    </w:p>
    <w:p>
      <w:pPr>
        <w:pStyle w:val="BodyText"/>
        <w:spacing w:line="240" w:lineRule="auto" w:before="11"/>
        <w:ind w:left="513" w:right="2239"/>
        <w:jc w:val="left"/>
      </w:pPr>
      <w:r>
        <w:rPr>
          <w:rFonts w:ascii="Arial" w:hAnsi="Arial" w:cs="Arial" w:eastAsia="Arial" w:hint="default"/>
        </w:rPr>
        <w:t>B</w:t>
      </w:r>
      <w:r>
        <w:rPr/>
        <w:t>、应收账款</w:t>
      </w:r>
    </w:p>
    <w:p>
      <w:pPr>
        <w:pStyle w:val="BodyText"/>
        <w:spacing w:line="302" w:lineRule="auto" w:before="63"/>
        <w:ind w:left="993" w:right="6211"/>
        <w:jc w:val="left"/>
      </w:pPr>
      <w:r>
        <w:rPr/>
        <w:t>应收账款组合</w:t>
      </w:r>
      <w:r>
        <w:rPr>
          <w:rFonts w:ascii="Arial" w:hAnsi="Arial" w:cs="Arial" w:eastAsia="Arial" w:hint="default"/>
        </w:rPr>
        <w:t>1</w:t>
      </w:r>
      <w:r>
        <w:rPr/>
        <w:t>：应收合并报表范围内客户 应收账款组合</w:t>
      </w:r>
      <w:r>
        <w:rPr>
          <w:rFonts w:ascii="Arial" w:hAnsi="Arial" w:cs="Arial" w:eastAsia="Arial" w:hint="default"/>
        </w:rPr>
        <w:t>2</w:t>
      </w:r>
      <w:r>
        <w:rPr/>
        <w:t>：应收政府部门、事业单位客户 应收账款组合</w:t>
      </w:r>
      <w:r>
        <w:rPr>
          <w:rFonts w:ascii="Arial" w:hAnsi="Arial" w:cs="Arial" w:eastAsia="Arial" w:hint="default"/>
        </w:rPr>
        <w:t>3</w:t>
      </w:r>
      <w:r>
        <w:rPr/>
        <w:t>：应收其他客户</w:t>
      </w:r>
    </w:p>
    <w:p>
      <w:pPr>
        <w:pStyle w:val="BodyText"/>
        <w:spacing w:line="316" w:lineRule="auto" w:before="11"/>
        <w:ind w:left="153" w:right="1131" w:firstLine="360"/>
        <w:jc w:val="both"/>
      </w:pPr>
      <w:r>
        <w:rPr>
          <w:spacing w:val="-2"/>
        </w:rPr>
        <w:t>对于划分为组合的应收票据，本集团参考历史信用损失经验，结合当前状况以及对未来经济状况的预测，通过违约风险</w:t>
      </w:r>
      <w:r>
        <w:rPr/>
        <w:t> 敞口和整个存续期预期信用损失率，计算预期信用损失。</w:t>
      </w:r>
    </w:p>
    <w:p>
      <w:pPr>
        <w:pStyle w:val="BodyText"/>
        <w:spacing w:line="316" w:lineRule="auto" w:before="19"/>
        <w:ind w:left="153" w:right="1131" w:firstLine="360"/>
        <w:jc w:val="both"/>
      </w:pPr>
      <w:r>
        <w:rPr>
          <w:spacing w:val="-2"/>
        </w:rPr>
        <w:t>对于划分为组合的应收账款，本集团参考历史信用损失经验，结合当前状况以及对未来经济状况的预测，编制应收账款</w:t>
      </w:r>
      <w:r>
        <w:rPr/>
        <w:t> 账龄与整个存续期预期信用损失率对照表，计算预期信用损失。</w:t>
      </w:r>
    </w:p>
    <w:p>
      <w:pPr>
        <w:pStyle w:val="BodyText"/>
        <w:spacing w:line="316" w:lineRule="auto" w:before="19"/>
        <w:ind w:left="513" w:right="1391"/>
        <w:jc w:val="left"/>
      </w:pPr>
      <w:r>
        <w:rPr/>
        <w:t>其他应收款 本集团依据信用风险特征将其他应收款划分为若干组合，在组合基础上计算预期信用损失，确定组合的依据如下：</w:t>
      </w:r>
    </w:p>
    <w:p>
      <w:pPr>
        <w:pStyle w:val="BodyText"/>
        <w:spacing w:line="302" w:lineRule="auto" w:before="19"/>
        <w:ind w:left="994" w:right="6391" w:hanging="1"/>
        <w:jc w:val="left"/>
      </w:pPr>
      <w:r>
        <w:rPr/>
        <w:t>其他应收款组合</w:t>
      </w:r>
      <w:r>
        <w:rPr>
          <w:rFonts w:ascii="Arial" w:hAnsi="Arial" w:cs="Arial" w:eastAsia="Arial" w:hint="default"/>
        </w:rPr>
        <w:t>1</w:t>
      </w:r>
      <w:r>
        <w:rPr/>
        <w:t>：应收合并报表范围内款项 其他应收款组合</w:t>
      </w:r>
      <w:r>
        <w:rPr>
          <w:rFonts w:ascii="Arial" w:hAnsi="Arial" w:cs="Arial" w:eastAsia="Arial" w:hint="default"/>
        </w:rPr>
        <w:t>2</w:t>
      </w:r>
      <w:r>
        <w:rPr/>
        <w:t>：应收押金、保证金 其他应收款组合</w:t>
      </w:r>
      <w:r>
        <w:rPr>
          <w:rFonts w:ascii="Arial" w:hAnsi="Arial" w:cs="Arial" w:eastAsia="Arial" w:hint="default"/>
        </w:rPr>
        <w:t>3</w:t>
      </w:r>
      <w:r>
        <w:rPr/>
        <w:t>：应收备用金 其他应收款组合</w:t>
      </w:r>
      <w:r>
        <w:rPr>
          <w:rFonts w:ascii="Arial" w:hAnsi="Arial" w:cs="Arial" w:eastAsia="Arial" w:hint="default"/>
        </w:rPr>
        <w:t>4</w:t>
      </w:r>
      <w:r>
        <w:rPr/>
        <w:t>：应收其他款项</w:t>
      </w:r>
    </w:p>
    <w:p>
      <w:pPr>
        <w:spacing w:after="0" w:line="302"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02" w:lineRule="auto" w:before="44"/>
        <w:ind w:left="153" w:right="1155" w:firstLine="360"/>
        <w:jc w:val="left"/>
      </w:pPr>
      <w:r>
        <w:rPr/>
        <w:t>对划分为组合的其他应收款，本集团通过违约风险敞口和未来</w:t>
      </w:r>
      <w:r>
        <w:rPr>
          <w:rFonts w:ascii="Arial" w:hAnsi="Arial" w:cs="Arial" w:eastAsia="Arial" w:hint="default"/>
        </w:rPr>
        <w:t>12</w:t>
      </w:r>
      <w:r>
        <w:rPr/>
        <w:t>个月内或整个存续期预期信用损失率，计算预期信用 损失。</w:t>
      </w:r>
    </w:p>
    <w:p>
      <w:pPr>
        <w:pStyle w:val="BodyText"/>
        <w:spacing w:line="379" w:lineRule="auto" w:before="92"/>
        <w:ind w:left="513" w:right="0" w:firstLine="1"/>
        <w:jc w:val="left"/>
      </w:pPr>
      <w:r>
        <w:rPr>
          <w:rFonts w:ascii="宋体" w:hAnsi="宋体" w:cs="宋体" w:eastAsia="宋体" w:hint="default"/>
          <w:b/>
          <w:bCs/>
        </w:rPr>
        <w:t>债权投资、其他债权投资</w:t>
      </w:r>
      <w:r>
        <w:rPr>
          <w:rFonts w:ascii="宋体" w:hAnsi="宋体" w:cs="宋体" w:eastAsia="宋体" w:hint="default"/>
          <w:b/>
          <w:bCs/>
          <w:spacing w:val="1"/>
          <w:w w:val="99"/>
        </w:rPr>
        <w:t> </w:t>
      </w:r>
      <w:r>
        <w:rPr>
          <w:spacing w:val="-2"/>
        </w:rPr>
        <w:t>对于债权投资和其他债权投资，本集团按照投资的性质，根据交易对手和风险敞口的各种类型，通过违约风险敞口和未</w:t>
      </w:r>
    </w:p>
    <w:p>
      <w:pPr>
        <w:pStyle w:val="BodyText"/>
        <w:spacing w:line="220" w:lineRule="exact"/>
        <w:ind w:left="153" w:right="2239"/>
        <w:jc w:val="left"/>
      </w:pPr>
      <w:r>
        <w:rPr/>
        <w:t>来</w:t>
      </w:r>
      <w:r>
        <w:rPr>
          <w:rFonts w:ascii="Arial" w:hAnsi="Arial" w:cs="Arial" w:eastAsia="Arial" w:hint="default"/>
        </w:rPr>
        <w:t>12</w:t>
      </w:r>
      <w:r>
        <w:rPr/>
        <w:t>个月内或整个存续期预期信用损失率，计算预期信用损失。</w:t>
      </w:r>
    </w:p>
    <w:p>
      <w:pPr>
        <w:pStyle w:val="BodyText"/>
        <w:spacing w:line="381" w:lineRule="auto" w:before="126"/>
        <w:ind w:left="513" w:right="0" w:firstLine="1"/>
        <w:jc w:val="left"/>
      </w:pPr>
      <w:r>
        <w:rPr>
          <w:rFonts w:ascii="宋体" w:hAnsi="宋体" w:cs="宋体" w:eastAsia="宋体" w:hint="default"/>
          <w:b/>
          <w:bCs/>
        </w:rPr>
        <w:t>信用风险显著增加的评估</w:t>
      </w:r>
      <w:r>
        <w:rPr>
          <w:rFonts w:ascii="宋体" w:hAnsi="宋体" w:cs="宋体" w:eastAsia="宋体" w:hint="default"/>
          <w:b/>
          <w:bCs/>
          <w:spacing w:val="1"/>
          <w:w w:val="99"/>
        </w:rPr>
        <w:t> </w:t>
      </w:r>
      <w:r>
        <w:rPr>
          <w:spacing w:val="-2"/>
        </w:rPr>
        <w:t>本集团通过比较金融工具在资产负债表日发生违约的风险与在初始确认日发生违约的风险，以确定金融工具预计存续期</w:t>
      </w:r>
    </w:p>
    <w:p>
      <w:pPr>
        <w:pStyle w:val="BodyText"/>
        <w:spacing w:line="206" w:lineRule="exact"/>
        <w:ind w:left="153" w:right="2239"/>
        <w:jc w:val="left"/>
      </w:pPr>
      <w:r>
        <w:rPr/>
        <w:t>内发生违约风险的相对变化，以评估金融工具的信用风险自初始确认后是否已显著增加。</w:t>
      </w:r>
    </w:p>
    <w:p>
      <w:pPr>
        <w:pStyle w:val="BodyText"/>
        <w:spacing w:line="316" w:lineRule="auto" w:before="76"/>
        <w:ind w:left="153" w:right="0" w:firstLine="360"/>
        <w:jc w:val="left"/>
      </w:pPr>
      <w:r>
        <w:rPr>
          <w:spacing w:val="-2"/>
        </w:rPr>
        <w:t>在确定信用风险自初始确认后是否显著增加时，本集团考虑无须付出不必要的额外成本或努力即可获得的合理且有依据</w:t>
      </w:r>
      <w:r>
        <w:rPr/>
        <w:t> 的信息，包括前瞻性信息。本集团考虑的信息包括：</w:t>
      </w:r>
    </w:p>
    <w:p>
      <w:pPr>
        <w:pStyle w:val="BodyText"/>
        <w:spacing w:line="240" w:lineRule="auto" w:before="19"/>
        <w:ind w:left="513" w:right="2239"/>
        <w:jc w:val="left"/>
      </w:pPr>
      <w:r>
        <w:rPr/>
        <w:t>·</w:t>
      </w:r>
      <w:r>
        <w:rPr>
          <w:spacing w:val="79"/>
        </w:rPr>
        <w:t> </w:t>
      </w:r>
      <w:r>
        <w:rPr/>
        <w:t>债务人未能按合同到期日支付本金和利息的情况；</w:t>
      </w:r>
    </w:p>
    <w:p>
      <w:pPr>
        <w:pStyle w:val="BodyText"/>
        <w:spacing w:line="240" w:lineRule="auto" w:before="76"/>
        <w:ind w:left="513" w:right="2239"/>
        <w:jc w:val="left"/>
      </w:pPr>
      <w:r>
        <w:rPr/>
        <w:t>·</w:t>
      </w:r>
      <w:r>
        <w:rPr>
          <w:spacing w:val="79"/>
        </w:rPr>
        <w:t> </w:t>
      </w:r>
      <w:r>
        <w:rPr/>
        <w:t>已发生的或预期的金融工具的外部或内部信用评级（如有）的严重恶化；</w:t>
      </w:r>
    </w:p>
    <w:p>
      <w:pPr>
        <w:pStyle w:val="BodyText"/>
        <w:spacing w:line="240" w:lineRule="auto" w:before="76"/>
        <w:ind w:left="513" w:right="2239"/>
        <w:jc w:val="left"/>
      </w:pPr>
      <w:r>
        <w:rPr/>
        <w:t>·</w:t>
      </w:r>
      <w:r>
        <w:rPr>
          <w:spacing w:val="79"/>
        </w:rPr>
        <w:t> </w:t>
      </w:r>
      <w:r>
        <w:rPr/>
        <w:t>已发生的或预期的债务人经营成果的严重恶化；</w:t>
      </w:r>
    </w:p>
    <w:p>
      <w:pPr>
        <w:pStyle w:val="BodyText"/>
        <w:spacing w:line="316" w:lineRule="auto" w:before="76"/>
        <w:ind w:left="513" w:right="0"/>
        <w:jc w:val="left"/>
      </w:pPr>
      <w:r>
        <w:rPr/>
        <w:t>·</w:t>
      </w:r>
      <w:r>
        <w:rPr>
          <w:spacing w:val="79"/>
        </w:rPr>
        <w:t> </w:t>
      </w:r>
      <w:r>
        <w:rPr/>
        <w:t>现存的或预期的技术、市场、经济或法律环境变化，并将对债务人对本集团的还款能力产生重大不利影响。</w:t>
      </w:r>
      <w:r>
        <w:rPr/>
        <w:t> </w:t>
      </w:r>
      <w:r>
        <w:rPr>
          <w:spacing w:val="-2"/>
        </w:rPr>
        <w:t>根据金融工具的性质，本集团以单项金融工具或金融工具组合为基础评估信用风险是否显著增加。以金融工具组合为基</w:t>
      </w:r>
    </w:p>
    <w:p>
      <w:pPr>
        <w:pStyle w:val="BodyText"/>
        <w:spacing w:line="309" w:lineRule="auto" w:before="19"/>
        <w:ind w:left="513" w:right="2651" w:hanging="360"/>
        <w:jc w:val="left"/>
      </w:pPr>
      <w:r>
        <w:rPr/>
        <w:t>础进行评估时，本集团可基于共同信用风险特征对金融工具进行分类，例如逾期信息和信用风险评级。 如果逾期超过</w:t>
      </w:r>
      <w:r>
        <w:rPr>
          <w:rFonts w:ascii="Arial" w:hAnsi="Arial" w:cs="Arial" w:eastAsia="Arial" w:hint="default"/>
        </w:rPr>
        <w:t>30</w:t>
      </w:r>
      <w:r>
        <w:rPr/>
        <w:t>日，本集团确定金融工具的信用风险已经显著增加。 本集团认为金融资产在下列情况发生违约：</w:t>
      </w:r>
    </w:p>
    <w:p>
      <w:pPr>
        <w:pStyle w:val="BodyText"/>
        <w:spacing w:line="240" w:lineRule="auto" w:before="24"/>
        <w:ind w:left="573" w:right="0"/>
        <w:jc w:val="left"/>
      </w:pPr>
      <w:r>
        <w:rPr/>
        <w:t>·</w:t>
      </w:r>
      <w:r>
        <w:rPr>
          <w:spacing w:val="19"/>
        </w:rPr>
        <w:t> </w:t>
      </w:r>
      <w:r>
        <w:rPr/>
        <w:t>借款人不大可能全额支付其对本集团的欠款，该评估不考虑本集团采取例如变现抵押品（如果持有）等追索行动；</w:t>
      </w:r>
    </w:p>
    <w:p>
      <w:pPr>
        <w:pStyle w:val="BodyText"/>
        <w:spacing w:line="240" w:lineRule="auto" w:before="76"/>
        <w:ind w:left="153" w:right="2239"/>
        <w:jc w:val="left"/>
      </w:pPr>
      <w:r>
        <w:rPr/>
        <w:t>或</w:t>
      </w:r>
    </w:p>
    <w:p>
      <w:pPr>
        <w:spacing w:line="362" w:lineRule="auto" w:before="76"/>
        <w:ind w:left="515" w:right="8044" w:firstLine="58"/>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17"/>
          <w:sz w:val="18"/>
          <w:szCs w:val="18"/>
        </w:rPr>
        <w:t> </w:t>
      </w:r>
      <w:r>
        <w:rPr>
          <w:rFonts w:ascii="宋体" w:hAnsi="宋体" w:cs="宋体" w:eastAsia="宋体" w:hint="default"/>
          <w:sz w:val="18"/>
          <w:szCs w:val="18"/>
        </w:rPr>
        <w:t>金融资产逾期超过</w:t>
      </w:r>
      <w:r>
        <w:rPr>
          <w:rFonts w:ascii="Arial" w:hAnsi="Arial" w:cs="Arial" w:eastAsia="Arial" w:hint="default"/>
          <w:sz w:val="18"/>
          <w:szCs w:val="18"/>
        </w:rPr>
        <w:t>90</w:t>
      </w:r>
      <w:r>
        <w:rPr>
          <w:rFonts w:ascii="宋体" w:hAnsi="宋体" w:cs="宋体" w:eastAsia="宋体" w:hint="default"/>
          <w:sz w:val="18"/>
          <w:szCs w:val="18"/>
        </w:rPr>
        <w:t>天。 </w:t>
      </w:r>
      <w:r>
        <w:rPr>
          <w:rFonts w:ascii="宋体" w:hAnsi="宋体" w:cs="宋体" w:eastAsia="宋体" w:hint="default"/>
          <w:b/>
          <w:bCs/>
          <w:sz w:val="18"/>
          <w:szCs w:val="18"/>
        </w:rPr>
        <w:t>已发生信用减值的金融资产</w:t>
      </w:r>
      <w:r>
        <w:rPr>
          <w:rFonts w:ascii="宋体" w:hAnsi="宋体" w:cs="宋体" w:eastAsia="宋体" w:hint="default"/>
          <w:sz w:val="18"/>
          <w:szCs w:val="18"/>
        </w:rPr>
      </w:r>
    </w:p>
    <w:p>
      <w:pPr>
        <w:pStyle w:val="BodyText"/>
        <w:spacing w:line="316" w:lineRule="auto" w:before="46"/>
        <w:ind w:left="153" w:right="1125" w:firstLine="360"/>
        <w:jc w:val="both"/>
      </w:pPr>
      <w:r>
        <w:rPr/>
        <w:t>本集团在资产负债表日评估以摊余成本计量的金融资产和以公允价值计量且其变动计入其他综合收益的债权投资是否</w:t>
      </w:r>
      <w:r>
        <w:rPr>
          <w:spacing w:val="2"/>
        </w:rPr>
        <w:t> </w:t>
      </w:r>
      <w:r>
        <w:rPr>
          <w:spacing w:val="-2"/>
        </w:rPr>
        <w:t>已发生信用减值。当对金融资产预期未来现金流量具有不利影响的一项或多项事件发生时，该金融资产成为已发生信用减值</w:t>
      </w:r>
      <w:r>
        <w:rPr>
          <w:spacing w:val="-64"/>
        </w:rPr>
        <w:t> </w:t>
      </w:r>
      <w:r>
        <w:rPr>
          <w:spacing w:val="-64"/>
        </w:rPr>
      </w:r>
      <w:r>
        <w:rPr/>
        <w:t>的金融资产。金融资产已发生信用减值的证据包括下列可观察信息：</w:t>
      </w:r>
    </w:p>
    <w:p>
      <w:pPr>
        <w:pStyle w:val="BodyText"/>
        <w:spacing w:line="240" w:lineRule="auto" w:before="19"/>
        <w:ind w:left="513" w:right="2239"/>
        <w:jc w:val="left"/>
      </w:pPr>
      <w:r>
        <w:rPr/>
        <w:t>·</w:t>
      </w:r>
      <w:r>
        <w:rPr>
          <w:spacing w:val="79"/>
        </w:rPr>
        <w:t> </w:t>
      </w:r>
      <w:r>
        <w:rPr/>
        <w:t>发行方或债务人发生重大财务困难；</w:t>
      </w:r>
    </w:p>
    <w:p>
      <w:pPr>
        <w:pStyle w:val="BodyText"/>
        <w:spacing w:line="240" w:lineRule="auto" w:before="76"/>
        <w:ind w:left="513" w:right="2239"/>
        <w:jc w:val="left"/>
      </w:pPr>
      <w:r>
        <w:rPr/>
        <w:t>·</w:t>
      </w:r>
      <w:r>
        <w:rPr>
          <w:spacing w:val="79"/>
        </w:rPr>
        <w:t> </w:t>
      </w:r>
      <w:r>
        <w:rPr/>
        <w:t>债务人违反合同，如偿付利息或本金违约或逾期等；</w:t>
      </w:r>
    </w:p>
    <w:p>
      <w:pPr>
        <w:pStyle w:val="BodyText"/>
        <w:spacing w:line="240" w:lineRule="auto" w:before="76"/>
        <w:ind w:left="513" w:right="0"/>
        <w:jc w:val="left"/>
      </w:pPr>
      <w:r>
        <w:rPr/>
        <w:t>·</w:t>
      </w:r>
      <w:r>
        <w:rPr>
          <w:spacing w:val="79"/>
        </w:rPr>
        <w:t> </w:t>
      </w:r>
      <w:r>
        <w:rPr/>
        <w:t>本集团出于与债务人财务困难有关的经济或合同考虑，给予债务人在任何其他情况下都不会做出的让步；</w:t>
      </w:r>
    </w:p>
    <w:p>
      <w:pPr>
        <w:pStyle w:val="BodyText"/>
        <w:spacing w:line="240" w:lineRule="auto" w:before="76"/>
        <w:ind w:left="513" w:right="2239"/>
        <w:jc w:val="left"/>
      </w:pPr>
      <w:r>
        <w:rPr/>
        <w:t>·</w:t>
      </w:r>
      <w:r>
        <w:rPr>
          <w:spacing w:val="79"/>
        </w:rPr>
        <w:t> </w:t>
      </w:r>
      <w:r>
        <w:rPr/>
        <w:t>债务人很可能破产或进行其他财务重组；</w:t>
      </w:r>
    </w:p>
    <w:p>
      <w:pPr>
        <w:spacing w:line="381" w:lineRule="auto" w:before="76"/>
        <w:ind w:left="515" w:right="5362" w:hanging="2"/>
        <w:jc w:val="left"/>
        <w:rPr>
          <w:rFonts w:ascii="宋体" w:hAnsi="宋体" w:cs="宋体" w:eastAsia="宋体" w:hint="default"/>
          <w:sz w:val="18"/>
          <w:szCs w:val="18"/>
        </w:rPr>
      </w:pPr>
      <w:r>
        <w:rPr>
          <w:rFonts w:ascii="宋体" w:hAnsi="宋体" w:cs="宋体" w:eastAsia="宋体" w:hint="default"/>
          <w:sz w:val="18"/>
          <w:szCs w:val="18"/>
        </w:rPr>
        <w:t>·</w:t>
      </w:r>
      <w:r>
        <w:rPr>
          <w:rFonts w:ascii="宋体" w:hAnsi="宋体" w:cs="宋体" w:eastAsia="宋体" w:hint="default"/>
          <w:spacing w:val="79"/>
          <w:sz w:val="18"/>
          <w:szCs w:val="18"/>
        </w:rPr>
        <w:t> </w:t>
      </w:r>
      <w:r>
        <w:rPr>
          <w:rFonts w:ascii="宋体" w:hAnsi="宋体" w:cs="宋体" w:eastAsia="宋体" w:hint="default"/>
          <w:sz w:val="18"/>
          <w:szCs w:val="18"/>
        </w:rPr>
        <w:t>发行方或债务人财务困难导致该金融资产的活跃市场消失。</w:t>
      </w:r>
      <w:r>
        <w:rPr>
          <w:rFonts w:ascii="宋体" w:hAnsi="宋体" w:cs="宋体" w:eastAsia="宋体" w:hint="default"/>
          <w:sz w:val="18"/>
          <w:szCs w:val="18"/>
        </w:rPr>
        <w:t> </w:t>
      </w:r>
      <w:r>
        <w:rPr>
          <w:rFonts w:ascii="宋体" w:hAnsi="宋体" w:cs="宋体" w:eastAsia="宋体" w:hint="default"/>
          <w:b/>
          <w:bCs/>
          <w:sz w:val="18"/>
          <w:szCs w:val="18"/>
        </w:rPr>
        <w:t>预期信用损失准备的列报</w:t>
      </w:r>
      <w:r>
        <w:rPr>
          <w:rFonts w:ascii="宋体" w:hAnsi="宋体" w:cs="宋体" w:eastAsia="宋体" w:hint="default"/>
          <w:sz w:val="18"/>
          <w:szCs w:val="18"/>
        </w:rPr>
      </w:r>
    </w:p>
    <w:p>
      <w:pPr>
        <w:pStyle w:val="BodyText"/>
        <w:spacing w:line="316" w:lineRule="auto" w:before="31"/>
        <w:ind w:left="153" w:right="1130" w:firstLine="360"/>
        <w:jc w:val="both"/>
      </w:pPr>
      <w:r>
        <w:rPr>
          <w:spacing w:val="-2"/>
        </w:rPr>
        <w:t>为反映金融工具的信用风险自初始确认后的变化，本集团在每个资产负债表日重新计量预期信用损失，由此形成的损失</w:t>
      </w:r>
      <w:r>
        <w:rPr/>
        <w:t> </w:t>
      </w:r>
      <w:r>
        <w:rPr>
          <w:spacing w:val="-2"/>
        </w:rPr>
        <w:t>准备的增加或转回金额，应当作为减值损失或利得计入当期损益。对于以摊余成本计量的金融资产，损失准备抵减该金融资</w:t>
      </w:r>
      <w:r>
        <w:rPr>
          <w:spacing w:val="-66"/>
        </w:rPr>
        <w:t> </w:t>
      </w:r>
      <w:r>
        <w:rPr>
          <w:spacing w:val="-66"/>
        </w:rPr>
      </w:r>
      <w:r>
        <w:rPr>
          <w:spacing w:val="-2"/>
        </w:rPr>
        <w:t>产在资产负债表中列示的账面价值；对于以公允价值计量且其变动计入其他综合收益的债权投资，本集团在其他综合收益中</w:t>
      </w:r>
      <w:r>
        <w:rPr>
          <w:spacing w:val="-64"/>
        </w:rPr>
        <w:t> </w:t>
      </w:r>
      <w:r>
        <w:rPr>
          <w:spacing w:val="-64"/>
        </w:rPr>
      </w:r>
      <w:r>
        <w:rPr/>
        <w:t>确认其损失准备，不抵减该金融资产的账面价值。</w:t>
      </w:r>
    </w:p>
    <w:p>
      <w:pPr>
        <w:pStyle w:val="BodyText"/>
        <w:spacing w:line="381" w:lineRule="auto" w:before="81"/>
        <w:ind w:left="514" w:right="1030" w:firstLine="1"/>
        <w:jc w:val="left"/>
      </w:pPr>
      <w:r>
        <w:rPr>
          <w:rFonts w:ascii="宋体" w:hAnsi="宋体" w:cs="宋体" w:eastAsia="宋体" w:hint="default"/>
          <w:b/>
          <w:bCs/>
        </w:rPr>
        <w:t>核销</w:t>
      </w:r>
      <w:r>
        <w:rPr>
          <w:rFonts w:ascii="宋体" w:hAnsi="宋体" w:cs="宋体" w:eastAsia="宋体" w:hint="default"/>
          <w:b/>
          <w:bCs/>
          <w:spacing w:val="1"/>
          <w:w w:val="99"/>
        </w:rPr>
        <w:t> </w:t>
      </w:r>
      <w:r>
        <w:rPr>
          <w:spacing w:val="-2"/>
        </w:rPr>
        <w:t>如果本集团不再合理预期金融资产合同现金流量能够全部或部分收回，则直接减记该金融资产的账面余额。这种减记构</w:t>
      </w:r>
    </w:p>
    <w:p>
      <w:pPr>
        <w:pStyle w:val="BodyText"/>
        <w:spacing w:line="206" w:lineRule="exact"/>
        <w:ind w:right="0"/>
        <w:jc w:val="left"/>
      </w:pPr>
      <w:r>
        <w:rPr/>
        <w:t>成相关金融资产的终止确认</w:t>
      </w:r>
      <w:r>
        <w:rPr>
          <w:spacing w:val="-82"/>
        </w:rPr>
        <w:t>。</w:t>
      </w:r>
      <w:r>
        <w:rPr/>
        <w:t>这种情况通常发生在本集团确定债务人没有资产或收入来源可产生足够的现金流量以偿还将被</w:t>
      </w:r>
    </w:p>
    <w:p>
      <w:pPr>
        <w:pStyle w:val="BodyText"/>
        <w:spacing w:line="316" w:lineRule="auto" w:before="76"/>
        <w:ind w:left="514" w:right="2650" w:hanging="360"/>
        <w:jc w:val="left"/>
      </w:pPr>
      <w:r>
        <w:rPr/>
        <w:t>减记的金额。但是，按照本集团收回到期款项的程序，被减记的金融资产仍可能受到执行活动的影响。 已减记的金融资产以后又收回的，作为减值损失的转回计入收回当期的损益。</w:t>
      </w:r>
    </w:p>
    <w:p>
      <w:pPr>
        <w:pStyle w:val="BodyText"/>
        <w:spacing w:line="302" w:lineRule="auto" w:before="19"/>
        <w:ind w:left="514" w:right="3190"/>
        <w:jc w:val="left"/>
      </w:pPr>
      <w:r>
        <w:rPr/>
        <w:t>（</w:t>
      </w:r>
      <w:r>
        <w:rPr>
          <w:rFonts w:ascii="Arial" w:hAnsi="Arial" w:cs="Arial" w:eastAsia="Arial" w:hint="default"/>
        </w:rPr>
        <w:t>6</w:t>
      </w:r>
      <w:r>
        <w:rPr/>
        <w:t>）金融资产转移 金融资产转移，是指将金融资产让与或交付给该金融资产发行方以外的另一方（转入方）。</w:t>
      </w:r>
    </w:p>
    <w:p>
      <w:pPr>
        <w:spacing w:after="0" w:line="302"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3" w:right="1130" w:firstLine="360"/>
        <w:jc w:val="both"/>
      </w:pPr>
      <w:r>
        <w:rPr>
          <w:spacing w:val="-2"/>
        </w:rPr>
        <w:t>本集团已将金融资产所有权上几乎所有的风险和报酬转移给转入方的，终止确认该金融资产；保留了金融资产所有权上</w:t>
      </w:r>
      <w:r>
        <w:rPr/>
        <w:t> 几乎所有的风险和报酬的，不终止确认该金融资产。</w:t>
      </w:r>
    </w:p>
    <w:p>
      <w:pPr>
        <w:pStyle w:val="BodyText"/>
        <w:spacing w:line="316" w:lineRule="auto" w:before="19"/>
        <w:ind w:left="153" w:right="1130" w:firstLine="360"/>
        <w:jc w:val="both"/>
      </w:pPr>
      <w:r>
        <w:rPr>
          <w:spacing w:val="-2"/>
        </w:rPr>
        <w:t>本集团既没有转移也没有保留金融资产所有权上几乎所有的风险和报酬的，分别下列情况处理：放弃了对该金融资产控</w:t>
      </w:r>
      <w:r>
        <w:rPr/>
        <w:t> </w:t>
      </w:r>
      <w:r>
        <w:rPr>
          <w:spacing w:val="-2"/>
        </w:rPr>
        <w:t>制的，终止确认该金融资产并确认产生的资产和负债；未放弃对该金融资产控制的，按照其继续涉入所转移金融资产的程度</w:t>
      </w:r>
      <w:r>
        <w:rPr>
          <w:spacing w:val="-66"/>
        </w:rPr>
        <w:t> </w:t>
      </w:r>
      <w:r>
        <w:rPr>
          <w:spacing w:val="-66"/>
        </w:rPr>
      </w:r>
      <w:r>
        <w:rPr/>
        <w:t>确认有关金融资产，并相应确认有关负债。</w:t>
      </w:r>
    </w:p>
    <w:p>
      <w:pPr>
        <w:pStyle w:val="BodyText"/>
        <w:spacing w:line="302" w:lineRule="auto" w:before="19"/>
        <w:ind w:left="513" w:right="0"/>
        <w:jc w:val="left"/>
      </w:pPr>
      <w:r>
        <w:rPr/>
        <w:t>（</w:t>
      </w:r>
      <w:r>
        <w:rPr>
          <w:rFonts w:ascii="Arial" w:hAnsi="Arial" w:cs="Arial" w:eastAsia="Arial" w:hint="default"/>
        </w:rPr>
        <w:t>7</w:t>
      </w:r>
      <w:r>
        <w:rPr/>
        <w:t>）金融资产和金融负债的抵销 </w:t>
      </w:r>
      <w:r>
        <w:rPr>
          <w:spacing w:val="-2"/>
        </w:rPr>
        <w:t>当本集团具有抵销已确认金融资产和金融负债的法定权利，且目前可执行该种法定权利，同时本集团计划以净额结算或</w:t>
      </w:r>
    </w:p>
    <w:p>
      <w:pPr>
        <w:pStyle w:val="BodyText"/>
        <w:spacing w:line="316" w:lineRule="auto" w:before="29"/>
        <w:ind w:left="153" w:right="0"/>
        <w:jc w:val="left"/>
      </w:pPr>
      <w:r>
        <w:rPr>
          <w:spacing w:val="-2"/>
        </w:rPr>
        <w:t>同时变现该金融资产和清偿该金融负债时，金融资产和金融负债以相互抵销后的金额在资产负债表内列示。除此以外，金融</w:t>
      </w:r>
      <w:r>
        <w:rPr>
          <w:spacing w:val="-66"/>
        </w:rPr>
        <w:t> </w:t>
      </w:r>
      <w:r>
        <w:rPr>
          <w:spacing w:val="-66"/>
        </w:rPr>
      </w:r>
      <w:r>
        <w:rPr/>
        <w:t>资产和金融负债在资产负债表内分别列示，不予相互抵销。</w:t>
      </w:r>
    </w:p>
    <w:p>
      <w:pPr>
        <w:spacing w:line="240" w:lineRule="auto" w:before="7"/>
        <w:rPr>
          <w:rFonts w:ascii="宋体" w:hAnsi="宋体" w:cs="宋体" w:eastAsia="宋体" w:hint="default"/>
          <w:sz w:val="22"/>
          <w:szCs w:val="22"/>
        </w:rPr>
      </w:pPr>
    </w:p>
    <w:p>
      <w:pPr>
        <w:pStyle w:val="Heading4"/>
        <w:spacing w:line="240" w:lineRule="auto"/>
        <w:ind w:right="2239"/>
        <w:jc w:val="left"/>
        <w:rPr>
          <w:b w:val="0"/>
          <w:bCs w:val="0"/>
        </w:rPr>
      </w:pPr>
      <w:r>
        <w:rPr>
          <w:rFonts w:ascii="Arial" w:hAnsi="Arial" w:cs="Arial" w:eastAsia="Arial" w:hint="default"/>
        </w:rPr>
        <w:t>11</w:t>
      </w:r>
      <w:r>
        <w:rPr/>
        <w:t>、应收票据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12</w:t>
      </w:r>
      <w:r>
        <w:rPr/>
        <w:t>、应收账款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13</w:t>
      </w:r>
      <w:r>
        <w:rPr/>
        <w:t>、应收款项融资</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14</w:t>
      </w:r>
      <w:r>
        <w:rPr/>
        <w:t>、其他应收款</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1391"/>
        <w:jc w:val="left"/>
      </w:pPr>
      <w:r>
        <w:rPr/>
        <w:t>其他应收款的预期信用损失的确定方法及会计处理方法 本集团依据信用风险特征将其他应收款划分为若干组合，在组合基础上计算预期信用损失，确定组合的依据如下： 其他应收款组合</w:t>
      </w:r>
      <w:r>
        <w:rPr>
          <w:rFonts w:ascii="Arial" w:hAnsi="Arial" w:cs="Arial" w:eastAsia="Arial" w:hint="default"/>
        </w:rPr>
        <w:t>1</w:t>
      </w:r>
      <w:r>
        <w:rPr/>
        <w:t>：应收合并报表范围内款项</w:t>
      </w:r>
    </w:p>
    <w:p>
      <w:pPr>
        <w:pStyle w:val="BodyText"/>
        <w:spacing w:line="302" w:lineRule="auto"/>
        <w:ind w:left="514" w:right="7410"/>
        <w:jc w:val="left"/>
      </w:pPr>
      <w:r>
        <w:rPr/>
        <w:t>其他应收款组合</w:t>
      </w:r>
      <w:r>
        <w:rPr>
          <w:rFonts w:ascii="Arial" w:hAnsi="Arial" w:cs="Arial" w:eastAsia="Arial" w:hint="default"/>
        </w:rPr>
        <w:t>2</w:t>
      </w:r>
      <w:r>
        <w:rPr/>
        <w:t>：应收押金、保证金 其他应收款组合</w:t>
      </w:r>
      <w:r>
        <w:rPr>
          <w:rFonts w:ascii="Arial" w:hAnsi="Arial" w:cs="Arial" w:eastAsia="Arial" w:hint="default"/>
        </w:rPr>
        <w:t>3</w:t>
      </w:r>
      <w:r>
        <w:rPr/>
        <w:t>：应收备用金 其他应收款组合</w:t>
      </w:r>
      <w:r>
        <w:rPr>
          <w:rFonts w:ascii="Arial" w:hAnsi="Arial" w:cs="Arial" w:eastAsia="Arial" w:hint="default"/>
        </w:rPr>
        <w:t>4</w:t>
      </w:r>
      <w:r>
        <w:rPr/>
        <w:t>：应收其他款项</w:t>
      </w:r>
    </w:p>
    <w:p>
      <w:pPr>
        <w:pStyle w:val="BodyText"/>
        <w:spacing w:line="302" w:lineRule="auto" w:before="11"/>
        <w:ind w:left="153" w:right="1129" w:firstLine="360"/>
        <w:jc w:val="both"/>
      </w:pPr>
      <w:r>
        <w:rPr/>
        <w:t>对划分为组合的其他应收款，本集团通过违约风险敞口和未来</w:t>
      </w:r>
      <w:r>
        <w:rPr>
          <w:rFonts w:ascii="Arial" w:hAnsi="Arial" w:cs="Arial" w:eastAsia="Arial" w:hint="default"/>
        </w:rPr>
        <w:t>12</w:t>
      </w:r>
      <w:r>
        <w:rPr/>
        <w:t>个月内或整个存续期预期信用损失率，计算预期信用 损失。</w:t>
      </w:r>
    </w:p>
    <w:p>
      <w:pPr>
        <w:spacing w:line="240" w:lineRule="auto" w:before="4"/>
        <w:rPr>
          <w:rFonts w:ascii="宋体" w:hAnsi="宋体" w:cs="宋体" w:eastAsia="宋体" w:hint="default"/>
          <w:sz w:val="23"/>
          <w:szCs w:val="23"/>
        </w:rPr>
      </w:pPr>
    </w:p>
    <w:p>
      <w:pPr>
        <w:pStyle w:val="Heading4"/>
        <w:spacing w:line="240" w:lineRule="auto"/>
        <w:ind w:right="2239"/>
        <w:jc w:val="left"/>
        <w:rPr>
          <w:b w:val="0"/>
          <w:bCs w:val="0"/>
        </w:rPr>
      </w:pPr>
      <w:r>
        <w:rPr>
          <w:rFonts w:ascii="Arial" w:hAnsi="Arial" w:cs="Arial" w:eastAsia="Arial" w:hint="default"/>
        </w:rPr>
        <w:t>15</w:t>
      </w:r>
      <w:r>
        <w:rPr/>
        <w:t>、存货</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left="513" w:right="3551"/>
        <w:jc w:val="left"/>
      </w:pPr>
      <w:r>
        <w:rPr/>
        <w:t>（</w:t>
      </w:r>
      <w:r>
        <w:rPr>
          <w:rFonts w:ascii="Arial" w:hAnsi="Arial" w:cs="Arial" w:eastAsia="Arial" w:hint="default"/>
        </w:rPr>
        <w:t>1</w:t>
      </w:r>
      <w:r>
        <w:rPr/>
        <w:t>）存货的分类 本集团存货分为库存商品、周转材料、发出商品、劳务成本、开发成本、开发产品等。</w:t>
      </w:r>
    </w:p>
    <w:p>
      <w:pPr>
        <w:pStyle w:val="BodyText"/>
        <w:spacing w:line="302" w:lineRule="auto" w:before="29"/>
        <w:ind w:left="513" w:right="4271"/>
        <w:jc w:val="left"/>
      </w:pPr>
      <w:r>
        <w:rPr/>
        <w:t>（</w:t>
      </w:r>
      <w:r>
        <w:rPr>
          <w:rFonts w:ascii="Arial" w:hAnsi="Arial" w:cs="Arial" w:eastAsia="Arial" w:hint="default"/>
        </w:rPr>
        <w:t>2</w:t>
      </w:r>
      <w:r>
        <w:rPr/>
        <w:t>）发出存货的计价方法 本集团存货取得时按实际成本计价。库存商品等发出时采用个别计价法计价。</w:t>
      </w:r>
    </w:p>
    <w:p>
      <w:pPr>
        <w:pStyle w:val="BodyText"/>
        <w:spacing w:line="316" w:lineRule="auto" w:before="29"/>
        <w:ind w:left="153" w:right="1131" w:firstLine="360"/>
        <w:jc w:val="both"/>
      </w:pPr>
      <w:r>
        <w:rPr>
          <w:spacing w:val="-2"/>
        </w:rPr>
        <w:t>开发产品的实际成本包括土地出让金、基础配套设施支出、建筑安装工程支出、开发项目完工之前所发生的借款费用及</w:t>
      </w:r>
      <w:r>
        <w:rPr/>
        <w:t> 开发过程中的其他相关费用。开发产品发出时，采用个别计价法确定其实际成本。</w:t>
      </w:r>
    </w:p>
    <w:p>
      <w:pPr>
        <w:pStyle w:val="BodyText"/>
        <w:spacing w:line="302" w:lineRule="auto" w:before="19"/>
        <w:ind w:left="513" w:right="0"/>
        <w:jc w:val="left"/>
      </w:pPr>
      <w:r>
        <w:rPr/>
        <w:t>（</w:t>
      </w:r>
      <w:r>
        <w:rPr>
          <w:rFonts w:ascii="Arial" w:hAnsi="Arial" w:cs="Arial" w:eastAsia="Arial" w:hint="default"/>
        </w:rPr>
        <w:t>3</w:t>
      </w:r>
      <w:r>
        <w:rPr/>
        <w:t>）存货可变现净值的确定依据及存货跌价准备的计提方法 </w:t>
      </w:r>
      <w:r>
        <w:rPr>
          <w:spacing w:val="-2"/>
        </w:rPr>
        <w:t>存货可变现净值是按存货的估计售价减去至完工时估计将要发生的成本、估计的销售费用以及相关税费后的金额。在确</w:t>
      </w:r>
    </w:p>
    <w:p>
      <w:pPr>
        <w:pStyle w:val="BodyText"/>
        <w:spacing w:line="316" w:lineRule="auto" w:before="29"/>
        <w:ind w:left="513" w:right="1031" w:hanging="360"/>
        <w:jc w:val="left"/>
      </w:pPr>
      <w:r>
        <w:rPr/>
        <w:t>定存货的可变现净值时，以取得的确凿证据为基础，同时考虑持有存货的目的以及资产负债表日后事项的影响。 资产负债表日，存货成本高于其可变现净值的，计提存货跌价准备。本集团通常按照单个存货项目计提存货跌价准备，</w:t>
      </w:r>
    </w:p>
    <w:p>
      <w:pPr>
        <w:pStyle w:val="BodyText"/>
        <w:spacing w:line="240" w:lineRule="auto" w:before="19"/>
        <w:ind w:left="153" w:right="2239"/>
        <w:jc w:val="left"/>
      </w:pPr>
      <w:r>
        <w:rPr/>
        <w:t>资产负债表日，以前减记存货价值的影响因素已经消失的，存货跌价准备在原已计提的金额内转回。</w:t>
      </w:r>
    </w:p>
    <w:p>
      <w:pPr>
        <w:pStyle w:val="BodyText"/>
        <w:spacing w:line="302" w:lineRule="auto" w:before="76"/>
        <w:ind w:left="513" w:right="7331"/>
        <w:jc w:val="left"/>
      </w:pPr>
      <w:r>
        <w:rPr/>
        <w:t>（</w:t>
      </w:r>
      <w:r>
        <w:rPr>
          <w:rFonts w:ascii="Arial" w:hAnsi="Arial" w:cs="Arial" w:eastAsia="Arial" w:hint="default"/>
        </w:rPr>
        <w:t>4</w:t>
      </w:r>
      <w:r>
        <w:rPr/>
        <w:t>）存货的盘存制度 本集团存货盘存制度采用永续盘存制。</w:t>
      </w:r>
    </w:p>
    <w:p>
      <w:pPr>
        <w:pStyle w:val="BodyText"/>
        <w:spacing w:line="302" w:lineRule="auto" w:before="29"/>
        <w:ind w:left="513" w:right="6611"/>
        <w:jc w:val="left"/>
      </w:pPr>
      <w:r>
        <w:rPr/>
        <w:t>（</w:t>
      </w:r>
      <w:r>
        <w:rPr>
          <w:rFonts w:ascii="Arial" w:hAnsi="Arial" w:cs="Arial" w:eastAsia="Arial" w:hint="default"/>
        </w:rPr>
        <w:t>5</w:t>
      </w:r>
      <w:r>
        <w:rPr/>
        <w:t>）低值易耗品的摊销方法 本集团低值易耗品领用时采用一次转销法摊销。</w:t>
      </w:r>
    </w:p>
    <w:p>
      <w:pPr>
        <w:spacing w:after="0" w:line="302" w:lineRule="auto"/>
        <w:jc w:val="left"/>
        <w:sectPr>
          <w:pgSz w:w="11910" w:h="16840"/>
          <w:pgMar w:header="747" w:footer="982" w:top="1060" w:bottom="118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2239"/>
        <w:jc w:val="left"/>
        <w:rPr>
          <w:b w:val="0"/>
          <w:bCs w:val="0"/>
        </w:rPr>
      </w:pPr>
      <w:r>
        <w:rPr>
          <w:rFonts w:ascii="Arial" w:hAnsi="Arial" w:cs="Arial" w:eastAsia="Arial" w:hint="default"/>
        </w:rPr>
        <w:t>16</w:t>
      </w:r>
      <w:r>
        <w:rPr/>
        <w:t>、合同资产</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17</w:t>
      </w:r>
      <w:r>
        <w:rPr/>
        <w:t>、合同成本</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18</w:t>
      </w:r>
      <w:r>
        <w:rPr/>
        <w:t>、持有待售资产</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left="514" w:right="0"/>
        <w:jc w:val="left"/>
      </w:pPr>
      <w:r>
        <w:rPr/>
        <w:t>（</w:t>
      </w:r>
      <w:r>
        <w:rPr>
          <w:rFonts w:ascii="Arial" w:hAnsi="Arial" w:cs="Arial" w:eastAsia="Arial" w:hint="default"/>
        </w:rPr>
        <w:t>1</w:t>
      </w:r>
      <w:r>
        <w:rPr/>
        <w:t>）持有待售的非流动资产或处置组的分类与计量 </w:t>
      </w:r>
      <w:r>
        <w:rPr>
          <w:spacing w:val="-2"/>
        </w:rPr>
        <w:t>本集团主要通过出售（包括具有商业实质的非货币性资产交换）而非持续使用一项非流动资产或处置组收回其账面价值</w:t>
      </w:r>
    </w:p>
    <w:p>
      <w:pPr>
        <w:pStyle w:val="BodyText"/>
        <w:spacing w:line="316" w:lineRule="auto" w:before="29"/>
        <w:ind w:left="514" w:right="0" w:hanging="360"/>
        <w:jc w:val="left"/>
      </w:pPr>
      <w:r>
        <w:rPr/>
        <w:t>时，该非流动资产或处置组被划分为持有待售类别。 </w:t>
      </w:r>
      <w:r>
        <w:rPr>
          <w:spacing w:val="-2"/>
        </w:rPr>
        <w:t>上述非流动资产不包括采用公允价值模式进行后续计量的投资性房地产、采用公允价值减去出售费用后的净额计量的生</w:t>
      </w:r>
    </w:p>
    <w:p>
      <w:pPr>
        <w:pStyle w:val="BodyText"/>
        <w:spacing w:line="316" w:lineRule="auto" w:before="19"/>
        <w:ind w:left="514" w:right="0" w:hanging="360"/>
        <w:jc w:val="left"/>
      </w:pPr>
      <w:r>
        <w:rPr/>
        <w:t>物资产、职工薪酬形成的资产、金融资产、递延所得税资产及保险合同产生的权利。 </w:t>
      </w:r>
      <w:r>
        <w:rPr>
          <w:spacing w:val="-2"/>
        </w:rPr>
        <w:t>处置组，是指在一项交易中作为整体通过出售或其他方式一并处置的一组资产，以及在该交易中转让的与这些资产直接</w:t>
      </w:r>
    </w:p>
    <w:p>
      <w:pPr>
        <w:pStyle w:val="BodyText"/>
        <w:spacing w:line="316" w:lineRule="auto" w:before="19"/>
        <w:ind w:left="514" w:right="0" w:hanging="360"/>
        <w:jc w:val="left"/>
      </w:pPr>
      <w:r>
        <w:rPr/>
        <w:t>相关的负债。在特定情况下，处置组包括企业合并中取得的商誉等。 </w:t>
      </w:r>
      <w:r>
        <w:rPr>
          <w:spacing w:val="-2"/>
        </w:rPr>
        <w:t>同时满足下列条件的非流动资产或处置组被划分为持有待售类别：根据类似交易中出售此类资产或处置组的惯例，该非</w:t>
      </w:r>
    </w:p>
    <w:p>
      <w:pPr>
        <w:pStyle w:val="BodyText"/>
        <w:spacing w:line="316" w:lineRule="auto" w:before="19"/>
        <w:ind w:right="1030"/>
        <w:jc w:val="left"/>
      </w:pPr>
      <w:r>
        <w:rPr/>
        <w:t>流动资产或处置组在当前状况下即可立即出售；出售极可能发生，即已经就一项出售计划作出决议且获得确定的购买承诺， </w:t>
      </w:r>
      <w:r>
        <w:rPr>
          <w:spacing w:val="-2"/>
        </w:rPr>
        <w:t>预计出售将在一年内完成。因出售对子公司的投资等原因导致丧失对子公司控制权的，无论出售后本集团是否保留部分权益</w:t>
      </w:r>
      <w:r>
        <w:rPr>
          <w:spacing w:val="-64"/>
        </w:rPr>
        <w:t> </w:t>
      </w:r>
      <w:r>
        <w:rPr>
          <w:spacing w:val="-64"/>
        </w:rPr>
      </w:r>
      <w:r>
        <w:rPr>
          <w:spacing w:val="-2"/>
        </w:rPr>
        <w:t>性投资，在拟出售的对子公司投资满足持有待售类别划分条件时，在个别财务报表中将对子公司投资整体划分为持有待售类</w:t>
      </w:r>
      <w:r>
        <w:rPr>
          <w:spacing w:val="-64"/>
        </w:rPr>
        <w:t> </w:t>
      </w:r>
      <w:r>
        <w:rPr>
          <w:spacing w:val="-64"/>
        </w:rPr>
      </w:r>
      <w:r>
        <w:rPr/>
        <w:t>别，在合并财务报表中将子公司所有资产和负债划分为持有待售类别。</w:t>
      </w:r>
    </w:p>
    <w:p>
      <w:pPr>
        <w:pStyle w:val="BodyText"/>
        <w:spacing w:line="316" w:lineRule="auto" w:before="19"/>
        <w:ind w:right="1131" w:firstLine="360"/>
        <w:jc w:val="both"/>
      </w:pPr>
      <w:r>
        <w:rPr>
          <w:spacing w:val="-2"/>
        </w:rPr>
        <w:t>初始计量或在资产负债表日重新计量持有待售的非流动资产或处置组时，账面价值高于公允价值减去出售费用后净额的</w:t>
      </w:r>
      <w:r>
        <w:rPr/>
        <w:t> </w:t>
      </w:r>
      <w:r>
        <w:rPr>
          <w:spacing w:val="-2"/>
        </w:rPr>
        <w:t>差额确认为资产减值损失。对于持有待售的处置组确认的资产减值损失金额，先抵减处置组中商誉的账面价值，再根据处置</w:t>
      </w:r>
      <w:r>
        <w:rPr>
          <w:spacing w:val="-66"/>
        </w:rPr>
        <w:t> </w:t>
      </w:r>
      <w:r>
        <w:rPr>
          <w:spacing w:val="-66"/>
        </w:rPr>
      </w:r>
      <w:r>
        <w:rPr/>
        <w:t>组中的各项非流动资产账面价值所占比重，按比例抵减其账面价值。</w:t>
      </w:r>
    </w:p>
    <w:p>
      <w:pPr>
        <w:pStyle w:val="BodyText"/>
        <w:spacing w:line="316" w:lineRule="auto" w:before="19"/>
        <w:ind w:right="1030" w:firstLine="360"/>
        <w:jc w:val="left"/>
      </w:pPr>
      <w:r>
        <w:rPr/>
        <w:t>后续资产负债表日持有待售的非流动资产或处置组公允价值减去出售费用后的净额增加的，以前减记的金额予以恢复， 并在划分为持有待售类别后确认的资产减值损失金额内转回，转回金额计入当期损益。已抵减的商誉账面价值不得转回。</w:t>
      </w:r>
    </w:p>
    <w:p>
      <w:pPr>
        <w:pStyle w:val="BodyText"/>
        <w:spacing w:line="316" w:lineRule="auto" w:before="19"/>
        <w:ind w:right="0" w:firstLine="360"/>
        <w:jc w:val="left"/>
      </w:pPr>
      <w:r>
        <w:rPr>
          <w:spacing w:val="-2"/>
        </w:rPr>
        <w:t>持有待售的非流动资产和持有待售的处置组中的资产不计提折旧或进行摊销；持有待售的处置组中负债的利息和其他费</w:t>
      </w:r>
      <w:r>
        <w:rPr/>
        <w:t> </w:t>
      </w:r>
      <w:r>
        <w:rPr>
          <w:spacing w:val="-4"/>
        </w:rPr>
        <w:t>用继续予以确认。被划分为持有待售的联营企业或合营企业的全部或部分投资，对于划分为持有待售的部分停止权益法核算，</w:t>
      </w:r>
      <w:r>
        <w:rPr>
          <w:spacing w:val="-44"/>
        </w:rPr>
        <w:t> </w:t>
      </w:r>
      <w:r>
        <w:rPr>
          <w:spacing w:val="-44"/>
        </w:rPr>
      </w:r>
      <w:r>
        <w:rPr>
          <w:spacing w:val="-4"/>
        </w:rPr>
        <w:t>保留的部分（未被划分为持有待售类别）则继续采用权益法核算；当本集团因出售丧失对联营企业和合营企业的重大影响时，</w:t>
      </w:r>
      <w:r>
        <w:rPr>
          <w:spacing w:val="-44"/>
        </w:rPr>
        <w:t> </w:t>
      </w:r>
      <w:r>
        <w:rPr>
          <w:spacing w:val="-44"/>
        </w:rPr>
      </w:r>
      <w:r>
        <w:rPr/>
        <w:t>停止使用权益法。</w:t>
      </w:r>
    </w:p>
    <w:p>
      <w:pPr>
        <w:pStyle w:val="BodyText"/>
        <w:spacing w:line="316" w:lineRule="auto" w:before="19"/>
        <w:ind w:right="0" w:firstLine="360"/>
        <w:jc w:val="left"/>
      </w:pPr>
      <w:r>
        <w:rPr>
          <w:spacing w:val="-2"/>
        </w:rPr>
        <w:t>某项非流动资产或处置组被划分为持有待售类别，但后来不再满足持有待售类别划分条件的，本集团停止将其划分为持</w:t>
      </w:r>
      <w:r>
        <w:rPr/>
        <w:t> 有待售类别，并按照下列两项金额中较低者计量：</w:t>
      </w:r>
    </w:p>
    <w:p>
      <w:pPr>
        <w:pStyle w:val="BodyText"/>
        <w:spacing w:line="316" w:lineRule="auto" w:before="19"/>
        <w:ind w:right="0" w:firstLine="360"/>
        <w:jc w:val="left"/>
      </w:pPr>
      <w:r>
        <w:rPr>
          <w:spacing w:val="-2"/>
        </w:rPr>
        <w:t>①该资产或处置组被划分为持有待售类别之前的账面价值，按照其假定在没有被划分为持有待售类别的情况下本应确认</w:t>
      </w:r>
      <w:r>
        <w:rPr/>
        <w:t> 的折旧、摊销或减值进行调整后的金额；</w:t>
      </w:r>
    </w:p>
    <w:p>
      <w:pPr>
        <w:pStyle w:val="BodyText"/>
        <w:spacing w:line="240" w:lineRule="auto" w:before="19"/>
        <w:ind w:left="514" w:right="2239"/>
        <w:jc w:val="left"/>
      </w:pPr>
      <w:r>
        <w:rPr/>
        <w:t>②可收回金额。</w:t>
      </w:r>
    </w:p>
    <w:p>
      <w:pPr>
        <w:pStyle w:val="BodyText"/>
        <w:spacing w:line="302" w:lineRule="auto" w:before="76"/>
        <w:ind w:left="514" w:right="1210"/>
        <w:jc w:val="left"/>
      </w:pPr>
      <w:r>
        <w:rPr/>
        <w:t>（</w:t>
      </w:r>
      <w:r>
        <w:rPr>
          <w:rFonts w:ascii="Arial" w:hAnsi="Arial" w:cs="Arial" w:eastAsia="Arial" w:hint="default"/>
        </w:rPr>
        <w:t>2</w:t>
      </w:r>
      <w:r>
        <w:rPr/>
        <w:t>）终止经营 终止经营，是指满足下列条件之一的已被本集团处置或被本集团划分为持有待售类别的、能够单独区分的组成部分：</w:t>
      </w:r>
    </w:p>
    <w:p>
      <w:pPr>
        <w:pStyle w:val="BodyText"/>
        <w:spacing w:line="240" w:lineRule="auto" w:before="29"/>
        <w:ind w:left="514" w:right="2239"/>
        <w:jc w:val="left"/>
      </w:pPr>
      <w:r>
        <w:rPr/>
        <w:t>①该组成部分代表一项独立的主要业务或一个单独的主要经营地区。</w:t>
      </w:r>
    </w:p>
    <w:p>
      <w:pPr>
        <w:pStyle w:val="BodyText"/>
        <w:spacing w:line="240" w:lineRule="auto" w:before="76"/>
        <w:ind w:left="514" w:right="0"/>
        <w:jc w:val="left"/>
      </w:pPr>
      <w:r>
        <w:rPr/>
        <w:t>②该组成部分是拟对一项独立的主要业务或一个单独的主要经营地区进行处置的一项相关联计划的一部分。</w:t>
      </w:r>
    </w:p>
    <w:p>
      <w:pPr>
        <w:pStyle w:val="BodyText"/>
        <w:spacing w:line="240" w:lineRule="auto" w:before="76"/>
        <w:ind w:left="514" w:right="2239"/>
        <w:jc w:val="left"/>
      </w:pPr>
      <w:r>
        <w:rPr/>
        <w:t>③该组成部分是专为转售而取得的子公司。</w:t>
      </w:r>
    </w:p>
    <w:p>
      <w:pPr>
        <w:pStyle w:val="BodyText"/>
        <w:spacing w:line="302" w:lineRule="auto" w:before="76"/>
        <w:ind w:left="514" w:right="1030"/>
        <w:jc w:val="left"/>
      </w:pPr>
      <w:r>
        <w:rPr/>
        <w:t>（</w:t>
      </w:r>
      <w:r>
        <w:rPr>
          <w:rFonts w:ascii="Arial" w:hAnsi="Arial" w:cs="Arial" w:eastAsia="Arial" w:hint="default"/>
        </w:rPr>
        <w:t>3</w:t>
      </w:r>
      <w:r>
        <w:rPr/>
        <w:t>）列报 </w:t>
      </w:r>
      <w:r>
        <w:rPr>
          <w:spacing w:val="-1"/>
        </w:rPr>
        <w:t>本集团在资产负债表中将持有待售的非流动资产或持有待售的处置组中的资产列报于</w:t>
      </w:r>
      <w:r>
        <w:rPr>
          <w:rFonts w:ascii="Arial" w:hAnsi="Arial" w:cs="Arial" w:eastAsia="Arial" w:hint="default"/>
          <w:spacing w:val="-1"/>
        </w:rPr>
        <w:t>“</w:t>
      </w:r>
      <w:r>
        <w:rPr>
          <w:spacing w:val="-1"/>
        </w:rPr>
        <w:t>持有待售资产</w:t>
      </w:r>
      <w:r>
        <w:rPr>
          <w:rFonts w:ascii="Arial" w:hAnsi="Arial" w:cs="Arial" w:eastAsia="Arial" w:hint="default"/>
          <w:spacing w:val="-1"/>
        </w:rPr>
        <w:t>”</w:t>
      </w:r>
      <w:r>
        <w:rPr>
          <w:spacing w:val="-1"/>
        </w:rPr>
        <w:t>，将持有待售的处</w:t>
      </w:r>
    </w:p>
    <w:p>
      <w:pPr>
        <w:pStyle w:val="BodyText"/>
        <w:spacing w:line="302" w:lineRule="auto" w:before="11"/>
        <w:ind w:left="513" w:right="0" w:hanging="360"/>
        <w:jc w:val="left"/>
      </w:pPr>
      <w:r>
        <w:rPr/>
        <w:t>置组中的负债列报于</w:t>
      </w:r>
      <w:r>
        <w:rPr>
          <w:rFonts w:ascii="Arial" w:hAnsi="Arial" w:cs="Arial" w:eastAsia="Arial" w:hint="default"/>
        </w:rPr>
        <w:t>“</w:t>
      </w:r>
      <w:r>
        <w:rPr/>
        <w:t>持有待售负债</w:t>
      </w:r>
      <w:r>
        <w:rPr>
          <w:rFonts w:ascii="Arial" w:hAnsi="Arial" w:cs="Arial" w:eastAsia="Arial" w:hint="default"/>
        </w:rPr>
        <w:t>”</w:t>
      </w:r>
      <w:r>
        <w:rPr/>
        <w:t>。 </w:t>
      </w:r>
      <w:r>
        <w:rPr>
          <w:spacing w:val="-2"/>
        </w:rPr>
        <w:t>本集团在利润表中分别列示持续经营损益和终止经营损益。不符合终止经营定义的持有待售的非流动资产或处置组，其</w:t>
      </w:r>
    </w:p>
    <w:p>
      <w:pPr>
        <w:pStyle w:val="BodyText"/>
        <w:spacing w:line="316" w:lineRule="auto" w:before="29"/>
        <w:ind w:left="153" w:right="1030"/>
        <w:jc w:val="left"/>
      </w:pPr>
      <w:r>
        <w:rPr>
          <w:spacing w:val="-2"/>
        </w:rPr>
        <w:t>减值损失和转回金额及处置损益作为持续经营损益列报。终止经营的减值损失和转回金额等经营损益及处置损益作为终止经</w:t>
      </w:r>
      <w:r>
        <w:rPr>
          <w:spacing w:val="-64"/>
        </w:rPr>
        <w:t> </w:t>
      </w:r>
      <w:r>
        <w:rPr>
          <w:spacing w:val="-64"/>
        </w:rPr>
      </w:r>
      <w:r>
        <w:rPr/>
        <w:t>营损益列报。</w:t>
      </w:r>
    </w:p>
    <w:p>
      <w:pPr>
        <w:pStyle w:val="BodyText"/>
        <w:spacing w:line="240" w:lineRule="auto" w:before="19"/>
        <w:ind w:left="513" w:right="0"/>
        <w:jc w:val="left"/>
      </w:pPr>
      <w:r>
        <w:rPr/>
        <w:t>拟结束使用而非出售且满足终止经营定义中有关组成部分的条件的处置组，自其停止使用日起作为终止经营列报。</w:t>
      </w:r>
    </w:p>
    <w:p>
      <w:pPr>
        <w:spacing w:after="0" w:line="240"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3" w:right="1130" w:firstLine="360"/>
        <w:jc w:val="both"/>
      </w:pPr>
      <w:r>
        <w:rPr>
          <w:spacing w:val="-2"/>
        </w:rPr>
        <w:t>对于当期列报的终止经营，在当期财务报表中，原来作为持续经营损益列报的信息被重新作为可比会计期间的终止经营</w:t>
      </w:r>
      <w:r>
        <w:rPr/>
        <w:t> </w:t>
      </w:r>
      <w:r>
        <w:rPr>
          <w:spacing w:val="-2"/>
        </w:rPr>
        <w:t>损益列报。终止经营不再满足持有待售类别划分条件的，在当期财务报表中，原来作为终止经营损益列报的信息被重新作为</w:t>
      </w:r>
      <w:r>
        <w:rPr>
          <w:spacing w:val="-66"/>
        </w:rPr>
        <w:t> </w:t>
      </w:r>
      <w:r>
        <w:rPr>
          <w:spacing w:val="-66"/>
        </w:rPr>
      </w:r>
      <w:r>
        <w:rPr/>
        <w:t>可比会计期间的持续经营损益列报。</w:t>
      </w:r>
    </w:p>
    <w:p>
      <w:pPr>
        <w:spacing w:line="240" w:lineRule="auto" w:before="7"/>
        <w:rPr>
          <w:rFonts w:ascii="宋体" w:hAnsi="宋体" w:cs="宋体" w:eastAsia="宋体" w:hint="default"/>
          <w:sz w:val="22"/>
          <w:szCs w:val="22"/>
        </w:rPr>
      </w:pPr>
    </w:p>
    <w:p>
      <w:pPr>
        <w:pStyle w:val="Heading4"/>
        <w:spacing w:line="240" w:lineRule="auto"/>
        <w:ind w:right="2239"/>
        <w:jc w:val="left"/>
        <w:rPr>
          <w:b w:val="0"/>
          <w:bCs w:val="0"/>
        </w:rPr>
      </w:pPr>
      <w:r>
        <w:rPr>
          <w:rFonts w:ascii="Arial" w:hAnsi="Arial" w:cs="Arial" w:eastAsia="Arial" w:hint="default"/>
        </w:rPr>
        <w:t>19</w:t>
      </w:r>
      <w:r>
        <w:rPr/>
        <w:t>、债权投资</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20</w:t>
      </w:r>
      <w:r>
        <w:rPr/>
        <w:t>、其他债权投资</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21</w:t>
      </w:r>
      <w:r>
        <w:rPr/>
        <w:t>、长期应收款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22</w:t>
      </w:r>
      <w:r>
        <w:rPr/>
        <w:t>、长期股权投资</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长期股权投资包括对子公司、合营企业和联营企业的权益性投资。本集团能够对被投资单位施加重大影响的，为本集团</w:t>
      </w:r>
      <w:r>
        <w:rPr/>
        <w:t> 的联营企业。</w:t>
      </w:r>
    </w:p>
    <w:p>
      <w:pPr>
        <w:pStyle w:val="BodyText"/>
        <w:spacing w:line="302" w:lineRule="auto" w:before="19"/>
        <w:ind w:left="513" w:right="0"/>
        <w:jc w:val="left"/>
      </w:pPr>
      <w:r>
        <w:rPr/>
        <w:t>（</w:t>
      </w:r>
      <w:r>
        <w:rPr>
          <w:rFonts w:ascii="Arial" w:hAnsi="Arial" w:cs="Arial" w:eastAsia="Arial" w:hint="default"/>
        </w:rPr>
        <w:t>1</w:t>
      </w:r>
      <w:r>
        <w:rPr/>
        <w:t>）初始投资成本确定 </w:t>
      </w:r>
      <w:r>
        <w:rPr>
          <w:spacing w:val="-2"/>
        </w:rPr>
        <w:t>形成企业合并的长期股权投资：同一控制下企业合并取得的长期股权投资，在合并日按照取得被合并方所有者权益在最</w:t>
      </w:r>
    </w:p>
    <w:p>
      <w:pPr>
        <w:pStyle w:val="BodyText"/>
        <w:spacing w:line="316" w:lineRule="auto" w:before="29"/>
        <w:ind w:left="153" w:right="0"/>
        <w:jc w:val="left"/>
      </w:pPr>
      <w:r>
        <w:rPr>
          <w:spacing w:val="-2"/>
        </w:rPr>
        <w:t>终控制方合并财务报表中的账面价值份额作为投资成本；非同一控制下企业合并取得的长期股权投资，按照合并成本作为长</w:t>
      </w:r>
      <w:r>
        <w:rPr>
          <w:spacing w:val="-64"/>
        </w:rPr>
        <w:t> </w:t>
      </w:r>
      <w:r>
        <w:rPr>
          <w:spacing w:val="-64"/>
        </w:rPr>
      </w:r>
      <w:r>
        <w:rPr/>
        <w:t>期股权投资的投资成本。</w:t>
      </w:r>
    </w:p>
    <w:p>
      <w:pPr>
        <w:pStyle w:val="BodyText"/>
        <w:spacing w:line="316" w:lineRule="auto" w:before="19"/>
        <w:ind w:left="153" w:right="1131" w:firstLine="360"/>
        <w:jc w:val="both"/>
      </w:pPr>
      <w:r>
        <w:rPr>
          <w:spacing w:val="-2"/>
        </w:rPr>
        <w:t>对于其他方式取得的长期股权投资：支付现金取得的长期股权投资，按照实际支付的购买价款作为初始投资成本；发行</w:t>
      </w:r>
      <w:r>
        <w:rPr/>
        <w:t> 权益性证券取得的长期股权投资，以发行权益性证券的公允价值作为初始投资成本。</w:t>
      </w:r>
    </w:p>
    <w:p>
      <w:pPr>
        <w:pStyle w:val="BodyText"/>
        <w:spacing w:line="309" w:lineRule="auto" w:before="19"/>
        <w:ind w:left="513" w:right="1031"/>
        <w:jc w:val="left"/>
      </w:pPr>
      <w:r>
        <w:rPr/>
        <w:t>（</w:t>
      </w:r>
      <w:r>
        <w:rPr>
          <w:rFonts w:ascii="Arial" w:hAnsi="Arial" w:cs="Arial" w:eastAsia="Arial" w:hint="default"/>
        </w:rPr>
        <w:t>2</w:t>
      </w:r>
      <w:r>
        <w:rPr/>
        <w:t>）后续计量及损益确认方法 对子公司的投资，采用成本法核算，除非投资符合持有待售的条件；对联营企业和合营企业的投资，采用权益法核算。 采用成本法核算的长期股权投资，除取得投资时实际支付的价款或对价中包含的已宣告但尚未发放的现金股利或利润</w:t>
      </w:r>
    </w:p>
    <w:p>
      <w:pPr>
        <w:pStyle w:val="BodyText"/>
        <w:spacing w:line="316" w:lineRule="auto" w:before="24"/>
        <w:ind w:left="513" w:right="0" w:hanging="360"/>
        <w:jc w:val="left"/>
      </w:pPr>
      <w:r>
        <w:rPr/>
        <w:t>外，被投资单位宣告分派的现金股利或利润，确认为投资收益计入当期损益。 </w:t>
      </w:r>
      <w:r>
        <w:rPr>
          <w:spacing w:val="-2"/>
        </w:rPr>
        <w:t>采用权益法核算的长期股权投资，初始投资成本大于投资时应享有被投资单位可辨认净资产公允价值份额的，不调整长</w:t>
      </w:r>
    </w:p>
    <w:p>
      <w:pPr>
        <w:pStyle w:val="BodyText"/>
        <w:spacing w:line="316" w:lineRule="auto" w:before="19"/>
        <w:ind w:left="153" w:right="0"/>
        <w:jc w:val="left"/>
      </w:pPr>
      <w:r>
        <w:rPr>
          <w:spacing w:val="-2"/>
        </w:rPr>
        <w:t>期股权投资的投资成本；初始投资成本小于投资时应享有被投资单位可辨认净资产公允价值份额的，对长期股权投资的账面</w:t>
      </w:r>
      <w:r>
        <w:rPr>
          <w:spacing w:val="-64"/>
        </w:rPr>
        <w:t> </w:t>
      </w:r>
      <w:r>
        <w:rPr>
          <w:spacing w:val="-64"/>
        </w:rPr>
      </w:r>
      <w:r>
        <w:rPr/>
        <w:t>价值进行调整，差额计入投资当期的损益。</w:t>
      </w:r>
    </w:p>
    <w:p>
      <w:pPr>
        <w:pStyle w:val="BodyText"/>
        <w:spacing w:line="316" w:lineRule="auto" w:before="19"/>
        <w:ind w:left="153" w:right="1129" w:firstLine="360"/>
        <w:jc w:val="both"/>
      </w:pPr>
      <w:r>
        <w:rPr>
          <w:spacing w:val="-2"/>
        </w:rPr>
        <w:t>采用权益法核算时，按照应享有或应分担的被投资单位实现的净损益和其他综合收益的份额，分别确认投资收益和其他</w:t>
      </w:r>
      <w:r>
        <w:rPr/>
        <w:t> </w:t>
      </w:r>
      <w:r>
        <w:rPr>
          <w:spacing w:val="-2"/>
        </w:rPr>
        <w:t>综合收益，同时调整长期股权投资的账面价值；按照被投资单位宣告分派的利润或现金股利计算应享有的部分，相应减少长</w:t>
      </w:r>
      <w:r>
        <w:rPr>
          <w:spacing w:val="-66"/>
        </w:rPr>
        <w:t> </w:t>
      </w:r>
      <w:r>
        <w:rPr>
          <w:spacing w:val="-66"/>
        </w:rPr>
      </w:r>
      <w:r>
        <w:rPr>
          <w:spacing w:val="-2"/>
        </w:rPr>
        <w:t>期股权投资的账面价值；被投资单位除净损益、其他综合收益和利润分配以外所有者权益的其他变动，调整长期股权投资的</w:t>
      </w:r>
      <w:r>
        <w:rPr>
          <w:spacing w:val="-66"/>
        </w:rPr>
        <w:t> </w:t>
      </w:r>
      <w:r>
        <w:rPr>
          <w:spacing w:val="-66"/>
        </w:rPr>
      </w:r>
      <w:r>
        <w:rPr>
          <w:spacing w:val="-2"/>
        </w:rPr>
        <w:t>账面价值并计入资本公积（其他资本公积）。在确认应享有被投资单位净损益的份额时，以取得投资时被投资单位各项可辨</w:t>
      </w:r>
      <w:r>
        <w:rPr>
          <w:spacing w:val="-66"/>
        </w:rPr>
        <w:t> </w:t>
      </w:r>
      <w:r>
        <w:rPr>
          <w:spacing w:val="-66"/>
        </w:rPr>
      </w:r>
      <w:r>
        <w:rPr/>
        <w:t>认资产等的公允价值为基础，并按照本集团的会计政策及会计期间，对被投资单位的净利润进行调整后确认。</w:t>
      </w:r>
    </w:p>
    <w:p>
      <w:pPr>
        <w:pStyle w:val="BodyText"/>
        <w:spacing w:line="316" w:lineRule="auto" w:before="19"/>
        <w:ind w:left="153" w:right="1130" w:firstLine="360"/>
        <w:jc w:val="both"/>
      </w:pPr>
      <w:r>
        <w:rPr>
          <w:spacing w:val="-2"/>
        </w:rPr>
        <w:t>因追加投资等原因能够对被投资单位施加重大影响或实施共同控制但不构成控制的，在转换日，按照原股权的公允价值</w:t>
      </w:r>
      <w:r>
        <w:rPr/>
        <w:t> </w:t>
      </w:r>
      <w:r>
        <w:rPr>
          <w:spacing w:val="-2"/>
        </w:rPr>
        <w:t>加上新增投资成本之和，作为改按权益法核算的初始投资成本。原股权于转换日的公允价值与账面价值之间的差额，以及原</w:t>
      </w:r>
      <w:r>
        <w:rPr>
          <w:spacing w:val="-66"/>
        </w:rPr>
        <w:t> </w:t>
      </w:r>
      <w:r>
        <w:rPr>
          <w:spacing w:val="-66"/>
        </w:rPr>
      </w:r>
      <w:r>
        <w:rPr/>
        <w:t>计入其他综合收益的累计公允价值变动转入改按权益法核算的当期损益。</w:t>
      </w:r>
    </w:p>
    <w:p>
      <w:pPr>
        <w:pStyle w:val="BodyText"/>
        <w:spacing w:line="312" w:lineRule="auto" w:before="19"/>
        <w:ind w:left="153" w:right="0" w:firstLine="360"/>
        <w:jc w:val="left"/>
      </w:pPr>
      <w:r>
        <w:rPr>
          <w:spacing w:val="-2"/>
        </w:rPr>
        <w:t>因处置部分股权投资等原因丧失了对被投资单位的共同控制或重大影响的，处置后的剩余股权在丧失共同控制或重大影</w:t>
      </w:r>
      <w:r>
        <w:rPr/>
        <w:t> </w:t>
      </w:r>
      <w:r>
        <w:rPr>
          <w:spacing w:val="-1"/>
        </w:rPr>
        <w:t>响之日改按《企业会计准则第</w:t>
      </w:r>
      <w:r>
        <w:rPr>
          <w:rFonts w:ascii="Arial" w:hAnsi="Arial" w:cs="Arial" w:eastAsia="Arial" w:hint="default"/>
          <w:spacing w:val="-1"/>
        </w:rPr>
        <w:t>22</w:t>
      </w:r>
      <w:r>
        <w:rPr>
          <w:spacing w:val="-1"/>
        </w:rPr>
        <w:t>号</w:t>
      </w:r>
      <w:r>
        <w:rPr>
          <w:rFonts w:ascii="Arial" w:hAnsi="Arial" w:cs="Arial" w:eastAsia="Arial" w:hint="default"/>
          <w:spacing w:val="-1"/>
        </w:rPr>
        <w:t>—</w:t>
      </w:r>
      <w:r>
        <w:rPr>
          <w:spacing w:val="-1"/>
        </w:rPr>
        <w:t>金融工具确认和计量》进行会计处理，公允价值与账面价值之间的差额计入当期损益。</w:t>
      </w:r>
      <w:r>
        <w:rPr>
          <w:spacing w:val="-48"/>
        </w:rPr>
        <w:t> </w:t>
      </w:r>
      <w:r>
        <w:rPr>
          <w:spacing w:val="-48"/>
        </w:rPr>
      </w:r>
      <w:r>
        <w:rPr>
          <w:spacing w:val="-2"/>
        </w:rPr>
        <w:t>原股权投资因采用权益法核算而确认的其他综合收益，在终止采用权益法核算时采用与被投资单位直接处置相关资产或负债</w:t>
      </w:r>
      <w:r>
        <w:rPr>
          <w:spacing w:val="-64"/>
        </w:rPr>
        <w:t> </w:t>
      </w:r>
      <w:r>
        <w:rPr>
          <w:spacing w:val="-64"/>
        </w:rPr>
      </w:r>
      <w:r>
        <w:rPr/>
        <w:t>相同的基础进行会计处理；原股权投资相关的其他所有者权益变动转入当期损益。</w:t>
      </w:r>
    </w:p>
    <w:p>
      <w:pPr>
        <w:pStyle w:val="BodyText"/>
        <w:spacing w:line="312" w:lineRule="auto" w:before="22"/>
        <w:ind w:left="153" w:right="1129" w:firstLine="360"/>
        <w:jc w:val="both"/>
      </w:pPr>
      <w:r>
        <w:rPr>
          <w:spacing w:val="-2"/>
        </w:rPr>
        <w:t>因处置部分股权投资等原因丧失了对被投资单位的控制的，处置后的剩余股权能够对被投资单位实施共同控制或施加重</w:t>
      </w:r>
      <w:r>
        <w:rPr/>
        <w:t> </w:t>
      </w:r>
      <w:r>
        <w:rPr>
          <w:spacing w:val="-2"/>
        </w:rPr>
        <w:t>大影响的，改按权益法核算，并对该剩余股权视同自取得时即采用权益法核算进行调整；处置后的剩余股权不能对被投资单</w:t>
      </w:r>
      <w:r>
        <w:rPr>
          <w:spacing w:val="-66"/>
        </w:rPr>
        <w:t> </w:t>
      </w:r>
      <w:r>
        <w:rPr>
          <w:spacing w:val="-66"/>
        </w:rPr>
      </w:r>
      <w:r>
        <w:rPr/>
        <w:t>位实施共同控制或施加重大影响的，改按《企业会计准则第</w:t>
      </w:r>
      <w:r>
        <w:rPr>
          <w:rFonts w:ascii="Arial" w:hAnsi="Arial" w:cs="Arial" w:eastAsia="Arial" w:hint="default"/>
        </w:rPr>
        <w:t>22</w:t>
      </w:r>
      <w:r>
        <w:rPr/>
        <w:t>号</w:t>
      </w:r>
      <w:r>
        <w:rPr>
          <w:rFonts w:ascii="Arial" w:hAnsi="Arial" w:cs="Arial" w:eastAsia="Arial" w:hint="default"/>
        </w:rPr>
        <w:t>—</w:t>
      </w:r>
      <w:r>
        <w:rPr/>
        <w:t>金融工具确认和计量》的有关规定进行会计处理，其在</w:t>
      </w:r>
      <w:r>
        <w:rPr>
          <w:spacing w:val="-35"/>
        </w:rPr>
        <w:t> </w:t>
      </w:r>
      <w:r>
        <w:rPr/>
        <w:t>丧失控制之日的公允价值与账面价值之间的差额计入当期损益。</w:t>
      </w:r>
    </w:p>
    <w:p>
      <w:pPr>
        <w:pStyle w:val="BodyText"/>
        <w:spacing w:line="316" w:lineRule="auto" w:before="22"/>
        <w:ind w:right="1129" w:firstLine="360"/>
        <w:jc w:val="both"/>
      </w:pPr>
      <w:r>
        <w:rPr>
          <w:spacing w:val="-2"/>
        </w:rPr>
        <w:t>因其他投资方增资而导致本公司持股比例下降、从而丧失控制权但能对被投资单位实施共同控制或施加重大影响的，按</w:t>
      </w:r>
      <w:r>
        <w:rPr/>
        <w:t> </w:t>
      </w:r>
      <w:r>
        <w:rPr>
          <w:spacing w:val="-2"/>
        </w:rPr>
        <w:t>照新的持股比例确认本公司应享有的被投资单位因增资扩股而增加净资产的份额，与应结转持股比例下降部分所对应的长期</w:t>
      </w:r>
    </w:p>
    <w:p>
      <w:pPr>
        <w:spacing w:after="0" w:line="316" w:lineRule="auto"/>
        <w:jc w:val="both"/>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513" w:right="0" w:hanging="360"/>
        <w:jc w:val="left"/>
      </w:pPr>
      <w:r>
        <w:rPr/>
        <w:t>股权投资原账面价值之间的差额计入当期损益；然后，按照新的持股比例视同自取得投资时即采用权益法核算进行调整。 </w:t>
      </w:r>
      <w:r>
        <w:rPr>
          <w:spacing w:val="-2"/>
        </w:rPr>
        <w:t>本集团与联营企业及合营企业之间发生的未实现内部交易损益按照持股比例计算归属于本集团的部分，在抵销基础上确</w:t>
      </w:r>
    </w:p>
    <w:p>
      <w:pPr>
        <w:pStyle w:val="BodyText"/>
        <w:spacing w:line="240" w:lineRule="auto" w:before="19"/>
        <w:ind w:left="153" w:right="0"/>
        <w:jc w:val="left"/>
      </w:pPr>
      <w:r>
        <w:rPr/>
        <w:t>认投资损益。但本集团与被投资单位发生的未实现内部交易损失，属于所转让资产减值损失的，不予以抵销。</w:t>
      </w:r>
    </w:p>
    <w:p>
      <w:pPr>
        <w:pStyle w:val="BodyText"/>
        <w:spacing w:line="302" w:lineRule="auto" w:before="76"/>
        <w:ind w:left="513" w:right="0"/>
        <w:jc w:val="left"/>
      </w:pPr>
      <w:r>
        <w:rPr/>
        <w:t>（</w:t>
      </w:r>
      <w:r>
        <w:rPr>
          <w:rFonts w:ascii="Arial" w:hAnsi="Arial" w:cs="Arial" w:eastAsia="Arial" w:hint="default"/>
        </w:rPr>
        <w:t>3</w:t>
      </w:r>
      <w:r>
        <w:rPr/>
        <w:t>）确定对被投资单位具有共同控制、重大影响的依据 </w:t>
      </w:r>
      <w:r>
        <w:rPr>
          <w:spacing w:val="-2"/>
        </w:rPr>
        <w:t>共同控制，是指按照相关约定对某项安排所共有的控制，并且该安排的相关活动必须经过分享控制权的参与方一致同意</w:t>
      </w:r>
    </w:p>
    <w:p>
      <w:pPr>
        <w:pStyle w:val="BodyText"/>
        <w:spacing w:line="316" w:lineRule="auto" w:before="29"/>
        <w:ind w:left="153" w:right="1131"/>
        <w:jc w:val="both"/>
      </w:pPr>
      <w:r>
        <w:rPr>
          <w:spacing w:val="-2"/>
        </w:rPr>
        <w:t>后才能决策。在判断是否存在共同控制时，首先判断是否由所有参与方或参与方组合集体控制该安排，其次再判断该安排相</w:t>
      </w:r>
      <w:r>
        <w:rPr>
          <w:spacing w:val="-66"/>
        </w:rPr>
        <w:t> </w:t>
      </w:r>
      <w:r>
        <w:rPr>
          <w:spacing w:val="-66"/>
        </w:rPr>
      </w:r>
      <w:r>
        <w:rPr>
          <w:spacing w:val="-2"/>
        </w:rPr>
        <w:t>关活动的决策是否必须经过这些集体控制该安排的参与方一致同意。如果所有参与方或一组参与方必须一致行动才能决定某</w:t>
      </w:r>
      <w:r>
        <w:rPr>
          <w:spacing w:val="-64"/>
        </w:rPr>
        <w:t> </w:t>
      </w:r>
      <w:r>
        <w:rPr>
          <w:spacing w:val="-64"/>
        </w:rPr>
      </w:r>
      <w:r>
        <w:rPr>
          <w:spacing w:val="-2"/>
        </w:rPr>
        <w:t>项安排的相关活动，则认为所有参与方或一组参与方集体控制该安排；如果存在两个或两个以上的参与方组合能够集体控制</w:t>
      </w:r>
      <w:r>
        <w:rPr>
          <w:spacing w:val="-64"/>
        </w:rPr>
        <w:t> </w:t>
      </w:r>
      <w:r>
        <w:rPr>
          <w:spacing w:val="-64"/>
        </w:rPr>
      </w:r>
      <w:r>
        <w:rPr/>
        <w:t>某项安排的，不构成共同控制。判断是否存在共同控制时，不考虑享有的保护性权利。</w:t>
      </w:r>
    </w:p>
    <w:p>
      <w:pPr>
        <w:pStyle w:val="BodyText"/>
        <w:spacing w:line="316" w:lineRule="auto" w:before="19"/>
        <w:ind w:left="153" w:right="1131" w:firstLine="360"/>
        <w:jc w:val="both"/>
      </w:pPr>
      <w:r>
        <w:rPr>
          <w:spacing w:val="-2"/>
        </w:rPr>
        <w:t>重大影响，是指投资方对被投资单位的财务和经营政策有参与决策的权力，但并不能够控制或者与其他方一起共同控制</w:t>
      </w:r>
      <w:r>
        <w:rPr/>
        <w:t> </w:t>
      </w:r>
      <w:r>
        <w:rPr>
          <w:spacing w:val="-2"/>
        </w:rPr>
        <w:t>这些政策的制定。在确定能否对被投资单位施加重大影响时，考虑投资方直接或间接持有被投资单位的表决权股份以及投资</w:t>
      </w:r>
      <w:r>
        <w:rPr>
          <w:spacing w:val="-64"/>
        </w:rPr>
        <w:t> </w:t>
      </w:r>
      <w:r>
        <w:rPr>
          <w:spacing w:val="-64"/>
        </w:rPr>
      </w:r>
      <w:r>
        <w:rPr>
          <w:spacing w:val="-2"/>
        </w:rPr>
        <w:t>方及其他方持有的当期可执行潜在表决权在假定转换为对被投资方单位的股权后产生的影响，包括被投资单位发行的当期可</w:t>
      </w:r>
      <w:r>
        <w:rPr>
          <w:spacing w:val="-64"/>
        </w:rPr>
        <w:t> </w:t>
      </w:r>
      <w:r>
        <w:rPr>
          <w:spacing w:val="-64"/>
        </w:rPr>
      </w:r>
      <w:r>
        <w:rPr/>
        <w:t>转换的认股权证、股份期权及可转换公司债券等的影响。</w:t>
      </w:r>
    </w:p>
    <w:p>
      <w:pPr>
        <w:pStyle w:val="BodyText"/>
        <w:spacing w:line="307" w:lineRule="auto" w:before="19"/>
        <w:ind w:left="153" w:right="1131" w:firstLine="360"/>
        <w:jc w:val="both"/>
      </w:pPr>
      <w:r>
        <w:rPr>
          <w:spacing w:val="-2"/>
        </w:rPr>
        <w:t>当本公司直接或通过子公司间接拥有被投资单位</w:t>
      </w:r>
      <w:r>
        <w:rPr>
          <w:rFonts w:ascii="Arial" w:hAnsi="Arial" w:cs="Arial" w:eastAsia="Arial" w:hint="default"/>
          <w:spacing w:val="-2"/>
        </w:rPr>
        <w:t>20%</w:t>
      </w:r>
      <w:r>
        <w:rPr>
          <w:spacing w:val="-2"/>
        </w:rPr>
        <w:t>（含</w:t>
      </w:r>
      <w:r>
        <w:rPr>
          <w:rFonts w:ascii="Arial" w:hAnsi="Arial" w:cs="Arial" w:eastAsia="Arial" w:hint="default"/>
          <w:spacing w:val="-2"/>
        </w:rPr>
        <w:t>20%</w:t>
      </w:r>
      <w:r>
        <w:rPr>
          <w:spacing w:val="-2"/>
        </w:rPr>
        <w:t>）以上但低于</w:t>
      </w:r>
      <w:r>
        <w:rPr>
          <w:rFonts w:ascii="Arial" w:hAnsi="Arial" w:cs="Arial" w:eastAsia="Arial" w:hint="default"/>
          <w:spacing w:val="-2"/>
        </w:rPr>
        <w:t>50%</w:t>
      </w:r>
      <w:r>
        <w:rPr>
          <w:spacing w:val="-2"/>
        </w:rPr>
        <w:t>的表决权股份时，一般认为对被投资单</w:t>
      </w:r>
      <w:r>
        <w:rPr/>
        <w:t> </w:t>
      </w:r>
      <w:r>
        <w:rPr>
          <w:spacing w:val="-2"/>
        </w:rPr>
        <w:t>位具有重大影响，除非有明确证据表明该种情况下不能参与被投资单位的生产经营决策，不形成重大影响；本集团拥有被投</w:t>
      </w:r>
      <w:r>
        <w:rPr>
          <w:spacing w:val="-66"/>
        </w:rPr>
        <w:t> </w:t>
      </w:r>
      <w:r>
        <w:rPr>
          <w:spacing w:val="-66"/>
        </w:rPr>
      </w:r>
      <w:r>
        <w:rPr>
          <w:spacing w:val="-2"/>
        </w:rPr>
        <w:t>资单位</w:t>
      </w:r>
      <w:r>
        <w:rPr>
          <w:rFonts w:ascii="Arial" w:hAnsi="Arial" w:cs="Arial" w:eastAsia="Arial" w:hint="default"/>
          <w:spacing w:val="-2"/>
        </w:rPr>
        <w:t>20%</w:t>
      </w:r>
      <w:r>
        <w:rPr>
          <w:spacing w:val="-2"/>
        </w:rPr>
        <w:t>（不含）以下的表决权股份时，一般不认为对被投资单位具有重大影响，除非有明确证据表明该种情况下能够参</w:t>
      </w:r>
      <w:r>
        <w:rPr>
          <w:spacing w:val="-65"/>
        </w:rPr>
        <w:t> </w:t>
      </w:r>
      <w:r>
        <w:rPr>
          <w:spacing w:val="-65"/>
        </w:rPr>
      </w:r>
      <w:r>
        <w:rPr/>
        <w:t>与被投资单位的生产经营决策，形成重大影响。</w:t>
      </w:r>
    </w:p>
    <w:p>
      <w:pPr>
        <w:pStyle w:val="BodyText"/>
        <w:spacing w:line="307" w:lineRule="auto" w:before="26"/>
        <w:ind w:left="513" w:right="1030"/>
        <w:jc w:val="left"/>
      </w:pPr>
      <w:r>
        <w:rPr/>
        <w:t>（</w:t>
      </w:r>
      <w:r>
        <w:rPr>
          <w:rFonts w:ascii="Arial" w:hAnsi="Arial" w:cs="Arial" w:eastAsia="Arial" w:hint="default"/>
        </w:rPr>
        <w:t>4</w:t>
      </w:r>
      <w:r>
        <w:rPr/>
        <w:t>）持有待售的权益性投资 对联营企业或合营企业的权益性投资全部或部分分类为持有待售资产的，相关会计处理见附注三、</w:t>
      </w:r>
      <w:r>
        <w:rPr>
          <w:rFonts w:ascii="Arial" w:hAnsi="Arial" w:cs="Arial" w:eastAsia="Arial" w:hint="default"/>
        </w:rPr>
        <w:t>12</w:t>
      </w:r>
      <w:r>
        <w:rPr/>
        <w:t>。 对于未划分为持有待售资产的剩余权益性投资，采用权益法进行会计处理。 </w:t>
      </w:r>
      <w:r>
        <w:rPr>
          <w:spacing w:val="-2"/>
        </w:rPr>
        <w:t>已划分为持有待售的对联营企业或合营企业的权益性投资，不再符合持有待售资产分类条件的，从被分类为持有待售资</w:t>
      </w:r>
    </w:p>
    <w:p>
      <w:pPr>
        <w:pStyle w:val="BodyText"/>
        <w:spacing w:line="240" w:lineRule="auto" w:before="26"/>
        <w:ind w:left="153" w:right="2239"/>
        <w:jc w:val="left"/>
      </w:pPr>
      <w:r>
        <w:rPr/>
        <w:t>产之日起采用权益法进行追溯调整。</w:t>
      </w:r>
    </w:p>
    <w:p>
      <w:pPr>
        <w:pStyle w:val="BodyText"/>
        <w:spacing w:line="302" w:lineRule="auto" w:before="76"/>
        <w:ind w:left="513" w:right="4251"/>
        <w:jc w:val="left"/>
      </w:pPr>
      <w:r>
        <w:rPr/>
        <w:t>（</w:t>
      </w:r>
      <w:r>
        <w:rPr>
          <w:rFonts w:ascii="Arial" w:hAnsi="Arial" w:cs="Arial" w:eastAsia="Arial" w:hint="default"/>
        </w:rPr>
        <w:t>5</w:t>
      </w:r>
      <w:r>
        <w:rPr/>
        <w:t>）减值测试方法及减值准备计提方法 对子公司、联营企业及合营企业的投资，计提资产减值的方法见附注三、</w:t>
      </w:r>
      <w:r>
        <w:rPr>
          <w:rFonts w:ascii="Arial" w:hAnsi="Arial" w:cs="Arial" w:eastAsia="Arial" w:hint="default"/>
        </w:rPr>
        <w:t>20</w:t>
      </w:r>
      <w:r>
        <w:rPr/>
        <w:t>。</w:t>
      </w:r>
    </w:p>
    <w:p>
      <w:pPr>
        <w:spacing w:line="240" w:lineRule="auto" w:before="12"/>
        <w:rPr>
          <w:rFonts w:ascii="宋体" w:hAnsi="宋体" w:cs="宋体" w:eastAsia="宋体" w:hint="default"/>
          <w:sz w:val="21"/>
          <w:szCs w:val="21"/>
        </w:rPr>
      </w:pPr>
    </w:p>
    <w:p>
      <w:pPr>
        <w:pStyle w:val="Heading4"/>
        <w:spacing w:line="240" w:lineRule="auto"/>
        <w:ind w:right="2239"/>
        <w:jc w:val="left"/>
        <w:rPr>
          <w:b w:val="0"/>
          <w:bCs w:val="0"/>
        </w:rPr>
      </w:pPr>
      <w:r>
        <w:rPr>
          <w:rFonts w:ascii="Arial" w:hAnsi="Arial" w:cs="Arial" w:eastAsia="Arial" w:hint="default"/>
        </w:rPr>
        <w:t>23</w:t>
      </w:r>
      <w:r>
        <w:rPr/>
        <w:t>、投资性房地产</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left="153" w:right="8951"/>
        <w:jc w:val="left"/>
      </w:pPr>
      <w:r>
        <w:rPr/>
        <w:t>投资性房地产计量模式 成本法计量 折旧或摊销方法</w:t>
      </w:r>
    </w:p>
    <w:p>
      <w:pPr>
        <w:pStyle w:val="BodyText"/>
        <w:spacing w:line="316" w:lineRule="auto" w:before="25"/>
        <w:ind w:left="153" w:right="1041" w:firstLine="360"/>
        <w:jc w:val="both"/>
      </w:pPr>
      <w:r>
        <w:rPr>
          <w:spacing w:val="-4"/>
        </w:rPr>
        <w:t>投资性房地产是指为赚取租金或资本增值，或两者兼有而持有的房地产。本集团投资性房地产包括已出租的土地使用权、</w:t>
      </w:r>
      <w:r>
        <w:rPr/>
        <w:t> 持有并准备增值后转让的土地使用权、已出租的建筑物。</w:t>
      </w:r>
    </w:p>
    <w:p>
      <w:pPr>
        <w:pStyle w:val="BodyText"/>
        <w:spacing w:line="312" w:lineRule="auto" w:before="19"/>
        <w:ind w:left="514" w:right="1030"/>
        <w:jc w:val="left"/>
      </w:pPr>
      <w:r>
        <w:rPr/>
        <w:t>本集团投资性房地产按照取得时的成本进行初始计量，并按照固定资产或无形资产的有关规定，按期计提折旧或摊销。 采用成本模式进行后续计量的投资性房地产，计提资产减值方法见附注三、</w:t>
      </w:r>
      <w:r>
        <w:rPr>
          <w:rFonts w:ascii="Arial" w:hAnsi="Arial" w:cs="Arial" w:eastAsia="Arial" w:hint="default"/>
        </w:rPr>
        <w:t>20</w:t>
      </w:r>
      <w:r>
        <w:rPr/>
        <w:t>。 投资性房地产出售、转让、报废或毁损的处置收入扣除其账面价值和相关税费后的差额计入当期损益。 本集团确定各类投资性房地产的年折旧率如下：</w:t>
      </w:r>
    </w:p>
    <w:tbl>
      <w:tblPr>
        <w:tblW w:w="0" w:type="auto"/>
        <w:jc w:val="left"/>
        <w:tblInd w:w="389" w:type="dxa"/>
        <w:tblLayout w:type="fixed"/>
        <w:tblCellMar>
          <w:top w:w="0" w:type="dxa"/>
          <w:left w:w="0" w:type="dxa"/>
          <w:bottom w:w="0" w:type="dxa"/>
          <w:right w:w="0" w:type="dxa"/>
        </w:tblCellMar>
        <w:tblLook w:val="01E0"/>
      </w:tblPr>
      <w:tblGrid>
        <w:gridCol w:w="2287"/>
        <w:gridCol w:w="2288"/>
        <w:gridCol w:w="2288"/>
        <w:gridCol w:w="2288"/>
      </w:tblGrid>
      <w:tr>
        <w:trPr>
          <w:trHeight w:val="347" w:hRule="exact"/>
        </w:trPr>
        <w:tc>
          <w:tcPr>
            <w:tcW w:w="228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22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687" w:right="0"/>
              <w:jc w:val="left"/>
              <w:rPr>
                <w:rFonts w:ascii="宋体" w:hAnsi="宋体" w:cs="宋体" w:eastAsia="宋体" w:hint="default"/>
                <w:sz w:val="18"/>
                <w:szCs w:val="18"/>
              </w:rPr>
            </w:pPr>
            <w:r>
              <w:rPr>
                <w:rFonts w:ascii="宋体" w:hAnsi="宋体" w:cs="宋体" w:eastAsia="宋体" w:hint="default"/>
                <w:sz w:val="18"/>
                <w:szCs w:val="18"/>
              </w:rPr>
              <w:t>使用年限（年）</w:t>
            </w:r>
          </w:p>
        </w:tc>
        <w:tc>
          <w:tcPr>
            <w:tcW w:w="22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残值率%</w:t>
            </w:r>
          </w:p>
        </w:tc>
        <w:tc>
          <w:tcPr>
            <w:tcW w:w="22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73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348" w:hRule="exact"/>
        </w:trPr>
        <w:tc>
          <w:tcPr>
            <w:tcW w:w="22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20.00</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79"/>
              <w:jc w:val="right"/>
              <w:rPr>
                <w:rFonts w:ascii="宋体" w:hAnsi="宋体" w:cs="宋体" w:eastAsia="宋体" w:hint="default"/>
                <w:sz w:val="18"/>
                <w:szCs w:val="18"/>
              </w:rPr>
            </w:pPr>
            <w:r>
              <w:rPr>
                <w:rFonts w:ascii="宋体"/>
                <w:sz w:val="18"/>
              </w:rPr>
              <w:t>5.00</w:t>
            </w:r>
          </w:p>
        </w:tc>
        <w:tc>
          <w:tcPr>
            <w:tcW w:w="2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226"/>
              <w:jc w:val="right"/>
              <w:rPr>
                <w:rFonts w:ascii="宋体" w:hAnsi="宋体" w:cs="宋体" w:eastAsia="宋体" w:hint="default"/>
                <w:sz w:val="18"/>
                <w:szCs w:val="18"/>
              </w:rPr>
            </w:pPr>
            <w:r>
              <w:rPr>
                <w:rFonts w:ascii="宋体"/>
                <w:sz w:val="18"/>
              </w:rPr>
              <w:t>4.75</w:t>
            </w:r>
          </w:p>
        </w:tc>
      </w:tr>
    </w:tbl>
    <w:p>
      <w:pPr>
        <w:spacing w:line="240" w:lineRule="auto" w:before="1"/>
        <w:rPr>
          <w:rFonts w:ascii="宋体" w:hAnsi="宋体" w:cs="宋体" w:eastAsia="宋体" w:hint="default"/>
          <w:sz w:val="20"/>
          <w:szCs w:val="20"/>
        </w:rPr>
      </w:pPr>
    </w:p>
    <w:p>
      <w:pPr>
        <w:pStyle w:val="Heading4"/>
        <w:spacing w:line="240" w:lineRule="auto" w:before="35"/>
        <w:ind w:right="2239"/>
        <w:jc w:val="left"/>
        <w:rPr>
          <w:b w:val="0"/>
          <w:bCs w:val="0"/>
        </w:rPr>
      </w:pPr>
      <w:r>
        <w:rPr>
          <w:rFonts w:ascii="Arial" w:hAnsi="Arial" w:cs="Arial" w:eastAsia="Arial" w:hint="default"/>
        </w:rPr>
        <w:t>24</w:t>
      </w:r>
      <w:r>
        <w:rPr/>
        <w:t>、固定资产</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t>（</w:t>
      </w:r>
      <w:r>
        <w:rPr>
          <w:rFonts w:ascii="Arial" w:hAnsi="Arial" w:cs="Arial" w:eastAsia="Arial" w:hint="default"/>
        </w:rPr>
        <w:t>1</w:t>
      </w:r>
      <w:r>
        <w:rPr/>
        <w:t>）确认条件</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本集团固定资产是指为生产商品、提供劳务、出租或经营管理而持有的，使用寿命超过一个会计年度的有形资产。与该</w:t>
      </w:r>
    </w:p>
    <w:p>
      <w:pPr>
        <w:spacing w:after="0" w:line="240"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19" w:lineRule="auto" w:before="44"/>
        <w:ind w:left="153" w:right="0"/>
        <w:jc w:val="left"/>
      </w:pPr>
      <w:r>
        <w:rPr>
          <w:spacing w:val="-2"/>
        </w:rPr>
        <w:t>固定资产有关的经济利益很可能流入企业，并且该固定资产的成本能够可靠地计量时，固定资产才能予以确认。本集团固定</w:t>
      </w:r>
      <w:r>
        <w:rPr>
          <w:spacing w:val="-66"/>
        </w:rPr>
        <w:t> </w:t>
      </w:r>
      <w:r>
        <w:rPr>
          <w:spacing w:val="-66"/>
        </w:rPr>
      </w:r>
      <w:r>
        <w:rPr/>
        <w:t>资产按照取得时的实际成本进行初始计量。</w:t>
      </w:r>
    </w:p>
    <w:p>
      <w:pPr>
        <w:spacing w:line="240" w:lineRule="auto" w:before="3"/>
        <w:rPr>
          <w:rFonts w:ascii="宋体" w:hAnsi="宋体" w:cs="宋体" w:eastAsia="宋体" w:hint="default"/>
          <w:sz w:val="22"/>
          <w:szCs w:val="22"/>
        </w:rPr>
      </w:pPr>
    </w:p>
    <w:p>
      <w:pPr>
        <w:pStyle w:val="Heading4"/>
        <w:spacing w:line="240" w:lineRule="auto"/>
        <w:ind w:right="2239"/>
        <w:jc w:val="left"/>
        <w:rPr>
          <w:b w:val="0"/>
          <w:bCs w:val="0"/>
        </w:rPr>
      </w:pPr>
      <w:r>
        <w:rPr/>
        <w:t>（</w:t>
      </w:r>
      <w:r>
        <w:rPr>
          <w:rFonts w:ascii="Arial" w:hAnsi="Arial" w:cs="Arial" w:eastAsia="Arial" w:hint="default"/>
        </w:rPr>
        <w:t>2</w:t>
      </w:r>
      <w:r>
        <w:rPr/>
        <w:t>）折旧方法</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402"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折旧方法</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折旧年限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残值率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年折旧率</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95"/>
                <w:sz w:val="18"/>
              </w:rPr>
              <w:t>20.00</w:t>
            </w:r>
            <w:r>
              <w:rPr>
                <w:rFonts w:ascii="Arial"/>
                <w:w w:val="95"/>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95"/>
                <w:sz w:val="18"/>
              </w:rPr>
              <w:t>5.00%</w:t>
            </w:r>
            <w:r>
              <w:rPr>
                <w:rFonts w:ascii="Arial"/>
                <w:w w:val="95"/>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95"/>
                <w:sz w:val="18"/>
              </w:rPr>
              <w:t>4.75%</w:t>
            </w:r>
            <w:r>
              <w:rPr>
                <w:rFonts w:ascii="Arial"/>
                <w:w w:val="95"/>
                <w:sz w:val="18"/>
              </w:rPr>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95"/>
                <w:sz w:val="18"/>
              </w:rPr>
              <w:t>10.00</w:t>
            </w:r>
            <w:r>
              <w:rPr>
                <w:rFonts w:ascii="Arial"/>
                <w:w w:val="95"/>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95"/>
                <w:sz w:val="18"/>
              </w:rPr>
              <w:t>5.00%</w:t>
            </w:r>
            <w:r>
              <w:rPr>
                <w:rFonts w:ascii="Arial"/>
                <w:w w:val="95"/>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95"/>
                <w:sz w:val="18"/>
              </w:rPr>
              <w:t>9.50%</w:t>
            </w:r>
            <w:r>
              <w:rPr>
                <w:rFonts w:ascii="Arial"/>
                <w:w w:val="95"/>
                <w:sz w:val="18"/>
              </w:rPr>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95"/>
                <w:sz w:val="18"/>
              </w:rPr>
              <w:t>5.00</w:t>
            </w:r>
            <w:r>
              <w:rPr>
                <w:rFonts w:ascii="Arial"/>
                <w:w w:val="95"/>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95"/>
                <w:sz w:val="18"/>
              </w:rPr>
              <w:t>5.00%</w:t>
            </w:r>
            <w:r>
              <w:rPr>
                <w:rFonts w:ascii="Arial"/>
                <w:w w:val="95"/>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Arial" w:hAnsi="Arial" w:cs="Arial" w:eastAsia="Arial" w:hint="default"/>
                <w:sz w:val="18"/>
                <w:szCs w:val="18"/>
              </w:rPr>
            </w:pPr>
            <w:r>
              <w:rPr>
                <w:rFonts w:ascii="Arial"/>
                <w:spacing w:val="-1"/>
                <w:sz w:val="18"/>
              </w:rPr>
              <w:t>19.00%</w:t>
            </w:r>
          </w:p>
        </w:tc>
      </w:tr>
      <w:tr>
        <w:trPr>
          <w:trHeight w:val="402"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年限平均法</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95"/>
                <w:sz w:val="18"/>
              </w:rPr>
              <w:t>5.00</w:t>
            </w:r>
            <w:r>
              <w:rPr>
                <w:rFonts w:ascii="Arial"/>
                <w:w w:val="95"/>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95"/>
                <w:sz w:val="18"/>
              </w:rPr>
              <w:t>5.00%</w:t>
            </w:r>
            <w:r>
              <w:rPr>
                <w:rFonts w:ascii="Arial"/>
                <w:w w:val="95"/>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Arial" w:hAnsi="Arial" w:cs="Arial" w:eastAsia="Arial" w:hint="default"/>
                <w:sz w:val="18"/>
                <w:szCs w:val="18"/>
              </w:rPr>
            </w:pPr>
            <w:r>
              <w:rPr>
                <w:rFonts w:ascii="Arial"/>
                <w:spacing w:val="-1"/>
                <w:sz w:val="18"/>
              </w:rPr>
              <w:t>19.00%</w:t>
            </w:r>
          </w:p>
        </w:tc>
      </w:tr>
    </w:tbl>
    <w:p>
      <w:pPr>
        <w:pStyle w:val="BodyText"/>
        <w:spacing w:line="316" w:lineRule="auto" w:before="10"/>
        <w:ind w:right="1129" w:firstLine="360"/>
        <w:jc w:val="both"/>
      </w:pPr>
      <w:r>
        <w:rPr>
          <w:spacing w:val="-2"/>
        </w:rPr>
        <w:t>本集团采用年限平均法计提折旧。固定资产自达到预定可使用状态时开始计提折旧，终止确认时或划分为持有待售非流</w:t>
      </w:r>
      <w:r>
        <w:rPr/>
        <w:t> </w:t>
      </w:r>
      <w:r>
        <w:rPr>
          <w:spacing w:val="-2"/>
        </w:rPr>
        <w:t>动资产时停止计提折旧。在不考虑减值准备的情况下，按固定资产类别、预计使用寿命和预计残值，本集团确定各类固定资</w:t>
      </w:r>
      <w:r>
        <w:rPr>
          <w:spacing w:val="-66"/>
        </w:rPr>
        <w:t> </w:t>
      </w:r>
      <w:r>
        <w:rPr>
          <w:spacing w:val="-66"/>
        </w:rPr>
      </w:r>
      <w:r>
        <w:rPr/>
        <w:t>产的年折旧率如上：</w:t>
      </w:r>
    </w:p>
    <w:p>
      <w:pPr>
        <w:pStyle w:val="BodyText"/>
        <w:spacing w:line="309" w:lineRule="auto" w:before="19"/>
        <w:ind w:left="513" w:right="0"/>
        <w:jc w:val="left"/>
      </w:pPr>
      <w:r>
        <w:rPr/>
        <w:t>其中，已计提减值准备的固定资产，还应扣除已计提的固定资产减值准备累计金额计算确定折旧率。 固定资产的减值测试方法、减值准备计提方法见附注三、</w:t>
      </w:r>
      <w:r>
        <w:rPr>
          <w:rFonts w:ascii="Arial" w:hAnsi="Arial" w:cs="Arial" w:eastAsia="Arial" w:hint="default"/>
        </w:rPr>
        <w:t>20</w:t>
      </w:r>
      <w:r>
        <w:rPr/>
        <w:t>。 </w:t>
      </w:r>
      <w:r>
        <w:rPr>
          <w:spacing w:val="-2"/>
        </w:rPr>
        <w:t>每年年度终了，本集团对固定资产的使用寿命、预计净残值和折旧方法进行复核。使用寿命预计数与原先估计数有差异</w:t>
      </w:r>
    </w:p>
    <w:p>
      <w:pPr>
        <w:pStyle w:val="BodyText"/>
        <w:spacing w:line="316" w:lineRule="auto" w:before="24"/>
        <w:ind w:left="514" w:right="0" w:hanging="360"/>
        <w:jc w:val="left"/>
      </w:pPr>
      <w:r>
        <w:rPr/>
        <w:t>的，调整固定资产使用寿命；预计净残值预计数与原先估计数有差异的，调整预计净残值。 </w:t>
      </w:r>
      <w:r>
        <w:rPr>
          <w:spacing w:val="-2"/>
        </w:rPr>
        <w:t>大修理费用：本集团对固定资产进行定期检查发生的大修理费用，有确凿证据表明符合固定资产确认条件的部分，计入</w:t>
      </w:r>
    </w:p>
    <w:p>
      <w:pPr>
        <w:pStyle w:val="BodyText"/>
        <w:spacing w:line="240" w:lineRule="auto" w:before="19"/>
        <w:ind w:right="2239"/>
        <w:jc w:val="left"/>
      </w:pPr>
      <w:r>
        <w:rPr/>
        <w:t>固定资产成本，不符合固定资产确认条件的计入当期损益。固定资产在定期大修理间隔期间，照提折旧。</w:t>
      </w:r>
    </w:p>
    <w:p>
      <w:pPr>
        <w:spacing w:line="240" w:lineRule="auto" w:before="12"/>
        <w:rPr>
          <w:rFonts w:ascii="宋体" w:hAnsi="宋体" w:cs="宋体" w:eastAsia="宋体" w:hint="default"/>
          <w:sz w:val="26"/>
          <w:szCs w:val="26"/>
        </w:rPr>
      </w:pPr>
    </w:p>
    <w:p>
      <w:pPr>
        <w:pStyle w:val="Heading4"/>
        <w:spacing w:line="240" w:lineRule="auto"/>
        <w:ind w:right="2239"/>
        <w:jc w:val="left"/>
        <w:rPr>
          <w:b w:val="0"/>
          <w:bCs w:val="0"/>
        </w:rPr>
      </w:pPr>
      <w:r>
        <w:rPr/>
        <w:t>（</w:t>
      </w:r>
      <w:r>
        <w:rPr>
          <w:rFonts w:ascii="Arial" w:hAnsi="Arial" w:cs="Arial" w:eastAsia="Arial" w:hint="default"/>
        </w:rPr>
        <w:t>3</w:t>
      </w:r>
      <w:r>
        <w:rPr/>
        <w:t>）融资租入固定资产的认定依据、计价和折旧方法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2239"/>
        <w:jc w:val="left"/>
      </w:pPr>
      <w:r>
        <w:rPr/>
        <w:t>无。</w:t>
      </w:r>
    </w:p>
    <w:p>
      <w:pPr>
        <w:spacing w:line="240" w:lineRule="auto" w:before="11"/>
        <w:rPr>
          <w:rFonts w:ascii="宋体" w:hAnsi="宋体" w:cs="宋体" w:eastAsia="宋体" w:hint="default"/>
          <w:sz w:val="26"/>
          <w:szCs w:val="26"/>
        </w:rPr>
      </w:pPr>
    </w:p>
    <w:p>
      <w:pPr>
        <w:pStyle w:val="Heading4"/>
        <w:spacing w:line="240" w:lineRule="auto"/>
        <w:ind w:right="2239"/>
        <w:jc w:val="left"/>
        <w:rPr>
          <w:b w:val="0"/>
          <w:bCs w:val="0"/>
        </w:rPr>
      </w:pPr>
      <w:r>
        <w:rPr>
          <w:rFonts w:ascii="Arial" w:hAnsi="Arial" w:cs="Arial" w:eastAsia="Arial" w:hint="default"/>
        </w:rPr>
        <w:t>25</w:t>
      </w:r>
      <w:r>
        <w:rPr/>
        <w:t>、在建工程</w:t>
      </w:r>
      <w:r>
        <w:rPr>
          <w:b w:val="0"/>
          <w:bCs w:val="0"/>
        </w:rPr>
      </w:r>
    </w:p>
    <w:p>
      <w:pPr>
        <w:spacing w:line="240" w:lineRule="auto" w:before="9"/>
        <w:rPr>
          <w:rFonts w:ascii="宋体" w:hAnsi="宋体" w:cs="宋体" w:eastAsia="宋体" w:hint="default"/>
          <w:b/>
          <w:bCs/>
          <w:sz w:val="26"/>
          <w:szCs w:val="26"/>
        </w:rPr>
      </w:pPr>
    </w:p>
    <w:p>
      <w:pPr>
        <w:pStyle w:val="BodyText"/>
        <w:spacing w:line="316" w:lineRule="auto"/>
        <w:ind w:right="1130" w:firstLine="360"/>
        <w:jc w:val="both"/>
      </w:pPr>
      <w:r>
        <w:rPr>
          <w:spacing w:val="-2"/>
        </w:rPr>
        <w:t>本集团在建工程成本按实际工程支出确定，包括在建期间发生的各项必要工程支出、工程达到预定可使用状态前的应予</w:t>
      </w:r>
      <w:r>
        <w:rPr/>
        <w:t> 资本化的借款费用以及其他相关费用等。</w:t>
      </w:r>
    </w:p>
    <w:p>
      <w:pPr>
        <w:pStyle w:val="BodyText"/>
        <w:spacing w:line="316" w:lineRule="auto" w:before="19"/>
        <w:ind w:left="513" w:right="6431"/>
        <w:jc w:val="left"/>
      </w:pPr>
      <w:r>
        <w:rPr/>
        <w:t>在建工程在达到预定可使用状态时转入固定资产。 在建工程计提资产减值方法见附注三、</w:t>
      </w:r>
      <w:r>
        <w:rPr>
          <w:rFonts w:ascii="Arial" w:hAnsi="Arial" w:cs="Arial" w:eastAsia="Arial" w:hint="default"/>
        </w:rPr>
        <w:t>20</w:t>
      </w:r>
      <w:r>
        <w:rPr/>
        <w:t>。</w:t>
      </w:r>
    </w:p>
    <w:p>
      <w:pPr>
        <w:spacing w:line="240" w:lineRule="auto" w:before="0"/>
        <w:rPr>
          <w:rFonts w:ascii="宋体" w:hAnsi="宋体" w:cs="宋体" w:eastAsia="宋体" w:hint="default"/>
          <w:sz w:val="21"/>
          <w:szCs w:val="21"/>
        </w:rPr>
      </w:pPr>
    </w:p>
    <w:p>
      <w:pPr>
        <w:pStyle w:val="Heading4"/>
        <w:spacing w:line="240" w:lineRule="auto"/>
        <w:ind w:right="2239"/>
        <w:jc w:val="left"/>
        <w:rPr>
          <w:b w:val="0"/>
          <w:bCs w:val="0"/>
        </w:rPr>
      </w:pPr>
      <w:r>
        <w:rPr>
          <w:rFonts w:ascii="Arial" w:hAnsi="Arial" w:cs="Arial" w:eastAsia="Arial" w:hint="default"/>
        </w:rPr>
        <w:t>26</w:t>
      </w:r>
      <w:r>
        <w:rPr/>
        <w:t>、借款费用</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left="513" w:right="0"/>
        <w:jc w:val="left"/>
      </w:pPr>
      <w:r>
        <w:rPr/>
        <w:t>（</w:t>
      </w:r>
      <w:r>
        <w:rPr>
          <w:rFonts w:ascii="Arial" w:hAnsi="Arial" w:cs="Arial" w:eastAsia="Arial" w:hint="default"/>
        </w:rPr>
        <w:t>1</w:t>
      </w:r>
      <w:r>
        <w:rPr/>
        <w:t>）借款费用资本化的确认原则 </w:t>
      </w:r>
      <w:r>
        <w:rPr>
          <w:spacing w:val="-2"/>
        </w:rPr>
        <w:t>本集团发生的借款费用，可直接归属于符合资本化条件的资产的购建或者生产的，予以资本化，计入相关资产成本；其</w:t>
      </w:r>
    </w:p>
    <w:p>
      <w:pPr>
        <w:pStyle w:val="BodyText"/>
        <w:spacing w:line="240" w:lineRule="auto" w:before="29"/>
        <w:ind w:left="153" w:right="0"/>
        <w:jc w:val="left"/>
      </w:pPr>
      <w:r>
        <w:rPr/>
        <w:t>他借款费用，在发生时根据其发生额确认为费用，计入当期损益。借款费用同时满足下列条件的，开始资本化：</w:t>
      </w:r>
    </w:p>
    <w:p>
      <w:pPr>
        <w:pStyle w:val="BodyText"/>
        <w:spacing w:line="316" w:lineRule="auto" w:before="76"/>
        <w:ind w:left="153" w:right="1128" w:firstLine="360"/>
        <w:jc w:val="both"/>
      </w:pPr>
      <w:r>
        <w:rPr/>
        <w:t>①</w:t>
      </w:r>
      <w:r>
        <w:rPr>
          <w:spacing w:val="7"/>
        </w:rPr>
        <w:t> </w:t>
      </w:r>
      <w:r>
        <w:rPr/>
        <w:t>资产支出已经发生，资产支出包括为购建或者生产符合资本化条件的资产而以支付现金、转移非现金资产或者承担</w:t>
      </w:r>
      <w:r>
        <w:rPr/>
        <w:t> 带息债务形式发生的支出；</w:t>
      </w:r>
    </w:p>
    <w:p>
      <w:pPr>
        <w:pStyle w:val="BodyText"/>
        <w:spacing w:line="240" w:lineRule="auto" w:before="19"/>
        <w:ind w:left="513" w:right="2239"/>
        <w:jc w:val="left"/>
      </w:pPr>
      <w:r>
        <w:rPr/>
        <w:t>② 借款费用已经发生；</w:t>
      </w:r>
    </w:p>
    <w:p>
      <w:pPr>
        <w:pStyle w:val="BodyText"/>
        <w:spacing w:line="240" w:lineRule="auto" w:before="76"/>
        <w:ind w:left="513" w:right="2239"/>
        <w:jc w:val="left"/>
      </w:pPr>
      <w:r>
        <w:rPr/>
        <w:t>③ 为使资产达到预定可使用或者可销售状态所必要的购建或者生产活动已经开始。</w:t>
      </w:r>
    </w:p>
    <w:p>
      <w:pPr>
        <w:pStyle w:val="BodyText"/>
        <w:spacing w:line="302" w:lineRule="auto" w:before="76"/>
        <w:ind w:left="513" w:right="0"/>
        <w:jc w:val="left"/>
      </w:pPr>
      <w:r>
        <w:rPr/>
        <w:t>（</w:t>
      </w:r>
      <w:r>
        <w:rPr>
          <w:rFonts w:ascii="Arial" w:hAnsi="Arial" w:cs="Arial" w:eastAsia="Arial" w:hint="default"/>
        </w:rPr>
        <w:t>2</w:t>
      </w:r>
      <w:r>
        <w:rPr/>
        <w:t>）借款费用资本化期间 </w:t>
      </w:r>
      <w:r>
        <w:rPr>
          <w:spacing w:val="-2"/>
        </w:rPr>
        <w:t>本集团购建或者生产符合资本化条件的资产达到预定可使用或者可销售状态时，借款费用停止资本化。在符合资本化条</w:t>
      </w:r>
    </w:p>
    <w:p>
      <w:pPr>
        <w:pStyle w:val="BodyText"/>
        <w:spacing w:line="240" w:lineRule="auto" w:before="29"/>
        <w:ind w:left="153" w:right="0"/>
        <w:jc w:val="left"/>
      </w:pPr>
      <w:r>
        <w:rPr/>
        <w:t>件的资产达到预定可使用或者可销售状态之后所发生的借款费用，在发生时根据其发生额确认为费用，计入当期损益。</w:t>
      </w:r>
    </w:p>
    <w:p>
      <w:pPr>
        <w:spacing w:after="0" w:line="240"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02" w:lineRule="auto" w:before="44"/>
        <w:ind w:left="153" w:right="1037" w:firstLine="360"/>
        <w:jc w:val="left"/>
      </w:pPr>
      <w:r>
        <w:rPr>
          <w:spacing w:val="-2"/>
        </w:rPr>
        <w:t>符合资本化条件的资产在购建或者生产过程中发生非正常中断、且中断时间连续超过</w:t>
      </w:r>
      <w:r>
        <w:rPr>
          <w:rFonts w:ascii="Arial" w:hAnsi="Arial" w:cs="Arial" w:eastAsia="Arial" w:hint="default"/>
          <w:spacing w:val="-2"/>
        </w:rPr>
        <w:t>3</w:t>
      </w:r>
      <w:r>
        <w:rPr>
          <w:spacing w:val="-2"/>
        </w:rPr>
        <w:t>个月的，暂停借款费用的资本化；</w:t>
      </w:r>
      <w:r>
        <w:rPr/>
        <w:t> 正常中断期间的借款费用继续资本化。</w:t>
      </w:r>
    </w:p>
    <w:p>
      <w:pPr>
        <w:pStyle w:val="BodyText"/>
        <w:spacing w:line="302" w:lineRule="auto" w:before="29"/>
        <w:ind w:left="513" w:right="0"/>
        <w:jc w:val="left"/>
      </w:pPr>
      <w:r>
        <w:rPr/>
        <w:t>（</w:t>
      </w:r>
      <w:r>
        <w:rPr>
          <w:rFonts w:ascii="Arial" w:hAnsi="Arial" w:cs="Arial" w:eastAsia="Arial" w:hint="default"/>
        </w:rPr>
        <w:t>3</w:t>
      </w:r>
      <w:r>
        <w:rPr/>
        <w:t>）借款费用资本化率以及资本化金额的计算方法 </w:t>
      </w:r>
      <w:r>
        <w:rPr>
          <w:spacing w:val="-2"/>
        </w:rPr>
        <w:t>专门借款当期实际发生的利息费用，减去尚未动用的借款资金存入银行取得的利息收入或进行暂时性投资取得的投资收</w:t>
      </w:r>
    </w:p>
    <w:p>
      <w:pPr>
        <w:pStyle w:val="BodyText"/>
        <w:spacing w:line="316" w:lineRule="auto" w:before="29"/>
        <w:ind w:left="153" w:right="0"/>
        <w:jc w:val="left"/>
      </w:pPr>
      <w:r>
        <w:rPr>
          <w:spacing w:val="-2"/>
        </w:rPr>
        <w:t>益后的金额予以资本化；一般借款根据累计资产支出超过专门借款部分的资产支出加权平均数乘以所占用一般借款的资本化</w:t>
      </w:r>
      <w:r>
        <w:rPr>
          <w:spacing w:val="-64"/>
        </w:rPr>
        <w:t> </w:t>
      </w:r>
      <w:r>
        <w:rPr>
          <w:spacing w:val="-64"/>
        </w:rPr>
      </w:r>
      <w:r>
        <w:rPr/>
        <w:t>率，确定资本化金额。资本化率根据一般借款的加权平均利率计算确定。</w:t>
      </w:r>
    </w:p>
    <w:p>
      <w:pPr>
        <w:pStyle w:val="BodyText"/>
        <w:spacing w:line="240" w:lineRule="auto" w:before="19"/>
        <w:ind w:left="513" w:right="2239"/>
        <w:jc w:val="left"/>
      </w:pPr>
      <w:r>
        <w:rPr/>
        <w:t>资本化期间内，外币专门借款的汇兑差额全部予以资本化；外币一般借款的汇兑差额计入当期损益。</w:t>
      </w:r>
    </w:p>
    <w:p>
      <w:pPr>
        <w:spacing w:line="240" w:lineRule="auto" w:before="12"/>
        <w:rPr>
          <w:rFonts w:ascii="宋体" w:hAnsi="宋体" w:cs="宋体" w:eastAsia="宋体" w:hint="default"/>
          <w:sz w:val="26"/>
          <w:szCs w:val="26"/>
        </w:rPr>
      </w:pPr>
    </w:p>
    <w:p>
      <w:pPr>
        <w:pStyle w:val="Heading4"/>
        <w:spacing w:line="240" w:lineRule="auto"/>
        <w:ind w:right="2239"/>
        <w:jc w:val="left"/>
        <w:rPr>
          <w:b w:val="0"/>
          <w:bCs w:val="0"/>
        </w:rPr>
      </w:pPr>
      <w:r>
        <w:rPr>
          <w:rFonts w:ascii="Arial" w:hAnsi="Arial" w:cs="Arial" w:eastAsia="Arial" w:hint="default"/>
        </w:rPr>
        <w:t>27</w:t>
      </w:r>
      <w:r>
        <w:rPr/>
        <w:t>、生物资产</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28</w:t>
      </w:r>
      <w:r>
        <w:rPr/>
        <w:t>、油气资产</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29</w:t>
      </w:r>
      <w:r>
        <w:rPr/>
        <w:t>、使用权资产</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30</w:t>
      </w:r>
      <w:r>
        <w:rPr/>
        <w:t>、无形资产</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t>（</w:t>
      </w:r>
      <w:r>
        <w:rPr>
          <w:rFonts w:ascii="Arial" w:hAnsi="Arial" w:cs="Arial" w:eastAsia="Arial" w:hint="default"/>
        </w:rPr>
        <w:t>1</w:t>
      </w:r>
      <w:r>
        <w:rPr/>
        <w:t>）计价方法、使用寿命、减值测试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0"/>
        <w:jc w:val="left"/>
      </w:pPr>
      <w:r>
        <w:rPr/>
        <w:t>本集团无形资产包括土地使用权、计算机软件、自行开发软件等。 </w:t>
      </w:r>
      <w:r>
        <w:rPr>
          <w:spacing w:val="-2"/>
        </w:rPr>
        <w:t>无形资产按照成本进行初始计量，并于取得无形资产时分析判断其使用寿命。使用寿命为有限的，自无形资产可供使用</w:t>
      </w:r>
    </w:p>
    <w:p>
      <w:pPr>
        <w:pStyle w:val="BodyText"/>
        <w:spacing w:line="316" w:lineRule="auto" w:before="19"/>
        <w:ind w:left="153" w:right="0"/>
        <w:jc w:val="left"/>
      </w:pPr>
      <w:r>
        <w:rPr>
          <w:spacing w:val="-2"/>
        </w:rPr>
        <w:t>时起，采用能反映与该资产有关的经济利益的预期实现方式的摊销方法，在预计使用年限内摊销；无法可靠确定预期实现方</w:t>
      </w:r>
      <w:r>
        <w:rPr>
          <w:spacing w:val="-66"/>
        </w:rPr>
        <w:t> </w:t>
      </w:r>
      <w:r>
        <w:rPr>
          <w:spacing w:val="-66"/>
        </w:rPr>
      </w:r>
      <w:r>
        <w:rPr/>
        <w:t>式的，采用直线法摊销；使用寿命不确定的无形资产，不作摊销。</w:t>
      </w:r>
    </w:p>
    <w:p>
      <w:pPr>
        <w:pStyle w:val="BodyText"/>
        <w:spacing w:line="240" w:lineRule="auto" w:before="19"/>
        <w:ind w:left="513" w:right="2239"/>
        <w:jc w:val="left"/>
      </w:pPr>
      <w:r>
        <w:rPr/>
        <w:t>使用寿命有限的无形资产摊销方法如下：</w:t>
      </w:r>
    </w:p>
    <w:p>
      <w:pPr>
        <w:spacing w:line="240" w:lineRule="auto" w:before="0"/>
        <w:rPr>
          <w:rFonts w:ascii="宋体" w:hAnsi="宋体" w:cs="宋体" w:eastAsia="宋体" w:hint="default"/>
          <w:sz w:val="5"/>
          <w:szCs w:val="5"/>
        </w:rPr>
      </w:pPr>
    </w:p>
    <w:tbl>
      <w:tblPr>
        <w:tblW w:w="0" w:type="auto"/>
        <w:jc w:val="left"/>
        <w:tblInd w:w="146" w:type="dxa"/>
        <w:tblLayout w:type="fixed"/>
        <w:tblCellMar>
          <w:top w:w="0" w:type="dxa"/>
          <w:left w:w="0" w:type="dxa"/>
          <w:bottom w:w="0" w:type="dxa"/>
          <w:right w:w="0" w:type="dxa"/>
        </w:tblCellMar>
        <w:tblLook w:val="01E0"/>
      </w:tblPr>
      <w:tblGrid>
        <w:gridCol w:w="3094"/>
        <w:gridCol w:w="3094"/>
        <w:gridCol w:w="3094"/>
      </w:tblGrid>
      <w:tr>
        <w:trPr>
          <w:trHeight w:val="347" w:hRule="exact"/>
        </w:trPr>
        <w:tc>
          <w:tcPr>
            <w:tcW w:w="30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30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使用寿命</w:t>
            </w:r>
          </w:p>
        </w:tc>
        <w:tc>
          <w:tcPr>
            <w:tcW w:w="309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摊销方法</w:t>
            </w:r>
          </w:p>
        </w:tc>
      </w:tr>
      <w:tr>
        <w:trPr>
          <w:trHeight w:val="347" w:hRule="exact"/>
        </w:trPr>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40-70年</w:t>
            </w:r>
          </w:p>
        </w:tc>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直线法</w:t>
            </w:r>
          </w:p>
        </w:tc>
      </w:tr>
      <w:tr>
        <w:trPr>
          <w:trHeight w:val="347" w:hRule="exact"/>
        </w:trPr>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5年</w:t>
            </w:r>
          </w:p>
        </w:tc>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直线法</w:t>
            </w:r>
          </w:p>
        </w:tc>
      </w:tr>
      <w:tr>
        <w:trPr>
          <w:trHeight w:val="348" w:hRule="exact"/>
        </w:trPr>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自行开发软件</w:t>
            </w:r>
          </w:p>
        </w:tc>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2-5年</w:t>
            </w:r>
          </w:p>
        </w:tc>
        <w:tc>
          <w:tcPr>
            <w:tcW w:w="30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直线法</w:t>
            </w:r>
          </w:p>
        </w:tc>
      </w:tr>
    </w:tbl>
    <w:p>
      <w:pPr>
        <w:pStyle w:val="BodyText"/>
        <w:spacing w:line="316" w:lineRule="auto" w:before="10"/>
        <w:ind w:right="1131" w:firstLine="360"/>
        <w:jc w:val="both"/>
      </w:pPr>
      <w:r>
        <w:rPr>
          <w:spacing w:val="-2"/>
        </w:rPr>
        <w:t>本集团于每年年度终了，对使用寿命有限的无形资产的使用寿命及摊销方法进行复核，与以前估计不同的，调整原先估</w:t>
      </w:r>
      <w:r>
        <w:rPr/>
        <w:t> 计数，并按会计估计变更处理。</w:t>
      </w:r>
    </w:p>
    <w:p>
      <w:pPr>
        <w:pStyle w:val="BodyText"/>
        <w:spacing w:line="316" w:lineRule="auto" w:before="19"/>
        <w:ind w:left="514" w:right="1030"/>
        <w:jc w:val="left"/>
      </w:pPr>
      <w:r>
        <w:rPr/>
        <w:t>资产负债表日预计某项无形资产已经不能给企业带来未来经济利益的，将该项无形资产的账面价值全部转入当期损益。 无形资产计提资产减值方法见附注三、</w:t>
      </w:r>
      <w:r>
        <w:rPr>
          <w:rFonts w:ascii="Arial" w:hAnsi="Arial" w:cs="Arial" w:eastAsia="Arial" w:hint="default"/>
        </w:rPr>
        <w:t>20</w:t>
      </w:r>
      <w:r>
        <w:rPr/>
        <w:t>。</w:t>
      </w:r>
    </w:p>
    <w:p>
      <w:pPr>
        <w:spacing w:line="240" w:lineRule="auto" w:before="0"/>
        <w:rPr>
          <w:rFonts w:ascii="宋体" w:hAnsi="宋体" w:cs="宋体" w:eastAsia="宋体" w:hint="default"/>
          <w:sz w:val="21"/>
          <w:szCs w:val="21"/>
        </w:rPr>
      </w:pPr>
    </w:p>
    <w:p>
      <w:pPr>
        <w:spacing w:line="532" w:lineRule="auto" w:before="0"/>
        <w:ind w:left="513" w:right="4451" w:hanging="360"/>
        <w:jc w:val="left"/>
        <w:rPr>
          <w:rFonts w:ascii="宋体" w:hAnsi="宋体" w:cs="宋体" w:eastAsia="宋体" w:hint="default"/>
          <w:sz w:val="18"/>
          <w:szCs w:val="18"/>
        </w:rPr>
      </w:pPr>
      <w:r>
        <w:rPr>
          <w:rFonts w:ascii="宋体" w:hAnsi="宋体" w:cs="宋体" w:eastAsia="宋体" w:hint="default"/>
          <w:b/>
          <w:bCs/>
          <w:sz w:val="21"/>
          <w:szCs w:val="21"/>
        </w:rPr>
        <w:t>（</w:t>
      </w:r>
      <w:r>
        <w:rPr>
          <w:rFonts w:ascii="Arial" w:hAnsi="Arial" w:cs="Arial" w:eastAsia="Arial" w:hint="default"/>
          <w:b/>
          <w:bCs/>
          <w:sz w:val="21"/>
          <w:szCs w:val="21"/>
        </w:rPr>
        <w:t>2</w:t>
      </w:r>
      <w:r>
        <w:rPr>
          <w:rFonts w:ascii="宋体" w:hAnsi="宋体" w:cs="宋体" w:eastAsia="宋体" w:hint="default"/>
          <w:b/>
          <w:bCs/>
          <w:sz w:val="21"/>
          <w:szCs w:val="21"/>
        </w:rPr>
        <w:t>）内部研究开发支出会计政策</w:t>
      </w:r>
      <w:r>
        <w:rPr>
          <w:rFonts w:ascii="宋体" w:hAnsi="宋体" w:cs="宋体" w:eastAsia="宋体" w:hint="default"/>
          <w:b/>
          <w:bCs/>
          <w:spacing w:val="1"/>
          <w:w w:val="99"/>
          <w:sz w:val="21"/>
          <w:szCs w:val="21"/>
        </w:rPr>
        <w:t> </w:t>
      </w:r>
      <w:r>
        <w:rPr>
          <w:rFonts w:ascii="宋体" w:hAnsi="宋体" w:cs="宋体" w:eastAsia="宋体" w:hint="default"/>
          <w:sz w:val="18"/>
          <w:szCs w:val="18"/>
        </w:rPr>
        <w:t>本集团将内部研究开发项目的支出，区分为研究阶段支出和开发阶段支出。 研究阶段的支出，于发生时计入当期损益。</w:t>
      </w:r>
    </w:p>
    <w:p>
      <w:pPr>
        <w:pStyle w:val="BodyText"/>
        <w:spacing w:line="316" w:lineRule="auto" w:before="73"/>
        <w:ind w:left="153" w:right="1129" w:firstLine="360"/>
        <w:jc w:val="both"/>
      </w:pPr>
      <w:r>
        <w:rPr>
          <w:spacing w:val="-2"/>
        </w:rPr>
        <w:t>开发阶段的支出，同时满足下列条件的，才能予以资本化，即：完成该无形资产以使其能够使用或出售在技术上具有可</w:t>
      </w:r>
      <w:r>
        <w:rPr/>
        <w:t> </w:t>
      </w:r>
      <w:r>
        <w:rPr>
          <w:spacing w:val="-2"/>
        </w:rPr>
        <w:t>行性；具有完成该无形资产并使用或出售的意图；无形资产产生经济利益的方式，包括能够证明运用该无形资产生产的产品</w:t>
      </w:r>
      <w:r>
        <w:rPr>
          <w:spacing w:val="-66"/>
        </w:rPr>
        <w:t> </w:t>
      </w:r>
      <w:r>
        <w:rPr>
          <w:spacing w:val="-66"/>
        </w:rPr>
      </w:r>
      <w:r>
        <w:rPr>
          <w:spacing w:val="-2"/>
        </w:rPr>
        <w:t>存在市场或无形资产自身存在市场，无形资产将在内部使用的，能够证明其有用性；有足够的技术、财务资源和其他资源支</w:t>
      </w:r>
      <w:r>
        <w:rPr>
          <w:spacing w:val="-66"/>
        </w:rPr>
        <w:t> </w:t>
      </w:r>
      <w:r>
        <w:rPr>
          <w:spacing w:val="-66"/>
        </w:rPr>
      </w:r>
      <w:r>
        <w:rPr>
          <w:spacing w:val="-2"/>
        </w:rPr>
        <w:t>持，以完成该无形资产的开发，并有能力使用或出售该无形资产；归属于该无形资产开发阶段的支出能够可靠地计量。不满</w:t>
      </w:r>
      <w:r>
        <w:rPr>
          <w:spacing w:val="-66"/>
        </w:rPr>
        <w:t> </w:t>
      </w:r>
      <w:r>
        <w:rPr>
          <w:spacing w:val="-66"/>
        </w:rPr>
      </w:r>
      <w:r>
        <w:rPr/>
        <w:t>足上述条件的开发支出计入当期损益。</w:t>
      </w:r>
    </w:p>
    <w:p>
      <w:pPr>
        <w:spacing w:line="240" w:lineRule="auto" w:before="12"/>
        <w:rPr>
          <w:rFonts w:ascii="宋体" w:hAnsi="宋体" w:cs="宋体" w:eastAsia="宋体" w:hint="default"/>
          <w:sz w:val="17"/>
          <w:szCs w:val="17"/>
        </w:rPr>
      </w:pPr>
    </w:p>
    <w:p>
      <w:pPr>
        <w:pStyle w:val="BodyText"/>
        <w:spacing w:line="240" w:lineRule="auto"/>
        <w:ind w:left="513" w:right="0"/>
        <w:jc w:val="left"/>
      </w:pPr>
      <w:r>
        <w:rPr/>
        <w:t>本集团研究开发项目在满足上述条件，通过技术可行性及经济可行性研究，形成项目立项后，进入开发阶段。</w:t>
      </w:r>
    </w:p>
    <w:p>
      <w:pPr>
        <w:spacing w:after="0" w:line="240"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537" w:lineRule="auto" w:before="44"/>
        <w:ind w:left="513" w:right="2111"/>
        <w:jc w:val="left"/>
      </w:pPr>
      <w:r>
        <w:rPr/>
        <w:t>已资本化的开发阶段的支出在资产负债表上列示为开发支出，自该项目达到预定用途之日转为无形资产。 具体研发项目的资本化条件：</w:t>
      </w:r>
    </w:p>
    <w:p>
      <w:pPr>
        <w:pStyle w:val="BodyText"/>
        <w:spacing w:line="302" w:lineRule="auto" w:before="69"/>
        <w:ind w:left="153" w:right="1111" w:firstLine="360"/>
        <w:jc w:val="left"/>
      </w:pPr>
      <w:r>
        <w:rPr/>
        <w:t>（</w:t>
      </w:r>
      <w:r>
        <w:rPr>
          <w:rFonts w:ascii="Arial" w:hAnsi="Arial" w:cs="Arial" w:eastAsia="Arial" w:hint="default"/>
        </w:rPr>
        <w:t>1</w:t>
      </w:r>
      <w:r>
        <w:rPr/>
        <w:t>）公司目前资本化的研发支出项目中，项目均在研发测试阶段，公司完成该无形资产以使其能够使用或者出售在技 术上具有可行性；</w:t>
      </w:r>
    </w:p>
    <w:p>
      <w:pPr>
        <w:spacing w:line="240" w:lineRule="auto" w:before="10"/>
        <w:rPr>
          <w:rFonts w:ascii="宋体" w:hAnsi="宋体" w:cs="宋体" w:eastAsia="宋体" w:hint="default"/>
          <w:sz w:val="18"/>
          <w:szCs w:val="18"/>
        </w:rPr>
      </w:pPr>
    </w:p>
    <w:p>
      <w:pPr>
        <w:pStyle w:val="BodyText"/>
        <w:spacing w:line="302" w:lineRule="auto"/>
        <w:ind w:left="153" w:right="1111" w:firstLine="360"/>
        <w:jc w:val="left"/>
      </w:pPr>
      <w:r>
        <w:rPr/>
        <w:t>（</w:t>
      </w:r>
      <w:r>
        <w:rPr>
          <w:rFonts w:ascii="Arial" w:hAnsi="Arial" w:cs="Arial" w:eastAsia="Arial" w:hint="default"/>
        </w:rPr>
        <w:t>2</w:t>
      </w:r>
      <w:r>
        <w:rPr/>
        <w:t>）公司所有研发支出项目均是针对特定市场需求进行相关开发，以备将来出售，具有完成该无形资产并使用或出售 的意图；</w:t>
      </w:r>
    </w:p>
    <w:p>
      <w:pPr>
        <w:spacing w:line="240" w:lineRule="auto" w:before="10"/>
        <w:rPr>
          <w:rFonts w:ascii="宋体" w:hAnsi="宋体" w:cs="宋体" w:eastAsia="宋体" w:hint="default"/>
          <w:sz w:val="18"/>
          <w:szCs w:val="18"/>
        </w:rPr>
      </w:pPr>
    </w:p>
    <w:p>
      <w:pPr>
        <w:pStyle w:val="BodyText"/>
        <w:spacing w:line="302" w:lineRule="auto"/>
        <w:ind w:left="153" w:right="1111" w:firstLine="360"/>
        <w:jc w:val="left"/>
      </w:pPr>
      <w:r>
        <w:rPr/>
        <w:t>（</w:t>
      </w:r>
      <w:r>
        <w:rPr>
          <w:rFonts w:ascii="Arial" w:hAnsi="Arial" w:cs="Arial" w:eastAsia="Arial" w:hint="default"/>
        </w:rPr>
        <w:t>3</w:t>
      </w:r>
      <w:r>
        <w:rPr/>
        <w:t>）公司所有研发支出资本化项目均会形成测试版软件，表明公司运用该无形资产生产的产品存在市场或无形资产自 身存在市场；</w:t>
      </w:r>
    </w:p>
    <w:p>
      <w:pPr>
        <w:spacing w:line="240" w:lineRule="auto" w:before="10"/>
        <w:rPr>
          <w:rFonts w:ascii="宋体" w:hAnsi="宋体" w:cs="宋体" w:eastAsia="宋体" w:hint="default"/>
          <w:sz w:val="18"/>
          <w:szCs w:val="18"/>
        </w:rPr>
      </w:pPr>
    </w:p>
    <w:p>
      <w:pPr>
        <w:pStyle w:val="BodyText"/>
        <w:spacing w:line="302" w:lineRule="auto"/>
        <w:ind w:left="153" w:right="1111" w:firstLine="360"/>
        <w:jc w:val="left"/>
      </w:pPr>
      <w:r>
        <w:rPr/>
        <w:t>（</w:t>
      </w:r>
      <w:r>
        <w:rPr>
          <w:rFonts w:ascii="Arial" w:hAnsi="Arial" w:cs="Arial" w:eastAsia="Arial" w:hint="default"/>
        </w:rPr>
        <w:t>4</w:t>
      </w:r>
      <w:r>
        <w:rPr/>
        <w:t>）公司掌握研发支出资本化项目的核心技术，有能力完成相关无形资产的研发，表明公司有足够的技术、财务资源 和其他资源支持，以完成该无形资产的开发，并有能力出售该无形资产；</w:t>
      </w:r>
    </w:p>
    <w:p>
      <w:pPr>
        <w:spacing w:line="240" w:lineRule="auto" w:before="10"/>
        <w:rPr>
          <w:rFonts w:ascii="宋体" w:hAnsi="宋体" w:cs="宋体" w:eastAsia="宋体" w:hint="default"/>
          <w:sz w:val="18"/>
          <w:szCs w:val="18"/>
        </w:rPr>
      </w:pPr>
    </w:p>
    <w:p>
      <w:pPr>
        <w:pStyle w:val="BodyText"/>
        <w:spacing w:line="240" w:lineRule="auto"/>
        <w:ind w:left="513" w:right="0"/>
        <w:jc w:val="left"/>
      </w:pPr>
      <w:r>
        <w:rPr/>
        <w:t>（</w:t>
      </w:r>
      <w:r>
        <w:rPr>
          <w:rFonts w:ascii="Arial" w:hAnsi="Arial" w:cs="Arial" w:eastAsia="Arial" w:hint="default"/>
        </w:rPr>
        <w:t>5</w:t>
      </w:r>
      <w:r>
        <w:rPr/>
        <w:t>）公司资本化研发支出分部门按项目统计相关支出，归属于该无形资产开发阶段的支出能够可靠地计量。</w:t>
      </w:r>
    </w:p>
    <w:p>
      <w:pPr>
        <w:spacing w:line="240" w:lineRule="auto" w:before="12"/>
        <w:rPr>
          <w:rFonts w:ascii="宋体" w:hAnsi="宋体" w:cs="宋体" w:eastAsia="宋体" w:hint="default"/>
          <w:sz w:val="25"/>
          <w:szCs w:val="25"/>
        </w:rPr>
      </w:pPr>
    </w:p>
    <w:p>
      <w:pPr>
        <w:pStyle w:val="Heading4"/>
        <w:spacing w:line="240" w:lineRule="auto"/>
        <w:ind w:right="2239"/>
        <w:jc w:val="left"/>
        <w:rPr>
          <w:b w:val="0"/>
          <w:bCs w:val="0"/>
        </w:rPr>
      </w:pPr>
      <w:r>
        <w:rPr>
          <w:rFonts w:ascii="Arial" w:hAnsi="Arial" w:cs="Arial" w:eastAsia="Arial" w:hint="default"/>
        </w:rPr>
        <w:t>31</w:t>
      </w:r>
      <w:r>
        <w:rPr/>
        <w:t>、长期资产减值</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0"/>
        <w:jc w:val="left"/>
      </w:pPr>
      <w:r>
        <w:rPr/>
        <w:t>对子公司、联营企业的长期股权投资、采用成本模式进行后续计量的投资性房地产、固定资产、在建工程、无形资产等</w:t>
      </w:r>
    </w:p>
    <w:p>
      <w:pPr>
        <w:pStyle w:val="BodyText"/>
        <w:spacing w:line="240" w:lineRule="auto" w:before="76"/>
        <w:ind w:right="2239"/>
        <w:jc w:val="left"/>
      </w:pPr>
      <w:r>
        <w:rPr/>
        <w:t>（存货、递延所得税资产、金融资产除外）的资产减值，按以下方法确定：</w:t>
      </w:r>
    </w:p>
    <w:p>
      <w:pPr>
        <w:spacing w:line="240" w:lineRule="auto" w:before="5"/>
        <w:rPr>
          <w:rFonts w:ascii="宋体" w:hAnsi="宋体" w:cs="宋体" w:eastAsia="宋体" w:hint="default"/>
          <w:sz w:val="22"/>
          <w:szCs w:val="22"/>
        </w:rPr>
      </w:pPr>
    </w:p>
    <w:p>
      <w:pPr>
        <w:pStyle w:val="BodyText"/>
        <w:spacing w:line="316" w:lineRule="auto"/>
        <w:ind w:left="153" w:right="0" w:firstLine="360"/>
        <w:jc w:val="left"/>
      </w:pPr>
      <w:r>
        <w:rPr>
          <w:spacing w:val="-4"/>
        </w:rPr>
        <w:t>于资产负债表日判断资产是否存在可能发生减值的迹象，存在减值迹象的，本集团将估计其可收回金额，进行减值测试。</w:t>
      </w:r>
      <w:r>
        <w:rPr/>
        <w:t> </w:t>
      </w:r>
      <w:r>
        <w:rPr>
          <w:spacing w:val="-2"/>
        </w:rPr>
        <w:t>对因企业合并所形成的商誉、使用寿命不确定的无形资产和尚未达到可使用状态的无形资产无论是否存在减值迹象，每年都</w:t>
      </w:r>
      <w:r>
        <w:rPr>
          <w:spacing w:val="-64"/>
        </w:rPr>
        <w:t> </w:t>
      </w:r>
      <w:r>
        <w:rPr>
          <w:spacing w:val="-64"/>
        </w:rPr>
      </w:r>
      <w:r>
        <w:rPr/>
        <w:t>进行减值测试。</w:t>
      </w:r>
    </w:p>
    <w:p>
      <w:pPr>
        <w:spacing w:line="240" w:lineRule="auto" w:before="12"/>
        <w:rPr>
          <w:rFonts w:ascii="宋体" w:hAnsi="宋体" w:cs="宋体" w:eastAsia="宋体" w:hint="default"/>
          <w:sz w:val="17"/>
          <w:szCs w:val="17"/>
        </w:rPr>
      </w:pPr>
    </w:p>
    <w:p>
      <w:pPr>
        <w:pStyle w:val="BodyText"/>
        <w:spacing w:line="316" w:lineRule="auto"/>
        <w:ind w:left="153" w:right="1131" w:firstLine="360"/>
        <w:jc w:val="both"/>
      </w:pPr>
      <w:r>
        <w:rPr>
          <w:spacing w:val="-2"/>
        </w:rPr>
        <w:t>可收回金额根据资产的公允价值减去处置费用后的净额与资产预计未来现金流量的现值两者之间较高者确定。本集团以</w:t>
      </w:r>
      <w:r>
        <w:rPr/>
        <w:t> </w:t>
      </w:r>
      <w:r>
        <w:rPr>
          <w:spacing w:val="-2"/>
        </w:rPr>
        <w:t>单项资产为基础估计其可收回金额；难以对单项资产的可收回金额进行估计的，以该资产所属的资产组为基础确定资产组的</w:t>
      </w:r>
      <w:r>
        <w:rPr>
          <w:spacing w:val="-64"/>
        </w:rPr>
        <w:t> </w:t>
      </w:r>
      <w:r>
        <w:rPr>
          <w:spacing w:val="-64"/>
        </w:rPr>
      </w:r>
      <w:r>
        <w:rPr/>
        <w:t>可收回金额。资产组的认定，以资产组产生的主要现金流入是否独立于其他资产或者资产组的现金流入为依据。</w:t>
      </w:r>
    </w:p>
    <w:p>
      <w:pPr>
        <w:spacing w:line="240" w:lineRule="auto" w:before="12"/>
        <w:rPr>
          <w:rFonts w:ascii="宋体" w:hAnsi="宋体" w:cs="宋体" w:eastAsia="宋体" w:hint="default"/>
          <w:sz w:val="17"/>
          <w:szCs w:val="17"/>
        </w:rPr>
      </w:pPr>
    </w:p>
    <w:p>
      <w:pPr>
        <w:pStyle w:val="BodyText"/>
        <w:spacing w:line="316" w:lineRule="auto"/>
        <w:ind w:left="153" w:right="1031" w:firstLine="360"/>
        <w:jc w:val="left"/>
      </w:pPr>
      <w:r>
        <w:rPr/>
        <w:t>当资产或资产组的可收回金额低于其账面价值时，本集团将其账面价值减记至可收回金额，减记的金额计入当期损益， 同时计提相应的资产减值准备。</w:t>
      </w:r>
    </w:p>
    <w:p>
      <w:pPr>
        <w:spacing w:line="240" w:lineRule="auto" w:before="12"/>
        <w:rPr>
          <w:rFonts w:ascii="宋体" w:hAnsi="宋体" w:cs="宋体" w:eastAsia="宋体" w:hint="default"/>
          <w:sz w:val="17"/>
          <w:szCs w:val="17"/>
        </w:rPr>
      </w:pPr>
    </w:p>
    <w:p>
      <w:pPr>
        <w:pStyle w:val="BodyText"/>
        <w:spacing w:line="240" w:lineRule="auto"/>
        <w:ind w:left="513" w:right="2239"/>
        <w:jc w:val="left"/>
      </w:pPr>
      <w:r>
        <w:rPr/>
        <w:t>资产减值损失一经确认，在以后会计期间不再转回。</w:t>
      </w:r>
    </w:p>
    <w:p>
      <w:pPr>
        <w:spacing w:line="240" w:lineRule="auto" w:before="12"/>
        <w:rPr>
          <w:rFonts w:ascii="宋体" w:hAnsi="宋体" w:cs="宋体" w:eastAsia="宋体" w:hint="default"/>
          <w:sz w:val="26"/>
          <w:szCs w:val="26"/>
        </w:rPr>
      </w:pPr>
    </w:p>
    <w:p>
      <w:pPr>
        <w:pStyle w:val="Heading4"/>
        <w:spacing w:line="240" w:lineRule="auto"/>
        <w:ind w:right="2239"/>
        <w:jc w:val="left"/>
        <w:rPr>
          <w:b w:val="0"/>
          <w:bCs w:val="0"/>
        </w:rPr>
      </w:pPr>
      <w:r>
        <w:rPr>
          <w:rFonts w:ascii="Arial" w:hAnsi="Arial" w:cs="Arial" w:eastAsia="Arial" w:hint="default"/>
        </w:rPr>
        <w:t>32</w:t>
      </w:r>
      <w:r>
        <w:rPr/>
        <w:t>、长期待摊费用</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本集团发生的长期待摊费用按实际成本计价，并按预计受益期限平均摊销。对不能使以后会计期间受益的长期待摊费用</w:t>
      </w:r>
      <w:r>
        <w:rPr/>
        <w:t> 项目，其摊余价值全部计入当期损益。</w:t>
      </w:r>
    </w:p>
    <w:p>
      <w:pPr>
        <w:spacing w:line="240" w:lineRule="auto" w:before="7"/>
        <w:rPr>
          <w:rFonts w:ascii="宋体" w:hAnsi="宋体" w:cs="宋体" w:eastAsia="宋体" w:hint="default"/>
          <w:sz w:val="22"/>
          <w:szCs w:val="22"/>
        </w:rPr>
      </w:pPr>
    </w:p>
    <w:p>
      <w:pPr>
        <w:pStyle w:val="Heading4"/>
        <w:spacing w:line="240" w:lineRule="auto"/>
        <w:ind w:right="2239"/>
        <w:jc w:val="left"/>
        <w:rPr>
          <w:b w:val="0"/>
          <w:bCs w:val="0"/>
        </w:rPr>
      </w:pPr>
      <w:r>
        <w:rPr>
          <w:rFonts w:ascii="Arial" w:hAnsi="Arial" w:cs="Arial" w:eastAsia="Arial" w:hint="default"/>
        </w:rPr>
        <w:t>33</w:t>
      </w:r>
      <w:r>
        <w:rPr/>
        <w:t>、合同负债</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34</w:t>
      </w:r>
      <w:r>
        <w:rPr/>
        <w:t>、职工薪酬</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t>（</w:t>
      </w:r>
      <w:r>
        <w:rPr>
          <w:rFonts w:ascii="Arial" w:hAnsi="Arial" w:cs="Arial" w:eastAsia="Arial" w:hint="default"/>
        </w:rPr>
        <w:t>1</w:t>
      </w:r>
      <w:r>
        <w:rPr/>
        <w:t>）短期薪酬的会计处理方法</w:t>
      </w:r>
      <w:r>
        <w:rPr>
          <w:b w:val="0"/>
          <w:bCs w:val="0"/>
        </w:rPr>
      </w:r>
    </w:p>
    <w:p>
      <w:pPr>
        <w:spacing w:line="240" w:lineRule="auto" w:before="7"/>
        <w:rPr>
          <w:rFonts w:ascii="宋体" w:hAnsi="宋体" w:cs="宋体" w:eastAsia="宋体" w:hint="default"/>
          <w:b/>
          <w:bCs/>
          <w:sz w:val="26"/>
          <w:szCs w:val="26"/>
        </w:rPr>
      </w:pPr>
    </w:p>
    <w:p>
      <w:pPr>
        <w:pStyle w:val="BodyText"/>
        <w:tabs>
          <w:tab w:pos="933" w:val="left" w:leader="none"/>
        </w:tabs>
        <w:spacing w:line="240" w:lineRule="auto"/>
        <w:ind w:left="514" w:right="2239"/>
        <w:jc w:val="left"/>
      </w:pPr>
      <w:r>
        <w:rPr>
          <w:rFonts w:ascii="新宋体" w:hAnsi="新宋体" w:cs="新宋体" w:eastAsia="新宋体" w:hint="default"/>
        </w:rPr>
        <w:t>①</w:t>
        <w:tab/>
      </w:r>
      <w:r>
        <w:rPr/>
        <w:t>职工薪酬的范围</w:t>
      </w:r>
    </w:p>
    <w:p>
      <w:pPr>
        <w:spacing w:after="0" w:line="240"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3" w:right="1041" w:firstLine="360"/>
        <w:jc w:val="both"/>
      </w:pPr>
      <w:r>
        <w:rPr/>
        <w:t>职工薪酬，是指企业为获得职工提供的服务或解除劳动关系而给予的各种形式的报酬或补偿。职工薪酬包括短期薪酬、 </w:t>
      </w:r>
      <w:r>
        <w:rPr>
          <w:spacing w:val="-4"/>
        </w:rPr>
        <w:t>离职后福利、辞退福利和其他长期职工福利。企业提供给职工配偶、子女、受赡养人、已故员工遗属及其他受益人等的福利，</w:t>
      </w:r>
      <w:r>
        <w:rPr>
          <w:spacing w:val="-44"/>
        </w:rPr>
        <w:t> </w:t>
      </w:r>
      <w:r>
        <w:rPr>
          <w:spacing w:val="-44"/>
        </w:rPr>
      </w:r>
      <w:r>
        <w:rPr/>
        <w:t>也属于职工薪酬。</w:t>
      </w:r>
    </w:p>
    <w:p>
      <w:pPr>
        <w:spacing w:line="240" w:lineRule="auto" w:before="12"/>
        <w:rPr>
          <w:rFonts w:ascii="宋体" w:hAnsi="宋体" w:cs="宋体" w:eastAsia="宋体" w:hint="default"/>
          <w:sz w:val="17"/>
          <w:szCs w:val="17"/>
        </w:rPr>
      </w:pPr>
    </w:p>
    <w:p>
      <w:pPr>
        <w:pStyle w:val="BodyText"/>
        <w:spacing w:line="240" w:lineRule="auto"/>
        <w:ind w:left="513" w:right="2239"/>
        <w:jc w:val="left"/>
      </w:pPr>
      <w:r>
        <w:rPr/>
        <w:t>根据流动性，职工薪酬分别列示于资产负债表的</w:t>
      </w:r>
      <w:r>
        <w:rPr>
          <w:rFonts w:ascii="Arial" w:hAnsi="Arial" w:cs="Arial" w:eastAsia="Arial" w:hint="default"/>
        </w:rPr>
        <w:t>“</w:t>
      </w:r>
      <w:r>
        <w:rPr/>
        <w:t>应付职工薪酬</w:t>
      </w:r>
      <w:r>
        <w:rPr>
          <w:rFonts w:ascii="Arial" w:hAnsi="Arial" w:cs="Arial" w:eastAsia="Arial" w:hint="default"/>
        </w:rPr>
        <w:t>”</w:t>
      </w:r>
      <w:r>
        <w:rPr/>
        <w:t>项目和</w:t>
      </w:r>
      <w:r>
        <w:rPr>
          <w:rFonts w:ascii="Arial" w:hAnsi="Arial" w:cs="Arial" w:eastAsia="Arial" w:hint="default"/>
        </w:rPr>
        <w:t>“</w:t>
      </w:r>
      <w:r>
        <w:rPr/>
        <w:t>长期应付职工薪酬</w:t>
      </w:r>
      <w:r>
        <w:rPr>
          <w:rFonts w:ascii="Arial" w:hAnsi="Arial" w:cs="Arial" w:eastAsia="Arial" w:hint="default"/>
        </w:rPr>
        <w:t>”</w:t>
      </w:r>
      <w:r>
        <w:rPr>
          <w:rFonts w:ascii="Arial" w:hAnsi="Arial" w:cs="Arial" w:eastAsia="Arial" w:hint="default"/>
          <w:spacing w:val="40"/>
        </w:rPr>
        <w:t> </w:t>
      </w:r>
      <w:r>
        <w:rPr/>
        <w:t>项目。</w:t>
      </w:r>
    </w:p>
    <w:p>
      <w:pPr>
        <w:pStyle w:val="BodyText"/>
        <w:tabs>
          <w:tab w:pos="933" w:val="left" w:leader="none"/>
        </w:tabs>
        <w:spacing w:line="528" w:lineRule="exact" w:before="67"/>
        <w:ind w:left="513" w:right="1130"/>
        <w:jc w:val="left"/>
      </w:pPr>
      <w:r>
        <w:rPr>
          <w:rFonts w:ascii="新宋体" w:hAnsi="新宋体" w:cs="新宋体" w:eastAsia="新宋体" w:hint="default"/>
        </w:rPr>
        <w:t>②</w:t>
        <w:tab/>
      </w:r>
      <w:r>
        <w:rPr/>
        <w:t>短期薪酬 </w:t>
      </w:r>
      <w:r>
        <w:rPr>
          <w:spacing w:val="-2"/>
        </w:rPr>
        <w:t>本集团在职工提供服务的会计期间，将实际发生的职工工资、奖金、按规定的基准和比例为职工缴纳的医疗保险费、工</w:t>
      </w:r>
    </w:p>
    <w:p>
      <w:pPr>
        <w:pStyle w:val="BodyText"/>
        <w:spacing w:line="316" w:lineRule="auto"/>
        <w:ind w:left="153" w:right="0"/>
        <w:jc w:val="left"/>
      </w:pPr>
      <w:r>
        <w:rPr>
          <w:spacing w:val="-2"/>
        </w:rPr>
        <w:t>伤保险费和生育保险费等社会保险费和住房公积金，确认为负债，并计入当期损益或相关资产成本。如果该负债预期在职工</w:t>
      </w:r>
      <w:r>
        <w:rPr>
          <w:spacing w:val="-66"/>
        </w:rPr>
        <w:t> </w:t>
      </w:r>
      <w:r>
        <w:rPr>
          <w:spacing w:val="-66"/>
        </w:rPr>
      </w:r>
      <w:r>
        <w:rPr/>
        <w:t>提供相关服务的年度报告期结束后十二个月内不能完全支付，且财务影响重大的，则该负债将以折现后的金额计量。</w:t>
      </w:r>
    </w:p>
    <w:p>
      <w:pPr>
        <w:spacing w:line="240" w:lineRule="auto" w:before="7"/>
        <w:rPr>
          <w:rFonts w:ascii="宋体" w:hAnsi="宋体" w:cs="宋体" w:eastAsia="宋体" w:hint="default"/>
          <w:sz w:val="22"/>
          <w:szCs w:val="22"/>
        </w:rPr>
      </w:pPr>
    </w:p>
    <w:p>
      <w:pPr>
        <w:pStyle w:val="Heading4"/>
        <w:spacing w:line="240" w:lineRule="auto"/>
        <w:ind w:right="2239"/>
        <w:jc w:val="left"/>
        <w:rPr>
          <w:b w:val="0"/>
          <w:bCs w:val="0"/>
        </w:rPr>
      </w:pPr>
      <w:r>
        <w:rPr/>
        <w:t>（</w:t>
      </w:r>
      <w:r>
        <w:rPr>
          <w:rFonts w:ascii="Arial" w:hAnsi="Arial" w:cs="Arial" w:eastAsia="Arial" w:hint="default"/>
        </w:rPr>
        <w:t>2</w:t>
      </w:r>
      <w:r>
        <w:rPr/>
        <w:t>）离职后福利的会计处理方法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29" w:firstLine="360"/>
        <w:jc w:val="both"/>
      </w:pPr>
      <w:r>
        <w:rPr>
          <w:spacing w:val="-2"/>
        </w:rPr>
        <w:t>离职后福利计划包括设定提存计划和设定受益计划。其中，设定提存计划，是指向独立的基金缴存固定费用后，企业不</w:t>
      </w:r>
      <w:r>
        <w:rPr/>
        <w:t> </w:t>
      </w:r>
      <w:r>
        <w:rPr>
          <w:spacing w:val="-2"/>
        </w:rPr>
        <w:t>再承担进一步支付义务的离职后福利计划；设定受益计划，是指除设定提存计划以外的离职后福利计划，本集团无设定受益</w:t>
      </w:r>
      <w:r>
        <w:rPr>
          <w:spacing w:val="-66"/>
        </w:rPr>
        <w:t> </w:t>
      </w:r>
      <w:r>
        <w:rPr>
          <w:spacing w:val="-66"/>
        </w:rPr>
      </w:r>
      <w:r>
        <w:rPr/>
        <w:t>计划。</w:t>
      </w:r>
    </w:p>
    <w:p>
      <w:pPr>
        <w:spacing w:line="240" w:lineRule="auto" w:before="12"/>
        <w:rPr>
          <w:rFonts w:ascii="宋体" w:hAnsi="宋体" w:cs="宋体" w:eastAsia="宋体" w:hint="default"/>
          <w:sz w:val="17"/>
          <w:szCs w:val="17"/>
        </w:rPr>
      </w:pPr>
    </w:p>
    <w:p>
      <w:pPr>
        <w:pStyle w:val="BodyText"/>
        <w:spacing w:line="537" w:lineRule="auto"/>
        <w:ind w:left="513" w:right="6611"/>
        <w:jc w:val="left"/>
      </w:pPr>
      <w:r>
        <w:rPr/>
        <w:t>设定提存计划 设定提存计划包括基本养老保险、失业保险等。</w:t>
      </w:r>
    </w:p>
    <w:p>
      <w:pPr>
        <w:pStyle w:val="BodyText"/>
        <w:spacing w:line="240" w:lineRule="auto" w:before="69"/>
        <w:ind w:left="513" w:right="0"/>
        <w:jc w:val="left"/>
      </w:pPr>
      <w:r>
        <w:rPr/>
        <w:t>在职工提供服务的会计期间，根据设定提存计划计算的应缴存金额确认为负债，并计入当期损益或相关资产成本。</w:t>
      </w:r>
    </w:p>
    <w:p>
      <w:pPr>
        <w:pStyle w:val="BodyText"/>
        <w:spacing w:line="520" w:lineRule="atLeast" w:before="8"/>
        <w:ind w:left="514" w:right="1030"/>
        <w:jc w:val="left"/>
      </w:pPr>
      <w:r>
        <w:rPr/>
        <w:t>设定受益计划 </w:t>
      </w:r>
      <w:r>
        <w:rPr>
          <w:spacing w:val="-2"/>
        </w:rPr>
        <w:t>对于设定受益计划，在年度资产负债表日由独立精算师进行精算估值，以预期累积福利单位法确定提供福利的成本。本</w:t>
      </w:r>
    </w:p>
    <w:p>
      <w:pPr>
        <w:pStyle w:val="BodyText"/>
        <w:spacing w:line="240" w:lineRule="auto" w:before="76"/>
        <w:ind w:right="2239"/>
        <w:jc w:val="left"/>
      </w:pPr>
      <w:r>
        <w:rPr/>
        <w:t>集团设定受益计划导致的职工薪酬成本包括下列组成部分：</w:t>
      </w:r>
    </w:p>
    <w:p>
      <w:pPr>
        <w:spacing w:line="240" w:lineRule="auto" w:before="5"/>
        <w:rPr>
          <w:rFonts w:ascii="宋体" w:hAnsi="宋体" w:cs="宋体" w:eastAsia="宋体" w:hint="default"/>
          <w:sz w:val="22"/>
          <w:szCs w:val="22"/>
        </w:rPr>
      </w:pPr>
    </w:p>
    <w:p>
      <w:pPr>
        <w:pStyle w:val="BodyText"/>
        <w:spacing w:line="316" w:lineRule="auto"/>
        <w:ind w:right="1130" w:firstLine="360"/>
        <w:jc w:val="both"/>
      </w:pPr>
      <w:r>
        <w:rPr>
          <w:spacing w:val="-2"/>
        </w:rPr>
        <w:t>①服务成本，包括当期服务成本、过去服务成本和结算利得或损失。其中，当期服务成本，是指职工当期提供服务所导</w:t>
      </w:r>
      <w:r>
        <w:rPr/>
        <w:t> </w:t>
      </w:r>
      <w:r>
        <w:rPr>
          <w:spacing w:val="-2"/>
        </w:rPr>
        <w:t>致的设定受益计划义务现值的增加额；过去服务成本，是指设定受益计划修改所导致的与以前期间职工服务相关的设定受益</w:t>
      </w:r>
      <w:r>
        <w:rPr>
          <w:spacing w:val="-64"/>
        </w:rPr>
        <w:t> </w:t>
      </w:r>
      <w:r>
        <w:rPr>
          <w:spacing w:val="-64"/>
        </w:rPr>
      </w:r>
      <w:r>
        <w:rPr/>
        <w:t>计划义务现值的增加或减少。</w:t>
      </w:r>
    </w:p>
    <w:p>
      <w:pPr>
        <w:spacing w:line="240" w:lineRule="auto" w:before="12"/>
        <w:rPr>
          <w:rFonts w:ascii="宋体" w:hAnsi="宋体" w:cs="宋体" w:eastAsia="宋体" w:hint="default"/>
          <w:sz w:val="17"/>
          <w:szCs w:val="17"/>
        </w:rPr>
      </w:pPr>
    </w:p>
    <w:p>
      <w:pPr>
        <w:pStyle w:val="BodyText"/>
        <w:spacing w:line="316" w:lineRule="auto"/>
        <w:ind w:right="1130" w:firstLine="360"/>
        <w:jc w:val="both"/>
      </w:pPr>
      <w:r>
        <w:rPr>
          <w:spacing w:val="-2"/>
        </w:rPr>
        <w:t>②设定受益计划净负债或净资产的利息净额，包括计划资产的利息收益、设定受益计划义务的利息费用以及资产上限影</w:t>
      </w:r>
      <w:r>
        <w:rPr/>
        <w:t> 响的利息。</w:t>
      </w:r>
    </w:p>
    <w:p>
      <w:pPr>
        <w:pStyle w:val="BodyText"/>
        <w:spacing w:line="528" w:lineRule="exact" w:before="22"/>
        <w:ind w:left="514" w:right="0"/>
        <w:jc w:val="left"/>
      </w:pPr>
      <w:r>
        <w:rPr/>
        <w:t>③重新计量设定受益计划净负债或净资产所产生的变动。 </w:t>
      </w:r>
      <w:r>
        <w:rPr>
          <w:spacing w:val="-2"/>
        </w:rPr>
        <w:t>除非其他会计准则要求或允许职工福利成本计入资产成本，本集团将上述第①和②项计入当期损益；第③项计入其他综</w:t>
      </w:r>
    </w:p>
    <w:p>
      <w:pPr>
        <w:pStyle w:val="BodyText"/>
        <w:spacing w:line="316" w:lineRule="auto"/>
        <w:ind w:right="1030"/>
        <w:jc w:val="left"/>
      </w:pPr>
      <w:r>
        <w:rPr>
          <w:spacing w:val="-2"/>
        </w:rPr>
        <w:t>合收益且不会在后续会计期间转回至损益，在原设定受益计划终止时在权益范围内将原计入其他综合收益的部分全部结转至</w:t>
      </w:r>
      <w:r>
        <w:rPr>
          <w:spacing w:val="-64"/>
        </w:rPr>
        <w:t> </w:t>
      </w:r>
      <w:r>
        <w:rPr>
          <w:spacing w:val="-64"/>
        </w:rPr>
      </w:r>
      <w:r>
        <w:rPr/>
        <w:t>未分配利润。</w:t>
      </w:r>
    </w:p>
    <w:p>
      <w:pPr>
        <w:spacing w:line="240" w:lineRule="auto" w:before="7"/>
        <w:rPr>
          <w:rFonts w:ascii="宋体" w:hAnsi="宋体" w:cs="宋体" w:eastAsia="宋体" w:hint="default"/>
          <w:sz w:val="22"/>
          <w:szCs w:val="22"/>
        </w:rPr>
      </w:pPr>
    </w:p>
    <w:p>
      <w:pPr>
        <w:pStyle w:val="Heading4"/>
        <w:spacing w:line="240" w:lineRule="auto"/>
        <w:ind w:right="2239"/>
        <w:jc w:val="left"/>
        <w:rPr>
          <w:b w:val="0"/>
          <w:bCs w:val="0"/>
        </w:rPr>
      </w:pPr>
      <w:r>
        <w:rPr/>
        <w:t>（</w:t>
      </w:r>
      <w:r>
        <w:rPr>
          <w:rFonts w:ascii="Arial" w:hAnsi="Arial" w:cs="Arial" w:eastAsia="Arial" w:hint="default"/>
        </w:rPr>
        <w:t>3</w:t>
      </w:r>
      <w:r>
        <w:rPr/>
        <w:t>）辞退福利的会计处理方法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360"/>
        <w:jc w:val="both"/>
      </w:pPr>
      <w:r>
        <w:rPr>
          <w:spacing w:val="-2"/>
        </w:rPr>
        <w:t>本集团向职工提供辞退福利的，在下列两者孰早日确认辞退福利产生的职工薪酬负债，并计入当期损益：本集团不能单</w:t>
      </w:r>
      <w:r>
        <w:rPr/>
        <w:t> 方面撤回因解除劳动关系计划或裁减建议所提供的辞退福利时；本集团确认与涉及支付辞退福利的重组相关的成本或费用</w:t>
      </w:r>
      <w:r>
        <w:rPr>
          <w:spacing w:val="-9"/>
        </w:rPr>
        <w:t> </w:t>
      </w:r>
      <w:r>
        <w:rPr>
          <w:spacing w:val="-9"/>
        </w:rPr>
      </w:r>
      <w:r>
        <w:rPr/>
        <w:t>时。</w:t>
      </w:r>
    </w:p>
    <w:p>
      <w:pPr>
        <w:spacing w:line="240" w:lineRule="auto" w:before="12"/>
        <w:rPr>
          <w:rFonts w:ascii="宋体" w:hAnsi="宋体" w:cs="宋体" w:eastAsia="宋体" w:hint="default"/>
          <w:sz w:val="17"/>
          <w:szCs w:val="17"/>
        </w:rPr>
      </w:pPr>
    </w:p>
    <w:p>
      <w:pPr>
        <w:pStyle w:val="BodyText"/>
        <w:spacing w:line="240" w:lineRule="auto"/>
        <w:ind w:left="514" w:right="0"/>
        <w:jc w:val="left"/>
      </w:pPr>
      <w:r>
        <w:rPr/>
        <w:t>实行职工内部退休计划的，在正式退休日之前的经济补偿，属于辞退福利，自职工停止提供服务日至正常退休日期间，</w:t>
      </w:r>
    </w:p>
    <w:p>
      <w:pPr>
        <w:spacing w:after="0" w:line="240"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3" w:right="1031"/>
        <w:jc w:val="left"/>
      </w:pPr>
      <w:r>
        <w:rPr/>
        <w:t>拟支付的内退职工工资和缴纳的社会保险费等一次性计入当期损益。正式退休日期之后的经济补偿（如正常养老退休金）， 按照离职后福利处理。</w:t>
      </w:r>
    </w:p>
    <w:p>
      <w:pPr>
        <w:spacing w:line="240" w:lineRule="auto" w:before="7"/>
        <w:rPr>
          <w:rFonts w:ascii="宋体" w:hAnsi="宋体" w:cs="宋体" w:eastAsia="宋体" w:hint="default"/>
          <w:sz w:val="22"/>
          <w:szCs w:val="22"/>
        </w:rPr>
      </w:pPr>
    </w:p>
    <w:p>
      <w:pPr>
        <w:pStyle w:val="Heading4"/>
        <w:spacing w:line="240" w:lineRule="auto"/>
        <w:ind w:right="2239"/>
        <w:jc w:val="left"/>
        <w:rPr>
          <w:b w:val="0"/>
          <w:bCs w:val="0"/>
        </w:rPr>
      </w:pPr>
      <w:r>
        <w:rPr/>
        <w:t>（</w:t>
      </w:r>
      <w:r>
        <w:rPr>
          <w:rFonts w:ascii="Arial" w:hAnsi="Arial" w:cs="Arial" w:eastAsia="Arial" w:hint="default"/>
        </w:rPr>
        <w:t>4</w:t>
      </w:r>
      <w:r>
        <w:rPr/>
        <w:t>）其他长期职工福利的会计处理方法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09" w:lineRule="auto"/>
        <w:ind w:left="153" w:right="1031" w:firstLine="360"/>
        <w:jc w:val="left"/>
      </w:pPr>
      <w:r>
        <w:rPr/>
        <w:t>本集团向职工提供的其他长期职工福利，符合设定提存计划条件的，按照上述关于设定提存计划的有关规定进行处理。 符合设定受益计划的，按照上述关于设定受益计划的有关规定进行处理，但相关职工薪酬成本中</w:t>
      </w:r>
      <w:r>
        <w:rPr>
          <w:rFonts w:ascii="Arial" w:hAnsi="Arial" w:cs="Arial" w:eastAsia="Arial" w:hint="default"/>
        </w:rPr>
        <w:t>“</w:t>
      </w:r>
      <w:r>
        <w:rPr/>
        <w:t>重新计量设定受益计划净</w:t>
      </w:r>
      <w:r>
        <w:rPr>
          <w:spacing w:val="-58"/>
        </w:rPr>
        <w:t> </w:t>
      </w:r>
      <w:r>
        <w:rPr>
          <w:spacing w:val="-58"/>
        </w:rPr>
      </w:r>
      <w:r>
        <w:rPr/>
        <w:t>负债或净资产所产生的变动</w:t>
      </w:r>
      <w:r>
        <w:rPr>
          <w:rFonts w:ascii="Arial" w:hAnsi="Arial" w:cs="Arial" w:eastAsia="Arial" w:hint="default"/>
        </w:rPr>
        <w:t>”</w:t>
      </w:r>
      <w:r>
        <w:rPr/>
        <w:t>部分计入当期损益或相关资产成本。</w:t>
      </w:r>
    </w:p>
    <w:p>
      <w:pPr>
        <w:spacing w:line="240" w:lineRule="auto" w:before="6"/>
        <w:rPr>
          <w:rFonts w:ascii="宋体" w:hAnsi="宋体" w:cs="宋体" w:eastAsia="宋体" w:hint="default"/>
          <w:sz w:val="21"/>
          <w:szCs w:val="21"/>
        </w:rPr>
      </w:pPr>
    </w:p>
    <w:p>
      <w:pPr>
        <w:pStyle w:val="Heading4"/>
        <w:spacing w:line="240" w:lineRule="auto"/>
        <w:ind w:right="2239"/>
        <w:jc w:val="left"/>
        <w:rPr>
          <w:b w:val="0"/>
          <w:bCs w:val="0"/>
        </w:rPr>
      </w:pPr>
      <w:r>
        <w:rPr>
          <w:rFonts w:ascii="Arial" w:hAnsi="Arial" w:cs="Arial" w:eastAsia="Arial" w:hint="default"/>
        </w:rPr>
        <w:t>35</w:t>
      </w:r>
      <w:r>
        <w:rPr/>
        <w:t>、租赁负债</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36</w:t>
      </w:r>
      <w:r>
        <w:rPr/>
        <w:t>、预计负债</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37</w:t>
      </w:r>
      <w:r>
        <w:rPr/>
        <w:t>、股份支付</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38</w:t>
      </w:r>
      <w:r>
        <w:rPr/>
        <w:t>、优先股、永续债等其他金融工具</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39</w:t>
      </w:r>
      <w:r>
        <w:rPr/>
        <w:t>、收入</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公司需遵守《深圳证券交易所行业信息披露指引第</w:t>
      </w:r>
      <w:r>
        <w:rPr>
          <w:rFonts w:ascii="Arial" w:hAnsi="Arial" w:cs="Arial" w:eastAsia="Arial" w:hint="default"/>
        </w:rPr>
        <w:t>12</w:t>
      </w:r>
      <w:r>
        <w:rPr/>
        <w:t>号——上市公司从事软件与信息技术服务业务》的披露要求</w:t>
      </w:r>
    </w:p>
    <w:p>
      <w:pPr>
        <w:spacing w:line="240" w:lineRule="auto" w:before="5"/>
        <w:rPr>
          <w:rFonts w:ascii="宋体" w:hAnsi="宋体" w:cs="宋体" w:eastAsia="宋体" w:hint="default"/>
          <w:sz w:val="21"/>
          <w:szCs w:val="21"/>
        </w:rPr>
      </w:pPr>
    </w:p>
    <w:p>
      <w:pPr>
        <w:pStyle w:val="BodyText"/>
        <w:spacing w:line="240" w:lineRule="auto"/>
        <w:ind w:left="244" w:right="2239"/>
        <w:jc w:val="left"/>
      </w:pPr>
      <w:r>
        <w:rPr/>
        <w:t>（</w:t>
      </w:r>
      <w:r>
        <w:rPr>
          <w:rFonts w:ascii="Arial" w:hAnsi="Arial" w:cs="Arial" w:eastAsia="Arial" w:hint="default"/>
        </w:rPr>
        <w:t>1</w:t>
      </w:r>
      <w:r>
        <w:rPr/>
        <w:t>）一般原则</w:t>
      </w:r>
    </w:p>
    <w:p>
      <w:pPr>
        <w:pStyle w:val="BodyText"/>
        <w:spacing w:line="528" w:lineRule="exact" w:before="67"/>
        <w:ind w:left="514" w:right="1030" w:firstLine="90"/>
        <w:jc w:val="left"/>
      </w:pPr>
      <w:r>
        <w:rPr/>
        <w:t>①销售商品 </w:t>
      </w:r>
      <w:r>
        <w:rPr>
          <w:spacing w:val="-2"/>
        </w:rPr>
        <w:t>在已将商品所有权上的主要风险和报酬转移给购货方，既没有保留通常与所有权相联系的继续管理权，也没有对已售商</w:t>
      </w:r>
    </w:p>
    <w:p>
      <w:pPr>
        <w:pStyle w:val="BodyText"/>
        <w:spacing w:line="316" w:lineRule="auto"/>
        <w:ind w:right="0"/>
        <w:jc w:val="left"/>
      </w:pPr>
      <w:r>
        <w:rPr>
          <w:spacing w:val="-2"/>
        </w:rPr>
        <w:t>品实施有效控制，收入的金额能够可靠地计量，相关的经济利益很可能流入企业，相关的已发生或将发生的成本能够可靠地</w:t>
      </w:r>
      <w:r>
        <w:rPr>
          <w:spacing w:val="-66"/>
        </w:rPr>
        <w:t> </w:t>
      </w:r>
      <w:r>
        <w:rPr>
          <w:spacing w:val="-66"/>
        </w:rPr>
      </w:r>
      <w:r>
        <w:rPr/>
        <w:t>计量时，确认商品销售收入的实现。</w:t>
      </w:r>
    </w:p>
    <w:p>
      <w:pPr>
        <w:spacing w:line="240" w:lineRule="auto" w:before="12"/>
        <w:rPr>
          <w:rFonts w:ascii="宋体" w:hAnsi="宋体" w:cs="宋体" w:eastAsia="宋体" w:hint="default"/>
          <w:sz w:val="17"/>
          <w:szCs w:val="17"/>
        </w:rPr>
      </w:pPr>
    </w:p>
    <w:p>
      <w:pPr>
        <w:pStyle w:val="BodyText"/>
        <w:spacing w:line="537" w:lineRule="auto"/>
        <w:ind w:left="514" w:right="2470" w:firstLine="90"/>
        <w:jc w:val="left"/>
      </w:pPr>
      <w:r>
        <w:rPr/>
        <w:t>②提供劳务 对在提供劳务交易的结果能够可靠估计的情况下，本公司于资产负债表日按完工百分比法确认收入。 劳务交易的完工进度按已经发生的劳务成本占估计总成本的比例确定。 提供劳务交易的结果能够可靠估计是指同时满足：</w:t>
      </w:r>
    </w:p>
    <w:p>
      <w:pPr>
        <w:pStyle w:val="BodyText"/>
        <w:spacing w:line="511" w:lineRule="auto" w:before="69"/>
        <w:ind w:left="514" w:right="6300"/>
        <w:jc w:val="left"/>
      </w:pPr>
      <w:r>
        <w:rPr>
          <w:rFonts w:ascii="Arial" w:hAnsi="Arial" w:cs="Arial" w:eastAsia="Arial" w:hint="default"/>
        </w:rPr>
        <w:t>A</w:t>
      </w:r>
      <w:r>
        <w:rPr/>
        <w:t>、收入的金额能够可靠地计量； </w:t>
      </w:r>
      <w:r>
        <w:rPr>
          <w:rFonts w:ascii="Arial" w:hAnsi="Arial" w:cs="Arial" w:eastAsia="Arial" w:hint="default"/>
        </w:rPr>
        <w:t>B</w:t>
      </w:r>
      <w:r>
        <w:rPr/>
        <w:t>、相关的经济利益很可能流入企业； </w:t>
      </w:r>
      <w:r>
        <w:rPr>
          <w:rFonts w:ascii="Arial" w:hAnsi="Arial" w:cs="Arial" w:eastAsia="Arial" w:hint="default"/>
        </w:rPr>
        <w:t>C</w:t>
      </w:r>
      <w:r>
        <w:rPr/>
        <w:t>、交易的完工程度能够可靠地确定； </w:t>
      </w:r>
      <w:r>
        <w:rPr>
          <w:rFonts w:ascii="Arial" w:hAnsi="Arial" w:cs="Arial" w:eastAsia="Arial" w:hint="default"/>
        </w:rPr>
        <w:t>D</w:t>
      </w:r>
      <w:r>
        <w:rPr/>
        <w:t>、交易中已发生和将发生的成本能够可靠地计量。</w:t>
      </w:r>
    </w:p>
    <w:p>
      <w:pPr>
        <w:pStyle w:val="BodyText"/>
        <w:spacing w:line="316" w:lineRule="auto" w:before="52"/>
        <w:ind w:right="0" w:firstLine="360"/>
        <w:jc w:val="left"/>
      </w:pPr>
      <w:r>
        <w:rPr>
          <w:spacing w:val="-2"/>
        </w:rPr>
        <w:t>如果提供劳务交易的结果不能够可靠估计，则按已经发生并预计能够得到补偿的劳务成本金额确认提供的劳务收入，并</w:t>
      </w:r>
      <w:r>
        <w:rPr/>
        <w:t> 将已发生的劳务成本作为当期费用。已经发生的劳务成本如预计不能得到补偿的，则不确认收入。</w:t>
      </w:r>
    </w:p>
    <w:p>
      <w:pPr>
        <w:spacing w:line="240" w:lineRule="auto" w:before="12"/>
        <w:rPr>
          <w:rFonts w:ascii="宋体" w:hAnsi="宋体" w:cs="宋体" w:eastAsia="宋体" w:hint="default"/>
          <w:sz w:val="17"/>
          <w:szCs w:val="17"/>
        </w:rPr>
      </w:pPr>
    </w:p>
    <w:p>
      <w:pPr>
        <w:pStyle w:val="BodyText"/>
        <w:spacing w:line="240" w:lineRule="auto"/>
        <w:ind w:left="514" w:right="2239"/>
        <w:jc w:val="left"/>
      </w:pPr>
      <w:r>
        <w:rPr/>
        <w:t>③让渡资产使用权</w:t>
      </w:r>
    </w:p>
    <w:p>
      <w:pPr>
        <w:spacing w:after="0" w:line="240"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3" w:right="2239"/>
        <w:jc w:val="left"/>
      </w:pPr>
      <w:r>
        <w:rPr/>
        <w:t>与资产使用权让渡相关的经济利益能够流入及收入的金额能够可靠地计量时，本公司确认收入。</w:t>
      </w:r>
    </w:p>
    <w:p>
      <w:pPr>
        <w:spacing w:line="240" w:lineRule="auto" w:before="5"/>
        <w:rPr>
          <w:rFonts w:ascii="宋体" w:hAnsi="宋体" w:cs="宋体" w:eastAsia="宋体" w:hint="default"/>
          <w:sz w:val="22"/>
          <w:szCs w:val="22"/>
        </w:rPr>
      </w:pPr>
    </w:p>
    <w:p>
      <w:pPr>
        <w:pStyle w:val="BodyText"/>
        <w:spacing w:line="518" w:lineRule="auto"/>
        <w:ind w:left="513" w:right="5181" w:hanging="270"/>
        <w:jc w:val="left"/>
      </w:pPr>
      <w:r>
        <w:rPr/>
        <w:t>（</w:t>
      </w:r>
      <w:r>
        <w:rPr>
          <w:rFonts w:ascii="Arial" w:hAnsi="Arial" w:cs="Arial" w:eastAsia="Arial" w:hint="default"/>
        </w:rPr>
        <w:t>2</w:t>
      </w:r>
      <w:r>
        <w:rPr/>
        <w:t>）收入确认的具体方法 本集团软件业务收入确认的具体方法如下： </w:t>
      </w:r>
      <w:r>
        <w:rPr>
          <w:rFonts w:ascii="Arial" w:hAnsi="Arial" w:cs="Arial" w:eastAsia="Arial" w:hint="default"/>
        </w:rPr>
        <w:t>A</w:t>
      </w:r>
      <w:r>
        <w:rPr/>
        <w:t>、自行开发软件销售收入的确认原则 自行开发软件收入包括自制开发的软件产品收入和定制软件收入。</w:t>
      </w:r>
    </w:p>
    <w:p>
      <w:pPr>
        <w:pStyle w:val="BodyText"/>
        <w:spacing w:line="316" w:lineRule="auto" w:before="83"/>
        <w:ind w:left="153" w:right="0" w:firstLine="360"/>
        <w:jc w:val="left"/>
      </w:pPr>
      <w:r>
        <w:rPr>
          <w:spacing w:val="-2"/>
        </w:rPr>
        <w:t>自制开发的软件产品是指拥有自主知识产权，无差异化、可批量复制的软件产品，无需根据用户需求进行定制。本公司</w:t>
      </w:r>
      <w:r>
        <w:rPr/>
        <w:t> 销售的自制开发软件产品实质上就是销售不转让所有权的商品，公司在将软件产品移交给购买方时确认收入。</w:t>
      </w:r>
    </w:p>
    <w:p>
      <w:pPr>
        <w:spacing w:line="240" w:lineRule="auto" w:before="12"/>
        <w:rPr>
          <w:rFonts w:ascii="宋体" w:hAnsi="宋体" w:cs="宋体" w:eastAsia="宋体" w:hint="default"/>
          <w:sz w:val="17"/>
          <w:szCs w:val="17"/>
        </w:rPr>
      </w:pPr>
    </w:p>
    <w:p>
      <w:pPr>
        <w:pStyle w:val="BodyText"/>
        <w:spacing w:line="316" w:lineRule="auto"/>
        <w:ind w:left="153" w:right="0" w:firstLine="360"/>
        <w:jc w:val="left"/>
      </w:pPr>
      <w:r>
        <w:rPr>
          <w:spacing w:val="-2"/>
        </w:rPr>
        <w:t>定制软件是指根据与客户签订的技术开发、技术转让合同，对用户的业务进行充分实地调查，并根据用户的实际需求进</w:t>
      </w:r>
      <w:r>
        <w:rPr/>
        <w:t> 行专门的软件设计与开发，由此开发出来的软件不具有通用性。本公司在将软件产品移交给购买方并验收后确认收入。</w:t>
      </w:r>
    </w:p>
    <w:p>
      <w:pPr>
        <w:spacing w:line="240" w:lineRule="auto" w:before="12"/>
        <w:rPr>
          <w:rFonts w:ascii="宋体" w:hAnsi="宋体" w:cs="宋体" w:eastAsia="宋体" w:hint="default"/>
          <w:sz w:val="17"/>
          <w:szCs w:val="17"/>
        </w:rPr>
      </w:pPr>
    </w:p>
    <w:p>
      <w:pPr>
        <w:pStyle w:val="BodyText"/>
        <w:spacing w:line="240" w:lineRule="auto"/>
        <w:ind w:left="513" w:right="2239"/>
        <w:jc w:val="left"/>
      </w:pPr>
      <w:r>
        <w:rPr/>
        <w:t>对系统集成中包含自行开发软件产品的销售收入，按以下系统集成的收入确认原则确认。</w:t>
      </w:r>
    </w:p>
    <w:p>
      <w:pPr>
        <w:pStyle w:val="BodyText"/>
        <w:spacing w:line="510" w:lineRule="atLeast" w:before="31"/>
        <w:ind w:left="513" w:right="0"/>
        <w:jc w:val="left"/>
      </w:pPr>
      <w:r>
        <w:rPr>
          <w:rFonts w:ascii="Arial" w:hAnsi="Arial" w:cs="Arial" w:eastAsia="Arial" w:hint="default"/>
        </w:rPr>
        <w:t>B</w:t>
      </w:r>
      <w:r>
        <w:rPr/>
        <w:t>、系统集成收入确认原则 </w:t>
      </w:r>
      <w:r>
        <w:rPr>
          <w:spacing w:val="-2"/>
        </w:rPr>
        <w:t>系统集成包括外购商品、软件产品的销售与安装。公司在系统安装调试完毕已投入试运行或取得购货方的初验报告后确</w:t>
      </w:r>
    </w:p>
    <w:p>
      <w:pPr>
        <w:pStyle w:val="BodyText"/>
        <w:spacing w:line="240" w:lineRule="auto" w:before="76"/>
        <w:ind w:left="153" w:right="2239"/>
        <w:jc w:val="left"/>
      </w:pPr>
      <w:r>
        <w:rPr/>
        <w:t>认收入。</w:t>
      </w:r>
    </w:p>
    <w:p>
      <w:pPr>
        <w:spacing w:line="240" w:lineRule="auto" w:before="5"/>
        <w:rPr>
          <w:rFonts w:ascii="宋体" w:hAnsi="宋体" w:cs="宋体" w:eastAsia="宋体" w:hint="default"/>
          <w:sz w:val="22"/>
          <w:szCs w:val="22"/>
        </w:rPr>
      </w:pPr>
    </w:p>
    <w:p>
      <w:pPr>
        <w:pStyle w:val="BodyText"/>
        <w:spacing w:line="523" w:lineRule="auto"/>
        <w:ind w:left="513" w:right="1391"/>
        <w:jc w:val="left"/>
      </w:pPr>
      <w:r>
        <w:rPr>
          <w:rFonts w:ascii="Arial" w:hAnsi="Arial" w:cs="Arial" w:eastAsia="Arial" w:hint="default"/>
        </w:rPr>
        <w:t>C</w:t>
      </w:r>
      <w:r>
        <w:rPr/>
        <w:t>、技术支持与维护收入确认原则 技术支持与维护主要指根据合同规定向用户提供的有偿后续服务，包括系统维护、技术应用与支持、产品升级等。 本公司根据与用户签订的相关合同规定的合同总额与服务期间，按提供服务的进度确认收入。</w:t>
      </w:r>
    </w:p>
    <w:p>
      <w:pPr>
        <w:pStyle w:val="BodyText"/>
        <w:spacing w:line="240" w:lineRule="auto" w:before="80"/>
        <w:ind w:left="513" w:right="2239"/>
        <w:jc w:val="left"/>
      </w:pPr>
      <w:r>
        <w:rPr>
          <w:rFonts w:ascii="Arial" w:hAnsi="Arial" w:cs="Arial" w:eastAsia="Arial" w:hint="default"/>
        </w:rPr>
        <w:t>D</w:t>
      </w:r>
      <w:r>
        <w:rPr/>
        <w:t>、技术开发收入</w:t>
      </w:r>
    </w:p>
    <w:p>
      <w:pPr>
        <w:spacing w:line="240" w:lineRule="auto" w:before="5"/>
        <w:rPr>
          <w:rFonts w:ascii="宋体" w:hAnsi="宋体" w:cs="宋体" w:eastAsia="宋体" w:hint="default"/>
          <w:sz w:val="21"/>
          <w:szCs w:val="21"/>
        </w:rPr>
      </w:pPr>
    </w:p>
    <w:p>
      <w:pPr>
        <w:pStyle w:val="BodyText"/>
        <w:spacing w:line="316" w:lineRule="auto"/>
        <w:ind w:left="153" w:right="0" w:firstLine="360"/>
        <w:jc w:val="left"/>
      </w:pPr>
      <w:r>
        <w:rPr>
          <w:spacing w:val="-2"/>
        </w:rPr>
        <w:t>技术开发收入是指根据用户的需求，对自行研究开发的软件产品再次开发取得的收入。公司在劳务已经提供，收到价款</w:t>
      </w:r>
      <w:r>
        <w:rPr/>
        <w:t> 或取得收款的依据，于技术开发项目投入用户试运行或取得用户的初验报告后确认收入实现。</w:t>
      </w:r>
    </w:p>
    <w:p>
      <w:pPr>
        <w:spacing w:line="240" w:lineRule="auto" w:before="12"/>
        <w:rPr>
          <w:rFonts w:ascii="宋体" w:hAnsi="宋体" w:cs="宋体" w:eastAsia="宋体" w:hint="default"/>
          <w:sz w:val="17"/>
          <w:szCs w:val="17"/>
        </w:rPr>
      </w:pPr>
    </w:p>
    <w:p>
      <w:pPr>
        <w:pStyle w:val="BodyText"/>
        <w:spacing w:line="511" w:lineRule="auto"/>
        <w:ind w:left="513" w:right="2831"/>
        <w:jc w:val="left"/>
      </w:pPr>
      <w:r>
        <w:rPr>
          <w:rFonts w:ascii="Arial" w:hAnsi="Arial" w:cs="Arial" w:eastAsia="Arial" w:hint="default"/>
        </w:rPr>
        <w:t>E</w:t>
      </w:r>
      <w:r>
        <w:rPr/>
        <w:t>、软件园租赁收入 公司软件园租赁收入，在不扣除免租期的整个租赁期内，按直线法进行分摊，确认为租赁收入。</w:t>
      </w:r>
    </w:p>
    <w:p>
      <w:pPr>
        <w:pStyle w:val="Heading4"/>
        <w:spacing w:line="240" w:lineRule="auto" w:before="149"/>
        <w:ind w:right="2239"/>
        <w:jc w:val="left"/>
        <w:rPr>
          <w:b w:val="0"/>
          <w:bCs w:val="0"/>
        </w:rPr>
      </w:pPr>
      <w:r>
        <w:rPr>
          <w:rFonts w:ascii="Arial" w:hAnsi="Arial" w:cs="Arial" w:eastAsia="Arial" w:hint="default"/>
        </w:rPr>
        <w:t>40</w:t>
      </w:r>
      <w:r>
        <w:rPr/>
        <w:t>、政府补助</w:t>
      </w:r>
      <w:r>
        <w:rPr>
          <w:b w:val="0"/>
          <w:bCs w:val="0"/>
        </w:rPr>
      </w:r>
    </w:p>
    <w:p>
      <w:pPr>
        <w:pStyle w:val="BodyText"/>
        <w:spacing w:line="520" w:lineRule="atLeast" w:before="63"/>
        <w:ind w:left="513" w:right="0"/>
        <w:jc w:val="left"/>
      </w:pPr>
      <w:r>
        <w:rPr/>
        <w:t>政府补助在满足政府补助所附条件并能够收到时确认。 </w:t>
      </w:r>
      <w:r>
        <w:rPr>
          <w:spacing w:val="-2"/>
        </w:rPr>
        <w:t>对于货币性资产的政府补助，按照收到或应收的金额计量。对于非货币性资产的政府补助，按照公允价值计量；公允价</w:t>
      </w:r>
    </w:p>
    <w:p>
      <w:pPr>
        <w:pStyle w:val="BodyText"/>
        <w:spacing w:line="240" w:lineRule="auto" w:before="76"/>
        <w:ind w:left="153" w:right="2239"/>
        <w:jc w:val="left"/>
      </w:pPr>
      <w:r>
        <w:rPr/>
        <w:t>值不能够可靠取得的，按照名义金额</w:t>
      </w:r>
      <w:r>
        <w:rPr>
          <w:rFonts w:ascii="Arial" w:hAnsi="Arial" w:cs="Arial" w:eastAsia="Arial" w:hint="default"/>
        </w:rPr>
        <w:t>1</w:t>
      </w:r>
      <w:r>
        <w:rPr/>
        <w:t>元计量。</w:t>
      </w:r>
    </w:p>
    <w:p>
      <w:pPr>
        <w:spacing w:line="240" w:lineRule="auto" w:before="5"/>
        <w:rPr>
          <w:rFonts w:ascii="宋体" w:hAnsi="宋体" w:cs="宋体" w:eastAsia="宋体" w:hint="default"/>
          <w:sz w:val="21"/>
          <w:szCs w:val="21"/>
        </w:rPr>
      </w:pPr>
    </w:p>
    <w:p>
      <w:pPr>
        <w:pStyle w:val="BodyText"/>
        <w:spacing w:line="316" w:lineRule="auto"/>
        <w:ind w:left="153" w:right="0" w:firstLine="360"/>
        <w:jc w:val="left"/>
      </w:pPr>
      <w:r>
        <w:rPr>
          <w:spacing w:val="-2"/>
        </w:rPr>
        <w:t>与资产相关的政府补助，是指本集团取得的、用于购建或以其他方式形成长期资产的政府补助；除此之外，作为与收益</w:t>
      </w:r>
      <w:r>
        <w:rPr/>
        <w:t> 相关的政府补助。</w:t>
      </w:r>
    </w:p>
    <w:p>
      <w:pPr>
        <w:spacing w:line="240" w:lineRule="auto" w:before="12"/>
        <w:rPr>
          <w:rFonts w:ascii="宋体" w:hAnsi="宋体" w:cs="宋体" w:eastAsia="宋体" w:hint="default"/>
          <w:sz w:val="17"/>
          <w:szCs w:val="17"/>
        </w:rPr>
      </w:pPr>
    </w:p>
    <w:p>
      <w:pPr>
        <w:pStyle w:val="BodyText"/>
        <w:spacing w:line="316" w:lineRule="auto"/>
        <w:ind w:left="153" w:right="0" w:firstLine="360"/>
        <w:jc w:val="left"/>
      </w:pPr>
      <w:r>
        <w:rPr>
          <w:spacing w:val="-2"/>
        </w:rPr>
        <w:t>对于政府文件未明确规定补助对象的，能够形成长期资产的，与资产价值相对应的政府补助部分作为与资产相关的政府</w:t>
      </w:r>
      <w:r>
        <w:rPr/>
        <w:t> 补助，其余部分作为与收益相关的政府补助；难以区分的，将政府补助整体作为与收益相关的政府补助。</w:t>
      </w:r>
    </w:p>
    <w:p>
      <w:pPr>
        <w:spacing w:after="0" w:line="316"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3" w:right="1131" w:firstLine="360"/>
        <w:jc w:val="both"/>
      </w:pPr>
      <w:r>
        <w:rPr>
          <w:spacing w:val="-2"/>
        </w:rPr>
        <w:t>与资产相关的政府补助，确认为递延收益在相关资产使用期限内按照合理、系统的方法分期计入损益。与收益相关的政</w:t>
      </w:r>
      <w:r>
        <w:rPr/>
        <w:t> </w:t>
      </w:r>
      <w:r>
        <w:rPr>
          <w:spacing w:val="-2"/>
        </w:rPr>
        <w:t>府补助，用于补偿已发生的相关成本费用或损失的，计入当期损益；用于补偿以后期间的相关成本费用或损失的，则计入递</w:t>
      </w:r>
      <w:r>
        <w:rPr>
          <w:spacing w:val="-66"/>
        </w:rPr>
        <w:t> </w:t>
      </w:r>
      <w:r>
        <w:rPr>
          <w:spacing w:val="-66"/>
        </w:rPr>
      </w:r>
      <w:r>
        <w:rPr>
          <w:spacing w:val="-2"/>
        </w:rPr>
        <w:t>延收益，于相关成本费用或损失确认期间计入当期损益。按照名义金额计量的政府补助，直接计入当期损益。本集团对相同</w:t>
      </w:r>
      <w:r>
        <w:rPr>
          <w:spacing w:val="-66"/>
        </w:rPr>
        <w:t> </w:t>
      </w:r>
      <w:r>
        <w:rPr>
          <w:spacing w:val="-66"/>
        </w:rPr>
      </w:r>
      <w:r>
        <w:rPr/>
        <w:t>或类似的政府补助业务，采用一致的方法处理。</w:t>
      </w:r>
    </w:p>
    <w:p>
      <w:pPr>
        <w:pStyle w:val="BodyText"/>
        <w:spacing w:line="528" w:lineRule="exact" w:before="22"/>
        <w:ind w:left="513" w:right="1031"/>
        <w:jc w:val="left"/>
      </w:pPr>
      <w:r>
        <w:rPr/>
        <w:t>与日常活动相关的政府补助，按照经济业务实质，计入其他收益。与日常活动无关的政府补助，计入营业外收支。 已确认的政府补助需要返还时，初始确认时冲减相关资产账面价值的，调整资产账面价值；存在相关递延收益余额的，</w:t>
      </w:r>
    </w:p>
    <w:p>
      <w:pPr>
        <w:pStyle w:val="BodyText"/>
        <w:spacing w:line="232" w:lineRule="exact"/>
        <w:ind w:left="153" w:right="2239"/>
        <w:jc w:val="left"/>
      </w:pPr>
      <w:r>
        <w:rPr/>
        <w:t>冲减相关递延收益账面余额，超出部分计入当期损益；属于其他情况的，直接计入当期损益。</w:t>
      </w:r>
    </w:p>
    <w:p>
      <w:pPr>
        <w:spacing w:line="240" w:lineRule="auto" w:before="12"/>
        <w:rPr>
          <w:rFonts w:ascii="宋体" w:hAnsi="宋体" w:cs="宋体" w:eastAsia="宋体" w:hint="default"/>
          <w:sz w:val="26"/>
          <w:szCs w:val="26"/>
        </w:rPr>
      </w:pPr>
    </w:p>
    <w:p>
      <w:pPr>
        <w:pStyle w:val="Heading4"/>
        <w:spacing w:line="240" w:lineRule="auto"/>
        <w:ind w:right="2239"/>
        <w:jc w:val="left"/>
        <w:rPr>
          <w:b w:val="0"/>
          <w:bCs w:val="0"/>
        </w:rPr>
      </w:pPr>
      <w:r>
        <w:rPr>
          <w:rFonts w:ascii="Arial" w:hAnsi="Arial" w:cs="Arial" w:eastAsia="Arial" w:hint="default"/>
        </w:rPr>
        <w:t>41</w:t>
      </w:r>
      <w:r>
        <w:rPr/>
        <w:t>、递延所得税资产</w:t>
      </w:r>
      <w:r>
        <w:rPr>
          <w:rFonts w:ascii="Arial" w:hAnsi="Arial" w:cs="Arial" w:eastAsia="Arial" w:hint="default"/>
        </w:rPr>
        <w:t>/</w:t>
      </w:r>
      <w:r>
        <w:rPr/>
        <w:t>递延所得税负债</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0" w:firstLine="360"/>
        <w:jc w:val="both"/>
      </w:pPr>
      <w:r>
        <w:rPr>
          <w:spacing w:val="-2"/>
        </w:rPr>
        <w:t>所得税包括当期所得税和递延所得税。除由于企业合并产生的调整商誉，或与直接计入所有者权益的交易或者事项相关</w:t>
      </w:r>
      <w:r>
        <w:rPr/>
        <w:t> 的递延所得税计入所有者权益外，均作为所得税费用计入当期损益。</w:t>
      </w:r>
    </w:p>
    <w:p>
      <w:pPr>
        <w:spacing w:line="240" w:lineRule="auto" w:before="12"/>
        <w:rPr>
          <w:rFonts w:ascii="宋体" w:hAnsi="宋体" w:cs="宋体" w:eastAsia="宋体" w:hint="default"/>
          <w:sz w:val="17"/>
          <w:szCs w:val="17"/>
        </w:rPr>
      </w:pPr>
    </w:p>
    <w:p>
      <w:pPr>
        <w:pStyle w:val="BodyText"/>
        <w:spacing w:line="316" w:lineRule="auto"/>
        <w:ind w:left="153" w:right="1130" w:firstLine="360"/>
        <w:jc w:val="both"/>
      </w:pPr>
      <w:r>
        <w:rPr>
          <w:spacing w:val="-2"/>
        </w:rPr>
        <w:t>本集团根据资产、负债于资产负债表日的账面价值与计税基础之间的暂时性差异，采用资产负债表债务法确认递延所得</w:t>
      </w:r>
      <w:r>
        <w:rPr/>
        <w:t> 税。</w:t>
      </w:r>
    </w:p>
    <w:p>
      <w:pPr>
        <w:spacing w:line="240" w:lineRule="auto" w:before="12"/>
        <w:rPr>
          <w:rFonts w:ascii="宋体" w:hAnsi="宋体" w:cs="宋体" w:eastAsia="宋体" w:hint="default"/>
          <w:sz w:val="17"/>
          <w:szCs w:val="17"/>
        </w:rPr>
      </w:pPr>
    </w:p>
    <w:p>
      <w:pPr>
        <w:pStyle w:val="BodyText"/>
        <w:spacing w:line="240" w:lineRule="auto"/>
        <w:ind w:left="513" w:right="0"/>
        <w:jc w:val="left"/>
      </w:pPr>
      <w:r>
        <w:rPr/>
        <w:t>各项应纳税暂时性差异均确认相关的递延所得税负债，除非该应纳税暂时性差异是在以下交易中产生的：</w:t>
      </w:r>
    </w:p>
    <w:p>
      <w:pPr>
        <w:spacing w:line="240" w:lineRule="auto" w:before="5"/>
        <w:rPr>
          <w:rFonts w:ascii="宋体" w:hAnsi="宋体" w:cs="宋体" w:eastAsia="宋体" w:hint="default"/>
          <w:sz w:val="22"/>
          <w:szCs w:val="22"/>
        </w:rPr>
      </w:pPr>
    </w:p>
    <w:p>
      <w:pPr>
        <w:pStyle w:val="BodyText"/>
        <w:spacing w:line="302" w:lineRule="auto"/>
        <w:ind w:left="153" w:right="1128" w:firstLine="360"/>
        <w:jc w:val="both"/>
      </w:pPr>
      <w:r>
        <w:rPr/>
        <w:t>（</w:t>
      </w:r>
      <w:r>
        <w:rPr>
          <w:rFonts w:ascii="Arial" w:hAnsi="Arial" w:cs="Arial" w:eastAsia="Arial" w:hint="default"/>
        </w:rPr>
        <w:t>1</w:t>
      </w:r>
      <w:r>
        <w:rPr/>
        <w:t>）商誉的初始确认，或者具有以下特征的交易中产生的资产或负债的初始确认：该交易不是企业合并，并且交易发 生时既不影响会计利润也不影响应纳税所得额；</w:t>
      </w:r>
    </w:p>
    <w:p>
      <w:pPr>
        <w:spacing w:line="240" w:lineRule="auto" w:before="10"/>
        <w:rPr>
          <w:rFonts w:ascii="宋体" w:hAnsi="宋体" w:cs="宋体" w:eastAsia="宋体" w:hint="default"/>
          <w:sz w:val="18"/>
          <w:szCs w:val="18"/>
        </w:rPr>
      </w:pPr>
    </w:p>
    <w:p>
      <w:pPr>
        <w:pStyle w:val="BodyText"/>
        <w:spacing w:line="302" w:lineRule="auto"/>
        <w:ind w:left="153" w:right="1131" w:firstLine="360"/>
        <w:jc w:val="both"/>
      </w:pPr>
      <w:r>
        <w:rPr/>
        <w:t>（</w:t>
      </w:r>
      <w:r>
        <w:rPr>
          <w:rFonts w:ascii="Arial" w:hAnsi="Arial" w:cs="Arial" w:eastAsia="Arial" w:hint="default"/>
        </w:rPr>
        <w:t>2</w:t>
      </w:r>
      <w:r>
        <w:rPr/>
        <w:t>）对于与子公司、合营企业及联营企业投资相关的应纳税暂时性差异，该暂时性差异转回的时间能够控制并且该暂 时性差异在可预见的未来很可能不会转回。</w:t>
      </w:r>
    </w:p>
    <w:p>
      <w:pPr>
        <w:spacing w:line="240" w:lineRule="auto" w:before="10"/>
        <w:rPr>
          <w:rFonts w:ascii="宋体" w:hAnsi="宋体" w:cs="宋体" w:eastAsia="宋体" w:hint="default"/>
          <w:sz w:val="18"/>
          <w:szCs w:val="18"/>
        </w:rPr>
      </w:pPr>
    </w:p>
    <w:p>
      <w:pPr>
        <w:pStyle w:val="BodyText"/>
        <w:spacing w:line="316" w:lineRule="auto"/>
        <w:ind w:left="153" w:right="1030" w:firstLine="360"/>
        <w:jc w:val="left"/>
      </w:pPr>
      <w:r>
        <w:rPr>
          <w:spacing w:val="-4"/>
        </w:rPr>
        <w:t>对于可抵扣暂时性差异、能够结转以后年度的可抵扣亏损和税款抵减，本集团以很可能取得用来抵扣可抵扣暂时性差异、</w:t>
      </w:r>
      <w:r>
        <w:rPr/>
        <w:t> </w:t>
      </w:r>
      <w:r>
        <w:rPr>
          <w:spacing w:val="-2"/>
        </w:rPr>
        <w:t>可抵扣亏损和税款抵减的未来应纳税所得额为限，确认由此产生的递延所得税资产，除非该可抵扣暂时性差异是在以下交易</w:t>
      </w:r>
      <w:r>
        <w:rPr>
          <w:spacing w:val="-64"/>
        </w:rPr>
        <w:t> </w:t>
      </w:r>
      <w:r>
        <w:rPr>
          <w:spacing w:val="-64"/>
        </w:rPr>
      </w:r>
      <w:r>
        <w:rPr/>
        <w:t>中产生的：</w:t>
      </w:r>
    </w:p>
    <w:p>
      <w:pPr>
        <w:spacing w:line="240" w:lineRule="auto" w:before="12"/>
        <w:rPr>
          <w:rFonts w:ascii="宋体" w:hAnsi="宋体" w:cs="宋体" w:eastAsia="宋体" w:hint="default"/>
          <w:sz w:val="17"/>
          <w:szCs w:val="17"/>
        </w:rPr>
      </w:pPr>
    </w:p>
    <w:p>
      <w:pPr>
        <w:pStyle w:val="BodyText"/>
        <w:spacing w:line="240" w:lineRule="auto"/>
        <w:ind w:left="513" w:right="2239"/>
        <w:jc w:val="left"/>
      </w:pPr>
      <w:r>
        <w:rPr/>
        <w:t>（</w:t>
      </w:r>
      <w:r>
        <w:rPr>
          <w:rFonts w:ascii="Arial" w:hAnsi="Arial" w:cs="Arial" w:eastAsia="Arial" w:hint="default"/>
        </w:rPr>
        <w:t>1</w:t>
      </w:r>
      <w:r>
        <w:rPr/>
        <w:t>）该交易不是企业合并，并且交易发生时既不影响会计利润也不影响应纳税所得额；</w:t>
      </w:r>
    </w:p>
    <w:p>
      <w:pPr>
        <w:spacing w:line="240" w:lineRule="auto" w:before="5"/>
        <w:rPr>
          <w:rFonts w:ascii="宋体" w:hAnsi="宋体" w:cs="宋体" w:eastAsia="宋体" w:hint="default"/>
          <w:sz w:val="21"/>
          <w:szCs w:val="21"/>
        </w:rPr>
      </w:pPr>
    </w:p>
    <w:p>
      <w:pPr>
        <w:pStyle w:val="BodyText"/>
        <w:spacing w:line="302" w:lineRule="auto"/>
        <w:ind w:left="153" w:right="1128" w:firstLine="360"/>
        <w:jc w:val="both"/>
      </w:pPr>
      <w:r>
        <w:rPr/>
        <w:t>（</w:t>
      </w:r>
      <w:r>
        <w:rPr>
          <w:rFonts w:ascii="Arial" w:hAnsi="Arial" w:cs="Arial" w:eastAsia="Arial" w:hint="default"/>
        </w:rPr>
        <w:t>2</w:t>
      </w:r>
      <w:r>
        <w:rPr/>
        <w:t>）对于与子公司、合营企业及联营企业投资相关的可抵扣暂时性差异，同时满足下列条件的，确认相应的递延所得 税资产：暂时性差异在可预见的未来很可能转回，且未来很可能获得用来抵扣可抵扣暂时性差异的应纳税所得额。</w:t>
      </w:r>
    </w:p>
    <w:p>
      <w:pPr>
        <w:spacing w:line="240" w:lineRule="auto" w:before="10"/>
        <w:rPr>
          <w:rFonts w:ascii="宋体" w:hAnsi="宋体" w:cs="宋体" w:eastAsia="宋体" w:hint="default"/>
          <w:sz w:val="18"/>
          <w:szCs w:val="18"/>
        </w:rPr>
      </w:pPr>
    </w:p>
    <w:p>
      <w:pPr>
        <w:pStyle w:val="BodyText"/>
        <w:spacing w:line="316" w:lineRule="auto"/>
        <w:ind w:left="153" w:right="1041" w:firstLine="360"/>
        <w:jc w:val="both"/>
      </w:pPr>
      <w:r>
        <w:rPr>
          <w:spacing w:val="-4"/>
        </w:rPr>
        <w:t>于资产负债表日，本集团对递延所得税资产和递延所得税负债，按照预期收回该资产或清偿该负债期间的适用税率计量，</w:t>
      </w:r>
      <w:r>
        <w:rPr/>
        <w:t> 并反映资产负债表日预期收回资产或清偿负债方式的所得税影响。</w:t>
      </w:r>
    </w:p>
    <w:p>
      <w:pPr>
        <w:spacing w:line="240" w:lineRule="auto" w:before="12"/>
        <w:rPr>
          <w:rFonts w:ascii="宋体" w:hAnsi="宋体" w:cs="宋体" w:eastAsia="宋体" w:hint="default"/>
          <w:sz w:val="17"/>
          <w:szCs w:val="17"/>
        </w:rPr>
      </w:pPr>
    </w:p>
    <w:p>
      <w:pPr>
        <w:pStyle w:val="BodyText"/>
        <w:spacing w:line="316" w:lineRule="auto"/>
        <w:ind w:left="153" w:right="1130" w:firstLine="360"/>
        <w:jc w:val="both"/>
      </w:pPr>
      <w:r>
        <w:rPr>
          <w:spacing w:val="-2"/>
        </w:rPr>
        <w:t>于资产负债表日，本集团对递延所得税资产的账面价值进行复核。如果未来期间很可能无法获得足够的应纳税所得额用</w:t>
      </w:r>
      <w:r>
        <w:rPr/>
        <w:t> </w:t>
      </w:r>
      <w:r>
        <w:rPr>
          <w:spacing w:val="-2"/>
        </w:rPr>
        <w:t>以抵扣递延所得税资产的利益，减记递延所得税资产的账面价值。在很可能获得足够的应纳税所得额时，减记的金额予以转</w:t>
      </w:r>
      <w:r>
        <w:rPr>
          <w:spacing w:val="-66"/>
        </w:rPr>
        <w:t> </w:t>
      </w:r>
      <w:r>
        <w:rPr>
          <w:spacing w:val="-66"/>
        </w:rPr>
      </w:r>
      <w:r>
        <w:rPr/>
        <w:t>回。</w:t>
      </w:r>
    </w:p>
    <w:p>
      <w:pPr>
        <w:spacing w:line="240" w:lineRule="auto" w:before="7"/>
        <w:rPr>
          <w:rFonts w:ascii="宋体" w:hAnsi="宋体" w:cs="宋体" w:eastAsia="宋体" w:hint="default"/>
          <w:sz w:val="22"/>
          <w:szCs w:val="22"/>
        </w:rPr>
      </w:pPr>
    </w:p>
    <w:p>
      <w:pPr>
        <w:pStyle w:val="Heading4"/>
        <w:spacing w:line="240" w:lineRule="auto"/>
        <w:ind w:right="2239"/>
        <w:jc w:val="left"/>
        <w:rPr>
          <w:b w:val="0"/>
          <w:bCs w:val="0"/>
        </w:rPr>
      </w:pPr>
      <w:r>
        <w:rPr>
          <w:rFonts w:ascii="Arial" w:hAnsi="Arial" w:cs="Arial" w:eastAsia="Arial" w:hint="default"/>
        </w:rPr>
        <w:t>42</w:t>
      </w:r>
      <w:r>
        <w:rPr/>
        <w:t>、租赁</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t>（</w:t>
      </w:r>
      <w:r>
        <w:rPr>
          <w:rFonts w:ascii="Arial" w:hAnsi="Arial" w:cs="Arial" w:eastAsia="Arial" w:hint="default"/>
        </w:rPr>
        <w:t>1</w:t>
      </w:r>
      <w:r>
        <w:rPr/>
        <w:t>）经营租赁的会计处理方法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153" w:right="1131" w:firstLine="360"/>
        <w:jc w:val="both"/>
      </w:pPr>
      <w:r>
        <w:rPr>
          <w:spacing w:val="-2"/>
        </w:rPr>
        <w:t>本集团将实质上转移了与资产所有权有关的全部风险和报酬的租赁确认为融资租赁，除融资租赁之外的其他租赁确认为</w:t>
      </w:r>
      <w:r>
        <w:rPr/>
        <w:t> 经营租赁。</w:t>
      </w:r>
    </w:p>
    <w:p>
      <w:pPr>
        <w:spacing w:after="0" w:line="316" w:lineRule="auto"/>
        <w:jc w:val="both"/>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513" w:right="2239"/>
        <w:jc w:val="left"/>
      </w:pPr>
      <w:r>
        <w:rPr/>
        <w:t>报告期内，本集团仅涉及经营租赁。</w:t>
      </w:r>
    </w:p>
    <w:p>
      <w:pPr>
        <w:spacing w:line="240" w:lineRule="auto" w:before="5"/>
        <w:rPr>
          <w:rFonts w:ascii="宋体" w:hAnsi="宋体" w:cs="宋体" w:eastAsia="宋体" w:hint="default"/>
          <w:sz w:val="22"/>
          <w:szCs w:val="22"/>
        </w:rPr>
      </w:pPr>
    </w:p>
    <w:p>
      <w:pPr>
        <w:pStyle w:val="BodyText"/>
        <w:spacing w:line="537" w:lineRule="auto"/>
        <w:ind w:left="513" w:right="1391"/>
        <w:jc w:val="left"/>
      </w:pPr>
      <w:r>
        <w:rPr/>
        <w:t>①本集团作为出租人 经营租赁中的租金，本集团在租赁期内各个期间按照直线法确认当期损益。发生的初始直接费用，计入当期损益。</w:t>
      </w:r>
    </w:p>
    <w:p>
      <w:pPr>
        <w:pStyle w:val="BodyText"/>
        <w:spacing w:line="240" w:lineRule="auto" w:before="69"/>
        <w:ind w:left="513" w:right="2239"/>
        <w:jc w:val="left"/>
      </w:pPr>
      <w:r>
        <w:rPr/>
        <w:t>②本集团作为承租人</w:t>
      </w:r>
    </w:p>
    <w:p>
      <w:pPr>
        <w:spacing w:line="240" w:lineRule="auto" w:before="5"/>
        <w:rPr>
          <w:rFonts w:ascii="宋体" w:hAnsi="宋体" w:cs="宋体" w:eastAsia="宋体" w:hint="default"/>
          <w:sz w:val="22"/>
          <w:szCs w:val="22"/>
        </w:rPr>
      </w:pPr>
    </w:p>
    <w:p>
      <w:pPr>
        <w:pStyle w:val="BodyText"/>
        <w:spacing w:line="316" w:lineRule="auto"/>
        <w:ind w:left="153" w:right="1131" w:firstLine="360"/>
        <w:jc w:val="both"/>
      </w:pPr>
      <w:r>
        <w:rPr>
          <w:spacing w:val="-2"/>
        </w:rPr>
        <w:t>经营租赁中的租金，本集团在租赁期内各个期间按照直线法计入相关资产成本或当期损益；发生的初始直接费用，计入</w:t>
      </w:r>
      <w:r>
        <w:rPr/>
        <w:t> 当期损益。</w:t>
      </w:r>
    </w:p>
    <w:p>
      <w:pPr>
        <w:spacing w:line="240" w:lineRule="auto" w:before="7"/>
        <w:rPr>
          <w:rFonts w:ascii="宋体" w:hAnsi="宋体" w:cs="宋体" w:eastAsia="宋体" w:hint="default"/>
          <w:sz w:val="22"/>
          <w:szCs w:val="22"/>
        </w:rPr>
      </w:pPr>
    </w:p>
    <w:p>
      <w:pPr>
        <w:pStyle w:val="Heading4"/>
        <w:spacing w:line="240" w:lineRule="auto"/>
        <w:ind w:right="0"/>
        <w:jc w:val="both"/>
        <w:rPr>
          <w:b w:val="0"/>
          <w:bCs w:val="0"/>
        </w:rPr>
      </w:pPr>
      <w:r>
        <w:rPr/>
        <w:t>（</w:t>
      </w:r>
      <w:r>
        <w:rPr>
          <w:rFonts w:ascii="Arial" w:hAnsi="Arial" w:cs="Arial" w:eastAsia="Arial" w:hint="default"/>
        </w:rPr>
        <w:t>2</w:t>
      </w:r>
      <w:r>
        <w:rPr/>
        <w:t>）融资租赁的会计处理方法</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12"/>
        <w:rPr>
          <w:rFonts w:ascii="宋体" w:hAnsi="宋体" w:cs="宋体" w:eastAsia="宋体" w:hint="default"/>
          <w:sz w:val="26"/>
          <w:szCs w:val="26"/>
        </w:rPr>
      </w:pPr>
    </w:p>
    <w:p>
      <w:pPr>
        <w:pStyle w:val="Heading4"/>
        <w:spacing w:line="240" w:lineRule="auto"/>
        <w:ind w:right="0"/>
        <w:jc w:val="both"/>
        <w:rPr>
          <w:b w:val="0"/>
          <w:bCs w:val="0"/>
        </w:rPr>
      </w:pPr>
      <w:r>
        <w:rPr>
          <w:rFonts w:ascii="Arial" w:hAnsi="Arial" w:cs="Arial" w:eastAsia="Arial" w:hint="default"/>
        </w:rPr>
        <w:t>43</w:t>
      </w:r>
      <w:r>
        <w:rPr/>
        <w:t>、其他重要的会计政策和会计估计</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048" w:firstLine="360"/>
        <w:jc w:val="both"/>
      </w:pPr>
      <w:r>
        <w:rPr/>
        <w:t>本集团根据历史经验和其它因素，包括对未来事项的合理预期，对所采用的重要会计估计和关键假设进行持续的评价。 很可能导致下一会计年度资产和负债的账面价值出现重大调整风险的重要会计估计和关键假设列示如下：</w:t>
      </w:r>
    </w:p>
    <w:p>
      <w:pPr>
        <w:spacing w:line="240" w:lineRule="auto" w:before="12"/>
        <w:rPr>
          <w:rFonts w:ascii="宋体" w:hAnsi="宋体" w:cs="宋体" w:eastAsia="宋体" w:hint="default"/>
          <w:sz w:val="17"/>
          <w:szCs w:val="17"/>
        </w:rPr>
      </w:pPr>
    </w:p>
    <w:p>
      <w:pPr>
        <w:pStyle w:val="BodyText"/>
        <w:spacing w:line="537" w:lineRule="auto"/>
        <w:ind w:left="513" w:right="3011"/>
        <w:jc w:val="left"/>
      </w:pPr>
      <w:r>
        <w:rPr/>
        <w:t>金融资产的分类 本集团在确定金融资产的分类时涉及的重大判断包括业务模式及合同现金流量特征的分析等。</w:t>
      </w:r>
    </w:p>
    <w:p>
      <w:pPr>
        <w:pStyle w:val="BodyText"/>
        <w:spacing w:line="316" w:lineRule="auto" w:before="69"/>
        <w:ind w:left="153" w:right="1131" w:firstLine="360"/>
        <w:jc w:val="both"/>
      </w:pPr>
      <w:r>
        <w:rPr>
          <w:spacing w:val="-2"/>
        </w:rPr>
        <w:t>本集团在金融资产组合的层次上确定管理金融资产的业务模式，考虑的因素包括评价和向关键管理人员报告金融资产业</w:t>
      </w:r>
      <w:r>
        <w:rPr/>
        <w:t> 绩的方式、影响金融资产业绩的风险及其管理方式、以及相关业务管理人员获得报酬的方式等。</w:t>
      </w:r>
    </w:p>
    <w:p>
      <w:pPr>
        <w:spacing w:line="240" w:lineRule="auto" w:before="12"/>
        <w:rPr>
          <w:rFonts w:ascii="宋体" w:hAnsi="宋体" w:cs="宋体" w:eastAsia="宋体" w:hint="default"/>
          <w:sz w:val="17"/>
          <w:szCs w:val="17"/>
        </w:rPr>
      </w:pPr>
    </w:p>
    <w:p>
      <w:pPr>
        <w:pStyle w:val="BodyText"/>
        <w:spacing w:line="316" w:lineRule="auto"/>
        <w:ind w:left="153" w:right="1130" w:firstLine="360"/>
        <w:jc w:val="both"/>
      </w:pPr>
      <w:r>
        <w:rPr>
          <w:spacing w:val="-2"/>
        </w:rPr>
        <w:t>本集团在评估金融资产的合同现金流量是否与基本借贷安排相一致时，存在以下主要判断：本金是否可能因提前还款等</w:t>
      </w:r>
      <w:r>
        <w:rPr/>
        <w:t> </w:t>
      </w:r>
      <w:r>
        <w:rPr>
          <w:spacing w:val="-2"/>
        </w:rPr>
        <w:t>原因导致在存续期内的时间分布或者金额发生变动；利息是否仅包括货币时间价值、信用风险、其他基本借贷风险以及与成</w:t>
      </w:r>
      <w:r>
        <w:rPr>
          <w:spacing w:val="-66"/>
        </w:rPr>
        <w:t> </w:t>
      </w:r>
      <w:r>
        <w:rPr>
          <w:spacing w:val="-66"/>
        </w:rPr>
      </w:r>
      <w:r>
        <w:rPr>
          <w:spacing w:val="-2"/>
        </w:rPr>
        <w:t>本和利润的对价。例如，提前偿付的金额是否仅反映了尚未支付的本金及以未偿付本金为基础的利息，以及因提前终止合同</w:t>
      </w:r>
      <w:r>
        <w:rPr>
          <w:spacing w:val="-66"/>
        </w:rPr>
        <w:t> </w:t>
      </w:r>
      <w:r>
        <w:rPr>
          <w:spacing w:val="-66"/>
        </w:rPr>
      </w:r>
      <w:r>
        <w:rPr/>
        <w:t>而支付的合理补偿。</w:t>
      </w:r>
    </w:p>
    <w:p>
      <w:pPr>
        <w:pStyle w:val="BodyText"/>
        <w:spacing w:line="528" w:lineRule="exact" w:before="22"/>
        <w:ind w:left="513" w:right="0"/>
        <w:jc w:val="left"/>
      </w:pPr>
      <w:r>
        <w:rPr/>
        <w:t>应收账款预期信用损失的计量 </w:t>
      </w:r>
      <w:r>
        <w:rPr>
          <w:spacing w:val="-2"/>
        </w:rPr>
        <w:t>本集团通过应收账款违约风险敞口和预期信用损失率计算应收账款预期信用损失，并基于违约概率和违约损失率确定预</w:t>
      </w:r>
    </w:p>
    <w:p>
      <w:pPr>
        <w:pStyle w:val="BodyText"/>
        <w:spacing w:line="316" w:lineRule="auto"/>
        <w:ind w:left="153" w:right="1129"/>
        <w:jc w:val="both"/>
      </w:pPr>
      <w:r>
        <w:rPr>
          <w:spacing w:val="-2"/>
        </w:rPr>
        <w:t>期信用损失率。在确定预期信用损失率时，本集团使用内部历史信用损失经验等数据，并结合当前状况和前瞻性信息对历史</w:t>
      </w:r>
      <w:r>
        <w:rPr>
          <w:spacing w:val="-66"/>
        </w:rPr>
        <w:t> </w:t>
      </w:r>
      <w:r>
        <w:rPr>
          <w:spacing w:val="-66"/>
        </w:rPr>
      </w:r>
      <w:r>
        <w:rPr>
          <w:spacing w:val="-2"/>
        </w:rPr>
        <w:t>数据进行调整。在考虑前瞻性信息时，本集团使用的指标包括经济下滑的风险、外部市场环境、技术环境和客户情况的变化</w:t>
      </w:r>
      <w:r>
        <w:rPr>
          <w:spacing w:val="-66"/>
        </w:rPr>
        <w:t> </w:t>
      </w:r>
      <w:r>
        <w:rPr>
          <w:spacing w:val="-66"/>
        </w:rPr>
      </w:r>
      <w:r>
        <w:rPr/>
        <w:t>等。本集团定期监控并复核与预期信用损失计算相关的假设。</w:t>
      </w:r>
    </w:p>
    <w:p>
      <w:pPr>
        <w:pStyle w:val="BodyText"/>
        <w:spacing w:line="528" w:lineRule="exact" w:before="22"/>
        <w:ind w:left="513" w:right="1030"/>
        <w:jc w:val="left"/>
      </w:pPr>
      <w:r>
        <w:rPr/>
        <w:t>开发支出 确定资本化的金额时，管理层必须做出有关资产的预期未来现金的产生、应采用的折现率以及预计受益期间的假设。 递延所得税资产 </w:t>
      </w:r>
      <w:r>
        <w:rPr>
          <w:spacing w:val="-2"/>
        </w:rPr>
        <w:t>在很有可能有足够的应纳税利润来抵扣亏损的限度内，应就所有未利用的税务亏损确认递延所得税资产。这需要管理层</w:t>
      </w:r>
    </w:p>
    <w:p>
      <w:pPr>
        <w:pStyle w:val="BodyText"/>
        <w:spacing w:line="537" w:lineRule="auto"/>
        <w:ind w:left="514" w:right="1210" w:hanging="360"/>
        <w:jc w:val="left"/>
      </w:pPr>
      <w:r>
        <w:rPr/>
        <w:t>运用大量的判断来估计未来应纳税利润发生的时间和金额，结合纳税筹划策略，以决定应确认的递延所得税资产的金额。 未上市权益投资的公允价值确定</w:t>
      </w:r>
    </w:p>
    <w:p>
      <w:pPr>
        <w:spacing w:after="0" w:line="537"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3" w:right="1131" w:firstLine="360"/>
        <w:jc w:val="both"/>
      </w:pPr>
      <w:r>
        <w:rPr>
          <w:spacing w:val="-2"/>
        </w:rPr>
        <w:t>未上市的权益投资的公允价值是根据具有类似条款和风险特征的项目当前折现率折现的预计未来现金流量。这种估价要</w:t>
      </w:r>
      <w:r>
        <w:rPr/>
        <w:t> </w:t>
      </w:r>
      <w:r>
        <w:rPr>
          <w:spacing w:val="-2"/>
        </w:rPr>
        <w:t>求本集团估计预期未来现金流量和折现率，因此具有不确定性。在有限情况下，如果用以确定公允价值的信息不足，或者公</w:t>
      </w:r>
      <w:r>
        <w:rPr>
          <w:spacing w:val="-66"/>
        </w:rPr>
        <w:t> </w:t>
      </w:r>
      <w:r>
        <w:rPr>
          <w:spacing w:val="-66"/>
        </w:rPr>
      </w:r>
      <w:r>
        <w:rPr>
          <w:spacing w:val="-2"/>
        </w:rPr>
        <w:t>允价值的可能估计金额分布范围很广，而成本代表了该范围内对公允价值的最佳估计的，该成本可代表其在该分布范围内对</w:t>
      </w:r>
      <w:r>
        <w:rPr>
          <w:spacing w:val="-64"/>
        </w:rPr>
        <w:t> </w:t>
      </w:r>
      <w:r>
        <w:rPr>
          <w:spacing w:val="-64"/>
        </w:rPr>
      </w:r>
      <w:r>
        <w:rPr/>
        <w:t>公允价值的恰当估计。</w:t>
      </w:r>
    </w:p>
    <w:p>
      <w:pPr>
        <w:spacing w:line="240" w:lineRule="auto" w:before="7"/>
        <w:rPr>
          <w:rFonts w:ascii="宋体" w:hAnsi="宋体" w:cs="宋体" w:eastAsia="宋体" w:hint="default"/>
          <w:sz w:val="22"/>
          <w:szCs w:val="22"/>
        </w:rPr>
      </w:pPr>
    </w:p>
    <w:p>
      <w:pPr>
        <w:pStyle w:val="Heading4"/>
        <w:spacing w:line="240" w:lineRule="auto"/>
        <w:ind w:right="2239"/>
        <w:jc w:val="left"/>
        <w:rPr>
          <w:b w:val="0"/>
          <w:bCs w:val="0"/>
        </w:rPr>
      </w:pPr>
      <w:r>
        <w:rPr>
          <w:rFonts w:ascii="Arial" w:hAnsi="Arial" w:cs="Arial" w:eastAsia="Arial" w:hint="default"/>
        </w:rPr>
        <w:t>44</w:t>
      </w:r>
      <w:r>
        <w:rPr/>
        <w:t>、重要会计政策和会计估计变更</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2239"/>
        <w:jc w:val="left"/>
        <w:rPr>
          <w:b w:val="0"/>
          <w:bCs w:val="0"/>
        </w:rPr>
      </w:pPr>
      <w:r>
        <w:rPr/>
        <w:t>（</w:t>
      </w:r>
      <w:r>
        <w:rPr>
          <w:rFonts w:ascii="Arial" w:hAnsi="Arial" w:cs="Arial" w:eastAsia="Arial" w:hint="default"/>
        </w:rPr>
        <w:t>1</w:t>
      </w:r>
      <w:r>
        <w:rPr/>
        <w:t>）重要会计政策变更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0"/>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396"/>
        <w:gridCol w:w="3118"/>
        <w:gridCol w:w="2056"/>
      </w:tblGrid>
      <w:tr>
        <w:trPr>
          <w:trHeight w:val="401" w:hRule="exact"/>
        </w:trPr>
        <w:tc>
          <w:tcPr>
            <w:tcW w:w="43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12" w:right="0"/>
              <w:jc w:val="left"/>
              <w:rPr>
                <w:rFonts w:ascii="宋体" w:hAnsi="宋体" w:cs="宋体" w:eastAsia="宋体" w:hint="default"/>
                <w:sz w:val="18"/>
                <w:szCs w:val="18"/>
              </w:rPr>
            </w:pPr>
            <w:r>
              <w:rPr>
                <w:rFonts w:ascii="宋体" w:hAnsi="宋体" w:cs="宋体" w:eastAsia="宋体" w:hint="default"/>
                <w:sz w:val="18"/>
                <w:szCs w:val="18"/>
              </w:rPr>
              <w:t>会计政策变更的内容和原因</w:t>
            </w:r>
          </w:p>
        </w:tc>
        <w:tc>
          <w:tcPr>
            <w:tcW w:w="31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20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63" w:hRule="exact"/>
        </w:trPr>
        <w:tc>
          <w:tcPr>
            <w:tcW w:w="4396"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2"/>
              <w:ind w:left="22" w:right="0"/>
              <w:jc w:val="left"/>
              <w:rPr>
                <w:rFonts w:ascii="Arial" w:hAnsi="Arial" w:cs="Arial" w:eastAsia="Arial" w:hint="default"/>
                <w:sz w:val="18"/>
                <w:szCs w:val="18"/>
              </w:rPr>
            </w:pPr>
            <w:r>
              <w:rPr>
                <w:rFonts w:ascii="Arial" w:hAnsi="Arial" w:cs="Arial" w:eastAsia="Arial" w:hint="default"/>
                <w:spacing w:val="-12"/>
                <w:sz w:val="18"/>
                <w:szCs w:val="18"/>
              </w:rPr>
              <w:t>1</w:t>
            </w:r>
            <w:r>
              <w:rPr>
                <w:rFonts w:ascii="宋体" w:hAnsi="宋体" w:cs="宋体" w:eastAsia="宋体" w:hint="default"/>
                <w:spacing w:val="-12"/>
                <w:sz w:val="18"/>
                <w:szCs w:val="18"/>
              </w:rPr>
              <w:t>、财政部于</w:t>
            </w:r>
            <w:r>
              <w:rPr>
                <w:rFonts w:ascii="宋体" w:hAnsi="宋体" w:cs="宋体" w:eastAsia="宋体" w:hint="default"/>
                <w:spacing w:val="-46"/>
                <w:sz w:val="18"/>
                <w:szCs w:val="18"/>
              </w:rPr>
              <w:t> </w:t>
            </w:r>
            <w:r>
              <w:rPr>
                <w:rFonts w:ascii="Arial" w:hAnsi="Arial" w:cs="Arial" w:eastAsia="Arial" w:hint="default"/>
                <w:sz w:val="18"/>
                <w:szCs w:val="18"/>
              </w:rPr>
              <w:t>2017</w:t>
            </w:r>
            <w:r>
              <w:rPr>
                <w:rFonts w:ascii="Arial" w:hAnsi="Arial" w:cs="Arial" w:eastAsia="Arial" w:hint="default"/>
                <w:spacing w:val="-7"/>
                <w:sz w:val="18"/>
                <w:szCs w:val="18"/>
              </w:rPr>
              <w:t> </w:t>
            </w:r>
            <w:r>
              <w:rPr>
                <w:rFonts w:ascii="宋体" w:hAnsi="宋体" w:cs="宋体" w:eastAsia="宋体" w:hint="default"/>
                <w:spacing w:val="-6"/>
                <w:sz w:val="18"/>
                <w:szCs w:val="18"/>
              </w:rPr>
              <w:t>年颁布了《企业会计准则第</w:t>
            </w:r>
            <w:r>
              <w:rPr>
                <w:rFonts w:ascii="宋体" w:hAnsi="宋体" w:cs="宋体" w:eastAsia="宋体" w:hint="default"/>
                <w:spacing w:val="-46"/>
                <w:sz w:val="18"/>
                <w:szCs w:val="18"/>
              </w:rPr>
              <w:t> </w:t>
            </w:r>
            <w:r>
              <w:rPr>
                <w:rFonts w:ascii="Arial" w:hAnsi="Arial" w:cs="Arial" w:eastAsia="Arial" w:hint="default"/>
                <w:sz w:val="18"/>
                <w:szCs w:val="18"/>
              </w:rPr>
              <w:t>22</w:t>
            </w:r>
            <w:r>
              <w:rPr>
                <w:rFonts w:ascii="Arial" w:hAnsi="Arial" w:cs="Arial" w:eastAsia="Arial" w:hint="default"/>
                <w:spacing w:val="-7"/>
                <w:sz w:val="18"/>
                <w:szCs w:val="18"/>
              </w:rPr>
              <w:t> </w:t>
            </w:r>
            <w:r>
              <w:rPr>
                <w:rFonts w:ascii="宋体" w:hAnsi="宋体" w:cs="宋体" w:eastAsia="宋体" w:hint="default"/>
                <w:sz w:val="18"/>
                <w:szCs w:val="18"/>
              </w:rPr>
              <w:t>号</w:t>
            </w:r>
            <w:r>
              <w:rPr>
                <w:rFonts w:ascii="Arial" w:hAnsi="Arial" w:cs="Arial" w:eastAsia="Arial" w:hint="default"/>
                <w:sz w:val="18"/>
                <w:szCs w:val="18"/>
              </w:rPr>
              <w:t>——</w:t>
            </w:r>
          </w:p>
        </w:tc>
        <w:tc>
          <w:tcPr>
            <w:tcW w:w="3118" w:type="dxa"/>
            <w:tcBorders>
              <w:top w:val="single" w:sz="4" w:space="0" w:color="000000"/>
              <w:left w:val="single" w:sz="4" w:space="0" w:color="000000"/>
              <w:bottom w:val="nil" w:sz="6" w:space="0" w:color="auto"/>
              <w:right w:val="single" w:sz="4" w:space="0" w:color="000000"/>
            </w:tcBorders>
          </w:tcPr>
          <w:p>
            <w:pPr/>
          </w:p>
        </w:tc>
        <w:tc>
          <w:tcPr>
            <w:tcW w:w="2056" w:type="dxa"/>
            <w:vMerge w:val="restart"/>
            <w:tcBorders>
              <w:top w:val="single" w:sz="4" w:space="0" w:color="000000"/>
              <w:left w:val="single" w:sz="4" w:space="0" w:color="000000"/>
              <w:right w:val="single" w:sz="4" w:space="0" w:color="000000"/>
            </w:tcBorders>
          </w:tcPr>
          <w:p>
            <w:pPr/>
          </w:p>
        </w:tc>
      </w:tr>
      <w:tr>
        <w:trPr>
          <w:trHeight w:val="312" w:hRule="exact"/>
        </w:trPr>
        <w:tc>
          <w:tcPr>
            <w:tcW w:w="43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宋体" w:hAnsi="宋体" w:cs="宋体" w:eastAsia="宋体" w:hint="default"/>
                <w:sz w:val="18"/>
                <w:szCs w:val="18"/>
              </w:rPr>
            </w:pPr>
            <w:r>
              <w:rPr>
                <w:rFonts w:ascii="宋体" w:hAnsi="宋体" w:cs="宋体" w:eastAsia="宋体" w:hint="default"/>
                <w:sz w:val="18"/>
                <w:szCs w:val="18"/>
              </w:rPr>
              <w:t>金融工具确认和计</w:t>
            </w:r>
            <w:r>
              <w:rPr>
                <w:rFonts w:ascii="宋体" w:hAnsi="宋体" w:cs="宋体" w:eastAsia="宋体" w:hint="default"/>
                <w:spacing w:val="-2"/>
                <w:sz w:val="18"/>
                <w:szCs w:val="18"/>
              </w:rPr>
              <w:t>量</w:t>
            </w:r>
            <w:r>
              <w:rPr>
                <w:rFonts w:ascii="宋体" w:hAnsi="宋体" w:cs="宋体" w:eastAsia="宋体" w:hint="default"/>
                <w:sz w:val="18"/>
                <w:szCs w:val="18"/>
              </w:rPr>
              <w:t>（修订</w:t>
            </w:r>
            <w:r>
              <w:rPr>
                <w:rFonts w:ascii="宋体" w:hAnsi="宋体" w:cs="宋体" w:eastAsia="宋体" w:hint="default"/>
                <w:spacing w:val="-90"/>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Arial" w:hAnsi="Arial" w:cs="Arial" w:eastAsia="Arial" w:hint="default"/>
                <w:sz w:val="18"/>
                <w:szCs w:val="18"/>
              </w:rPr>
              <w:t>23</w:t>
            </w:r>
            <w:r>
              <w:rPr>
                <w:rFonts w:ascii="Arial" w:hAnsi="Arial" w:cs="Arial" w:eastAsia="Arial" w:hint="default"/>
                <w:spacing w:val="-7"/>
                <w:sz w:val="18"/>
                <w:szCs w:val="18"/>
              </w:rPr>
              <w:t> </w:t>
            </w:r>
            <w:r>
              <w:rPr>
                <w:rFonts w:ascii="宋体" w:hAnsi="宋体" w:cs="宋体" w:eastAsia="宋体" w:hint="default"/>
                <w:sz w:val="18"/>
                <w:szCs w:val="18"/>
              </w:rPr>
              <w:t>号</w:t>
            </w: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w:hAnsi="Arial" w:cs="Arial" w:eastAsia="Arial" w:hint="default"/>
                <w:sz w:val="18"/>
                <w:szCs w:val="18"/>
              </w:rPr>
              <w:t>8</w:t>
            </w:r>
            <w:r>
              <w:rPr>
                <w:rFonts w:ascii="Arial" w:hAnsi="Arial" w:cs="Arial" w:eastAsia="Arial"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w:hAnsi="Arial" w:cs="Arial" w:eastAsia="Arial" w:hint="default"/>
                <w:sz w:val="18"/>
                <w:szCs w:val="18"/>
              </w:rPr>
              <w:t>22</w:t>
            </w:r>
            <w:r>
              <w:rPr>
                <w:rFonts w:ascii="Arial" w:hAnsi="Arial" w:cs="Arial" w:eastAsia="Arial" w:hint="default"/>
                <w:spacing w:val="-11"/>
                <w:sz w:val="18"/>
                <w:szCs w:val="18"/>
              </w:rPr>
              <w:t> </w:t>
            </w:r>
            <w:r>
              <w:rPr>
                <w:rFonts w:ascii="宋体" w:hAnsi="宋体" w:cs="宋体" w:eastAsia="宋体" w:hint="default"/>
                <w:sz w:val="18"/>
                <w:szCs w:val="18"/>
              </w:rPr>
              <w:t>日召开的第四届董事会</w:t>
            </w:r>
          </w:p>
        </w:tc>
        <w:tc>
          <w:tcPr>
            <w:tcW w:w="2056" w:type="dxa"/>
            <w:vMerge/>
            <w:tcBorders>
              <w:left w:val="single" w:sz="4" w:space="0" w:color="000000"/>
              <w:right w:val="single" w:sz="4" w:space="0" w:color="000000"/>
            </w:tcBorders>
          </w:tcPr>
          <w:p>
            <w:pPr/>
          </w:p>
        </w:tc>
      </w:tr>
      <w:tr>
        <w:trPr>
          <w:trHeight w:val="311" w:hRule="exact"/>
        </w:trPr>
        <w:tc>
          <w:tcPr>
            <w:tcW w:w="4396"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金融资产转</w:t>
            </w:r>
            <w:r>
              <w:rPr>
                <w:rFonts w:ascii="宋体" w:hAnsi="宋体" w:cs="宋体" w:eastAsia="宋体" w:hint="default"/>
                <w:spacing w:val="-90"/>
                <w:sz w:val="18"/>
                <w:szCs w:val="18"/>
              </w:rPr>
              <w:t>移</w:t>
            </w:r>
            <w:r>
              <w:rPr>
                <w:rFonts w:ascii="宋体" w:hAnsi="宋体" w:cs="宋体" w:eastAsia="宋体" w:hint="default"/>
                <w:sz w:val="18"/>
                <w:szCs w:val="18"/>
              </w:rPr>
              <w:t>（修订</w:t>
            </w:r>
            <w:r>
              <w:rPr>
                <w:rFonts w:ascii="宋体" w:hAnsi="宋体" w:cs="宋体" w:eastAsia="宋体" w:hint="default"/>
                <w:spacing w:val="-90"/>
                <w:sz w:val="18"/>
                <w:szCs w:val="18"/>
              </w:rPr>
              <w:t>）》</w:t>
            </w:r>
            <w:r>
              <w:rPr>
                <w:rFonts w:ascii="宋体" w:hAnsi="宋体" w:cs="宋体" w:eastAsia="宋体" w:hint="default"/>
                <w:spacing w:val="-180"/>
                <w:sz w:val="18"/>
                <w:szCs w:val="18"/>
              </w:rPr>
              <w:t>、</w:t>
            </w:r>
            <w:r>
              <w:rPr>
                <w:rFonts w:ascii="宋体" w:hAnsi="宋体" w:cs="宋体" w:eastAsia="宋体" w:hint="default"/>
                <w:sz w:val="18"/>
                <w:szCs w:val="18"/>
              </w:rPr>
              <w:t>《企业会计准则第</w:t>
            </w:r>
            <w:r>
              <w:rPr>
                <w:rFonts w:ascii="宋体" w:hAnsi="宋体" w:cs="宋体" w:eastAsia="宋体" w:hint="default"/>
                <w:spacing w:val="-46"/>
                <w:sz w:val="18"/>
                <w:szCs w:val="18"/>
              </w:rPr>
              <w:t> </w:t>
            </w:r>
            <w:r>
              <w:rPr>
                <w:rFonts w:ascii="Arial" w:hAnsi="Arial" w:cs="Arial" w:eastAsia="Arial" w:hint="default"/>
                <w:spacing w:val="-1"/>
                <w:sz w:val="18"/>
                <w:szCs w:val="18"/>
              </w:rPr>
              <w:t>2</w:t>
            </w:r>
            <w:r>
              <w:rPr>
                <w:rFonts w:ascii="Arial" w:hAnsi="Arial" w:cs="Arial" w:eastAsia="Arial" w:hint="default"/>
                <w:sz w:val="18"/>
                <w:szCs w:val="18"/>
              </w:rPr>
              <w:t>4</w:t>
            </w:r>
            <w:r>
              <w:rPr>
                <w:rFonts w:ascii="Arial" w:hAnsi="Arial" w:cs="Arial" w:eastAsia="Arial" w:hint="default"/>
                <w:spacing w:val="-7"/>
                <w:sz w:val="18"/>
                <w:szCs w:val="18"/>
              </w:rPr>
              <w:t> </w:t>
            </w:r>
            <w:r>
              <w:rPr>
                <w:rFonts w:ascii="宋体" w:hAnsi="宋体" w:cs="宋体" w:eastAsia="宋体" w:hint="default"/>
                <w:sz w:val="18"/>
                <w:szCs w:val="18"/>
              </w:rPr>
              <w:t>号</w:t>
            </w:r>
            <w:r>
              <w:rPr>
                <w:rFonts w:ascii="Arial" w:hAnsi="Arial" w:cs="Arial" w:eastAsia="Arial" w:hint="default"/>
                <w:sz w:val="18"/>
                <w:szCs w:val="18"/>
              </w:rPr>
              <w:t>——</w:t>
            </w: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2" w:right="0"/>
              <w:jc w:val="left"/>
              <w:rPr>
                <w:rFonts w:ascii="Arial" w:hAnsi="Arial" w:cs="Arial" w:eastAsia="Arial" w:hint="default"/>
                <w:sz w:val="18"/>
                <w:szCs w:val="18"/>
              </w:rPr>
            </w:pPr>
            <w:r>
              <w:rPr>
                <w:rFonts w:ascii="宋体" w:hAnsi="宋体" w:cs="宋体" w:eastAsia="宋体" w:hint="default"/>
                <w:sz w:val="18"/>
                <w:szCs w:val="18"/>
              </w:rPr>
              <w:t>第十八次会议，批准自</w:t>
            </w:r>
            <w:r>
              <w:rPr>
                <w:rFonts w:ascii="宋体" w:hAnsi="宋体" w:cs="宋体" w:eastAsia="宋体" w:hint="default"/>
                <w:spacing w:val="-47"/>
                <w:sz w:val="18"/>
                <w:szCs w:val="18"/>
              </w:rPr>
              <w:t> </w:t>
            </w:r>
            <w:r>
              <w:rPr>
                <w:rFonts w:ascii="Arial" w:hAnsi="Arial" w:cs="Arial" w:eastAsia="Arial" w:hint="default"/>
                <w:sz w:val="18"/>
                <w:szCs w:val="18"/>
              </w:rPr>
              <w:t>2019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w:t>
            </w:r>
          </w:p>
        </w:tc>
        <w:tc>
          <w:tcPr>
            <w:tcW w:w="2056" w:type="dxa"/>
            <w:vMerge/>
            <w:tcBorders>
              <w:left w:val="single" w:sz="4" w:space="0" w:color="000000"/>
              <w:right w:val="single" w:sz="4" w:space="0" w:color="000000"/>
            </w:tcBorders>
          </w:tcPr>
          <w:p>
            <w:pPr/>
          </w:p>
        </w:tc>
      </w:tr>
      <w:tr>
        <w:trPr>
          <w:trHeight w:val="312" w:hRule="exact"/>
        </w:trPr>
        <w:tc>
          <w:tcPr>
            <w:tcW w:w="43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套期会计（修订</w:t>
            </w:r>
            <w:r>
              <w:rPr>
                <w:rFonts w:ascii="宋体" w:hAnsi="宋体" w:cs="宋体" w:eastAsia="宋体" w:hint="default"/>
                <w:spacing w:val="-90"/>
                <w:sz w:val="18"/>
                <w:szCs w:val="18"/>
              </w:rPr>
              <w:t>）</w:t>
            </w:r>
            <w:r>
              <w:rPr>
                <w:rFonts w:ascii="宋体" w:hAnsi="宋体" w:cs="宋体" w:eastAsia="宋体" w:hint="default"/>
                <w:sz w:val="18"/>
                <w:szCs w:val="18"/>
              </w:rPr>
              <w:t>》及《企</w:t>
            </w:r>
            <w:r>
              <w:rPr>
                <w:rFonts w:ascii="宋体" w:hAnsi="宋体" w:cs="宋体" w:eastAsia="宋体" w:hint="default"/>
                <w:spacing w:val="-2"/>
                <w:sz w:val="18"/>
                <w:szCs w:val="18"/>
              </w:rPr>
              <w:t>业</w:t>
            </w:r>
            <w:r>
              <w:rPr>
                <w:rFonts w:ascii="宋体" w:hAnsi="宋体" w:cs="宋体" w:eastAsia="宋体" w:hint="default"/>
                <w:sz w:val="18"/>
                <w:szCs w:val="18"/>
              </w:rPr>
              <w:t>会计准则第</w:t>
            </w:r>
            <w:r>
              <w:rPr>
                <w:rFonts w:ascii="宋体" w:hAnsi="宋体" w:cs="宋体" w:eastAsia="宋体" w:hint="default"/>
                <w:spacing w:val="-46"/>
                <w:sz w:val="18"/>
                <w:szCs w:val="18"/>
              </w:rPr>
              <w:t> </w:t>
            </w:r>
            <w:r>
              <w:rPr>
                <w:rFonts w:ascii="Arial" w:hAnsi="Arial" w:cs="Arial" w:eastAsia="Arial" w:hint="default"/>
                <w:sz w:val="18"/>
                <w:szCs w:val="18"/>
              </w:rPr>
              <w:t>37</w:t>
            </w:r>
            <w:r>
              <w:rPr>
                <w:rFonts w:ascii="Arial" w:hAnsi="Arial" w:cs="Arial" w:eastAsia="Arial" w:hint="default"/>
                <w:spacing w:val="-5"/>
                <w:sz w:val="18"/>
                <w:szCs w:val="18"/>
              </w:rPr>
              <w:t> </w:t>
            </w:r>
            <w:r>
              <w:rPr>
                <w:rFonts w:ascii="宋体" w:hAnsi="宋体" w:cs="宋体" w:eastAsia="宋体" w:hint="default"/>
                <w:sz w:val="18"/>
                <w:szCs w:val="18"/>
              </w:rPr>
              <w:t>号</w:t>
            </w:r>
            <w:r>
              <w:rPr>
                <w:rFonts w:ascii="Arial" w:hAnsi="Arial" w:cs="Arial" w:eastAsia="Arial" w:hint="default"/>
                <w:sz w:val="18"/>
                <w:szCs w:val="18"/>
              </w:rPr>
              <w:t>——</w:t>
            </w:r>
            <w:r>
              <w:rPr>
                <w:rFonts w:ascii="宋体" w:hAnsi="宋体" w:cs="宋体" w:eastAsia="宋体" w:hint="default"/>
                <w:sz w:val="18"/>
                <w:szCs w:val="18"/>
              </w:rPr>
              <w:t>金融</w:t>
            </w: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日起执行新金融工具准则，对会计政策</w:t>
            </w:r>
          </w:p>
        </w:tc>
        <w:tc>
          <w:tcPr>
            <w:tcW w:w="2056" w:type="dxa"/>
            <w:vMerge/>
            <w:tcBorders>
              <w:left w:val="single" w:sz="4" w:space="0" w:color="000000"/>
              <w:right w:val="single" w:sz="4" w:space="0" w:color="000000"/>
            </w:tcBorders>
          </w:tcPr>
          <w:p>
            <w:pPr/>
          </w:p>
        </w:tc>
      </w:tr>
      <w:tr>
        <w:trPr>
          <w:trHeight w:val="313" w:hRule="exact"/>
        </w:trPr>
        <w:tc>
          <w:tcPr>
            <w:tcW w:w="4396" w:type="dxa"/>
            <w:tcBorders>
              <w:top w:val="nil" w:sz="6" w:space="0" w:color="auto"/>
              <w:left w:val="single" w:sz="4" w:space="0" w:color="000000"/>
              <w:bottom w:val="nil" w:sz="6" w:space="0" w:color="auto"/>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工具列</w:t>
            </w:r>
            <w:r>
              <w:rPr>
                <w:rFonts w:ascii="宋体" w:hAnsi="宋体" w:cs="宋体" w:eastAsia="宋体" w:hint="default"/>
                <w:spacing w:val="-4"/>
                <w:sz w:val="18"/>
                <w:szCs w:val="18"/>
              </w:rPr>
              <w:t>报</w:t>
            </w:r>
            <w:r>
              <w:rPr>
                <w:rFonts w:ascii="宋体" w:hAnsi="宋体" w:cs="宋体" w:eastAsia="宋体" w:hint="default"/>
                <w:sz w:val="18"/>
                <w:szCs w:val="18"/>
              </w:rPr>
              <w:t>（修订</w:t>
            </w:r>
            <w:r>
              <w:rPr>
                <w:rFonts w:ascii="宋体" w:hAnsi="宋体" w:cs="宋体" w:eastAsia="宋体" w:hint="default"/>
                <w:spacing w:val="-90"/>
                <w:sz w:val="18"/>
                <w:szCs w:val="18"/>
              </w:rPr>
              <w:t>）</w:t>
            </w:r>
            <w:r>
              <w:rPr>
                <w:rFonts w:ascii="宋体" w:hAnsi="宋体" w:cs="宋体" w:eastAsia="宋体" w:hint="default"/>
                <w:spacing w:val="-94"/>
                <w:sz w:val="18"/>
                <w:szCs w:val="18"/>
              </w:rPr>
              <w:t>》</w:t>
            </w:r>
            <w:r>
              <w:rPr>
                <w:rFonts w:ascii="宋体" w:hAnsi="宋体" w:cs="宋体" w:eastAsia="宋体" w:hint="default"/>
                <w:sz w:val="18"/>
                <w:szCs w:val="18"/>
              </w:rPr>
              <w:t>（以下统称</w:t>
            </w:r>
            <w:r>
              <w:rPr>
                <w:rFonts w:ascii="Arial" w:hAnsi="Arial" w:cs="Arial" w:eastAsia="Arial" w:hint="default"/>
                <w:sz w:val="18"/>
                <w:szCs w:val="18"/>
              </w:rPr>
              <w:t>“</w:t>
            </w:r>
            <w:r>
              <w:rPr>
                <w:rFonts w:ascii="宋体" w:hAnsi="宋体" w:cs="宋体" w:eastAsia="宋体" w:hint="default"/>
                <w:sz w:val="18"/>
                <w:szCs w:val="18"/>
              </w:rPr>
              <w:t>新金融工具准则</w:t>
            </w:r>
            <w:r>
              <w:rPr>
                <w:rFonts w:ascii="Arial" w:hAnsi="Arial" w:cs="Arial" w:eastAsia="Arial" w:hint="default"/>
                <w:sz w:val="18"/>
                <w:szCs w:val="18"/>
              </w:rPr>
              <w:t>”</w:t>
            </w:r>
            <w:r>
              <w:rPr>
                <w:rFonts w:ascii="宋体" w:hAnsi="宋体" w:cs="宋体" w:eastAsia="宋体" w:hint="default"/>
                <w:spacing w:val="-90"/>
                <w:sz w:val="18"/>
                <w:szCs w:val="18"/>
              </w:rPr>
              <w:t>）</w:t>
            </w:r>
            <w:r>
              <w:rPr>
                <w:rFonts w:ascii="宋体" w:hAnsi="宋体" w:cs="宋体" w:eastAsia="宋体" w:hint="default"/>
                <w:spacing w:val="-4"/>
                <w:sz w:val="18"/>
                <w:szCs w:val="18"/>
              </w:rPr>
              <w:t>，</w:t>
            </w:r>
            <w:r>
              <w:rPr>
                <w:rFonts w:ascii="宋体" w:hAnsi="宋体" w:cs="宋体" w:eastAsia="宋体" w:hint="default"/>
                <w:sz w:val="18"/>
                <w:szCs w:val="18"/>
              </w:rPr>
              <w:t>要求</w:t>
            </w:r>
          </w:p>
        </w:tc>
        <w:tc>
          <w:tcPr>
            <w:tcW w:w="3118" w:type="dxa"/>
            <w:tcBorders>
              <w:top w:val="nil" w:sz="6" w:space="0" w:color="auto"/>
              <w:left w:val="single" w:sz="4" w:space="0" w:color="000000"/>
              <w:bottom w:val="nil" w:sz="6" w:space="0" w:color="auto"/>
              <w:right w:val="single" w:sz="4" w:space="0" w:color="000000"/>
            </w:tcBorders>
          </w:tcPr>
          <w:p>
            <w:pPr>
              <w:pStyle w:val="TableParagraph"/>
              <w:spacing w:line="240" w:lineRule="auto" w:before="7"/>
              <w:ind w:left="22" w:right="0"/>
              <w:jc w:val="left"/>
              <w:rPr>
                <w:rFonts w:ascii="宋体" w:hAnsi="宋体" w:cs="宋体" w:eastAsia="宋体" w:hint="default"/>
                <w:sz w:val="18"/>
                <w:szCs w:val="18"/>
              </w:rPr>
            </w:pPr>
            <w:r>
              <w:rPr>
                <w:rFonts w:ascii="宋体" w:hAnsi="宋体" w:cs="宋体" w:eastAsia="宋体" w:hint="default"/>
                <w:sz w:val="18"/>
                <w:szCs w:val="18"/>
              </w:rPr>
              <w:t>相关内容进行了调整。</w:t>
            </w:r>
          </w:p>
        </w:tc>
        <w:tc>
          <w:tcPr>
            <w:tcW w:w="2056" w:type="dxa"/>
            <w:vMerge/>
            <w:tcBorders>
              <w:left w:val="single" w:sz="4" w:space="0" w:color="000000"/>
              <w:right w:val="single" w:sz="4" w:space="0" w:color="000000"/>
            </w:tcBorders>
          </w:tcPr>
          <w:p>
            <w:pPr/>
          </w:p>
        </w:tc>
      </w:tr>
      <w:tr>
        <w:trPr>
          <w:trHeight w:val="351" w:hRule="exact"/>
        </w:trPr>
        <w:tc>
          <w:tcPr>
            <w:tcW w:w="4396"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自</w:t>
            </w:r>
            <w:r>
              <w:rPr>
                <w:rFonts w:ascii="宋体" w:hAnsi="宋体" w:cs="宋体" w:eastAsia="宋体" w:hint="default"/>
                <w:spacing w:val="-46"/>
                <w:sz w:val="18"/>
                <w:szCs w:val="18"/>
              </w:rPr>
              <w:t> </w:t>
            </w:r>
            <w:r>
              <w:rPr>
                <w:rFonts w:ascii="Arial" w:hAnsi="Arial" w:cs="Arial" w:eastAsia="Arial" w:hint="default"/>
                <w:sz w:val="18"/>
                <w:szCs w:val="18"/>
              </w:rPr>
              <w:t>2019</w:t>
            </w:r>
            <w:r>
              <w:rPr>
                <w:rFonts w:ascii="Arial" w:hAnsi="Arial" w:cs="Arial" w:eastAsia="Arial"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日起执行新金融工具准则。</w:t>
            </w:r>
          </w:p>
        </w:tc>
        <w:tc>
          <w:tcPr>
            <w:tcW w:w="3118" w:type="dxa"/>
            <w:tcBorders>
              <w:top w:val="nil" w:sz="6" w:space="0" w:color="auto"/>
              <w:left w:val="single" w:sz="4" w:space="0" w:color="000000"/>
              <w:bottom w:val="single" w:sz="4" w:space="0" w:color="000000"/>
              <w:right w:val="single" w:sz="4" w:space="0" w:color="000000"/>
            </w:tcBorders>
          </w:tcPr>
          <w:p>
            <w:pPr/>
          </w:p>
        </w:tc>
        <w:tc>
          <w:tcPr>
            <w:tcW w:w="2056" w:type="dxa"/>
            <w:vMerge/>
            <w:tcBorders>
              <w:left w:val="single" w:sz="4" w:space="0" w:color="000000"/>
              <w:bottom w:val="single" w:sz="4" w:space="0" w:color="000000"/>
              <w:right w:val="single" w:sz="4" w:space="0" w:color="000000"/>
            </w:tcBorders>
          </w:tcPr>
          <w:p>
            <w:pPr/>
          </w:p>
        </w:tc>
      </w:tr>
      <w:tr>
        <w:trPr>
          <w:trHeight w:val="1650" w:hRule="exact"/>
        </w:trPr>
        <w:tc>
          <w:tcPr>
            <w:tcW w:w="439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52"/>
              <w:ind w:left="22" w:right="0"/>
              <w:jc w:val="both"/>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6"/>
                <w:sz w:val="18"/>
                <w:szCs w:val="18"/>
              </w:rPr>
              <w:t> </w:t>
            </w:r>
            <w:r>
              <w:rPr>
                <w:rFonts w:ascii="Arial" w:hAnsi="Arial" w:cs="Arial" w:eastAsia="Arial" w:hint="default"/>
                <w:sz w:val="18"/>
                <w:szCs w:val="18"/>
              </w:rPr>
              <w:t>2019</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4</w:t>
            </w:r>
            <w:r>
              <w:rPr>
                <w:rFonts w:ascii="Arial" w:hAnsi="Arial" w:cs="Arial" w:eastAsia="Arial" w:hint="default"/>
                <w:spacing w:val="-7"/>
                <w:sz w:val="18"/>
                <w:szCs w:val="18"/>
              </w:rPr>
              <w:t> </w:t>
            </w:r>
            <w:r>
              <w:rPr>
                <w:rFonts w:ascii="宋体" w:hAnsi="宋体" w:cs="宋体" w:eastAsia="宋体" w:hint="default"/>
                <w:sz w:val="18"/>
                <w:szCs w:val="18"/>
              </w:rPr>
              <w:t>月发布了《财政部关于修订印发</w:t>
            </w:r>
          </w:p>
          <w:p>
            <w:pPr>
              <w:pStyle w:val="TableParagraph"/>
              <w:spacing w:line="240" w:lineRule="auto" w:before="62"/>
              <w:ind w:left="22" w:right="0"/>
              <w:jc w:val="both"/>
              <w:rPr>
                <w:rFonts w:ascii="Arial" w:hAnsi="Arial" w:cs="Arial" w:eastAsia="Arial" w:hint="default"/>
                <w:sz w:val="18"/>
                <w:szCs w:val="18"/>
              </w:rPr>
            </w:pPr>
            <w:r>
              <w:rPr>
                <w:rFonts w:ascii="Arial" w:hAnsi="Arial" w:cs="Arial" w:eastAsia="Arial" w:hint="default"/>
                <w:spacing w:val="-1"/>
                <w:sz w:val="18"/>
                <w:szCs w:val="18"/>
              </w:rPr>
              <w:t>20</w:t>
            </w:r>
            <w:r>
              <w:rPr>
                <w:rFonts w:ascii="Arial" w:hAnsi="Arial" w:cs="Arial" w:eastAsia="Arial" w:hint="default"/>
                <w:sz w:val="18"/>
                <w:szCs w:val="18"/>
              </w:rPr>
              <w:t>19</w:t>
            </w:r>
            <w:r>
              <w:rPr>
                <w:rFonts w:ascii="Arial" w:hAnsi="Arial" w:cs="Arial" w:eastAsia="Arial" w:hint="default"/>
                <w:spacing w:val="-7"/>
                <w:sz w:val="18"/>
                <w:szCs w:val="18"/>
              </w:rPr>
              <w:t> </w:t>
            </w:r>
            <w:r>
              <w:rPr>
                <w:rFonts w:ascii="宋体" w:hAnsi="宋体" w:cs="宋体" w:eastAsia="宋体" w:hint="default"/>
                <w:sz w:val="18"/>
                <w:szCs w:val="18"/>
              </w:rPr>
              <w:t>年度一</w:t>
            </w:r>
            <w:r>
              <w:rPr>
                <w:rFonts w:ascii="宋体" w:hAnsi="宋体" w:cs="宋体" w:eastAsia="宋体" w:hint="default"/>
                <w:spacing w:val="1"/>
                <w:sz w:val="18"/>
                <w:szCs w:val="18"/>
              </w:rPr>
              <w:t>般</w:t>
            </w:r>
            <w:r>
              <w:rPr>
                <w:rFonts w:ascii="宋体" w:hAnsi="宋体" w:cs="宋体" w:eastAsia="宋体" w:hint="default"/>
                <w:sz w:val="18"/>
                <w:szCs w:val="18"/>
              </w:rPr>
              <w:t>企业财务报表格式的通知</w:t>
            </w:r>
            <w:r>
              <w:rPr>
                <w:rFonts w:ascii="宋体" w:hAnsi="宋体" w:cs="宋体" w:eastAsia="宋体" w:hint="default"/>
                <w:spacing w:val="-128"/>
                <w:sz w:val="18"/>
                <w:szCs w:val="18"/>
              </w:rPr>
              <w:t>》</w:t>
            </w:r>
            <w:r>
              <w:rPr>
                <w:rFonts w:ascii="宋体" w:hAnsi="宋体" w:cs="宋体" w:eastAsia="宋体" w:hint="default"/>
                <w:sz w:val="18"/>
                <w:szCs w:val="18"/>
              </w:rPr>
              <w:t>（财会</w:t>
            </w:r>
            <w:r>
              <w:rPr>
                <w:rFonts w:ascii="Arial" w:hAnsi="Arial" w:cs="Arial" w:eastAsia="Arial" w:hint="default"/>
                <w:spacing w:val="-1"/>
                <w:sz w:val="18"/>
                <w:szCs w:val="18"/>
              </w:rPr>
              <w:t>[2019]6</w:t>
            </w:r>
            <w:r>
              <w:rPr>
                <w:rFonts w:ascii="Arial" w:hAnsi="Arial" w:cs="Arial" w:eastAsia="Arial" w:hint="default"/>
                <w:sz w:val="18"/>
                <w:szCs w:val="18"/>
              </w:rPr>
            </w:r>
          </w:p>
          <w:p>
            <w:pPr>
              <w:pStyle w:val="TableParagraph"/>
              <w:spacing w:line="302" w:lineRule="auto" w:before="63"/>
              <w:ind w:left="22" w:right="101"/>
              <w:jc w:val="both"/>
              <w:rPr>
                <w:rFonts w:ascii="宋体" w:hAnsi="宋体" w:cs="宋体" w:eastAsia="宋体" w:hint="default"/>
                <w:sz w:val="18"/>
                <w:szCs w:val="18"/>
              </w:rPr>
            </w:pPr>
            <w:r>
              <w:rPr>
                <w:rFonts w:ascii="宋体" w:hAnsi="宋体" w:cs="宋体" w:eastAsia="宋体" w:hint="default"/>
                <w:spacing w:val="-14"/>
                <w:sz w:val="18"/>
                <w:szCs w:val="18"/>
              </w:rPr>
              <w:t>号），</w:t>
            </w:r>
            <w:r>
              <w:rPr>
                <w:rFonts w:ascii="Arial" w:hAnsi="Arial" w:cs="Arial" w:eastAsia="Arial" w:hint="default"/>
                <w:spacing w:val="-14"/>
                <w:sz w:val="18"/>
                <w:szCs w:val="18"/>
              </w:rPr>
              <w:t>2018</w:t>
            </w:r>
            <w:r>
              <w:rPr>
                <w:rFonts w:ascii="Arial" w:hAnsi="Arial" w:cs="Arial" w:eastAsia="Arial"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Arial" w:hAnsi="Arial" w:cs="Arial" w:eastAsia="Arial" w:hint="default"/>
                <w:sz w:val="18"/>
                <w:szCs w:val="18"/>
              </w:rPr>
              <w:t>6</w:t>
            </w:r>
            <w:r>
              <w:rPr>
                <w:rFonts w:ascii="Arial" w:hAnsi="Arial" w:cs="Arial" w:eastAsia="Arial" w:hint="default"/>
                <w:spacing w:val="-6"/>
                <w:sz w:val="18"/>
                <w:szCs w:val="18"/>
              </w:rPr>
              <w:t> </w:t>
            </w:r>
            <w:r>
              <w:rPr>
                <w:rFonts w:ascii="宋体" w:hAnsi="宋体" w:cs="宋体" w:eastAsia="宋体" w:hint="default"/>
                <w:sz w:val="18"/>
                <w:szCs w:val="18"/>
              </w:rPr>
              <w:t>月发布的《财政部关于修订印发</w:t>
            </w:r>
            <w:r>
              <w:rPr>
                <w:rFonts w:ascii="宋体" w:hAnsi="宋体" w:cs="宋体" w:eastAsia="宋体" w:hint="default"/>
                <w:spacing w:val="-45"/>
                <w:sz w:val="18"/>
                <w:szCs w:val="18"/>
              </w:rPr>
              <w:t> </w:t>
            </w:r>
            <w:r>
              <w:rPr>
                <w:rFonts w:ascii="Arial" w:hAnsi="Arial" w:cs="Arial" w:eastAsia="Arial" w:hint="default"/>
                <w:spacing w:val="-1"/>
                <w:sz w:val="18"/>
                <w:szCs w:val="18"/>
              </w:rPr>
              <w:t>2018 </w:t>
            </w:r>
            <w:r>
              <w:rPr>
                <w:rFonts w:ascii="宋体" w:hAnsi="宋体" w:cs="宋体" w:eastAsia="宋体" w:hint="default"/>
                <w:spacing w:val="-4"/>
                <w:sz w:val="18"/>
                <w:szCs w:val="18"/>
              </w:rPr>
              <w:t>年度一般企业财务报表格式的通知》（财会</w:t>
            </w:r>
            <w:r>
              <w:rPr>
                <w:rFonts w:ascii="Arial" w:hAnsi="Arial" w:cs="Arial" w:eastAsia="Arial" w:hint="default"/>
                <w:spacing w:val="-4"/>
                <w:sz w:val="18"/>
                <w:szCs w:val="18"/>
              </w:rPr>
              <w:t>[2018]15 </w:t>
            </w:r>
            <w:r>
              <w:rPr>
                <w:rFonts w:ascii="宋体" w:hAnsi="宋体" w:cs="宋体" w:eastAsia="宋体" w:hint="default"/>
                <w:sz w:val="18"/>
                <w:szCs w:val="18"/>
              </w:rPr>
              <w:t>号</w:t>
            </w:r>
            <w:r>
              <w:rPr>
                <w:rFonts w:ascii="宋体" w:hAnsi="宋体" w:cs="宋体" w:eastAsia="宋体" w:hint="default"/>
                <w:spacing w:val="-88"/>
                <w:sz w:val="18"/>
                <w:szCs w:val="18"/>
              </w:rPr>
              <w:t> </w:t>
            </w:r>
            <w:r>
              <w:rPr>
                <w:rFonts w:ascii="宋体" w:hAnsi="宋体" w:cs="宋体" w:eastAsia="宋体" w:hint="default"/>
                <w:sz w:val="18"/>
                <w:szCs w:val="18"/>
              </w:rPr>
              <w:t>同时废止。</w:t>
            </w:r>
          </w:p>
        </w:tc>
        <w:tc>
          <w:tcPr>
            <w:tcW w:w="3118"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1"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w:hAnsi="Arial" w:cs="Arial" w:eastAsia="Arial" w:hint="default"/>
                <w:sz w:val="18"/>
                <w:szCs w:val="18"/>
              </w:rPr>
              <w:t>8</w:t>
            </w:r>
            <w:r>
              <w:rPr>
                <w:rFonts w:ascii="Arial" w:hAnsi="Arial" w:cs="Arial" w:eastAsia="Arial"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w:hAnsi="Arial" w:cs="Arial" w:eastAsia="Arial" w:hint="default"/>
                <w:sz w:val="18"/>
                <w:szCs w:val="18"/>
              </w:rPr>
              <w:t>22</w:t>
            </w:r>
            <w:r>
              <w:rPr>
                <w:rFonts w:ascii="Arial" w:hAnsi="Arial" w:cs="Arial" w:eastAsia="Arial" w:hint="default"/>
                <w:spacing w:val="-11"/>
                <w:sz w:val="18"/>
                <w:szCs w:val="18"/>
              </w:rPr>
              <w:t> </w:t>
            </w:r>
            <w:r>
              <w:rPr>
                <w:rFonts w:ascii="宋体" w:hAnsi="宋体" w:cs="宋体" w:eastAsia="宋体" w:hint="default"/>
                <w:sz w:val="18"/>
                <w:szCs w:val="18"/>
              </w:rPr>
              <w:t>日召开的第四届董事会</w:t>
            </w:r>
          </w:p>
          <w:p>
            <w:pPr>
              <w:pStyle w:val="TableParagraph"/>
              <w:spacing w:line="240" w:lineRule="auto" w:before="62"/>
              <w:ind w:left="11" w:right="0"/>
              <w:jc w:val="left"/>
              <w:rPr>
                <w:rFonts w:ascii="Arial" w:hAnsi="Arial" w:cs="Arial" w:eastAsia="Arial" w:hint="default"/>
                <w:sz w:val="18"/>
                <w:szCs w:val="18"/>
              </w:rPr>
            </w:pPr>
            <w:r>
              <w:rPr>
                <w:rFonts w:ascii="宋体" w:hAnsi="宋体" w:cs="宋体" w:eastAsia="宋体" w:hint="default"/>
                <w:sz w:val="18"/>
                <w:szCs w:val="18"/>
              </w:rPr>
              <w:t>第十八次会议，批准自</w:t>
            </w:r>
            <w:r>
              <w:rPr>
                <w:rFonts w:ascii="宋体" w:hAnsi="宋体" w:cs="宋体" w:eastAsia="宋体" w:hint="default"/>
                <w:spacing w:val="-47"/>
                <w:sz w:val="18"/>
                <w:szCs w:val="18"/>
              </w:rPr>
              <w:t> </w:t>
            </w:r>
            <w:r>
              <w:rPr>
                <w:rFonts w:ascii="Arial" w:hAnsi="Arial" w:cs="Arial" w:eastAsia="Arial" w:hint="default"/>
                <w:sz w:val="18"/>
                <w:szCs w:val="18"/>
              </w:rPr>
              <w:t>2019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Arial" w:hAnsi="Arial" w:cs="Arial" w:eastAsia="Arial" w:hint="default"/>
                <w:sz w:val="18"/>
                <w:szCs w:val="18"/>
              </w:rPr>
              <w:t>1</w:t>
            </w:r>
          </w:p>
          <w:p>
            <w:pPr>
              <w:pStyle w:val="TableParagraph"/>
              <w:spacing w:line="196" w:lineRule="exact" w:before="63"/>
              <w:ind w:left="11" w:right="0"/>
              <w:jc w:val="left"/>
              <w:rPr>
                <w:rFonts w:ascii="宋体" w:hAnsi="宋体" w:cs="宋体" w:eastAsia="宋体" w:hint="default"/>
                <w:sz w:val="18"/>
                <w:szCs w:val="18"/>
              </w:rPr>
            </w:pPr>
            <w:r>
              <w:rPr>
                <w:rFonts w:ascii="宋体" w:hAnsi="宋体" w:cs="宋体" w:eastAsia="宋体" w:hint="default"/>
                <w:sz w:val="18"/>
                <w:szCs w:val="18"/>
              </w:rPr>
              <w:t>日起按新报表格式，对会计政策相关内</w:t>
            </w:r>
          </w:p>
          <w:p>
            <w:pPr>
              <w:pStyle w:val="TableParagraph"/>
              <w:spacing w:line="157" w:lineRule="exact"/>
              <w:ind w:left="-13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11" w:right="0"/>
              <w:jc w:val="left"/>
              <w:rPr>
                <w:rFonts w:ascii="宋体" w:hAnsi="宋体" w:cs="宋体" w:eastAsia="宋体" w:hint="default"/>
                <w:sz w:val="18"/>
                <w:szCs w:val="18"/>
              </w:rPr>
            </w:pPr>
            <w:r>
              <w:rPr>
                <w:rFonts w:ascii="宋体" w:hAnsi="宋体" w:cs="宋体" w:eastAsia="宋体" w:hint="default"/>
                <w:sz w:val="18"/>
                <w:szCs w:val="18"/>
              </w:rPr>
              <w:t>容进行了调整。</w:t>
            </w:r>
          </w:p>
        </w:tc>
        <w:tc>
          <w:tcPr>
            <w:tcW w:w="2056" w:type="dxa"/>
            <w:tcBorders>
              <w:top w:val="single" w:sz="4" w:space="0" w:color="000000"/>
              <w:left w:val="single" w:sz="4" w:space="0" w:color="000000"/>
              <w:bottom w:val="single" w:sz="4" w:space="0" w:color="000000"/>
              <w:right w:val="single" w:sz="4" w:space="0" w:color="000000"/>
            </w:tcBorders>
          </w:tcPr>
          <w:p>
            <w:pPr/>
          </w:p>
        </w:tc>
      </w:tr>
      <w:tr>
        <w:trPr>
          <w:trHeight w:val="363" w:hRule="exact"/>
        </w:trPr>
        <w:tc>
          <w:tcPr>
            <w:tcW w:w="4396" w:type="dxa"/>
            <w:tcBorders>
              <w:top w:val="single" w:sz="4" w:space="0" w:color="000000"/>
              <w:left w:val="single" w:sz="4" w:space="0" w:color="000000"/>
              <w:bottom w:val="nil" w:sz="6" w:space="0" w:color="auto"/>
              <w:right w:val="single" w:sz="13" w:space="0" w:color="FFFFFF"/>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财政部于</w:t>
            </w:r>
            <w:r>
              <w:rPr>
                <w:rFonts w:ascii="宋体" w:hAnsi="宋体" w:cs="宋体" w:eastAsia="宋体" w:hint="default"/>
                <w:spacing w:val="-46"/>
                <w:sz w:val="18"/>
                <w:szCs w:val="18"/>
              </w:rPr>
              <w:t> </w:t>
            </w:r>
            <w:r>
              <w:rPr>
                <w:rFonts w:ascii="Arial" w:hAnsi="Arial" w:cs="Arial" w:eastAsia="Arial" w:hint="default"/>
                <w:sz w:val="18"/>
                <w:szCs w:val="18"/>
              </w:rPr>
              <w:t>2019</w:t>
            </w:r>
            <w:r>
              <w:rPr>
                <w:rFonts w:ascii="Arial" w:hAnsi="Arial" w:cs="Arial" w:eastAsia="Arial"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9</w:t>
            </w:r>
            <w:r>
              <w:rPr>
                <w:rFonts w:ascii="Arial" w:hAnsi="Arial" w:cs="Arial" w:eastAsia="Arial" w:hint="default"/>
                <w:spacing w:val="-7"/>
                <w:sz w:val="18"/>
                <w:szCs w:val="18"/>
              </w:rPr>
              <w:t> </w:t>
            </w:r>
            <w:r>
              <w:rPr>
                <w:rFonts w:ascii="宋体" w:hAnsi="宋体" w:cs="宋体" w:eastAsia="宋体" w:hint="default"/>
                <w:sz w:val="18"/>
                <w:szCs w:val="18"/>
              </w:rPr>
              <w:t>月发布了《财政部关于修订印发合</w:t>
            </w:r>
          </w:p>
        </w:tc>
        <w:tc>
          <w:tcPr>
            <w:tcW w:w="3118" w:type="dxa"/>
            <w:tcBorders>
              <w:top w:val="single" w:sz="4" w:space="0" w:color="000000"/>
              <w:left w:val="single" w:sz="13" w:space="0" w:color="FFFFFF"/>
              <w:bottom w:val="nil" w:sz="6" w:space="0" w:color="auto"/>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Arial" w:hAnsi="Arial" w:cs="Arial" w:eastAsia="Arial" w:hint="default"/>
                <w:sz w:val="18"/>
                <w:szCs w:val="18"/>
              </w:rPr>
              <w:t>4</w:t>
            </w:r>
            <w:r>
              <w:rPr>
                <w:rFonts w:ascii="Arial" w:hAnsi="Arial" w:cs="Arial" w:eastAsia="Arial"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Arial" w:hAnsi="Arial" w:cs="Arial" w:eastAsia="Arial" w:hint="default"/>
                <w:sz w:val="18"/>
                <w:szCs w:val="18"/>
              </w:rPr>
              <w:t>27</w:t>
            </w:r>
            <w:r>
              <w:rPr>
                <w:rFonts w:ascii="Arial" w:hAnsi="Arial" w:cs="Arial" w:eastAsia="Arial" w:hint="default"/>
                <w:spacing w:val="-11"/>
                <w:sz w:val="18"/>
                <w:szCs w:val="18"/>
              </w:rPr>
              <w:t> </w:t>
            </w:r>
            <w:r>
              <w:rPr>
                <w:rFonts w:ascii="宋体" w:hAnsi="宋体" w:cs="宋体" w:eastAsia="宋体" w:hint="default"/>
                <w:sz w:val="18"/>
                <w:szCs w:val="18"/>
              </w:rPr>
              <w:t>日召开的第五届董事会</w:t>
            </w:r>
          </w:p>
        </w:tc>
        <w:tc>
          <w:tcPr>
            <w:tcW w:w="2056" w:type="dxa"/>
            <w:vMerge w:val="restart"/>
            <w:tcBorders>
              <w:top w:val="single" w:sz="4" w:space="0" w:color="000000"/>
              <w:left w:val="single" w:sz="4" w:space="0" w:color="000000"/>
              <w:right w:val="single" w:sz="4" w:space="0" w:color="000000"/>
            </w:tcBorders>
          </w:tcPr>
          <w:p>
            <w:pPr/>
          </w:p>
        </w:tc>
      </w:tr>
      <w:tr>
        <w:trPr>
          <w:trHeight w:val="311" w:hRule="exact"/>
        </w:trPr>
        <w:tc>
          <w:tcPr>
            <w:tcW w:w="4396" w:type="dxa"/>
            <w:tcBorders>
              <w:top w:val="nil" w:sz="6" w:space="0" w:color="auto"/>
              <w:left w:val="single" w:sz="4" w:space="0" w:color="000000"/>
              <w:bottom w:val="nil" w:sz="6" w:space="0" w:color="auto"/>
              <w:right w:val="single" w:sz="13" w:space="0" w:color="FFFFFF"/>
            </w:tcBorders>
          </w:tcPr>
          <w:p>
            <w:pPr>
              <w:pStyle w:val="TableParagraph"/>
              <w:spacing w:line="240" w:lineRule="auto" w:before="5"/>
              <w:ind w:left="22" w:right="-44"/>
              <w:jc w:val="left"/>
              <w:rPr>
                <w:rFonts w:ascii="宋体" w:hAnsi="宋体" w:cs="宋体" w:eastAsia="宋体" w:hint="default"/>
                <w:sz w:val="18"/>
                <w:szCs w:val="18"/>
              </w:rPr>
            </w:pPr>
            <w:r>
              <w:rPr>
                <w:rFonts w:ascii="宋体" w:hAnsi="宋体" w:cs="宋体" w:eastAsia="宋体" w:hint="default"/>
                <w:sz w:val="18"/>
                <w:szCs w:val="18"/>
              </w:rPr>
              <w:t>并财务报表格</w:t>
            </w:r>
            <w:r>
              <w:rPr>
                <w:rFonts w:ascii="宋体" w:hAnsi="宋体" w:cs="宋体" w:eastAsia="宋体" w:hint="default"/>
                <w:spacing w:val="-62"/>
                <w:sz w:val="18"/>
                <w:szCs w:val="18"/>
              </w:rPr>
              <w:t>式</w:t>
            </w:r>
            <w:r>
              <w:rPr>
                <w:rFonts w:ascii="宋体" w:hAnsi="宋体" w:cs="宋体" w:eastAsia="宋体" w:hint="default"/>
                <w:sz w:val="18"/>
                <w:szCs w:val="18"/>
              </w:rPr>
              <w:t>（</w:t>
            </w:r>
            <w:r>
              <w:rPr>
                <w:rFonts w:ascii="Arial" w:hAnsi="Arial" w:cs="Arial" w:eastAsia="Arial" w:hint="default"/>
                <w:spacing w:val="-1"/>
                <w:sz w:val="18"/>
                <w:szCs w:val="18"/>
              </w:rPr>
              <w:t>2</w:t>
            </w:r>
            <w:r>
              <w:rPr>
                <w:rFonts w:ascii="Arial" w:hAnsi="Arial" w:cs="Arial" w:eastAsia="Arial" w:hint="default"/>
                <w:sz w:val="18"/>
                <w:szCs w:val="18"/>
              </w:rPr>
              <w:t>019</w:t>
            </w:r>
            <w:r>
              <w:rPr>
                <w:rFonts w:ascii="Arial" w:hAnsi="Arial" w:cs="Arial" w:eastAsia="Arial" w:hint="default"/>
                <w:spacing w:val="-7"/>
                <w:sz w:val="18"/>
                <w:szCs w:val="18"/>
              </w:rPr>
              <w:t> </w:t>
            </w:r>
            <w:r>
              <w:rPr>
                <w:rFonts w:ascii="宋体" w:hAnsi="宋体" w:cs="宋体" w:eastAsia="宋体" w:hint="default"/>
                <w:sz w:val="18"/>
                <w:szCs w:val="18"/>
              </w:rPr>
              <w:t>版</w:t>
            </w:r>
            <w:r>
              <w:rPr>
                <w:rFonts w:ascii="宋体" w:hAnsi="宋体" w:cs="宋体" w:eastAsia="宋体" w:hint="default"/>
                <w:spacing w:val="-62"/>
                <w:sz w:val="18"/>
                <w:szCs w:val="18"/>
              </w:rPr>
              <w:t>）</w:t>
            </w:r>
            <w:r>
              <w:rPr>
                <w:rFonts w:ascii="宋体" w:hAnsi="宋体" w:cs="宋体" w:eastAsia="宋体" w:hint="default"/>
                <w:spacing w:val="1"/>
                <w:sz w:val="18"/>
                <w:szCs w:val="18"/>
              </w:rPr>
              <w:t>的</w:t>
            </w:r>
            <w:r>
              <w:rPr>
                <w:rFonts w:ascii="宋体" w:hAnsi="宋体" w:cs="宋体" w:eastAsia="宋体" w:hint="default"/>
                <w:sz w:val="18"/>
                <w:szCs w:val="18"/>
              </w:rPr>
              <w:t>通知</w:t>
            </w:r>
            <w:r>
              <w:rPr>
                <w:rFonts w:ascii="宋体" w:hAnsi="宋体" w:cs="宋体" w:eastAsia="宋体" w:hint="default"/>
                <w:spacing w:val="-152"/>
                <w:sz w:val="18"/>
                <w:szCs w:val="18"/>
              </w:rPr>
              <w:t>》</w:t>
            </w:r>
            <w:r>
              <w:rPr>
                <w:rFonts w:ascii="宋体" w:hAnsi="宋体" w:cs="宋体" w:eastAsia="宋体" w:hint="default"/>
                <w:sz w:val="18"/>
                <w:szCs w:val="18"/>
              </w:rPr>
              <w:t>（财会</w:t>
            </w:r>
            <w:r>
              <w:rPr>
                <w:rFonts w:ascii="Arial" w:hAnsi="Arial" w:cs="Arial" w:eastAsia="Arial" w:hint="default"/>
                <w:spacing w:val="-1"/>
                <w:sz w:val="18"/>
                <w:szCs w:val="18"/>
              </w:rPr>
              <w:t>[2</w:t>
            </w:r>
            <w:r>
              <w:rPr>
                <w:rFonts w:ascii="Arial" w:hAnsi="Arial" w:cs="Arial" w:eastAsia="Arial" w:hint="default"/>
                <w:sz w:val="18"/>
                <w:szCs w:val="18"/>
              </w:rPr>
              <w:t>0</w:t>
            </w:r>
            <w:r>
              <w:rPr>
                <w:rFonts w:ascii="Arial" w:hAnsi="Arial" w:cs="Arial" w:eastAsia="Arial" w:hint="default"/>
                <w:spacing w:val="-1"/>
                <w:sz w:val="18"/>
                <w:szCs w:val="18"/>
              </w:rPr>
              <w:t>19]</w:t>
            </w:r>
            <w:r>
              <w:rPr>
                <w:rFonts w:ascii="Arial" w:hAnsi="Arial" w:cs="Arial" w:eastAsia="Arial" w:hint="default"/>
                <w:sz w:val="18"/>
                <w:szCs w:val="18"/>
              </w:rPr>
              <w:t>16</w:t>
            </w:r>
            <w:r>
              <w:rPr>
                <w:rFonts w:ascii="Arial" w:hAnsi="Arial" w:cs="Arial" w:eastAsia="Arial" w:hint="default"/>
                <w:spacing w:val="-7"/>
                <w:sz w:val="18"/>
                <w:szCs w:val="18"/>
              </w:rPr>
              <w:t> </w:t>
            </w:r>
            <w:r>
              <w:rPr>
                <w:rFonts w:ascii="宋体" w:hAnsi="宋体" w:cs="宋体" w:eastAsia="宋体" w:hint="default"/>
                <w:sz w:val="18"/>
                <w:szCs w:val="18"/>
              </w:rPr>
              <w:t>号</w:t>
            </w:r>
            <w:r>
              <w:rPr>
                <w:rFonts w:ascii="宋体" w:hAnsi="宋体" w:cs="宋体" w:eastAsia="宋体" w:hint="default"/>
                <w:spacing w:val="-90"/>
                <w:sz w:val="18"/>
                <w:szCs w:val="18"/>
              </w:rPr>
              <w:t>）</w:t>
            </w:r>
            <w:r>
              <w:rPr>
                <w:rFonts w:ascii="宋体" w:hAnsi="宋体" w:cs="宋体" w:eastAsia="宋体" w:hint="default"/>
                <w:spacing w:val="-33"/>
                <w:sz w:val="18"/>
                <w:szCs w:val="18"/>
              </w:rPr>
              <w:t>，</w:t>
            </w:r>
            <w:r>
              <w:rPr>
                <w:rFonts w:ascii="宋体" w:hAnsi="宋体" w:cs="宋体" w:eastAsia="宋体" w:hint="default"/>
                <w:sz w:val="18"/>
                <w:szCs w:val="18"/>
              </w:rPr>
            </w:r>
          </w:p>
        </w:tc>
        <w:tc>
          <w:tcPr>
            <w:tcW w:w="3118" w:type="dxa"/>
            <w:tcBorders>
              <w:top w:val="nil" w:sz="6" w:space="0" w:color="auto"/>
              <w:left w:val="single" w:sz="13" w:space="0" w:color="FFFFFF"/>
              <w:bottom w:val="nil" w:sz="6" w:space="0" w:color="auto"/>
              <w:right w:val="single" w:sz="4" w:space="0" w:color="000000"/>
            </w:tcBorders>
          </w:tcPr>
          <w:p>
            <w:pPr>
              <w:pStyle w:val="TableParagraph"/>
              <w:spacing w:line="240" w:lineRule="auto" w:before="5"/>
              <w:ind w:left="11" w:right="0"/>
              <w:jc w:val="left"/>
              <w:rPr>
                <w:rFonts w:ascii="宋体" w:hAnsi="宋体" w:cs="宋体" w:eastAsia="宋体" w:hint="default"/>
                <w:sz w:val="18"/>
                <w:szCs w:val="18"/>
              </w:rPr>
            </w:pPr>
            <w:r>
              <w:rPr>
                <w:rFonts w:ascii="宋体" w:hAnsi="宋体" w:cs="宋体" w:eastAsia="宋体" w:hint="default"/>
                <w:sz w:val="18"/>
                <w:szCs w:val="18"/>
              </w:rPr>
              <w:t>第二次会议</w:t>
            </w:r>
            <w:r>
              <w:rPr>
                <w:rFonts w:ascii="Arial" w:hAnsi="Arial" w:cs="Arial" w:eastAsia="Arial" w:hint="default"/>
                <w:sz w:val="18"/>
                <w:szCs w:val="18"/>
              </w:rPr>
              <w:t>,</w:t>
            </w:r>
            <w:r>
              <w:rPr>
                <w:rFonts w:ascii="宋体" w:hAnsi="宋体" w:cs="宋体" w:eastAsia="宋体" w:hint="default"/>
                <w:sz w:val="18"/>
                <w:szCs w:val="18"/>
              </w:rPr>
              <w:t>，批准自</w:t>
            </w:r>
            <w:r>
              <w:rPr>
                <w:rFonts w:ascii="宋体" w:hAnsi="宋体" w:cs="宋体" w:eastAsia="宋体" w:hint="default"/>
                <w:spacing w:val="-46"/>
                <w:sz w:val="18"/>
                <w:szCs w:val="18"/>
              </w:rPr>
              <w:t> </w:t>
            </w:r>
            <w:r>
              <w:rPr>
                <w:rFonts w:ascii="Arial" w:hAnsi="Arial" w:cs="Arial" w:eastAsia="Arial" w:hint="default"/>
                <w:sz w:val="18"/>
                <w:szCs w:val="18"/>
              </w:rPr>
              <w:t>2019</w:t>
            </w:r>
            <w:r>
              <w:rPr>
                <w:rFonts w:ascii="Arial" w:hAnsi="Arial" w:cs="Arial" w:eastAsia="Arial" w:hint="default"/>
                <w:spacing w:val="-7"/>
                <w:sz w:val="18"/>
                <w:szCs w:val="18"/>
              </w:rPr>
              <w:t> </w:t>
            </w:r>
            <w:r>
              <w:rPr>
                <w:rFonts w:ascii="宋体" w:hAnsi="宋体" w:cs="宋体" w:eastAsia="宋体" w:hint="default"/>
                <w:sz w:val="18"/>
                <w:szCs w:val="18"/>
              </w:rPr>
              <w:t>年年报及以</w:t>
            </w:r>
          </w:p>
        </w:tc>
        <w:tc>
          <w:tcPr>
            <w:tcW w:w="2056" w:type="dxa"/>
            <w:vMerge/>
            <w:tcBorders>
              <w:left w:val="single" w:sz="4" w:space="0" w:color="000000"/>
              <w:right w:val="single" w:sz="4" w:space="0" w:color="000000"/>
            </w:tcBorders>
          </w:tcPr>
          <w:p>
            <w:pPr/>
          </w:p>
        </w:tc>
      </w:tr>
      <w:tr>
        <w:trPr>
          <w:trHeight w:val="313" w:hRule="exact"/>
        </w:trPr>
        <w:tc>
          <w:tcPr>
            <w:tcW w:w="4396" w:type="dxa"/>
            <w:tcBorders>
              <w:top w:val="nil" w:sz="6" w:space="0" w:color="auto"/>
              <w:left w:val="single" w:sz="4" w:space="0" w:color="000000"/>
              <w:bottom w:val="nil" w:sz="6" w:space="0" w:color="auto"/>
              <w:right w:val="single" w:sz="13" w:space="0" w:color="FFFFFF"/>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《财政部关于修订印发</w:t>
            </w:r>
            <w:r>
              <w:rPr>
                <w:rFonts w:ascii="宋体" w:hAnsi="宋体" w:cs="宋体" w:eastAsia="宋体" w:hint="default"/>
                <w:spacing w:val="-47"/>
                <w:sz w:val="18"/>
                <w:szCs w:val="18"/>
              </w:rPr>
              <w:t> </w:t>
            </w:r>
            <w:r>
              <w:rPr>
                <w:rFonts w:ascii="Arial" w:hAnsi="Arial" w:cs="Arial" w:eastAsia="Arial" w:hint="default"/>
                <w:sz w:val="18"/>
                <w:szCs w:val="18"/>
              </w:rPr>
              <w:t>2018</w:t>
            </w:r>
            <w:r>
              <w:rPr>
                <w:rFonts w:ascii="Arial" w:hAnsi="Arial" w:cs="Arial" w:eastAsia="Arial" w:hint="default"/>
                <w:spacing w:val="-6"/>
                <w:sz w:val="18"/>
                <w:szCs w:val="18"/>
              </w:rPr>
              <w:t> </w:t>
            </w:r>
            <w:r>
              <w:rPr>
                <w:rFonts w:ascii="宋体" w:hAnsi="宋体" w:cs="宋体" w:eastAsia="宋体" w:hint="default"/>
                <w:sz w:val="18"/>
                <w:szCs w:val="18"/>
              </w:rPr>
              <w:t>年度合并财务报表格式的</w:t>
            </w:r>
          </w:p>
        </w:tc>
        <w:tc>
          <w:tcPr>
            <w:tcW w:w="3118" w:type="dxa"/>
            <w:tcBorders>
              <w:top w:val="nil" w:sz="6" w:space="0" w:color="auto"/>
              <w:left w:val="single" w:sz="13" w:space="0" w:color="FFFFFF"/>
              <w:bottom w:val="nil" w:sz="6" w:space="0" w:color="auto"/>
              <w:right w:val="single" w:sz="4" w:space="0" w:color="000000"/>
            </w:tcBorders>
          </w:tcPr>
          <w:p>
            <w:pPr>
              <w:pStyle w:val="TableParagraph"/>
              <w:spacing w:line="240" w:lineRule="auto" w:before="6"/>
              <w:ind w:left="11" w:right="0"/>
              <w:jc w:val="left"/>
              <w:rPr>
                <w:rFonts w:ascii="宋体" w:hAnsi="宋体" w:cs="宋体" w:eastAsia="宋体" w:hint="default"/>
                <w:sz w:val="18"/>
                <w:szCs w:val="18"/>
              </w:rPr>
            </w:pPr>
            <w:r>
              <w:rPr>
                <w:rFonts w:ascii="宋体" w:hAnsi="宋体" w:cs="宋体" w:eastAsia="宋体" w:hint="default"/>
                <w:sz w:val="18"/>
                <w:szCs w:val="18"/>
              </w:rPr>
              <w:t>后期间合并报表按新报表格式，对会计</w:t>
            </w:r>
          </w:p>
        </w:tc>
        <w:tc>
          <w:tcPr>
            <w:tcW w:w="2056" w:type="dxa"/>
            <w:vMerge/>
            <w:tcBorders>
              <w:left w:val="single" w:sz="4" w:space="0" w:color="000000"/>
              <w:right w:val="single" w:sz="4" w:space="0" w:color="000000"/>
            </w:tcBorders>
          </w:tcPr>
          <w:p>
            <w:pPr/>
          </w:p>
        </w:tc>
      </w:tr>
      <w:tr>
        <w:trPr>
          <w:trHeight w:val="352" w:hRule="exact"/>
        </w:trPr>
        <w:tc>
          <w:tcPr>
            <w:tcW w:w="4396" w:type="dxa"/>
            <w:tcBorders>
              <w:top w:val="nil" w:sz="6" w:space="0" w:color="auto"/>
              <w:left w:val="single" w:sz="4" w:space="0" w:color="000000"/>
              <w:bottom w:val="single" w:sz="4" w:space="0" w:color="000000"/>
              <w:right w:val="single" w:sz="13" w:space="0" w:color="FFFFFF"/>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通知</w:t>
            </w:r>
            <w:r>
              <w:rPr>
                <w:rFonts w:ascii="宋体" w:hAnsi="宋体" w:cs="宋体" w:eastAsia="宋体" w:hint="default"/>
                <w:spacing w:val="-90"/>
                <w:sz w:val="18"/>
                <w:szCs w:val="18"/>
              </w:rPr>
              <w:t>》</w:t>
            </w:r>
            <w:r>
              <w:rPr>
                <w:rFonts w:ascii="宋体" w:hAnsi="宋体" w:cs="宋体" w:eastAsia="宋体" w:hint="default"/>
                <w:sz w:val="18"/>
                <w:szCs w:val="18"/>
              </w:rPr>
              <w:t>（财会</w:t>
            </w:r>
            <w:r>
              <w:rPr>
                <w:rFonts w:ascii="Arial" w:hAnsi="Arial" w:cs="Arial" w:eastAsia="Arial" w:hint="default"/>
                <w:spacing w:val="-1"/>
                <w:sz w:val="18"/>
                <w:szCs w:val="18"/>
              </w:rPr>
              <w:t>[2019</w:t>
            </w:r>
            <w:r>
              <w:rPr>
                <w:rFonts w:ascii="Arial" w:hAnsi="Arial" w:cs="Arial" w:eastAsia="Arial" w:hint="default"/>
                <w:spacing w:val="1"/>
                <w:sz w:val="18"/>
                <w:szCs w:val="18"/>
              </w:rPr>
              <w:t>]</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号）同</w:t>
            </w:r>
            <w:r>
              <w:rPr>
                <w:rFonts w:ascii="宋体" w:hAnsi="宋体" w:cs="宋体" w:eastAsia="宋体" w:hint="default"/>
                <w:spacing w:val="1"/>
                <w:sz w:val="18"/>
                <w:szCs w:val="18"/>
              </w:rPr>
              <w:t>时</w:t>
            </w:r>
            <w:r>
              <w:rPr>
                <w:rFonts w:ascii="宋体" w:hAnsi="宋体" w:cs="宋体" w:eastAsia="宋体" w:hint="default"/>
                <w:sz w:val="18"/>
                <w:szCs w:val="18"/>
              </w:rPr>
              <w:t>废止。</w:t>
            </w:r>
          </w:p>
        </w:tc>
        <w:tc>
          <w:tcPr>
            <w:tcW w:w="3118" w:type="dxa"/>
            <w:tcBorders>
              <w:top w:val="nil" w:sz="6" w:space="0" w:color="auto"/>
              <w:left w:val="single" w:sz="13" w:space="0" w:color="FFFFFF"/>
              <w:bottom w:val="single" w:sz="4" w:space="0" w:color="000000"/>
              <w:right w:val="single" w:sz="4" w:space="0" w:color="000000"/>
            </w:tcBorders>
          </w:tcPr>
          <w:p>
            <w:pPr>
              <w:pStyle w:val="TableParagraph"/>
              <w:spacing w:line="240" w:lineRule="auto" w:before="6"/>
              <w:ind w:left="11" w:right="0"/>
              <w:jc w:val="left"/>
              <w:rPr>
                <w:rFonts w:ascii="宋体" w:hAnsi="宋体" w:cs="宋体" w:eastAsia="宋体" w:hint="default"/>
                <w:sz w:val="18"/>
                <w:szCs w:val="18"/>
              </w:rPr>
            </w:pPr>
            <w:r>
              <w:rPr>
                <w:rFonts w:ascii="宋体" w:hAnsi="宋体" w:cs="宋体" w:eastAsia="宋体" w:hint="default"/>
                <w:sz w:val="18"/>
                <w:szCs w:val="18"/>
              </w:rPr>
              <w:t>政策相关内容进行了调整。</w:t>
            </w:r>
          </w:p>
        </w:tc>
        <w:tc>
          <w:tcPr>
            <w:tcW w:w="2056" w:type="dxa"/>
            <w:vMerge/>
            <w:tcBorders>
              <w:left w:val="single" w:sz="4" w:space="0" w:color="000000"/>
              <w:bottom w:val="single" w:sz="4" w:space="0" w:color="000000"/>
              <w:right w:val="single" w:sz="4" w:space="0" w:color="000000"/>
            </w:tcBorders>
          </w:tcPr>
          <w:p>
            <w:pPr/>
          </w:p>
        </w:tc>
      </w:tr>
    </w:tbl>
    <w:p>
      <w:pPr>
        <w:pStyle w:val="BodyText"/>
        <w:spacing w:line="240" w:lineRule="auto" w:before="10"/>
        <w:ind w:left="514" w:right="2239"/>
        <w:jc w:val="left"/>
      </w:pPr>
      <w:r>
        <w:rPr/>
        <w:pict>
          <v:group style="position:absolute;margin-left:277.859985pt;margin-top:-108.447899pt;width:153.1pt;height:33.2pt;mso-position-horizontal-relative:page;mso-position-vertical-relative:paragraph;z-index:-1406104" coordorigin="5557,-2169" coordsize="3062,664">
            <v:group style="position:absolute;left:5557;top:-2169;width:3062;height:312" coordorigin="5557,-2169" coordsize="3062,312">
              <v:shape style="position:absolute;left:5557;top:-2169;width:3062;height:312" coordorigin="5557,-2169" coordsize="3062,312" path="m5557,-1857l8618,-1857,8618,-2169,5557,-2169,5557,-1857xe" filled="true" fillcolor="#ffffff" stroked="false">
                <v:path arrowok="t"/>
                <v:fill type="solid"/>
              </v:shape>
            </v:group>
            <v:group style="position:absolute;left:5557;top:-1857;width:3062;height:352" coordorigin="5557,-1857" coordsize="3062,352">
              <v:shape style="position:absolute;left:5557;top:-1857;width:3062;height:352" coordorigin="5557,-1857" coordsize="3062,352" path="m5557,-1505l8618,-1505,8618,-1857,5557,-1857,5557,-1505xe" filled="true" fillcolor="#ffffff" stroked="false">
                <v:path arrowok="t"/>
                <v:fill type="solid"/>
              </v:shape>
            </v:group>
            <w10:wrap type="none"/>
          </v:group>
        </w:pict>
      </w:r>
      <w:r>
        <w:rPr/>
        <w:pict>
          <v:group style="position:absolute;margin-left:277.859985pt;margin-top:-49.347897pt;width:153.1pt;height:15.6pt;mso-position-horizontal-relative:page;mso-position-vertical-relative:paragraph;z-index:-1406080" coordorigin="5557,-987" coordsize="3062,312">
            <v:shape style="position:absolute;left:5557;top:-987;width:3062;height:312" coordorigin="5557,-987" coordsize="3062,312" path="m5557,-675l8618,-675,8618,-987,5557,-987,5557,-675xe" filled="true" fillcolor="#ffffff" stroked="false">
              <v:path arrowok="t"/>
              <v:fill type="solid"/>
            </v:shape>
            <w10:wrap type="none"/>
          </v:group>
        </w:pict>
      </w:r>
      <w:r>
        <w:rPr/>
        <w:t>①新金融工具准则</w:t>
      </w:r>
    </w:p>
    <w:p>
      <w:pPr>
        <w:spacing w:line="240" w:lineRule="auto" w:before="5"/>
        <w:rPr>
          <w:rFonts w:ascii="宋体" w:hAnsi="宋体" w:cs="宋体" w:eastAsia="宋体" w:hint="default"/>
          <w:sz w:val="22"/>
          <w:szCs w:val="22"/>
        </w:rPr>
      </w:pPr>
    </w:p>
    <w:p>
      <w:pPr>
        <w:pStyle w:val="BodyText"/>
        <w:spacing w:line="302" w:lineRule="auto"/>
        <w:ind w:right="1037" w:firstLine="360"/>
        <w:jc w:val="left"/>
      </w:pPr>
      <w:r>
        <w:rPr/>
        <w:t>财政部于</w:t>
      </w:r>
      <w:r>
        <w:rPr>
          <w:rFonts w:ascii="Arial" w:hAnsi="Arial" w:cs="Arial" w:eastAsia="Arial" w:hint="default"/>
        </w:rPr>
        <w:t>2017</w:t>
      </w:r>
      <w:r>
        <w:rPr/>
        <w:t>年颁布了《企业会计准则第</w:t>
      </w:r>
      <w:r>
        <w:rPr>
          <w:rFonts w:ascii="Arial" w:hAnsi="Arial" w:cs="Arial" w:eastAsia="Arial" w:hint="default"/>
        </w:rPr>
        <w:t>22</w:t>
      </w:r>
      <w:r>
        <w:rPr/>
        <w:t>号</w:t>
      </w:r>
      <w:r>
        <w:rPr>
          <w:rFonts w:ascii="Arial" w:hAnsi="Arial" w:cs="Arial" w:eastAsia="Arial" w:hint="default"/>
        </w:rPr>
        <w:t>——</w:t>
      </w:r>
      <w:r>
        <w:rPr/>
        <w:t>金融工具确认和计量（修订）》、《企业会计准则第</w:t>
      </w:r>
      <w:r>
        <w:rPr>
          <w:rFonts w:ascii="Arial" w:hAnsi="Arial" w:cs="Arial" w:eastAsia="Arial" w:hint="default"/>
        </w:rPr>
        <w:t>23</w:t>
      </w:r>
      <w:r>
        <w:rPr/>
        <w:t>号</w:t>
      </w:r>
      <w:r>
        <w:rPr>
          <w:rFonts w:ascii="Arial" w:hAnsi="Arial" w:cs="Arial" w:eastAsia="Arial" w:hint="default"/>
        </w:rPr>
        <w:t>——</w:t>
      </w:r>
      <w:r>
        <w:rPr/>
        <w:t>金融 </w:t>
      </w:r>
      <w:r>
        <w:rPr>
          <w:spacing w:val="-4"/>
        </w:rPr>
        <w:t>资产转移（修订）》、《企业会计准则第</w:t>
      </w:r>
      <w:r>
        <w:rPr>
          <w:rFonts w:ascii="Arial" w:hAnsi="Arial" w:cs="Arial" w:eastAsia="Arial" w:hint="default"/>
          <w:spacing w:val="-4"/>
        </w:rPr>
        <w:t>24</w:t>
      </w:r>
      <w:r>
        <w:rPr>
          <w:spacing w:val="-4"/>
        </w:rPr>
        <w:t>号</w:t>
      </w:r>
      <w:r>
        <w:rPr>
          <w:rFonts w:ascii="Arial" w:hAnsi="Arial" w:cs="Arial" w:eastAsia="Arial" w:hint="default"/>
          <w:spacing w:val="-4"/>
        </w:rPr>
        <w:t>——</w:t>
      </w:r>
      <w:r>
        <w:rPr>
          <w:spacing w:val="-4"/>
        </w:rPr>
        <w:t>套期会计（修订）》及《企业会计准则第</w:t>
      </w:r>
      <w:r>
        <w:rPr>
          <w:rFonts w:ascii="Arial" w:hAnsi="Arial" w:cs="Arial" w:eastAsia="Arial" w:hint="default"/>
          <w:spacing w:val="-4"/>
        </w:rPr>
        <w:t>37</w:t>
      </w:r>
      <w:r>
        <w:rPr>
          <w:spacing w:val="-4"/>
        </w:rPr>
        <w:t>号</w:t>
      </w:r>
      <w:r>
        <w:rPr>
          <w:rFonts w:ascii="Arial" w:hAnsi="Arial" w:cs="Arial" w:eastAsia="Arial" w:hint="default"/>
          <w:spacing w:val="-4"/>
        </w:rPr>
        <w:t>——</w:t>
      </w:r>
      <w:r>
        <w:rPr>
          <w:spacing w:val="-4"/>
        </w:rPr>
        <w:t>金融工具列报（修订）》</w:t>
      </w:r>
    </w:p>
    <w:p>
      <w:pPr>
        <w:pStyle w:val="BodyText"/>
        <w:spacing w:line="302" w:lineRule="auto" w:before="11"/>
        <w:ind w:left="153" w:right="0"/>
        <w:jc w:val="left"/>
      </w:pPr>
      <w:r>
        <w:rPr>
          <w:spacing w:val="-2"/>
        </w:rPr>
        <w:t>（以下统称</w:t>
      </w:r>
      <w:r>
        <w:rPr>
          <w:rFonts w:ascii="Arial" w:hAnsi="Arial" w:cs="Arial" w:eastAsia="Arial" w:hint="default"/>
          <w:spacing w:val="-2"/>
        </w:rPr>
        <w:t>“</w:t>
      </w:r>
      <w:r>
        <w:rPr>
          <w:spacing w:val="-2"/>
        </w:rPr>
        <w:t>新金融工具准则</w:t>
      </w:r>
      <w:r>
        <w:rPr>
          <w:rFonts w:ascii="Arial" w:hAnsi="Arial" w:cs="Arial" w:eastAsia="Arial" w:hint="default"/>
          <w:spacing w:val="-2"/>
        </w:rPr>
        <w:t>”</w:t>
      </w:r>
      <w:r>
        <w:rPr>
          <w:spacing w:val="-2"/>
        </w:rPr>
        <w:t>），本公司于</w:t>
      </w:r>
      <w:r>
        <w:rPr>
          <w:rFonts w:ascii="Arial" w:hAnsi="Arial" w:cs="Arial" w:eastAsia="Arial" w:hint="default"/>
          <w:spacing w:val="-2"/>
        </w:rPr>
        <w:t>2019</w:t>
      </w:r>
      <w:r>
        <w:rPr>
          <w:spacing w:val="-2"/>
        </w:rPr>
        <w:t>年</w:t>
      </w:r>
      <w:r>
        <w:rPr>
          <w:rFonts w:ascii="Arial" w:hAnsi="Arial" w:cs="Arial" w:eastAsia="Arial" w:hint="default"/>
          <w:spacing w:val="-2"/>
        </w:rPr>
        <w:t>8</w:t>
      </w:r>
      <w:r>
        <w:rPr>
          <w:spacing w:val="-2"/>
        </w:rPr>
        <w:t>月</w:t>
      </w:r>
      <w:r>
        <w:rPr>
          <w:rFonts w:ascii="Arial" w:hAnsi="Arial" w:cs="Arial" w:eastAsia="Arial" w:hint="default"/>
          <w:spacing w:val="-2"/>
        </w:rPr>
        <w:t>22</w:t>
      </w:r>
      <w:r>
        <w:rPr>
          <w:spacing w:val="-2"/>
        </w:rPr>
        <w:t>日召开的第四届董事会第十八次会议，批准自</w:t>
      </w:r>
      <w:r>
        <w:rPr>
          <w:rFonts w:ascii="Arial" w:hAnsi="Arial" w:cs="Arial" w:eastAsia="Arial" w:hint="default"/>
          <w:spacing w:val="-2"/>
        </w:rPr>
        <w:t>2019</w:t>
      </w:r>
      <w:r>
        <w:rPr>
          <w:spacing w:val="-2"/>
        </w:rPr>
        <w:t>年</w:t>
      </w:r>
      <w:r>
        <w:rPr>
          <w:rFonts w:ascii="Arial" w:hAnsi="Arial" w:cs="Arial" w:eastAsia="Arial" w:hint="default"/>
          <w:spacing w:val="-2"/>
        </w:rPr>
        <w:t>1</w:t>
      </w:r>
      <w:r>
        <w:rPr>
          <w:spacing w:val="-2"/>
        </w:rPr>
        <w:t>月</w:t>
      </w:r>
      <w:r>
        <w:rPr>
          <w:rFonts w:ascii="Arial" w:hAnsi="Arial" w:cs="Arial" w:eastAsia="Arial" w:hint="default"/>
          <w:spacing w:val="-2"/>
        </w:rPr>
        <w:t>1</w:t>
      </w:r>
      <w:r>
        <w:rPr>
          <w:spacing w:val="-2"/>
        </w:rPr>
        <w:t>日起执行</w:t>
      </w:r>
      <w:r>
        <w:rPr>
          <w:spacing w:val="-41"/>
        </w:rPr>
        <w:t> </w:t>
      </w:r>
      <w:r>
        <w:rPr>
          <w:spacing w:val="-41"/>
        </w:rPr>
      </w:r>
      <w:r>
        <w:rPr/>
        <w:t>新金融工具准则，对会计政策相关内容进行了调整。变更后的会计政策参见附注三、</w:t>
      </w:r>
      <w:r>
        <w:rPr>
          <w:rFonts w:ascii="Arial" w:hAnsi="Arial" w:cs="Arial" w:eastAsia="Arial" w:hint="default"/>
        </w:rPr>
        <w:t>9</w:t>
      </w:r>
      <w:r>
        <w:rPr/>
        <w:t>。</w:t>
      </w:r>
    </w:p>
    <w:p>
      <w:pPr>
        <w:spacing w:line="240" w:lineRule="auto" w:before="5"/>
        <w:rPr>
          <w:rFonts w:ascii="宋体" w:hAnsi="宋体" w:cs="宋体" w:eastAsia="宋体" w:hint="default"/>
          <w:sz w:val="17"/>
          <w:szCs w:val="17"/>
        </w:rPr>
      </w:pPr>
    </w:p>
    <w:p>
      <w:pPr>
        <w:pStyle w:val="BodyText"/>
        <w:spacing w:line="307" w:lineRule="auto"/>
        <w:ind w:left="153" w:right="1037" w:firstLine="360"/>
        <w:jc w:val="left"/>
      </w:pPr>
      <w:r>
        <w:rPr>
          <w:spacing w:val="-2"/>
        </w:rPr>
        <w:t>新金融工具准则要求根据管理金融资产的业务模式和金融资产的合同现金流量特征，将金融资产划分为以下三类：（</w:t>
      </w:r>
      <w:r>
        <w:rPr>
          <w:rFonts w:ascii="Arial" w:hAnsi="Arial" w:cs="Arial" w:eastAsia="Arial" w:hint="default"/>
          <w:spacing w:val="-2"/>
        </w:rPr>
        <w:t>1</w:t>
      </w:r>
      <w:r>
        <w:rPr>
          <w:spacing w:val="-2"/>
        </w:rPr>
        <w:t>）</w:t>
      </w:r>
      <w:r>
        <w:rPr/>
        <w:t> 以摊余成本计量的金融资产；（</w:t>
      </w:r>
      <w:r>
        <w:rPr>
          <w:rFonts w:ascii="Arial" w:hAnsi="Arial" w:cs="Arial" w:eastAsia="Arial" w:hint="default"/>
        </w:rPr>
        <w:t>2</w:t>
      </w:r>
      <w:r>
        <w:rPr/>
        <w:t>）以公允价值计量且其变动计入其他综合收益的金融资产；（</w:t>
      </w:r>
      <w:r>
        <w:rPr>
          <w:rFonts w:ascii="Arial" w:hAnsi="Arial" w:cs="Arial" w:eastAsia="Arial" w:hint="default"/>
        </w:rPr>
        <w:t>3</w:t>
      </w:r>
      <w:r>
        <w:rPr/>
        <w:t>）以公允价值计量且其变</w:t>
      </w:r>
      <w:r>
        <w:rPr>
          <w:spacing w:val="-29"/>
        </w:rPr>
        <w:t> </w:t>
      </w:r>
      <w:r>
        <w:rPr>
          <w:spacing w:val="-29"/>
        </w:rPr>
      </w:r>
      <w:r>
        <w:rPr>
          <w:spacing w:val="-2"/>
        </w:rPr>
        <w:t>动计入当期损益的金融资产。混合合同包含的主合同属于金融资产的，不应从该混合合同中分拆嵌入衍生工具，而应当将该</w:t>
      </w:r>
      <w:r>
        <w:rPr>
          <w:spacing w:val="-66"/>
        </w:rPr>
        <w:t> </w:t>
      </w:r>
      <w:r>
        <w:rPr>
          <w:spacing w:val="-66"/>
        </w:rPr>
      </w:r>
      <w:r>
        <w:rPr/>
        <w:t>混合合同作为一个整体适用金融资产分类的相关规定。</w:t>
      </w:r>
    </w:p>
    <w:p>
      <w:pPr>
        <w:spacing w:line="240" w:lineRule="auto" w:before="7"/>
        <w:rPr>
          <w:rFonts w:ascii="宋体" w:hAnsi="宋体" w:cs="宋体" w:eastAsia="宋体" w:hint="default"/>
          <w:sz w:val="18"/>
          <w:szCs w:val="18"/>
        </w:rPr>
      </w:pPr>
    </w:p>
    <w:p>
      <w:pPr>
        <w:pStyle w:val="BodyText"/>
        <w:spacing w:line="240" w:lineRule="auto"/>
        <w:ind w:left="513" w:right="2239"/>
        <w:jc w:val="left"/>
      </w:pPr>
      <w:r>
        <w:rPr/>
        <w:t>除财务担保合同负债外，采用新金融工具准则对本集团金融负债的会计政策并无重大影响。</w:t>
      </w:r>
    </w:p>
    <w:p>
      <w:pPr>
        <w:spacing w:line="240" w:lineRule="auto" w:before="5"/>
        <w:rPr>
          <w:rFonts w:ascii="宋体" w:hAnsi="宋体" w:cs="宋体" w:eastAsia="宋体" w:hint="default"/>
          <w:sz w:val="22"/>
          <w:szCs w:val="22"/>
        </w:rPr>
      </w:pPr>
    </w:p>
    <w:p>
      <w:pPr>
        <w:pStyle w:val="BodyText"/>
        <w:spacing w:line="302" w:lineRule="auto"/>
        <w:ind w:right="0" w:firstLine="360"/>
        <w:jc w:val="left"/>
      </w:pPr>
      <w:r>
        <w:rPr>
          <w:rFonts w:ascii="Arial" w:hAnsi="Arial" w:cs="Arial" w:eastAsia="Arial" w:hint="default"/>
        </w:rPr>
        <w:t>2019</w:t>
      </w:r>
      <w:r>
        <w:rPr/>
        <w:t>年</w:t>
      </w:r>
      <w:r>
        <w:rPr>
          <w:rFonts w:ascii="Arial" w:hAnsi="Arial" w:cs="Arial" w:eastAsia="Arial" w:hint="default"/>
        </w:rPr>
        <w:t>1</w:t>
      </w:r>
      <w:r>
        <w:rPr/>
        <w:t>月</w:t>
      </w:r>
      <w:r>
        <w:rPr>
          <w:rFonts w:ascii="Arial" w:hAnsi="Arial" w:cs="Arial" w:eastAsia="Arial" w:hint="default"/>
        </w:rPr>
        <w:t>1</w:t>
      </w:r>
      <w:r>
        <w:rPr/>
        <w:t>日，本集团没有将任何金融资产或金融负债指定为以公允价值计量且其变动计入当期损益的金融资产或金</w:t>
      </w:r>
      <w:r>
        <w:rPr>
          <w:spacing w:val="1"/>
        </w:rPr>
        <w:t> </w:t>
      </w:r>
      <w:r>
        <w:rPr/>
        <w:t>融负债，也没有撤销之前的指定。</w:t>
      </w:r>
    </w:p>
    <w:p>
      <w:pPr>
        <w:spacing w:line="240" w:lineRule="auto" w:before="10"/>
        <w:rPr>
          <w:rFonts w:ascii="宋体" w:hAnsi="宋体" w:cs="宋体" w:eastAsia="宋体" w:hint="default"/>
          <w:sz w:val="18"/>
          <w:szCs w:val="18"/>
        </w:rPr>
      </w:pPr>
    </w:p>
    <w:p>
      <w:pPr>
        <w:pStyle w:val="BodyText"/>
        <w:spacing w:line="302" w:lineRule="auto"/>
        <w:ind w:left="153" w:right="0" w:firstLine="360"/>
        <w:jc w:val="left"/>
      </w:pPr>
      <w:r>
        <w:rPr>
          <w:spacing w:val="-2"/>
        </w:rPr>
        <w:t>新金融工具准则以</w:t>
      </w:r>
      <w:r>
        <w:rPr>
          <w:rFonts w:ascii="Arial" w:hAnsi="Arial" w:cs="Arial" w:eastAsia="Arial" w:hint="default"/>
          <w:spacing w:val="-2"/>
        </w:rPr>
        <w:t>“</w:t>
      </w:r>
      <w:r>
        <w:rPr>
          <w:spacing w:val="-2"/>
        </w:rPr>
        <w:t>预期信用损失法</w:t>
      </w:r>
      <w:r>
        <w:rPr>
          <w:rFonts w:ascii="Arial" w:hAnsi="Arial" w:cs="Arial" w:eastAsia="Arial" w:hint="default"/>
          <w:spacing w:val="-2"/>
        </w:rPr>
        <w:t>”</w:t>
      </w:r>
      <w:r>
        <w:rPr>
          <w:spacing w:val="-2"/>
        </w:rPr>
        <w:t>替代了原金融工具准则规定的、根据实际已发生减值损失确认减值准备的方法。</w:t>
      </w:r>
      <w:r>
        <w:rPr>
          <w:rFonts w:ascii="Arial" w:hAnsi="Arial" w:cs="Arial" w:eastAsia="Arial" w:hint="default"/>
          <w:spacing w:val="-2"/>
        </w:rPr>
        <w:t>“</w:t>
      </w:r>
      <w:r>
        <w:rPr>
          <w:spacing w:val="-2"/>
        </w:rPr>
        <w:t>预</w:t>
      </w:r>
      <w:r>
        <w:rPr/>
        <w:t> 期信用损失法</w:t>
      </w:r>
      <w:r>
        <w:rPr>
          <w:rFonts w:ascii="Arial" w:hAnsi="Arial" w:cs="Arial" w:eastAsia="Arial" w:hint="default"/>
        </w:rPr>
        <w:t>”</w:t>
      </w:r>
      <w:r>
        <w:rPr/>
        <w:t>模型要求持续评估金融资产的信用风险，因此在新金融工具准则下，本集团信用损失的确认时点早于原金融</w:t>
      </w:r>
    </w:p>
    <w:p>
      <w:pPr>
        <w:spacing w:after="0" w:line="302"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653" w:right="1171"/>
        <w:jc w:val="left"/>
      </w:pPr>
      <w:r>
        <w:rPr/>
        <w:t>工具准则。</w:t>
      </w:r>
    </w:p>
    <w:p>
      <w:pPr>
        <w:spacing w:line="240" w:lineRule="auto" w:before="5"/>
        <w:rPr>
          <w:rFonts w:ascii="宋体" w:hAnsi="宋体" w:cs="宋体" w:eastAsia="宋体" w:hint="default"/>
          <w:sz w:val="22"/>
          <w:szCs w:val="22"/>
        </w:rPr>
      </w:pPr>
    </w:p>
    <w:p>
      <w:pPr>
        <w:pStyle w:val="BodyText"/>
        <w:spacing w:line="240" w:lineRule="auto"/>
        <w:ind w:left="1013" w:right="1171"/>
        <w:jc w:val="left"/>
      </w:pPr>
      <w:r>
        <w:rPr/>
        <w:t>本集团以预期信用损失为基础，对下列项目进行减值会计处理并确认损失准备：</w:t>
      </w:r>
    </w:p>
    <w:p>
      <w:pPr>
        <w:spacing w:line="240" w:lineRule="auto" w:before="5"/>
        <w:rPr>
          <w:rFonts w:ascii="宋体" w:hAnsi="宋体" w:cs="宋体" w:eastAsia="宋体" w:hint="default"/>
          <w:sz w:val="22"/>
          <w:szCs w:val="22"/>
        </w:rPr>
      </w:pPr>
    </w:p>
    <w:p>
      <w:pPr>
        <w:pStyle w:val="BodyText"/>
        <w:spacing w:line="240" w:lineRule="auto"/>
        <w:ind w:left="1013" w:right="1171"/>
        <w:jc w:val="left"/>
      </w:pPr>
      <w:r>
        <w:rPr/>
        <w:t>·</w:t>
      </w:r>
      <w:r>
        <w:rPr>
          <w:spacing w:val="79"/>
        </w:rPr>
        <w:t> </w:t>
      </w:r>
      <w:r>
        <w:rPr/>
        <w:t>以摊余成本计量的金融资产；</w:t>
      </w:r>
    </w:p>
    <w:p>
      <w:pPr>
        <w:pStyle w:val="BodyText"/>
        <w:spacing w:line="240" w:lineRule="auto" w:before="76"/>
        <w:ind w:left="1013" w:right="1171"/>
        <w:jc w:val="left"/>
      </w:pPr>
      <w:r>
        <w:rPr/>
        <w:t>·</w:t>
      </w:r>
      <w:r>
        <w:rPr>
          <w:spacing w:val="79"/>
        </w:rPr>
        <w:t> </w:t>
      </w:r>
      <w:r>
        <w:rPr/>
        <w:t>以公允价值计量且其变动计入其他综合收益的应收款项和债权投资；</w:t>
      </w:r>
    </w:p>
    <w:p>
      <w:pPr>
        <w:pStyle w:val="BodyText"/>
        <w:spacing w:line="240" w:lineRule="auto" w:before="76"/>
        <w:ind w:left="1013" w:right="1171"/>
        <w:jc w:val="left"/>
      </w:pPr>
      <w:r>
        <w:rPr/>
        <w:t>·</w:t>
      </w:r>
      <w:r>
        <w:rPr>
          <w:spacing w:val="79"/>
        </w:rPr>
        <w:t> </w:t>
      </w:r>
      <w:r>
        <w:rPr/>
        <w:t>租赁应收款；</w:t>
      </w:r>
    </w:p>
    <w:p>
      <w:pPr>
        <w:pStyle w:val="BodyText"/>
        <w:spacing w:line="316" w:lineRule="auto" w:before="76"/>
        <w:ind w:left="653" w:right="1171" w:firstLine="420"/>
        <w:jc w:val="left"/>
      </w:pPr>
      <w:r>
        <w:rPr/>
        <w:t>·</w:t>
      </w:r>
      <w:r>
        <w:rPr>
          <w:spacing w:val="-48"/>
        </w:rPr>
        <w:t> </w:t>
      </w:r>
      <w:r>
        <w:rPr/>
        <w:t>财务担保合同（以公允价值计量且其变动计入当期损益、金融资产转移不符合终止确认条件或继续涉入被转移金融</w:t>
      </w:r>
      <w:r>
        <w:rPr/>
        <w:t> 资产所形成的除外）。</w:t>
      </w:r>
    </w:p>
    <w:p>
      <w:pPr>
        <w:pStyle w:val="BodyText"/>
        <w:spacing w:line="309" w:lineRule="auto" w:before="19"/>
        <w:ind w:left="653" w:right="1130" w:firstLine="360"/>
        <w:jc w:val="both"/>
      </w:pPr>
      <w:r>
        <w:rPr>
          <w:spacing w:val="-2"/>
        </w:rPr>
        <w:t>本集团按照新金融工具准则的规定，除某些特定情形外，对金融工具的分类和计量（含减值）进行追溯调整，将金融工</w:t>
      </w:r>
      <w:r>
        <w:rPr/>
        <w:t> 具原账面价值和在新金融工具准则施行日（即</w:t>
      </w:r>
      <w:r>
        <w:rPr>
          <w:rFonts w:ascii="Arial" w:hAnsi="Arial" w:cs="Arial" w:eastAsia="Arial" w:hint="default"/>
        </w:rPr>
        <w:t>2019</w:t>
      </w:r>
      <w:r>
        <w:rPr/>
        <w:t>年</w:t>
      </w:r>
      <w:r>
        <w:rPr>
          <w:rFonts w:ascii="Arial" w:hAnsi="Arial" w:cs="Arial" w:eastAsia="Arial" w:hint="default"/>
        </w:rPr>
        <w:t>1</w:t>
      </w:r>
      <w:r>
        <w:rPr/>
        <w:t>月</w:t>
      </w:r>
      <w:r>
        <w:rPr>
          <w:rFonts w:ascii="Arial" w:hAnsi="Arial" w:cs="Arial" w:eastAsia="Arial" w:hint="default"/>
        </w:rPr>
        <w:t>1</w:t>
      </w:r>
      <w:r>
        <w:rPr/>
        <w:t>日）的新账面价值之间的差额计入</w:t>
      </w:r>
      <w:r>
        <w:rPr>
          <w:rFonts w:ascii="Arial" w:hAnsi="Arial" w:cs="Arial" w:eastAsia="Arial" w:hint="default"/>
        </w:rPr>
        <w:t>2019</w:t>
      </w:r>
      <w:r>
        <w:rPr/>
        <w:t>年年初留存收益或其他综 合收益。同时，本集团未对比较财务报表数据进行调整。</w:t>
      </w:r>
    </w:p>
    <w:p>
      <w:pPr>
        <w:spacing w:line="240" w:lineRule="auto" w:before="5"/>
        <w:rPr>
          <w:rFonts w:ascii="宋体" w:hAnsi="宋体" w:cs="宋体" w:eastAsia="宋体" w:hint="default"/>
          <w:sz w:val="18"/>
          <w:szCs w:val="18"/>
        </w:rPr>
      </w:pPr>
    </w:p>
    <w:p>
      <w:pPr>
        <w:pStyle w:val="BodyText"/>
        <w:spacing w:line="240" w:lineRule="auto"/>
        <w:ind w:left="1013" w:right="1171"/>
        <w:jc w:val="left"/>
      </w:pPr>
      <w:r>
        <w:rPr/>
        <w:t>于</w:t>
      </w:r>
      <w:r>
        <w:rPr>
          <w:rFonts w:ascii="Arial" w:hAnsi="Arial" w:cs="Arial" w:eastAsia="Arial" w:hint="default"/>
        </w:rPr>
        <w:t>2019</w:t>
      </w:r>
      <w:r>
        <w:rPr/>
        <w:t>年</w:t>
      </w:r>
      <w:r>
        <w:rPr>
          <w:rFonts w:ascii="Arial" w:hAnsi="Arial" w:cs="Arial" w:eastAsia="Arial" w:hint="default"/>
        </w:rPr>
        <w:t>1</w:t>
      </w:r>
      <w:r>
        <w:rPr/>
        <w:t>月</w:t>
      </w:r>
      <w:r>
        <w:rPr>
          <w:rFonts w:ascii="Arial" w:hAnsi="Arial" w:cs="Arial" w:eastAsia="Arial" w:hint="default"/>
        </w:rPr>
        <w:t>1</w:t>
      </w:r>
      <w:r>
        <w:rPr/>
        <w:t>日，金融资产按照原金融工具准则和新金融工具准则的规定进行分类和计量的结果对比如下：</w:t>
      </w:r>
    </w:p>
    <w:p>
      <w:pPr>
        <w:spacing w:line="240" w:lineRule="auto" w:before="7"/>
        <w:rPr>
          <w:rFonts w:ascii="宋体" w:hAnsi="宋体" w:cs="宋体" w:eastAsia="宋体" w:hint="default"/>
          <w:sz w:val="20"/>
          <w:szCs w:val="20"/>
        </w:rPr>
      </w:pPr>
    </w:p>
    <w:tbl>
      <w:tblPr>
        <w:tblW w:w="0" w:type="auto"/>
        <w:jc w:val="left"/>
        <w:tblInd w:w="113" w:type="dxa"/>
        <w:tblLayout w:type="fixed"/>
        <w:tblCellMar>
          <w:top w:w="0" w:type="dxa"/>
          <w:left w:w="0" w:type="dxa"/>
          <w:bottom w:w="0" w:type="dxa"/>
          <w:right w:w="0" w:type="dxa"/>
        </w:tblCellMar>
        <w:tblLook w:val="01E0"/>
      </w:tblPr>
      <w:tblGrid>
        <w:gridCol w:w="1100"/>
        <w:gridCol w:w="2126"/>
        <w:gridCol w:w="1842"/>
        <w:gridCol w:w="1985"/>
        <w:gridCol w:w="1843"/>
        <w:gridCol w:w="1806"/>
      </w:tblGrid>
      <w:tr>
        <w:trPr>
          <w:trHeight w:val="347" w:hRule="exact"/>
        </w:trPr>
        <w:tc>
          <w:tcPr>
            <w:tcW w:w="5069"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907" w:right="0"/>
              <w:jc w:val="left"/>
              <w:rPr>
                <w:rFonts w:ascii="宋体" w:hAnsi="宋体" w:cs="宋体" w:eastAsia="宋体" w:hint="default"/>
                <w:sz w:val="18"/>
                <w:szCs w:val="18"/>
              </w:rPr>
            </w:pPr>
            <w:r>
              <w:rPr>
                <w:rFonts w:ascii="宋体" w:hAnsi="宋体" w:cs="宋体" w:eastAsia="宋体" w:hint="default"/>
                <w:sz w:val="18"/>
                <w:szCs w:val="18"/>
              </w:rPr>
              <w:t>原金融工具准则</w:t>
            </w:r>
          </w:p>
        </w:tc>
        <w:tc>
          <w:tcPr>
            <w:tcW w:w="5634"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3189" w:right="0"/>
              <w:jc w:val="left"/>
              <w:rPr>
                <w:rFonts w:ascii="宋体" w:hAnsi="宋体" w:cs="宋体" w:eastAsia="宋体" w:hint="default"/>
                <w:sz w:val="18"/>
                <w:szCs w:val="18"/>
              </w:rPr>
            </w:pPr>
            <w:r>
              <w:rPr>
                <w:rFonts w:ascii="宋体" w:hAnsi="宋体" w:cs="宋体" w:eastAsia="宋体" w:hint="default"/>
                <w:sz w:val="18"/>
                <w:szCs w:val="18"/>
              </w:rPr>
              <w:t>新金融工具准则</w:t>
            </w:r>
          </w:p>
        </w:tc>
      </w:tr>
      <w:tr>
        <w:trPr>
          <w:trHeight w:val="347" w:hRule="exact"/>
        </w:trPr>
        <w:tc>
          <w:tcPr>
            <w:tcW w:w="11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21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84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83" w:right="0"/>
              <w:jc w:val="left"/>
              <w:rPr>
                <w:rFonts w:ascii="宋体" w:hAnsi="宋体" w:cs="宋体" w:eastAsia="宋体" w:hint="default"/>
                <w:sz w:val="18"/>
                <w:szCs w:val="18"/>
              </w:rPr>
            </w:pPr>
            <w:r>
              <w:rPr>
                <w:rFonts w:ascii="宋体" w:hAnsi="宋体" w:cs="宋体" w:eastAsia="宋体" w:hint="default"/>
                <w:sz w:val="18"/>
                <w:szCs w:val="18"/>
              </w:rPr>
              <w:t>账面价值（元）</w:t>
            </w:r>
          </w:p>
        </w:tc>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项 目</w:t>
            </w:r>
          </w:p>
        </w:tc>
        <w:tc>
          <w:tcPr>
            <w:tcW w:w="18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80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65" w:right="0"/>
              <w:jc w:val="left"/>
              <w:rPr>
                <w:rFonts w:ascii="宋体" w:hAnsi="宋体" w:cs="宋体" w:eastAsia="宋体" w:hint="default"/>
                <w:sz w:val="18"/>
                <w:szCs w:val="18"/>
              </w:rPr>
            </w:pPr>
            <w:r>
              <w:rPr>
                <w:rFonts w:ascii="宋体" w:hAnsi="宋体" w:cs="宋体" w:eastAsia="宋体" w:hint="default"/>
                <w:sz w:val="18"/>
                <w:szCs w:val="18"/>
              </w:rPr>
              <w:t>账面价值（元）</w:t>
            </w:r>
          </w:p>
        </w:tc>
      </w:tr>
      <w:tr>
        <w:trPr>
          <w:trHeight w:val="971" w:hRule="exact"/>
        </w:trPr>
        <w:tc>
          <w:tcPr>
            <w:tcW w:w="110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316" w:lineRule="auto"/>
              <w:ind w:left="2" w:right="1"/>
              <w:jc w:val="left"/>
              <w:rPr>
                <w:rFonts w:ascii="宋体" w:hAnsi="宋体" w:cs="宋体" w:eastAsia="宋体" w:hint="default"/>
                <w:sz w:val="18"/>
                <w:szCs w:val="18"/>
              </w:rPr>
            </w:pPr>
            <w:r>
              <w:rPr>
                <w:rFonts w:ascii="宋体" w:hAnsi="宋体" w:cs="宋体" w:eastAsia="宋体" w:hint="default"/>
                <w:sz w:val="18"/>
                <w:szCs w:val="18"/>
              </w:rPr>
              <w:t>可供出售金融 资产</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1"/>
              <w:jc w:val="both"/>
              <w:rPr>
                <w:rFonts w:ascii="宋体" w:hAnsi="宋体" w:cs="宋体" w:eastAsia="宋体" w:hint="default"/>
                <w:sz w:val="18"/>
                <w:szCs w:val="18"/>
              </w:rPr>
            </w:pPr>
            <w:r>
              <w:rPr>
                <w:rFonts w:ascii="宋体" w:hAnsi="宋体" w:cs="宋体" w:eastAsia="宋体" w:hint="default"/>
                <w:spacing w:val="12"/>
                <w:sz w:val="18"/>
                <w:szCs w:val="18"/>
              </w:rPr>
              <w:t>以公允价值计量且其变动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计入其他综合收益（债务工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具）</w:t>
            </w:r>
          </w:p>
        </w:tc>
        <w:tc>
          <w:tcPr>
            <w:tcW w:w="1842" w:type="dxa"/>
            <w:tcBorders>
              <w:top w:val="single" w:sz="6" w:space="0" w:color="000000"/>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5"/>
                <w:szCs w:val="2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316" w:lineRule="auto"/>
              <w:ind w:left="3" w:right="0"/>
              <w:jc w:val="left"/>
              <w:rPr>
                <w:rFonts w:ascii="宋体" w:hAnsi="宋体" w:cs="宋体" w:eastAsia="宋体" w:hint="default"/>
                <w:sz w:val="18"/>
                <w:szCs w:val="18"/>
              </w:rPr>
            </w:pPr>
            <w:r>
              <w:rPr>
                <w:rFonts w:ascii="宋体" w:hAnsi="宋体" w:cs="宋体" w:eastAsia="宋体" w:hint="default"/>
                <w:spacing w:val="2"/>
                <w:sz w:val="18"/>
                <w:szCs w:val="18"/>
              </w:rPr>
              <w:t>以公允价值计量且其变 </w:t>
            </w:r>
            <w:r>
              <w:rPr>
                <w:rFonts w:ascii="宋体" w:hAnsi="宋体" w:cs="宋体" w:eastAsia="宋体" w:hint="default"/>
                <w:sz w:val="18"/>
                <w:szCs w:val="18"/>
              </w:rPr>
              <w:t>动计入当期损益</w:t>
            </w:r>
          </w:p>
        </w:tc>
        <w:tc>
          <w:tcPr>
            <w:tcW w:w="1806" w:type="dxa"/>
            <w:tcBorders>
              <w:top w:val="single" w:sz="6" w:space="0" w:color="000000"/>
              <w:left w:val="single" w:sz="6" w:space="0" w:color="000000"/>
              <w:bottom w:val="single" w:sz="6" w:space="0" w:color="000000"/>
              <w:right w:val="single" w:sz="6" w:space="0" w:color="000000"/>
            </w:tcBorders>
          </w:tcPr>
          <w:p>
            <w:pPr/>
          </w:p>
        </w:tc>
      </w:tr>
      <w:tr>
        <w:trPr>
          <w:trHeight w:val="660" w:hRule="exact"/>
        </w:trPr>
        <w:tc>
          <w:tcPr>
            <w:tcW w:w="1100" w:type="dxa"/>
            <w:vMerge/>
            <w:tcBorders>
              <w:left w:val="single" w:sz="6" w:space="0" w:color="000000"/>
              <w:right w:val="single" w:sz="6" w:space="0" w:color="000000"/>
            </w:tcBorders>
          </w:tcPr>
          <w:p>
            <w:pPr/>
          </w:p>
        </w:tc>
        <w:tc>
          <w:tcPr>
            <w:tcW w:w="2126" w:type="dxa"/>
            <w:vMerge w:val="restart"/>
            <w:tcBorders>
              <w:top w:val="single" w:sz="6" w:space="0" w:color="000000"/>
              <w:left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316" w:lineRule="auto"/>
              <w:ind w:left="2" w:right="-11"/>
              <w:jc w:val="both"/>
              <w:rPr>
                <w:rFonts w:ascii="宋体" w:hAnsi="宋体" w:cs="宋体" w:eastAsia="宋体" w:hint="default"/>
                <w:sz w:val="18"/>
                <w:szCs w:val="18"/>
              </w:rPr>
            </w:pPr>
            <w:r>
              <w:rPr>
                <w:rFonts w:ascii="宋体" w:hAnsi="宋体" w:cs="宋体" w:eastAsia="宋体" w:hint="default"/>
                <w:spacing w:val="12"/>
                <w:sz w:val="18"/>
                <w:szCs w:val="18"/>
              </w:rPr>
              <w:t>以公允价值计量且其变动</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5"/>
                <w:sz w:val="18"/>
                <w:szCs w:val="18"/>
              </w:rPr>
              <w:t>计入其他综合收益（权益工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具）</w:t>
            </w:r>
          </w:p>
        </w:tc>
        <w:tc>
          <w:tcPr>
            <w:tcW w:w="1842" w:type="dxa"/>
            <w:vMerge w:val="restart"/>
            <w:tcBorders>
              <w:top w:val="single" w:sz="6" w:space="0" w:color="000000"/>
              <w:left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left"/>
              <w:rPr>
                <w:rFonts w:ascii="宋体" w:hAnsi="宋体" w:cs="宋体" w:eastAsia="宋体" w:hint="default"/>
                <w:sz w:val="18"/>
                <w:szCs w:val="18"/>
              </w:rPr>
            </w:pPr>
            <w:r>
              <w:rPr>
                <w:rFonts w:ascii="宋体" w:hAnsi="宋体" w:cs="宋体" w:eastAsia="宋体" w:hint="default"/>
                <w:spacing w:val="2"/>
                <w:sz w:val="18"/>
                <w:szCs w:val="18"/>
              </w:rPr>
              <w:t>以公允价值计量且其变 </w:t>
            </w:r>
            <w:r>
              <w:rPr>
                <w:rFonts w:ascii="宋体" w:hAnsi="宋体" w:cs="宋体" w:eastAsia="宋体" w:hint="default"/>
                <w:sz w:val="18"/>
                <w:szCs w:val="18"/>
              </w:rPr>
              <w:t>动计入当期损益</w:t>
            </w:r>
          </w:p>
        </w:tc>
        <w:tc>
          <w:tcPr>
            <w:tcW w:w="1806"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1100" w:type="dxa"/>
            <w:vMerge/>
            <w:tcBorders>
              <w:left w:val="single" w:sz="6" w:space="0" w:color="000000"/>
              <w:right w:val="single" w:sz="6" w:space="0" w:color="000000"/>
            </w:tcBorders>
          </w:tcPr>
          <w:p>
            <w:pPr/>
          </w:p>
        </w:tc>
        <w:tc>
          <w:tcPr>
            <w:tcW w:w="2126" w:type="dxa"/>
            <w:vMerge/>
            <w:tcBorders>
              <w:left w:val="single" w:sz="6" w:space="0" w:color="000000"/>
              <w:bottom w:val="single" w:sz="6" w:space="0" w:color="000000"/>
              <w:right w:val="single" w:sz="6" w:space="0" w:color="000000"/>
            </w:tcBorders>
          </w:tcPr>
          <w:p>
            <w:pPr/>
          </w:p>
        </w:tc>
        <w:tc>
          <w:tcPr>
            <w:tcW w:w="1842" w:type="dxa"/>
            <w:vMerge/>
            <w:tcBorders>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3" w:right="0"/>
              <w:jc w:val="left"/>
              <w:rPr>
                <w:rFonts w:ascii="宋体" w:hAnsi="宋体" w:cs="宋体" w:eastAsia="宋体" w:hint="default"/>
                <w:sz w:val="18"/>
                <w:szCs w:val="18"/>
              </w:rPr>
            </w:pPr>
            <w:r>
              <w:rPr>
                <w:rFonts w:ascii="宋体" w:hAnsi="宋体" w:cs="宋体" w:eastAsia="宋体" w:hint="default"/>
                <w:spacing w:val="2"/>
                <w:sz w:val="18"/>
                <w:szCs w:val="18"/>
              </w:rPr>
              <w:t>以公允价值计量且其变 </w:t>
            </w:r>
            <w:r>
              <w:rPr>
                <w:rFonts w:ascii="宋体" w:hAnsi="宋体" w:cs="宋体" w:eastAsia="宋体" w:hint="default"/>
                <w:sz w:val="18"/>
                <w:szCs w:val="18"/>
              </w:rPr>
              <w:t>动计入其他综合收益</w:t>
            </w:r>
          </w:p>
        </w:tc>
        <w:tc>
          <w:tcPr>
            <w:tcW w:w="1806"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1100" w:type="dxa"/>
            <w:vMerge/>
            <w:tcBorders>
              <w:left w:val="single" w:sz="6" w:space="0" w:color="000000"/>
              <w:right w:val="single" w:sz="6" w:space="0" w:color="000000"/>
            </w:tcBorders>
          </w:tcPr>
          <w:p>
            <w:pPr/>
          </w:p>
        </w:tc>
        <w:tc>
          <w:tcPr>
            <w:tcW w:w="212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以成本计量（权益工具）</w:t>
            </w:r>
          </w:p>
        </w:tc>
        <w:tc>
          <w:tcPr>
            <w:tcW w:w="184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left="653" w:right="0"/>
              <w:jc w:val="left"/>
              <w:rPr>
                <w:rFonts w:ascii="宋体" w:hAnsi="宋体" w:cs="宋体" w:eastAsia="宋体" w:hint="default"/>
                <w:sz w:val="18"/>
                <w:szCs w:val="18"/>
              </w:rPr>
            </w:pPr>
            <w:r>
              <w:rPr>
                <w:rFonts w:ascii="宋体"/>
                <w:sz w:val="18"/>
              </w:rPr>
              <w:t>47,900,000.00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left"/>
              <w:rPr>
                <w:rFonts w:ascii="宋体" w:hAnsi="宋体" w:cs="宋体" w:eastAsia="宋体" w:hint="default"/>
                <w:sz w:val="18"/>
                <w:szCs w:val="18"/>
              </w:rPr>
            </w:pPr>
            <w:r>
              <w:rPr>
                <w:rFonts w:ascii="宋体" w:hAnsi="宋体" w:cs="宋体" w:eastAsia="宋体" w:hint="default"/>
                <w:spacing w:val="2"/>
                <w:sz w:val="18"/>
                <w:szCs w:val="18"/>
              </w:rPr>
              <w:t>以公允价值计量且其变 </w:t>
            </w:r>
            <w:r>
              <w:rPr>
                <w:rFonts w:ascii="宋体" w:hAnsi="宋体" w:cs="宋体" w:eastAsia="宋体" w:hint="default"/>
                <w:sz w:val="18"/>
                <w:szCs w:val="18"/>
              </w:rPr>
              <w:t>动计入当期损益</w:t>
            </w:r>
          </w:p>
        </w:tc>
        <w:tc>
          <w:tcPr>
            <w:tcW w:w="1806"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1100" w:type="dxa"/>
            <w:vMerge/>
            <w:tcBorders>
              <w:left w:val="single" w:sz="6" w:space="0" w:color="000000"/>
              <w:bottom w:val="single" w:sz="6" w:space="0" w:color="000000"/>
              <w:right w:val="single" w:sz="6" w:space="0" w:color="000000"/>
            </w:tcBorders>
          </w:tcPr>
          <w:p>
            <w:pPr/>
          </w:p>
        </w:tc>
        <w:tc>
          <w:tcPr>
            <w:tcW w:w="2126" w:type="dxa"/>
            <w:vMerge/>
            <w:tcBorders>
              <w:left w:val="single" w:sz="6" w:space="0" w:color="000000"/>
              <w:bottom w:val="single" w:sz="6" w:space="0" w:color="000000"/>
              <w:right w:val="single" w:sz="6" w:space="0" w:color="000000"/>
            </w:tcBorders>
          </w:tcPr>
          <w:p>
            <w:pPr/>
          </w:p>
        </w:tc>
        <w:tc>
          <w:tcPr>
            <w:tcW w:w="1842" w:type="dxa"/>
            <w:vMerge/>
            <w:tcBorders>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left"/>
              <w:rPr>
                <w:rFonts w:ascii="宋体" w:hAnsi="宋体" w:cs="宋体" w:eastAsia="宋体" w:hint="default"/>
                <w:sz w:val="18"/>
                <w:szCs w:val="18"/>
              </w:rPr>
            </w:pPr>
            <w:r>
              <w:rPr>
                <w:rFonts w:ascii="宋体" w:hAnsi="宋体" w:cs="宋体" w:eastAsia="宋体" w:hint="default"/>
                <w:spacing w:val="2"/>
                <w:sz w:val="18"/>
                <w:szCs w:val="18"/>
              </w:rPr>
              <w:t>以公允价值计量且其变 </w:t>
            </w:r>
            <w:r>
              <w:rPr>
                <w:rFonts w:ascii="宋体" w:hAnsi="宋体" w:cs="宋体" w:eastAsia="宋体" w:hint="default"/>
                <w:sz w:val="18"/>
                <w:szCs w:val="18"/>
              </w:rPr>
              <w:t>动计入其他综合收益</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z w:val="18"/>
              </w:rPr>
              <w:t>78,722,530.86</w:t>
            </w:r>
          </w:p>
        </w:tc>
      </w:tr>
      <w:tr>
        <w:trPr>
          <w:trHeight w:val="347" w:hRule="exact"/>
        </w:trPr>
        <w:tc>
          <w:tcPr>
            <w:tcW w:w="1100"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126"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42" w:type="dxa"/>
            <w:vMerge w:val="restart"/>
            <w:tcBorders>
              <w:top w:val="single" w:sz="6" w:space="0" w:color="000000"/>
              <w:left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563" w:right="0"/>
              <w:jc w:val="left"/>
              <w:rPr>
                <w:rFonts w:ascii="宋体" w:hAnsi="宋体" w:cs="宋体" w:eastAsia="宋体" w:hint="default"/>
                <w:sz w:val="18"/>
                <w:szCs w:val="18"/>
              </w:rPr>
            </w:pPr>
            <w:r>
              <w:rPr>
                <w:rFonts w:ascii="宋体"/>
                <w:sz w:val="18"/>
              </w:rPr>
              <w:t>178,425,721.05</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178,425,721.05</w:t>
            </w:r>
          </w:p>
        </w:tc>
      </w:tr>
      <w:tr>
        <w:trPr>
          <w:trHeight w:val="659" w:hRule="exact"/>
        </w:trPr>
        <w:tc>
          <w:tcPr>
            <w:tcW w:w="1100" w:type="dxa"/>
            <w:vMerge/>
            <w:tcBorders>
              <w:left w:val="single" w:sz="6" w:space="0" w:color="000000"/>
              <w:bottom w:val="single" w:sz="6" w:space="0" w:color="000000"/>
              <w:right w:val="single" w:sz="6" w:space="0" w:color="000000"/>
            </w:tcBorders>
          </w:tcPr>
          <w:p>
            <w:pPr/>
          </w:p>
        </w:tc>
        <w:tc>
          <w:tcPr>
            <w:tcW w:w="2126" w:type="dxa"/>
            <w:vMerge/>
            <w:tcBorders>
              <w:left w:val="single" w:sz="6" w:space="0" w:color="000000"/>
              <w:bottom w:val="single" w:sz="6" w:space="0" w:color="000000"/>
              <w:right w:val="single" w:sz="6" w:space="0" w:color="000000"/>
            </w:tcBorders>
          </w:tcPr>
          <w:p>
            <w:pPr/>
          </w:p>
        </w:tc>
        <w:tc>
          <w:tcPr>
            <w:tcW w:w="1842" w:type="dxa"/>
            <w:vMerge/>
            <w:tcBorders>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left"/>
              <w:rPr>
                <w:rFonts w:ascii="宋体" w:hAnsi="宋体" w:cs="宋体" w:eastAsia="宋体" w:hint="default"/>
                <w:sz w:val="18"/>
                <w:szCs w:val="18"/>
              </w:rPr>
            </w:pPr>
            <w:r>
              <w:rPr>
                <w:rFonts w:ascii="宋体" w:hAnsi="宋体" w:cs="宋体" w:eastAsia="宋体" w:hint="default"/>
                <w:spacing w:val="2"/>
                <w:sz w:val="18"/>
                <w:szCs w:val="18"/>
              </w:rPr>
              <w:t>以公允价值计量且其变 </w:t>
            </w:r>
            <w:r>
              <w:rPr>
                <w:rFonts w:ascii="宋体" w:hAnsi="宋体" w:cs="宋体" w:eastAsia="宋体" w:hint="default"/>
                <w:sz w:val="18"/>
                <w:szCs w:val="18"/>
              </w:rPr>
              <w:t>动计入其他综合收益</w:t>
            </w:r>
          </w:p>
        </w:tc>
        <w:tc>
          <w:tcPr>
            <w:tcW w:w="1806"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10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12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4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653" w:right="0"/>
              <w:jc w:val="left"/>
              <w:rPr>
                <w:rFonts w:ascii="宋体" w:hAnsi="宋体" w:cs="宋体" w:eastAsia="宋体" w:hint="default"/>
                <w:sz w:val="18"/>
                <w:szCs w:val="18"/>
              </w:rPr>
            </w:pPr>
            <w:r>
              <w:rPr>
                <w:rFonts w:ascii="宋体"/>
                <w:sz w:val="18"/>
              </w:rPr>
              <w:t>55,049,415.52</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603,902.82</w:t>
            </w:r>
          </w:p>
        </w:tc>
      </w:tr>
      <w:tr>
        <w:trPr>
          <w:trHeight w:val="347" w:hRule="exact"/>
        </w:trPr>
        <w:tc>
          <w:tcPr>
            <w:tcW w:w="1100" w:type="dxa"/>
            <w:vMerge/>
            <w:tcBorders>
              <w:left w:val="single" w:sz="6" w:space="0" w:color="000000"/>
              <w:right w:val="single" w:sz="6" w:space="0" w:color="000000"/>
            </w:tcBorders>
          </w:tcPr>
          <w:p>
            <w:pPr/>
          </w:p>
        </w:tc>
        <w:tc>
          <w:tcPr>
            <w:tcW w:w="2126" w:type="dxa"/>
            <w:vMerge/>
            <w:tcBorders>
              <w:left w:val="single" w:sz="6" w:space="0" w:color="000000"/>
              <w:right w:val="single" w:sz="6" w:space="0" w:color="000000"/>
            </w:tcBorders>
          </w:tcPr>
          <w:p>
            <w:pPr/>
          </w:p>
        </w:tc>
        <w:tc>
          <w:tcPr>
            <w:tcW w:w="1842" w:type="dxa"/>
            <w:vMerge/>
            <w:tcBorders>
              <w:left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0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100" w:type="dxa"/>
            <w:vMerge/>
            <w:tcBorders>
              <w:left w:val="single" w:sz="6" w:space="0" w:color="000000"/>
              <w:bottom w:val="single" w:sz="6" w:space="0" w:color="000000"/>
              <w:right w:val="single" w:sz="6" w:space="0" w:color="000000"/>
            </w:tcBorders>
          </w:tcPr>
          <w:p>
            <w:pPr/>
          </w:p>
        </w:tc>
        <w:tc>
          <w:tcPr>
            <w:tcW w:w="2126" w:type="dxa"/>
            <w:vMerge/>
            <w:tcBorders>
              <w:left w:val="single" w:sz="6" w:space="0" w:color="000000"/>
              <w:bottom w:val="single" w:sz="6" w:space="0" w:color="000000"/>
              <w:right w:val="single" w:sz="6" w:space="0" w:color="000000"/>
            </w:tcBorders>
          </w:tcPr>
          <w:p>
            <w:pPr/>
          </w:p>
        </w:tc>
        <w:tc>
          <w:tcPr>
            <w:tcW w:w="1842" w:type="dxa"/>
            <w:vMerge/>
            <w:tcBorders>
              <w:left w:val="single" w:sz="6" w:space="0" w:color="000000"/>
              <w:bottom w:val="single" w:sz="6" w:space="0" w:color="000000"/>
              <w:right w:val="single" w:sz="6" w:space="0" w:color="000000"/>
            </w:tcBorders>
          </w:tcPr>
          <w:p>
            <w:pP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54,445,512.70</w:t>
            </w:r>
          </w:p>
        </w:tc>
      </w:tr>
      <w:tr>
        <w:trPr>
          <w:trHeight w:val="660" w:hRule="exact"/>
        </w:trPr>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其他流动资产</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摊余成本</w:t>
            </w:r>
          </w:p>
        </w:tc>
        <w:tc>
          <w:tcPr>
            <w:tcW w:w="18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563" w:right="0"/>
              <w:jc w:val="left"/>
              <w:rPr>
                <w:rFonts w:ascii="宋体" w:hAnsi="宋体" w:cs="宋体" w:eastAsia="宋体" w:hint="default"/>
                <w:sz w:val="18"/>
                <w:szCs w:val="18"/>
              </w:rPr>
            </w:pPr>
            <w:r>
              <w:rPr>
                <w:rFonts w:ascii="宋体"/>
                <w:sz w:val="18"/>
              </w:rPr>
              <w:t>408,340,000.00</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3" w:right="0"/>
              <w:jc w:val="left"/>
              <w:rPr>
                <w:rFonts w:ascii="宋体" w:hAnsi="宋体" w:cs="宋体" w:eastAsia="宋体" w:hint="default"/>
                <w:sz w:val="18"/>
                <w:szCs w:val="18"/>
              </w:rPr>
            </w:pPr>
            <w:r>
              <w:rPr>
                <w:rFonts w:ascii="宋体" w:hAnsi="宋体" w:cs="宋体" w:eastAsia="宋体" w:hint="default"/>
                <w:spacing w:val="2"/>
                <w:sz w:val="18"/>
                <w:szCs w:val="18"/>
              </w:rPr>
              <w:t>以公允价值计量且其变 </w:t>
            </w:r>
            <w:r>
              <w:rPr>
                <w:rFonts w:ascii="宋体" w:hAnsi="宋体" w:cs="宋体" w:eastAsia="宋体" w:hint="default"/>
                <w:sz w:val="18"/>
                <w:szCs w:val="18"/>
              </w:rPr>
              <w:t>动计入当期损益</w:t>
            </w:r>
          </w:p>
        </w:tc>
        <w:tc>
          <w:tcPr>
            <w:tcW w:w="18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z w:val="18"/>
              </w:rPr>
              <w:t>408,340,000.00</w:t>
            </w:r>
          </w:p>
        </w:tc>
      </w:tr>
    </w:tbl>
    <w:p>
      <w:pPr>
        <w:spacing w:line="240" w:lineRule="auto" w:before="4"/>
        <w:rPr>
          <w:rFonts w:ascii="宋体" w:hAnsi="宋体" w:cs="宋体" w:eastAsia="宋体" w:hint="default"/>
          <w:sz w:val="9"/>
          <w:szCs w:val="9"/>
        </w:rPr>
      </w:pPr>
    </w:p>
    <w:p>
      <w:pPr>
        <w:pStyle w:val="BodyText"/>
        <w:spacing w:line="240" w:lineRule="auto" w:before="44"/>
        <w:ind w:left="1014" w:right="1171"/>
        <w:jc w:val="left"/>
      </w:pPr>
      <w:r>
        <w:rPr/>
        <w:t>于</w:t>
      </w:r>
      <w:r>
        <w:rPr>
          <w:rFonts w:ascii="Arial" w:hAnsi="Arial" w:cs="Arial" w:eastAsia="Arial" w:hint="default"/>
        </w:rPr>
        <w:t>2019</w:t>
      </w:r>
      <w:r>
        <w:rPr/>
        <w:t>年</w:t>
      </w:r>
      <w:r>
        <w:rPr>
          <w:rFonts w:ascii="Arial" w:hAnsi="Arial" w:cs="Arial" w:eastAsia="Arial" w:hint="default"/>
        </w:rPr>
        <w:t>1</w:t>
      </w:r>
      <w:r>
        <w:rPr/>
        <w:t>月</w:t>
      </w:r>
      <w:r>
        <w:rPr>
          <w:rFonts w:ascii="Arial" w:hAnsi="Arial" w:cs="Arial" w:eastAsia="Arial" w:hint="default"/>
        </w:rPr>
        <w:t>1</w:t>
      </w:r>
      <w:r>
        <w:rPr/>
        <w:t>日，执行新金融工具准则时金融工具分类和账面价值调节表如下：</w:t>
      </w:r>
    </w:p>
    <w:p>
      <w:pPr>
        <w:spacing w:line="240" w:lineRule="auto" w:before="13"/>
        <w:rPr>
          <w:rFonts w:ascii="宋体" w:hAnsi="宋体" w:cs="宋体" w:eastAsia="宋体" w:hint="default"/>
          <w:sz w:val="17"/>
          <w:szCs w:val="17"/>
        </w:rPr>
      </w:pPr>
    </w:p>
    <w:p>
      <w:pPr>
        <w:pStyle w:val="BodyText"/>
        <w:spacing w:line="240" w:lineRule="auto" w:before="44"/>
        <w:ind w:left="0" w:right="1130"/>
        <w:jc w:val="right"/>
      </w:pPr>
      <w:r>
        <w:rPr/>
        <w:t>单位：元</w:t>
      </w:r>
    </w:p>
    <w:p>
      <w:pPr>
        <w:spacing w:line="240" w:lineRule="auto" w:before="7"/>
        <w:rPr>
          <w:rFonts w:ascii="宋体" w:hAnsi="宋体" w:cs="宋体" w:eastAsia="宋体" w:hint="default"/>
          <w:sz w:val="21"/>
          <w:szCs w:val="21"/>
        </w:rPr>
      </w:pPr>
    </w:p>
    <w:tbl>
      <w:tblPr>
        <w:tblW w:w="0" w:type="auto"/>
        <w:jc w:val="left"/>
        <w:tblInd w:w="646" w:type="dxa"/>
        <w:tblLayout w:type="fixed"/>
        <w:tblCellMar>
          <w:top w:w="0" w:type="dxa"/>
          <w:left w:w="0" w:type="dxa"/>
          <w:bottom w:w="0" w:type="dxa"/>
          <w:right w:w="0" w:type="dxa"/>
        </w:tblCellMar>
        <w:tblLook w:val="01E0"/>
      </w:tblPr>
      <w:tblGrid>
        <w:gridCol w:w="1843"/>
        <w:gridCol w:w="2410"/>
        <w:gridCol w:w="2268"/>
        <w:gridCol w:w="1417"/>
        <w:gridCol w:w="1843"/>
      </w:tblGrid>
      <w:tr>
        <w:trPr>
          <w:trHeight w:val="658" w:hRule="exact"/>
        </w:trPr>
        <w:tc>
          <w:tcPr>
            <w:tcW w:w="18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 目</w:t>
            </w:r>
          </w:p>
        </w:tc>
        <w:tc>
          <w:tcPr>
            <w:tcW w:w="24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调整前账面金额</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（2018年12月31日）</w:t>
            </w:r>
          </w:p>
        </w:tc>
        <w:tc>
          <w:tcPr>
            <w:tcW w:w="2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重分类</w:t>
            </w:r>
          </w:p>
        </w:tc>
        <w:tc>
          <w:tcPr>
            <w:tcW w:w="14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358"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84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83" w:right="0"/>
              <w:jc w:val="left"/>
              <w:rPr>
                <w:rFonts w:ascii="宋体" w:hAnsi="宋体" w:cs="宋体" w:eastAsia="宋体" w:hint="default"/>
                <w:sz w:val="18"/>
                <w:szCs w:val="18"/>
              </w:rPr>
            </w:pPr>
            <w:r>
              <w:rPr>
                <w:rFonts w:ascii="宋体" w:hAnsi="宋体" w:cs="宋体" w:eastAsia="宋体" w:hint="default"/>
                <w:sz w:val="18"/>
                <w:szCs w:val="18"/>
              </w:rPr>
              <w:t>调整后账面金额</w:t>
            </w:r>
          </w:p>
          <w:p>
            <w:pPr>
              <w:pStyle w:val="TableParagraph"/>
              <w:spacing w:line="240" w:lineRule="auto" w:before="76"/>
              <w:ind w:left="193" w:right="0"/>
              <w:jc w:val="left"/>
              <w:rPr>
                <w:rFonts w:ascii="宋体" w:hAnsi="宋体" w:cs="宋体" w:eastAsia="宋体" w:hint="default"/>
                <w:sz w:val="18"/>
                <w:szCs w:val="18"/>
              </w:rPr>
            </w:pPr>
            <w:r>
              <w:rPr>
                <w:rFonts w:ascii="宋体" w:hAnsi="宋体" w:cs="宋体" w:eastAsia="宋体" w:hint="default"/>
                <w:sz w:val="18"/>
                <w:szCs w:val="18"/>
              </w:rPr>
              <w:t>（2019年1月1日）</w:t>
            </w:r>
          </w:p>
        </w:tc>
      </w:tr>
      <w:tr>
        <w:trPr>
          <w:trHeight w:val="347"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2"/>
              <w:ind w:left="2"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241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132" w:right="0"/>
              <w:jc w:val="left"/>
              <w:rPr>
                <w:rFonts w:ascii="宋体" w:hAnsi="宋体" w:cs="宋体" w:eastAsia="宋体" w:hint="default"/>
                <w:sz w:val="18"/>
                <w:szCs w:val="18"/>
              </w:rPr>
            </w:pPr>
            <w:r>
              <w:rPr>
                <w:rFonts w:ascii="宋体"/>
                <w:sz w:val="18"/>
              </w:rPr>
              <w:t>330,503,276.34</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1349" w:right="0"/>
              <w:jc w:val="left"/>
              <w:rPr>
                <w:rFonts w:ascii="宋体" w:hAnsi="宋体" w:cs="宋体" w:eastAsia="宋体" w:hint="default"/>
                <w:sz w:val="18"/>
                <w:szCs w:val="18"/>
              </w:rPr>
            </w:pPr>
            <w:r>
              <w:rPr>
                <w:rFonts w:ascii="宋体"/>
                <w:sz w:val="18"/>
              </w:rPr>
              <w:t>603,902.82</w:t>
            </w:r>
          </w:p>
        </w:tc>
        <w:tc>
          <w:tcPr>
            <w:tcW w:w="1417"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565" w:right="0"/>
              <w:jc w:val="left"/>
              <w:rPr>
                <w:rFonts w:ascii="宋体" w:hAnsi="宋体" w:cs="宋体" w:eastAsia="宋体" w:hint="default"/>
                <w:sz w:val="18"/>
                <w:szCs w:val="18"/>
              </w:rPr>
            </w:pPr>
            <w:r>
              <w:rPr>
                <w:rFonts w:ascii="宋体"/>
                <w:sz w:val="18"/>
              </w:rPr>
              <w:t>331,107,179.16</w:t>
            </w:r>
          </w:p>
        </w:tc>
      </w:tr>
    </w:tbl>
    <w:p>
      <w:pPr>
        <w:spacing w:after="0" w:line="240" w:lineRule="auto"/>
        <w:jc w:val="left"/>
        <w:rPr>
          <w:rFonts w:ascii="宋体" w:hAnsi="宋体" w:cs="宋体" w:eastAsia="宋体" w:hint="default"/>
          <w:sz w:val="18"/>
          <w:szCs w:val="18"/>
        </w:rPr>
        <w:sectPr>
          <w:pgSz w:w="11910" w:h="16840"/>
          <w:pgMar w:header="747" w:footer="982" w:top="1060" w:bottom="1180" w:left="4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1843"/>
        <w:gridCol w:w="2410"/>
        <w:gridCol w:w="2268"/>
        <w:gridCol w:w="1417"/>
        <w:gridCol w:w="1843"/>
      </w:tblGrid>
      <w:tr>
        <w:trPr>
          <w:trHeight w:val="347"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408,340,000.00</w:t>
            </w:r>
          </w:p>
        </w:tc>
        <w:tc>
          <w:tcPr>
            <w:tcW w:w="1417"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408,340,000.00</w:t>
            </w:r>
          </w:p>
        </w:tc>
      </w:tr>
      <w:tr>
        <w:trPr>
          <w:trHeight w:val="347"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178,425,721.05</w:t>
            </w:r>
          </w:p>
        </w:tc>
        <w:tc>
          <w:tcPr>
            <w:tcW w:w="226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178,425,721.05</w:t>
            </w:r>
          </w:p>
        </w:tc>
      </w:tr>
      <w:tr>
        <w:trPr>
          <w:trHeight w:val="347"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55,049,415.52</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-603,902.82</w:t>
            </w:r>
          </w:p>
        </w:tc>
        <w:tc>
          <w:tcPr>
            <w:tcW w:w="1417"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54,445,512.70</w:t>
            </w:r>
          </w:p>
        </w:tc>
      </w:tr>
      <w:tr>
        <w:trPr>
          <w:trHeight w:val="348"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450,928,507.17</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-408,340,000.00</w:t>
            </w:r>
          </w:p>
        </w:tc>
        <w:tc>
          <w:tcPr>
            <w:tcW w:w="1417"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42,588,507.17</w:t>
            </w:r>
          </w:p>
        </w:tc>
      </w:tr>
      <w:tr>
        <w:trPr>
          <w:trHeight w:val="347"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47,900,000.00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-47,900,000.00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w:t>
            </w:r>
          </w:p>
        </w:tc>
      </w:tr>
      <w:tr>
        <w:trPr>
          <w:trHeight w:val="347"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47,900,000.00</w:t>
            </w: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30,822,530.86</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78,722,530.86</w:t>
            </w:r>
          </w:p>
        </w:tc>
      </w:tr>
      <w:tr>
        <w:trPr>
          <w:trHeight w:val="347"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负债：</w:t>
            </w:r>
          </w:p>
        </w:tc>
        <w:tc>
          <w:tcPr>
            <w:tcW w:w="241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430,000,000.00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502,012.50</w:t>
            </w:r>
          </w:p>
        </w:tc>
        <w:tc>
          <w:tcPr>
            <w:tcW w:w="1417"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430,502,012.50</w:t>
            </w:r>
          </w:p>
        </w:tc>
      </w:tr>
      <w:tr>
        <w:trPr>
          <w:trHeight w:val="347"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502,012.50</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-502,012.50</w:t>
            </w:r>
          </w:p>
        </w:tc>
        <w:tc>
          <w:tcPr>
            <w:tcW w:w="1417"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w:t>
            </w:r>
          </w:p>
        </w:tc>
        <w:tc>
          <w:tcPr>
            <w:tcW w:w="226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3,082,253.09</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3,082,253.09</w:t>
            </w:r>
          </w:p>
        </w:tc>
      </w:tr>
      <w:tr>
        <w:trPr>
          <w:trHeight w:val="347"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股东权益：</w:t>
            </w:r>
          </w:p>
        </w:tc>
        <w:tc>
          <w:tcPr>
            <w:tcW w:w="2410" w:type="dxa"/>
            <w:tcBorders>
              <w:top w:val="single" w:sz="6" w:space="0" w:color="000000"/>
              <w:left w:val="single" w:sz="6" w:space="0" w:color="000000"/>
              <w:bottom w:val="single" w:sz="6" w:space="0" w:color="000000"/>
              <w:right w:val="single" w:sz="6" w:space="0" w:color="000000"/>
            </w:tcBorders>
          </w:tcPr>
          <w:p>
            <w:pPr/>
          </w:p>
        </w:tc>
        <w:tc>
          <w:tcPr>
            <w:tcW w:w="226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7,403,655.99</w:t>
            </w:r>
          </w:p>
        </w:tc>
        <w:tc>
          <w:tcPr>
            <w:tcW w:w="226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27,740,277.77</w:t>
            </w: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35,143,933.76</w:t>
            </w:r>
          </w:p>
        </w:tc>
      </w:tr>
      <w:tr>
        <w:trPr>
          <w:trHeight w:val="347"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67,571,711.68</w:t>
            </w:r>
          </w:p>
        </w:tc>
        <w:tc>
          <w:tcPr>
            <w:tcW w:w="226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67,571,711.68</w:t>
            </w:r>
          </w:p>
        </w:tc>
      </w:tr>
      <w:tr>
        <w:trPr>
          <w:trHeight w:val="347"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388,870,542.81</w:t>
            </w:r>
          </w:p>
        </w:tc>
        <w:tc>
          <w:tcPr>
            <w:tcW w:w="226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388,870,542.81</w:t>
            </w:r>
          </w:p>
        </w:tc>
      </w:tr>
      <w:tr>
        <w:trPr>
          <w:trHeight w:val="348" w:hRule="exact"/>
        </w:trPr>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6,679,995.14</w:t>
            </w:r>
          </w:p>
        </w:tc>
        <w:tc>
          <w:tcPr>
            <w:tcW w:w="2268" w:type="dxa"/>
            <w:tcBorders>
              <w:top w:val="single" w:sz="6" w:space="0" w:color="000000"/>
              <w:left w:val="single" w:sz="6" w:space="0" w:color="000000"/>
              <w:bottom w:val="single" w:sz="6" w:space="0" w:color="000000"/>
              <w:right w:val="single" w:sz="6" w:space="0" w:color="000000"/>
            </w:tcBorders>
          </w:tcPr>
          <w:p>
            <w:pPr/>
          </w:p>
        </w:tc>
        <w:tc>
          <w:tcPr>
            <w:tcW w:w="1417" w:type="dxa"/>
            <w:tcBorders>
              <w:top w:val="single" w:sz="6" w:space="0" w:color="000000"/>
              <w:left w:val="single" w:sz="6" w:space="0" w:color="000000"/>
              <w:bottom w:val="single" w:sz="6" w:space="0" w:color="000000"/>
              <w:right w:val="single" w:sz="6" w:space="0" w:color="000000"/>
            </w:tcBorders>
          </w:tcPr>
          <w:p>
            <w:pPr/>
          </w:p>
        </w:tc>
        <w:tc>
          <w:tcPr>
            <w:tcW w:w="184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6,679,995.14</w:t>
            </w:r>
          </w:p>
        </w:tc>
      </w:tr>
    </w:tbl>
    <w:p>
      <w:pPr>
        <w:spacing w:line="240" w:lineRule="auto" w:before="4"/>
        <w:rPr>
          <w:rFonts w:ascii="宋体" w:hAnsi="宋体" w:cs="宋体" w:eastAsia="宋体" w:hint="default"/>
          <w:sz w:val="9"/>
          <w:szCs w:val="9"/>
        </w:rPr>
      </w:pPr>
    </w:p>
    <w:p>
      <w:pPr>
        <w:pStyle w:val="BodyText"/>
        <w:spacing w:line="302" w:lineRule="auto" w:before="44"/>
        <w:ind w:left="153" w:right="0" w:firstLine="360"/>
        <w:jc w:val="left"/>
      </w:pPr>
      <w:r>
        <w:rPr/>
        <w:t>本集团将根据原金融工具准则计量的</w:t>
      </w:r>
      <w:r>
        <w:rPr>
          <w:rFonts w:ascii="Arial" w:hAnsi="Arial" w:cs="Arial" w:eastAsia="Arial" w:hint="default"/>
        </w:rPr>
        <w:t>2018</w:t>
      </w:r>
      <w:r>
        <w:rPr/>
        <w:t>年年末损失准备与根据新金融工具准则确定的</w:t>
      </w:r>
      <w:r>
        <w:rPr>
          <w:rFonts w:ascii="Arial" w:hAnsi="Arial" w:cs="Arial" w:eastAsia="Arial" w:hint="default"/>
        </w:rPr>
        <w:t>2019</w:t>
      </w:r>
      <w:r>
        <w:rPr/>
        <w:t>年年初损失准备之间的调 节表列示如下：</w:t>
      </w:r>
    </w:p>
    <w:p>
      <w:pPr>
        <w:spacing w:line="240" w:lineRule="auto" w:before="10"/>
        <w:rPr>
          <w:rFonts w:ascii="宋体" w:hAnsi="宋体" w:cs="宋体" w:eastAsia="宋体" w:hint="default"/>
          <w:sz w:val="18"/>
          <w:szCs w:val="18"/>
        </w:rPr>
      </w:pPr>
    </w:p>
    <w:p>
      <w:pPr>
        <w:pStyle w:val="BodyText"/>
        <w:spacing w:line="240" w:lineRule="auto"/>
        <w:ind w:left="0" w:right="1491"/>
        <w:jc w:val="right"/>
      </w:pPr>
      <w:r>
        <w:rPr/>
        <w:t>单位：元</w:t>
      </w:r>
    </w:p>
    <w:p>
      <w:pPr>
        <w:spacing w:line="240" w:lineRule="auto" w:before="8"/>
        <w:rPr>
          <w:rFonts w:ascii="宋体" w:hAnsi="宋体" w:cs="宋体" w:eastAsia="宋体" w:hint="default"/>
          <w:sz w:val="21"/>
          <w:szCs w:val="21"/>
        </w:rPr>
      </w:pPr>
    </w:p>
    <w:tbl>
      <w:tblPr>
        <w:tblW w:w="0" w:type="auto"/>
        <w:jc w:val="left"/>
        <w:tblInd w:w="378" w:type="dxa"/>
        <w:tblLayout w:type="fixed"/>
        <w:tblCellMar>
          <w:top w:w="0" w:type="dxa"/>
          <w:left w:w="0" w:type="dxa"/>
          <w:bottom w:w="0" w:type="dxa"/>
          <w:right w:w="0" w:type="dxa"/>
        </w:tblCellMar>
        <w:tblLook w:val="01E0"/>
      </w:tblPr>
      <w:tblGrid>
        <w:gridCol w:w="2412"/>
        <w:gridCol w:w="1986"/>
        <w:gridCol w:w="1700"/>
        <w:gridCol w:w="1273"/>
        <w:gridCol w:w="1802"/>
      </w:tblGrid>
      <w:tr>
        <w:trPr>
          <w:trHeight w:val="658" w:hRule="exact"/>
        </w:trPr>
        <w:tc>
          <w:tcPr>
            <w:tcW w:w="241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计量类别</w:t>
            </w:r>
          </w:p>
        </w:tc>
        <w:tc>
          <w:tcPr>
            <w:tcW w:w="19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 w:right="0"/>
              <w:jc w:val="center"/>
              <w:rPr>
                <w:rFonts w:ascii="宋体" w:hAnsi="宋体" w:cs="宋体" w:eastAsia="宋体" w:hint="default"/>
                <w:sz w:val="18"/>
                <w:szCs w:val="18"/>
              </w:rPr>
            </w:pPr>
            <w:r>
              <w:rPr>
                <w:rFonts w:ascii="宋体" w:hAnsi="宋体" w:cs="宋体" w:eastAsia="宋体" w:hint="default"/>
                <w:sz w:val="18"/>
                <w:szCs w:val="18"/>
              </w:rPr>
              <w:t>调整前账面金额</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（2018年12月31日）</w:t>
            </w:r>
          </w:p>
        </w:tc>
        <w:tc>
          <w:tcPr>
            <w:tcW w:w="17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重分类</w:t>
            </w:r>
          </w:p>
        </w:tc>
        <w:tc>
          <w:tcPr>
            <w:tcW w:w="12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重新计量</w:t>
            </w:r>
          </w:p>
        </w:tc>
        <w:tc>
          <w:tcPr>
            <w:tcW w:w="18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262" w:right="0"/>
              <w:jc w:val="left"/>
              <w:rPr>
                <w:rFonts w:ascii="宋体" w:hAnsi="宋体" w:cs="宋体" w:eastAsia="宋体" w:hint="default"/>
                <w:sz w:val="18"/>
                <w:szCs w:val="18"/>
              </w:rPr>
            </w:pPr>
            <w:r>
              <w:rPr>
                <w:rFonts w:ascii="宋体" w:hAnsi="宋体" w:cs="宋体" w:eastAsia="宋体" w:hint="default"/>
                <w:sz w:val="18"/>
                <w:szCs w:val="18"/>
              </w:rPr>
              <w:t>调整后账面金额</w:t>
            </w:r>
          </w:p>
          <w:p>
            <w:pPr>
              <w:pStyle w:val="TableParagraph"/>
              <w:spacing w:line="240" w:lineRule="auto" w:before="76"/>
              <w:ind w:left="172" w:right="0"/>
              <w:jc w:val="left"/>
              <w:rPr>
                <w:rFonts w:ascii="宋体" w:hAnsi="宋体" w:cs="宋体" w:eastAsia="宋体" w:hint="default"/>
                <w:sz w:val="18"/>
                <w:szCs w:val="18"/>
              </w:rPr>
            </w:pPr>
            <w:r>
              <w:rPr>
                <w:rFonts w:ascii="宋体" w:hAnsi="宋体" w:cs="宋体" w:eastAsia="宋体" w:hint="default"/>
                <w:sz w:val="18"/>
                <w:szCs w:val="18"/>
              </w:rPr>
              <w:t>（2019年1月1日）</w:t>
            </w:r>
          </w:p>
        </w:tc>
      </w:tr>
      <w:tr>
        <w:trPr>
          <w:trHeight w:val="347"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应收账款减值准备</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23,520,896.64</w:t>
            </w:r>
          </w:p>
        </w:tc>
        <w:tc>
          <w:tcPr>
            <w:tcW w:w="1700"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23,520,896.64</w:t>
            </w:r>
          </w:p>
        </w:tc>
      </w:tr>
      <w:tr>
        <w:trPr>
          <w:trHeight w:val="348" w:hRule="exact"/>
        </w:trPr>
        <w:tc>
          <w:tcPr>
            <w:tcW w:w="24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 w:right="0"/>
              <w:jc w:val="left"/>
              <w:rPr>
                <w:rFonts w:ascii="宋体" w:hAnsi="宋体" w:cs="宋体" w:eastAsia="宋体" w:hint="default"/>
                <w:sz w:val="18"/>
                <w:szCs w:val="18"/>
              </w:rPr>
            </w:pPr>
            <w:r>
              <w:rPr>
                <w:rFonts w:ascii="宋体" w:hAnsi="宋体" w:cs="宋体" w:eastAsia="宋体" w:hint="default"/>
                <w:sz w:val="18"/>
                <w:szCs w:val="18"/>
              </w:rPr>
              <w:t>其他应收款减值准备</w:t>
            </w:r>
          </w:p>
        </w:tc>
        <w:tc>
          <w:tcPr>
            <w:tcW w:w="19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11,771,209.01</w:t>
            </w:r>
          </w:p>
        </w:tc>
        <w:tc>
          <w:tcPr>
            <w:tcW w:w="1700" w:type="dxa"/>
            <w:tcBorders>
              <w:top w:val="single" w:sz="6" w:space="0" w:color="000000"/>
              <w:left w:val="single" w:sz="6" w:space="0" w:color="000000"/>
              <w:bottom w:val="single" w:sz="6" w:space="0" w:color="000000"/>
              <w:right w:val="single" w:sz="6" w:space="0" w:color="000000"/>
            </w:tcBorders>
          </w:tcPr>
          <w:p>
            <w:pPr/>
          </w:p>
        </w:tc>
        <w:tc>
          <w:tcPr>
            <w:tcW w:w="1273" w:type="dxa"/>
            <w:tcBorders>
              <w:top w:val="single" w:sz="6" w:space="0" w:color="000000"/>
              <w:left w:val="single" w:sz="6" w:space="0" w:color="000000"/>
              <w:bottom w:val="single" w:sz="6" w:space="0" w:color="000000"/>
              <w:right w:val="single" w:sz="6" w:space="0" w:color="000000"/>
            </w:tcBorders>
          </w:tcPr>
          <w:p>
            <w:pP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11,771,209.01</w:t>
            </w:r>
          </w:p>
        </w:tc>
      </w:tr>
    </w:tbl>
    <w:p>
      <w:pPr>
        <w:spacing w:line="240" w:lineRule="auto" w:before="4"/>
        <w:rPr>
          <w:rFonts w:ascii="宋体" w:hAnsi="宋体" w:cs="宋体" w:eastAsia="宋体" w:hint="default"/>
          <w:sz w:val="9"/>
          <w:szCs w:val="9"/>
        </w:rPr>
      </w:pPr>
    </w:p>
    <w:p>
      <w:pPr>
        <w:pStyle w:val="BodyText"/>
        <w:spacing w:line="240" w:lineRule="auto" w:before="44"/>
        <w:ind w:left="514" w:right="2239"/>
        <w:jc w:val="left"/>
      </w:pPr>
      <w:r>
        <w:rPr/>
        <w:t>②新债务重组准则</w:t>
      </w:r>
    </w:p>
    <w:p>
      <w:pPr>
        <w:spacing w:line="240" w:lineRule="auto" w:before="5"/>
        <w:rPr>
          <w:rFonts w:ascii="宋体" w:hAnsi="宋体" w:cs="宋体" w:eastAsia="宋体" w:hint="default"/>
          <w:sz w:val="22"/>
          <w:szCs w:val="22"/>
        </w:rPr>
      </w:pPr>
    </w:p>
    <w:p>
      <w:pPr>
        <w:pStyle w:val="BodyText"/>
        <w:spacing w:line="302" w:lineRule="auto"/>
        <w:ind w:right="1129" w:firstLine="360"/>
        <w:jc w:val="both"/>
      </w:pPr>
      <w:r>
        <w:rPr/>
        <w:t>财政部于</w:t>
      </w:r>
      <w:r>
        <w:rPr>
          <w:rFonts w:ascii="Arial" w:hAnsi="Arial" w:cs="Arial" w:eastAsia="Arial" w:hint="default"/>
        </w:rPr>
        <w:t>2019</w:t>
      </w:r>
      <w:r>
        <w:rPr/>
        <w:t>年</w:t>
      </w:r>
      <w:r>
        <w:rPr>
          <w:rFonts w:ascii="Arial" w:hAnsi="Arial" w:cs="Arial" w:eastAsia="Arial" w:hint="default"/>
        </w:rPr>
        <w:t>5</w:t>
      </w:r>
      <w:r>
        <w:rPr/>
        <w:t>月</w:t>
      </w:r>
      <w:r>
        <w:rPr>
          <w:rFonts w:ascii="Arial" w:hAnsi="Arial" w:cs="Arial" w:eastAsia="Arial" w:hint="default"/>
        </w:rPr>
        <w:t>16</w:t>
      </w:r>
      <w:r>
        <w:rPr/>
        <w:t>日发布了《企业会计准则第</w:t>
      </w:r>
      <w:r>
        <w:rPr>
          <w:rFonts w:ascii="Arial" w:hAnsi="Arial" w:cs="Arial" w:eastAsia="Arial" w:hint="default"/>
        </w:rPr>
        <w:t>12</w:t>
      </w:r>
      <w:r>
        <w:rPr/>
        <w:t>号</w:t>
      </w:r>
      <w:r>
        <w:rPr>
          <w:rFonts w:ascii="Arial" w:hAnsi="Arial" w:cs="Arial" w:eastAsia="Arial" w:hint="default"/>
        </w:rPr>
        <w:t>——</w:t>
      </w:r>
      <w:r>
        <w:rPr/>
        <w:t>债务重组》（以下简称</w:t>
      </w:r>
      <w:r>
        <w:rPr>
          <w:rFonts w:ascii="Arial" w:hAnsi="Arial" w:cs="Arial" w:eastAsia="Arial" w:hint="default"/>
        </w:rPr>
        <w:t>”</w:t>
      </w:r>
      <w:r>
        <w:rPr>
          <w:rFonts w:ascii="Arial" w:hAnsi="Arial" w:cs="Arial" w:eastAsia="Arial" w:hint="default"/>
          <w:spacing w:val="41"/>
        </w:rPr>
        <w:t> </w:t>
      </w:r>
      <w:r>
        <w:rPr/>
        <w:t>新债务重组准则</w:t>
      </w:r>
      <w:r>
        <w:rPr>
          <w:rFonts w:ascii="Arial" w:hAnsi="Arial" w:cs="Arial" w:eastAsia="Arial" w:hint="default"/>
        </w:rPr>
        <w:t>”)</w:t>
      </w:r>
      <w:r>
        <w:rPr/>
        <w:t>，修改了债务重 组的定义，明确了债务重组中涉及金融工具的适用《企业会计准则第</w:t>
      </w:r>
      <w:r>
        <w:rPr>
          <w:spacing w:val="29"/>
        </w:rPr>
        <w:t> </w:t>
      </w:r>
      <w:r>
        <w:rPr>
          <w:rFonts w:ascii="Arial" w:hAnsi="Arial" w:cs="Arial" w:eastAsia="Arial" w:hint="default"/>
        </w:rPr>
        <w:t>22</w:t>
      </w:r>
      <w:r>
        <w:rPr>
          <w:rFonts w:ascii="Arial" w:hAnsi="Arial" w:cs="Arial" w:eastAsia="Arial" w:hint="default"/>
          <w:spacing w:val="17"/>
        </w:rPr>
        <w:t> </w:t>
      </w:r>
      <w:r>
        <w:rPr/>
        <w:t>号</w:t>
      </w:r>
      <w:r>
        <w:rPr>
          <w:rFonts w:ascii="Arial" w:hAnsi="Arial" w:cs="Arial" w:eastAsia="Arial" w:hint="default"/>
        </w:rPr>
        <w:t>——</w:t>
      </w:r>
      <w:r>
        <w:rPr/>
        <w:t>金融工具确认和计量》等准则，明确了债</w:t>
      </w:r>
      <w:r>
        <w:rPr>
          <w:spacing w:val="-84"/>
        </w:rPr>
        <w:t> </w:t>
      </w:r>
      <w:r>
        <w:rPr>
          <w:spacing w:val="-84"/>
        </w:rPr>
      </w:r>
      <w:r>
        <w:rPr/>
        <w:t>权人受让金融资产以外的资产初始按成本计量，明确债务人以资产清偿债务时不再区分资产处置损益与债务重组损益。</w:t>
      </w:r>
    </w:p>
    <w:p>
      <w:pPr>
        <w:spacing w:line="240" w:lineRule="auto" w:before="10"/>
        <w:rPr>
          <w:rFonts w:ascii="宋体" w:hAnsi="宋体" w:cs="宋体" w:eastAsia="宋体" w:hint="default"/>
          <w:sz w:val="18"/>
          <w:szCs w:val="18"/>
        </w:rPr>
      </w:pPr>
    </w:p>
    <w:p>
      <w:pPr>
        <w:pStyle w:val="BodyText"/>
        <w:spacing w:line="302" w:lineRule="auto"/>
        <w:ind w:left="153" w:right="1131" w:firstLine="360"/>
        <w:jc w:val="both"/>
      </w:pPr>
      <w:r>
        <w:rPr>
          <w:spacing w:val="-1"/>
        </w:rPr>
        <w:t>根据财会</w:t>
      </w:r>
      <w:r>
        <w:rPr>
          <w:rFonts w:ascii="Arial" w:hAnsi="Arial" w:cs="Arial" w:eastAsia="Arial" w:hint="default"/>
          <w:spacing w:val="-1"/>
        </w:rPr>
        <w:t>[2019]6</w:t>
      </w:r>
      <w:r>
        <w:rPr>
          <w:spacing w:val="-1"/>
        </w:rPr>
        <w:t>号文件的规定，</w:t>
      </w:r>
      <w:r>
        <w:rPr>
          <w:rFonts w:ascii="Arial" w:hAnsi="Arial" w:cs="Arial" w:eastAsia="Arial" w:hint="default"/>
          <w:spacing w:val="-1"/>
        </w:rPr>
        <w:t>“</w:t>
      </w:r>
      <w:r>
        <w:rPr>
          <w:spacing w:val="-1"/>
        </w:rPr>
        <w:t>营业外收入</w:t>
      </w:r>
      <w:r>
        <w:rPr>
          <w:rFonts w:ascii="Arial" w:hAnsi="Arial" w:cs="Arial" w:eastAsia="Arial" w:hint="default"/>
          <w:spacing w:val="-1"/>
        </w:rPr>
        <w:t>”</w:t>
      </w:r>
      <w:r>
        <w:rPr>
          <w:spacing w:val="-1"/>
        </w:rPr>
        <w:t>和</w:t>
      </w:r>
      <w:r>
        <w:rPr>
          <w:rFonts w:ascii="Arial" w:hAnsi="Arial" w:cs="Arial" w:eastAsia="Arial" w:hint="default"/>
          <w:spacing w:val="-1"/>
        </w:rPr>
        <w:t>“</w:t>
      </w:r>
      <w:r>
        <w:rPr>
          <w:spacing w:val="-1"/>
        </w:rPr>
        <w:t>营业外支出</w:t>
      </w:r>
      <w:r>
        <w:rPr>
          <w:rFonts w:ascii="Arial" w:hAnsi="Arial" w:cs="Arial" w:eastAsia="Arial" w:hint="default"/>
          <w:spacing w:val="-1"/>
        </w:rPr>
        <w:t>”</w:t>
      </w:r>
      <w:r>
        <w:rPr>
          <w:spacing w:val="-1"/>
        </w:rPr>
        <w:t>项目不再包含债务重组中因处置非流动资产产生的利得或</w:t>
      </w:r>
      <w:r>
        <w:rPr/>
        <w:t> 损失。</w:t>
      </w:r>
    </w:p>
    <w:p>
      <w:pPr>
        <w:spacing w:line="240" w:lineRule="auto" w:before="5"/>
        <w:rPr>
          <w:rFonts w:ascii="宋体" w:hAnsi="宋体" w:cs="宋体" w:eastAsia="宋体" w:hint="default"/>
          <w:sz w:val="15"/>
          <w:szCs w:val="15"/>
        </w:rPr>
      </w:pPr>
    </w:p>
    <w:p>
      <w:pPr>
        <w:pStyle w:val="BodyText"/>
        <w:spacing w:line="240" w:lineRule="auto" w:before="44"/>
        <w:ind w:left="513" w:right="0"/>
        <w:jc w:val="left"/>
      </w:pPr>
      <w:r>
        <w:rPr>
          <w:spacing w:val="2"/>
        </w:rPr>
        <w:t>本集团对</w:t>
      </w:r>
      <w:r>
        <w:rPr>
          <w:rFonts w:ascii="Arial" w:hAnsi="Arial" w:cs="Arial" w:eastAsia="Arial" w:hint="default"/>
          <w:spacing w:val="2"/>
        </w:rPr>
        <w:t>2019</w:t>
      </w:r>
      <w:r>
        <w:rPr>
          <w:spacing w:val="2"/>
        </w:rPr>
        <w:t>年</w:t>
      </w:r>
      <w:r>
        <w:rPr>
          <w:rFonts w:ascii="Arial" w:hAnsi="Arial" w:cs="Arial" w:eastAsia="Arial" w:hint="default"/>
          <w:spacing w:val="2"/>
        </w:rPr>
        <w:t>1</w:t>
      </w:r>
      <w:r>
        <w:rPr>
          <w:spacing w:val="2"/>
        </w:rPr>
        <w:t>月</w:t>
      </w:r>
      <w:r>
        <w:rPr>
          <w:rFonts w:ascii="Arial" w:hAnsi="Arial" w:cs="Arial" w:eastAsia="Arial" w:hint="default"/>
          <w:spacing w:val="2"/>
        </w:rPr>
        <w:t>1</w:t>
      </w:r>
      <w:r>
        <w:rPr>
          <w:spacing w:val="2"/>
        </w:rPr>
        <w:t>日新发生的债务重组采用未来适用法处理，对</w:t>
      </w:r>
      <w:r>
        <w:rPr>
          <w:rFonts w:ascii="Arial" w:hAnsi="Arial" w:cs="Arial" w:eastAsia="Arial" w:hint="default"/>
          <w:spacing w:val="2"/>
        </w:rPr>
        <w:t>2019</w:t>
      </w:r>
      <w:r>
        <w:rPr>
          <w:spacing w:val="2"/>
        </w:rPr>
        <w:t>年</w:t>
      </w:r>
      <w:r>
        <w:rPr>
          <w:rFonts w:ascii="Arial" w:hAnsi="Arial" w:cs="Arial" w:eastAsia="Arial" w:hint="default"/>
          <w:spacing w:val="2"/>
        </w:rPr>
        <w:t>1</w:t>
      </w:r>
      <w:r>
        <w:rPr>
          <w:spacing w:val="2"/>
        </w:rPr>
        <w:t>月</w:t>
      </w:r>
      <w:r>
        <w:rPr>
          <w:rFonts w:ascii="Arial" w:hAnsi="Arial" w:cs="Arial" w:eastAsia="Arial" w:hint="default"/>
          <w:spacing w:val="2"/>
        </w:rPr>
        <w:t>1</w:t>
      </w:r>
      <w:r>
        <w:rPr>
          <w:spacing w:val="2"/>
        </w:rPr>
        <w:t>日以前发生的债务重组不进行追溯调</w:t>
      </w:r>
    </w:p>
    <w:p>
      <w:pPr>
        <w:pStyle w:val="BodyText"/>
        <w:spacing w:line="240" w:lineRule="auto" w:before="63"/>
        <w:ind w:left="153" w:right="2239"/>
        <w:jc w:val="left"/>
      </w:pPr>
      <w:r>
        <w:rPr/>
        <w:t>整。</w:t>
      </w:r>
    </w:p>
    <w:p>
      <w:pPr>
        <w:spacing w:line="240" w:lineRule="auto" w:before="12"/>
        <w:rPr>
          <w:rFonts w:ascii="宋体" w:hAnsi="宋体" w:cs="宋体" w:eastAsia="宋体" w:hint="default"/>
          <w:sz w:val="18"/>
          <w:szCs w:val="18"/>
        </w:rPr>
      </w:pPr>
    </w:p>
    <w:p>
      <w:pPr>
        <w:pStyle w:val="BodyText"/>
        <w:spacing w:line="240" w:lineRule="auto" w:before="44"/>
        <w:ind w:left="513" w:right="2239"/>
        <w:jc w:val="left"/>
      </w:pPr>
      <w:r>
        <w:rPr/>
        <w:t>③新非货币性交换准则</w:t>
      </w:r>
    </w:p>
    <w:p>
      <w:pPr>
        <w:spacing w:line="240" w:lineRule="auto" w:before="5"/>
        <w:rPr>
          <w:rFonts w:ascii="宋体" w:hAnsi="宋体" w:cs="宋体" w:eastAsia="宋体" w:hint="default"/>
          <w:sz w:val="22"/>
          <w:szCs w:val="22"/>
        </w:rPr>
      </w:pPr>
    </w:p>
    <w:p>
      <w:pPr>
        <w:pStyle w:val="BodyText"/>
        <w:spacing w:line="307" w:lineRule="auto"/>
        <w:ind w:left="153" w:right="1127" w:firstLine="360"/>
        <w:jc w:val="both"/>
      </w:pPr>
      <w:r>
        <w:rPr/>
        <w:t>财政部于</w:t>
      </w:r>
      <w:r>
        <w:rPr>
          <w:rFonts w:ascii="Arial" w:hAnsi="Arial" w:cs="Arial" w:eastAsia="Arial" w:hint="default"/>
        </w:rPr>
        <w:t>2019</w:t>
      </w:r>
      <w:r>
        <w:rPr/>
        <w:t>年</w:t>
      </w:r>
      <w:r>
        <w:rPr>
          <w:rFonts w:ascii="Arial" w:hAnsi="Arial" w:cs="Arial" w:eastAsia="Arial" w:hint="default"/>
        </w:rPr>
        <w:t>5</w:t>
      </w:r>
      <w:r>
        <w:rPr/>
        <w:t>月</w:t>
      </w:r>
      <w:r>
        <w:rPr>
          <w:rFonts w:ascii="Arial" w:hAnsi="Arial" w:cs="Arial" w:eastAsia="Arial" w:hint="default"/>
        </w:rPr>
        <w:t>9</w:t>
      </w:r>
      <w:r>
        <w:rPr/>
        <w:t>日发布了《企业会计准则第</w:t>
      </w:r>
      <w:r>
        <w:rPr>
          <w:rFonts w:ascii="Arial" w:hAnsi="Arial" w:cs="Arial" w:eastAsia="Arial" w:hint="default"/>
        </w:rPr>
        <w:t>7</w:t>
      </w:r>
      <w:r>
        <w:rPr/>
        <w:t>号</w:t>
      </w:r>
      <w:r>
        <w:rPr>
          <w:rFonts w:ascii="Arial" w:hAnsi="Arial" w:cs="Arial" w:eastAsia="Arial" w:hint="default"/>
        </w:rPr>
        <w:t>——</w:t>
      </w:r>
      <w:r>
        <w:rPr/>
        <w:t>非货币性资产交换》（以下简称</w:t>
      </w:r>
      <w:r>
        <w:rPr>
          <w:rFonts w:ascii="Arial" w:hAnsi="Arial" w:cs="Arial" w:eastAsia="Arial" w:hint="default"/>
        </w:rPr>
        <w:t>“</w:t>
      </w:r>
      <w:r>
        <w:rPr/>
        <w:t>新非货币性交换准则</w:t>
      </w:r>
      <w:r>
        <w:rPr>
          <w:rFonts w:ascii="Arial" w:hAnsi="Arial" w:cs="Arial" w:eastAsia="Arial" w:hint="default"/>
        </w:rPr>
        <w:t>”</w:t>
      </w:r>
      <w:r>
        <w:rPr/>
        <w:t>），明 </w:t>
      </w:r>
      <w:r>
        <w:rPr>
          <w:spacing w:val="-2"/>
        </w:rPr>
        <w:t>确了货币性资产和非货币性资产的概念和准则的适用范围，明确了非货币性资产交换的确认时点，明确了不同条件下非货币</w:t>
      </w:r>
      <w:r>
        <w:rPr>
          <w:spacing w:val="-64"/>
        </w:rPr>
        <w:t> </w:t>
      </w:r>
      <w:r>
        <w:rPr>
          <w:spacing w:val="-64"/>
        </w:rPr>
      </w:r>
      <w:r>
        <w:rPr/>
        <w:t>性资产交换的价值计量基础和核算方法及同时完善了相关信息披露要求。本集团对</w:t>
      </w:r>
      <w:r>
        <w:rPr>
          <w:rFonts w:ascii="Arial" w:hAnsi="Arial" w:cs="Arial" w:eastAsia="Arial" w:hint="default"/>
        </w:rPr>
        <w:t>2019</w:t>
      </w:r>
      <w:r>
        <w:rPr/>
        <w:t>年</w:t>
      </w:r>
      <w:r>
        <w:rPr>
          <w:rFonts w:ascii="Arial" w:hAnsi="Arial" w:cs="Arial" w:eastAsia="Arial" w:hint="default"/>
        </w:rPr>
        <w:t>1</w:t>
      </w:r>
      <w:r>
        <w:rPr/>
        <w:t>月</w:t>
      </w:r>
      <w:r>
        <w:rPr>
          <w:rFonts w:ascii="Arial" w:hAnsi="Arial" w:cs="Arial" w:eastAsia="Arial" w:hint="default"/>
        </w:rPr>
        <w:t>1</w:t>
      </w:r>
      <w:r>
        <w:rPr/>
        <w:t>日以后新发生的非货币性资</w:t>
      </w:r>
      <w:r>
        <w:rPr>
          <w:spacing w:val="-61"/>
        </w:rPr>
        <w:t> </w:t>
      </w:r>
      <w:r>
        <w:rPr>
          <w:spacing w:val="-61"/>
        </w:rPr>
      </w:r>
      <w:r>
        <w:rPr/>
        <w:t>产交换交易采用未来适用法处理，对</w:t>
      </w:r>
      <w:r>
        <w:rPr>
          <w:rFonts w:ascii="Arial" w:hAnsi="Arial" w:cs="Arial" w:eastAsia="Arial" w:hint="default"/>
        </w:rPr>
        <w:t>2019</w:t>
      </w:r>
      <w:r>
        <w:rPr/>
        <w:t>年</w:t>
      </w:r>
      <w:r>
        <w:rPr>
          <w:rFonts w:ascii="Arial" w:hAnsi="Arial" w:cs="Arial" w:eastAsia="Arial" w:hint="default"/>
        </w:rPr>
        <w:t>1</w:t>
      </w:r>
      <w:r>
        <w:rPr/>
        <w:t>月</w:t>
      </w:r>
      <w:r>
        <w:rPr>
          <w:rFonts w:ascii="Arial" w:hAnsi="Arial" w:cs="Arial" w:eastAsia="Arial" w:hint="default"/>
        </w:rPr>
        <w:t>1</w:t>
      </w:r>
      <w:r>
        <w:rPr/>
        <w:t>日以前发生的非货币性资产交换交易不进行追溯调整。</w:t>
      </w:r>
    </w:p>
    <w:p>
      <w:pPr>
        <w:spacing w:line="240" w:lineRule="auto" w:before="1"/>
        <w:rPr>
          <w:rFonts w:ascii="宋体" w:hAnsi="宋体" w:cs="宋体" w:eastAsia="宋体" w:hint="default"/>
          <w:sz w:val="17"/>
          <w:szCs w:val="17"/>
        </w:rPr>
      </w:pPr>
    </w:p>
    <w:p>
      <w:pPr>
        <w:pStyle w:val="BodyText"/>
        <w:spacing w:line="240" w:lineRule="auto"/>
        <w:ind w:left="513" w:right="2239"/>
        <w:jc w:val="left"/>
      </w:pPr>
      <w:r>
        <w:rPr/>
        <w:t>④财务报表格式</w:t>
      </w:r>
    </w:p>
    <w:p>
      <w:pPr>
        <w:spacing w:after="0" w:line="240"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02" w:lineRule="auto" w:before="44"/>
        <w:ind w:left="153" w:right="1122" w:firstLine="360"/>
        <w:jc w:val="both"/>
      </w:pPr>
      <w:r>
        <w:rPr/>
        <w:t>财政部于</w:t>
      </w:r>
      <w:r>
        <w:rPr>
          <w:rFonts w:ascii="Arial" w:hAnsi="Arial" w:cs="Arial" w:eastAsia="Arial" w:hint="default"/>
        </w:rPr>
        <w:t>2019</w:t>
      </w:r>
      <w:r>
        <w:rPr/>
        <w:t>年</w:t>
      </w:r>
      <w:r>
        <w:rPr>
          <w:rFonts w:ascii="Arial" w:hAnsi="Arial" w:cs="Arial" w:eastAsia="Arial" w:hint="default"/>
        </w:rPr>
        <w:t>4</w:t>
      </w:r>
      <w:r>
        <w:rPr/>
        <w:t>月发布了《财政部关于修订印发</w:t>
      </w:r>
      <w:r>
        <w:rPr>
          <w:rFonts w:ascii="Arial" w:hAnsi="Arial" w:cs="Arial" w:eastAsia="Arial" w:hint="default"/>
        </w:rPr>
        <w:t>2019</w:t>
      </w:r>
      <w:r>
        <w:rPr/>
        <w:t>年度一般企业财务报表格式的通知》（财会</w:t>
      </w:r>
      <w:r>
        <w:rPr>
          <w:rFonts w:ascii="Arial" w:hAnsi="Arial" w:cs="Arial" w:eastAsia="Arial" w:hint="default"/>
        </w:rPr>
        <w:t>[2019]6</w:t>
      </w:r>
      <w:r>
        <w:rPr/>
        <w:t>号），</w:t>
      </w:r>
      <w:r>
        <w:rPr>
          <w:rFonts w:ascii="Arial" w:hAnsi="Arial" w:cs="Arial" w:eastAsia="Arial" w:hint="default"/>
        </w:rPr>
        <w:t>2018</w:t>
      </w:r>
      <w:r>
        <w:rPr>
          <w:rFonts w:ascii="Arial" w:hAnsi="Arial" w:cs="Arial" w:eastAsia="Arial" w:hint="default"/>
          <w:spacing w:val="-1"/>
        </w:rPr>
        <w:t> </w:t>
      </w:r>
      <w:r>
        <w:rPr>
          <w:spacing w:val="-2"/>
        </w:rPr>
        <w:t>年</w:t>
      </w:r>
      <w:r>
        <w:rPr>
          <w:rFonts w:ascii="Arial" w:hAnsi="Arial" w:cs="Arial" w:eastAsia="Arial" w:hint="default"/>
          <w:spacing w:val="-2"/>
        </w:rPr>
        <w:t>6</w:t>
      </w:r>
      <w:r>
        <w:rPr>
          <w:spacing w:val="-2"/>
        </w:rPr>
        <w:t>月发布的《财政部关于修订印发</w:t>
      </w:r>
      <w:r>
        <w:rPr>
          <w:rFonts w:ascii="Arial" w:hAnsi="Arial" w:cs="Arial" w:eastAsia="Arial" w:hint="default"/>
          <w:spacing w:val="-2"/>
        </w:rPr>
        <w:t>2018</w:t>
      </w:r>
      <w:r>
        <w:rPr>
          <w:spacing w:val="-2"/>
        </w:rPr>
        <w:t>年度一般企业财务报表格式的通知》（财会</w:t>
      </w:r>
      <w:r>
        <w:rPr>
          <w:rFonts w:ascii="Arial" w:hAnsi="Arial" w:cs="Arial" w:eastAsia="Arial" w:hint="default"/>
          <w:spacing w:val="-2"/>
        </w:rPr>
        <w:t>[2018]15</w:t>
      </w:r>
      <w:r>
        <w:rPr>
          <w:spacing w:val="-2"/>
        </w:rPr>
        <w:t>号）同时废止，本公司于</w:t>
      </w:r>
      <w:r>
        <w:rPr>
          <w:rFonts w:ascii="Arial" w:hAnsi="Arial" w:cs="Arial" w:eastAsia="Arial" w:hint="default"/>
          <w:spacing w:val="-2"/>
        </w:rPr>
        <w:t>2019</w:t>
      </w:r>
      <w:r>
        <w:rPr>
          <w:rFonts w:ascii="Arial" w:hAnsi="Arial" w:cs="Arial" w:eastAsia="Arial" w:hint="default"/>
          <w:spacing w:val="-4"/>
        </w:rPr>
        <w:t> </w:t>
      </w:r>
      <w:r>
        <w:rPr>
          <w:rFonts w:ascii="Arial" w:hAnsi="Arial" w:cs="Arial" w:eastAsia="Arial" w:hint="default"/>
          <w:spacing w:val="-4"/>
        </w:rPr>
      </w:r>
      <w:r>
        <w:rPr/>
        <w:t>年</w:t>
      </w:r>
      <w:r>
        <w:rPr>
          <w:rFonts w:ascii="Arial" w:hAnsi="Arial" w:cs="Arial" w:eastAsia="Arial" w:hint="default"/>
        </w:rPr>
        <w:t>8</w:t>
      </w:r>
      <w:r>
        <w:rPr/>
        <w:t>月</w:t>
      </w:r>
      <w:r>
        <w:rPr>
          <w:rFonts w:ascii="Arial" w:hAnsi="Arial" w:cs="Arial" w:eastAsia="Arial" w:hint="default"/>
        </w:rPr>
        <w:t>22</w:t>
      </w:r>
      <w:r>
        <w:rPr/>
        <w:t>日召开的第四届董事会第十八次会议通过了以上变更；财政部于</w:t>
      </w:r>
      <w:r>
        <w:rPr>
          <w:rFonts w:ascii="Arial" w:hAnsi="Arial" w:cs="Arial" w:eastAsia="Arial" w:hint="default"/>
        </w:rPr>
        <w:t>2019</w:t>
      </w:r>
      <w:r>
        <w:rPr/>
        <w:t>年</w:t>
      </w:r>
      <w:r>
        <w:rPr>
          <w:rFonts w:ascii="Arial" w:hAnsi="Arial" w:cs="Arial" w:eastAsia="Arial" w:hint="default"/>
        </w:rPr>
        <w:t>9</w:t>
      </w:r>
      <w:r>
        <w:rPr/>
        <w:t>月发布了《财政部关于修订印发合并财务</w:t>
      </w:r>
      <w:r>
        <w:rPr>
          <w:spacing w:val="-83"/>
        </w:rPr>
        <w:t> </w:t>
      </w:r>
      <w:r>
        <w:rPr>
          <w:spacing w:val="-83"/>
        </w:rPr>
      </w:r>
      <w:r>
        <w:rPr>
          <w:spacing w:val="-7"/>
        </w:rPr>
        <w:t>报表格式（</w:t>
      </w:r>
      <w:r>
        <w:rPr>
          <w:rFonts w:ascii="Arial" w:hAnsi="Arial" w:cs="Arial" w:eastAsia="Arial" w:hint="default"/>
          <w:spacing w:val="-7"/>
        </w:rPr>
        <w:t>2019</w:t>
      </w:r>
      <w:r>
        <w:rPr>
          <w:spacing w:val="-7"/>
        </w:rPr>
        <w:t>版）的通知》（财会</w:t>
      </w:r>
      <w:r>
        <w:rPr>
          <w:rFonts w:ascii="Arial" w:hAnsi="Arial" w:cs="Arial" w:eastAsia="Arial" w:hint="default"/>
          <w:spacing w:val="-7"/>
        </w:rPr>
        <w:t>[2019]16</w:t>
      </w:r>
      <w:r>
        <w:rPr>
          <w:spacing w:val="-7"/>
        </w:rPr>
        <w:t>号），《财政部关于修订印发</w:t>
      </w:r>
      <w:r>
        <w:rPr>
          <w:rFonts w:ascii="Arial" w:hAnsi="Arial" w:cs="Arial" w:eastAsia="Arial" w:hint="default"/>
          <w:spacing w:val="-7"/>
        </w:rPr>
        <w:t>2018</w:t>
      </w:r>
      <w:r>
        <w:rPr>
          <w:spacing w:val="-7"/>
        </w:rPr>
        <w:t>年度合并财务报表格式的通知》（财会</w:t>
      </w:r>
      <w:r>
        <w:rPr>
          <w:rFonts w:ascii="Arial" w:hAnsi="Arial" w:cs="Arial" w:eastAsia="Arial" w:hint="default"/>
          <w:spacing w:val="-7"/>
        </w:rPr>
        <w:t>[2019]1</w:t>
      </w:r>
      <w:r>
        <w:rPr>
          <w:rFonts w:ascii="Arial" w:hAnsi="Arial" w:cs="Arial" w:eastAsia="Arial" w:hint="default"/>
          <w:spacing w:val="15"/>
        </w:rPr>
        <w:t> </w:t>
      </w:r>
      <w:r>
        <w:rPr>
          <w:rFonts w:ascii="Arial" w:hAnsi="Arial" w:cs="Arial" w:eastAsia="Arial" w:hint="default"/>
          <w:spacing w:val="15"/>
        </w:rPr>
      </w:r>
      <w:r>
        <w:rPr>
          <w:spacing w:val="6"/>
        </w:rPr>
        <w:t>号）同时废止，本公司于</w:t>
      </w:r>
      <w:r>
        <w:rPr>
          <w:rFonts w:ascii="Arial" w:hAnsi="Arial" w:cs="Arial" w:eastAsia="Arial" w:hint="default"/>
          <w:spacing w:val="6"/>
        </w:rPr>
        <w:t>2020</w:t>
      </w:r>
      <w:r>
        <w:rPr>
          <w:spacing w:val="6"/>
        </w:rPr>
        <w:t>年</w:t>
      </w:r>
      <w:r>
        <w:rPr>
          <w:rFonts w:ascii="Arial" w:hAnsi="Arial" w:cs="Arial" w:eastAsia="Arial" w:hint="default"/>
          <w:spacing w:val="6"/>
        </w:rPr>
        <w:t>4</w:t>
      </w:r>
      <w:r>
        <w:rPr>
          <w:spacing w:val="6"/>
        </w:rPr>
        <w:t>月</w:t>
      </w:r>
      <w:r>
        <w:rPr>
          <w:rFonts w:ascii="Arial" w:hAnsi="Arial" w:cs="Arial" w:eastAsia="Arial" w:hint="default"/>
          <w:spacing w:val="6"/>
        </w:rPr>
        <w:t>27</w:t>
      </w:r>
      <w:r>
        <w:rPr>
          <w:spacing w:val="6"/>
        </w:rPr>
        <w:t>日召开的第五届董事会第二次会议通过了以上变更。根据财会</w:t>
      </w:r>
      <w:r>
        <w:rPr>
          <w:rFonts w:ascii="Arial" w:hAnsi="Arial" w:cs="Arial" w:eastAsia="Arial" w:hint="default"/>
          <w:spacing w:val="6"/>
        </w:rPr>
        <w:t>[2019]6</w:t>
      </w:r>
      <w:r>
        <w:rPr>
          <w:spacing w:val="6"/>
        </w:rPr>
        <w:t>号和财会</w:t>
      </w:r>
      <w:r>
        <w:rPr>
          <w:spacing w:val="-43"/>
        </w:rPr>
        <w:t> </w:t>
      </w:r>
      <w:r>
        <w:rPr>
          <w:spacing w:val="-43"/>
        </w:rPr>
      </w:r>
      <w:r>
        <w:rPr>
          <w:rFonts w:ascii="Arial" w:hAnsi="Arial" w:cs="Arial" w:eastAsia="Arial" w:hint="default"/>
        </w:rPr>
        <w:t>[2019]16</w:t>
      </w:r>
      <w:r>
        <w:rPr/>
        <w:t>号，本公司对财务报表格式进行了以下修订：</w:t>
      </w:r>
    </w:p>
    <w:p>
      <w:pPr>
        <w:spacing w:line="240" w:lineRule="auto" w:before="5"/>
        <w:rPr>
          <w:rFonts w:ascii="宋体" w:hAnsi="宋体" w:cs="宋体" w:eastAsia="宋体" w:hint="default"/>
          <w:sz w:val="17"/>
          <w:szCs w:val="17"/>
        </w:rPr>
      </w:pPr>
    </w:p>
    <w:p>
      <w:pPr>
        <w:pStyle w:val="BodyText"/>
        <w:spacing w:line="302" w:lineRule="auto"/>
        <w:ind w:left="153" w:right="1130" w:firstLine="360"/>
        <w:jc w:val="both"/>
      </w:pPr>
      <w:r>
        <w:rPr>
          <w:spacing w:val="-2"/>
        </w:rPr>
        <w:t>资产负债表，将</w:t>
      </w:r>
      <w:r>
        <w:rPr>
          <w:rFonts w:ascii="Arial" w:hAnsi="Arial" w:cs="Arial" w:eastAsia="Arial" w:hint="default"/>
          <w:spacing w:val="-2"/>
        </w:rPr>
        <w:t>“</w:t>
      </w:r>
      <w:r>
        <w:rPr>
          <w:spacing w:val="-2"/>
        </w:rPr>
        <w:t>应收票据及应收账款</w:t>
      </w:r>
      <w:r>
        <w:rPr>
          <w:rFonts w:ascii="Arial" w:hAnsi="Arial" w:cs="Arial" w:eastAsia="Arial" w:hint="default"/>
          <w:spacing w:val="-2"/>
        </w:rPr>
        <w:t>”</w:t>
      </w:r>
      <w:r>
        <w:rPr>
          <w:spacing w:val="-2"/>
        </w:rPr>
        <w:t>行项目拆分为</w:t>
      </w:r>
      <w:r>
        <w:rPr>
          <w:rFonts w:ascii="Arial" w:hAnsi="Arial" w:cs="Arial" w:eastAsia="Arial" w:hint="default"/>
          <w:spacing w:val="-2"/>
        </w:rPr>
        <w:t>“</w:t>
      </w:r>
      <w:r>
        <w:rPr>
          <w:spacing w:val="-2"/>
        </w:rPr>
        <w:t>应收票据</w:t>
      </w:r>
      <w:r>
        <w:rPr>
          <w:rFonts w:ascii="Arial" w:hAnsi="Arial" w:cs="Arial" w:eastAsia="Arial" w:hint="default"/>
          <w:spacing w:val="-2"/>
        </w:rPr>
        <w:t>”</w:t>
      </w:r>
      <w:r>
        <w:rPr>
          <w:spacing w:val="-2"/>
        </w:rPr>
        <w:t>及</w:t>
      </w:r>
      <w:r>
        <w:rPr>
          <w:rFonts w:ascii="Arial" w:hAnsi="Arial" w:cs="Arial" w:eastAsia="Arial" w:hint="default"/>
          <w:spacing w:val="-2"/>
        </w:rPr>
        <w:t>“</w:t>
      </w:r>
      <w:r>
        <w:rPr>
          <w:spacing w:val="-2"/>
        </w:rPr>
        <w:t>应收账款</w:t>
      </w:r>
      <w:r>
        <w:rPr>
          <w:rFonts w:ascii="Arial" w:hAnsi="Arial" w:cs="Arial" w:eastAsia="Arial" w:hint="default"/>
          <w:spacing w:val="-2"/>
        </w:rPr>
        <w:t>”</w:t>
      </w:r>
      <w:r>
        <w:rPr>
          <w:spacing w:val="-2"/>
        </w:rPr>
        <w:t>；将</w:t>
      </w:r>
      <w:r>
        <w:rPr>
          <w:rFonts w:ascii="Arial" w:hAnsi="Arial" w:cs="Arial" w:eastAsia="Arial" w:hint="default"/>
          <w:spacing w:val="-2"/>
        </w:rPr>
        <w:t>“</w:t>
      </w:r>
      <w:r>
        <w:rPr>
          <w:spacing w:val="-2"/>
        </w:rPr>
        <w:t>应付票据及应付账款</w:t>
      </w:r>
      <w:r>
        <w:rPr>
          <w:rFonts w:ascii="Arial" w:hAnsi="Arial" w:cs="Arial" w:eastAsia="Arial" w:hint="default"/>
          <w:spacing w:val="-2"/>
        </w:rPr>
        <w:t>”</w:t>
      </w:r>
      <w:r>
        <w:rPr>
          <w:spacing w:val="-2"/>
        </w:rPr>
        <w:t>行项目拆分为</w:t>
      </w:r>
      <w:r>
        <w:rPr>
          <w:rFonts w:ascii="Arial" w:hAnsi="Arial" w:cs="Arial" w:eastAsia="Arial" w:hint="default"/>
          <w:spacing w:val="-2"/>
        </w:rPr>
        <w:t>“</w:t>
      </w:r>
      <w:r>
        <w:rPr>
          <w:spacing w:val="-2"/>
        </w:rPr>
        <w:t>应</w:t>
      </w:r>
      <w:r>
        <w:rPr/>
        <w:t> 付票据</w:t>
      </w:r>
      <w:r>
        <w:rPr>
          <w:rFonts w:ascii="Arial" w:hAnsi="Arial" w:cs="Arial" w:eastAsia="Arial" w:hint="default"/>
        </w:rPr>
        <w:t>”</w:t>
      </w:r>
      <w:r>
        <w:rPr/>
        <w:t>及</w:t>
      </w:r>
      <w:r>
        <w:rPr>
          <w:rFonts w:ascii="Arial" w:hAnsi="Arial" w:cs="Arial" w:eastAsia="Arial" w:hint="default"/>
        </w:rPr>
        <w:t>“</w:t>
      </w:r>
      <w:r>
        <w:rPr/>
        <w:t>应付账款</w:t>
      </w:r>
      <w:r>
        <w:rPr>
          <w:rFonts w:ascii="Arial" w:hAnsi="Arial" w:cs="Arial" w:eastAsia="Arial" w:hint="default"/>
        </w:rPr>
        <w:t>”</w:t>
      </w:r>
      <w:r>
        <w:rPr/>
        <w:t>。</w:t>
      </w:r>
    </w:p>
    <w:p>
      <w:pPr>
        <w:spacing w:line="240" w:lineRule="auto" w:before="5"/>
        <w:rPr>
          <w:rFonts w:ascii="宋体" w:hAnsi="宋体" w:cs="宋体" w:eastAsia="宋体" w:hint="default"/>
          <w:sz w:val="17"/>
          <w:szCs w:val="17"/>
        </w:rPr>
      </w:pPr>
    </w:p>
    <w:p>
      <w:pPr>
        <w:pStyle w:val="BodyText"/>
        <w:spacing w:line="302" w:lineRule="auto"/>
        <w:ind w:left="153" w:right="1130" w:firstLine="360"/>
        <w:jc w:val="both"/>
      </w:pPr>
      <w:r>
        <w:rPr>
          <w:spacing w:val="-1"/>
        </w:rPr>
        <w:t>利润表，</w:t>
      </w:r>
      <w:r>
        <w:rPr>
          <w:rFonts w:ascii="Arial" w:hAnsi="Arial" w:cs="Arial" w:eastAsia="Arial" w:hint="default"/>
          <w:spacing w:val="-1"/>
        </w:rPr>
        <w:t>“</w:t>
      </w:r>
      <w:r>
        <w:rPr>
          <w:spacing w:val="-1"/>
        </w:rPr>
        <w:t>研发费用</w:t>
      </w:r>
      <w:r>
        <w:rPr>
          <w:rFonts w:ascii="Arial" w:hAnsi="Arial" w:cs="Arial" w:eastAsia="Arial" w:hint="default"/>
          <w:spacing w:val="-1"/>
        </w:rPr>
        <w:t>”</w:t>
      </w:r>
      <w:r>
        <w:rPr>
          <w:spacing w:val="-1"/>
        </w:rPr>
        <w:t>项目，反映企业进行研究与开发过程中发生的费用化支出，以及计入管理费用的自行开发无形资产</w:t>
      </w:r>
      <w:r>
        <w:rPr/>
        <w:t> 的摊销；将</w:t>
      </w:r>
      <w:r>
        <w:rPr>
          <w:rFonts w:ascii="Arial" w:hAnsi="Arial" w:cs="Arial" w:eastAsia="Arial" w:hint="default"/>
        </w:rPr>
        <w:t>“</w:t>
      </w:r>
      <w:r>
        <w:rPr/>
        <w:t>资产减值损失</w:t>
      </w:r>
      <w:r>
        <w:rPr>
          <w:rFonts w:ascii="Arial" w:hAnsi="Arial" w:cs="Arial" w:eastAsia="Arial" w:hint="default"/>
        </w:rPr>
        <w:t>”</w:t>
      </w:r>
      <w:r>
        <w:rPr/>
        <w:t>、</w:t>
      </w:r>
      <w:r>
        <w:rPr>
          <w:rFonts w:ascii="Arial" w:hAnsi="Arial" w:cs="Arial" w:eastAsia="Arial" w:hint="default"/>
        </w:rPr>
        <w:t>“</w:t>
      </w:r>
      <w:r>
        <w:rPr/>
        <w:t>信用减值损失</w:t>
      </w:r>
      <w:r>
        <w:rPr>
          <w:rFonts w:ascii="Arial" w:hAnsi="Arial" w:cs="Arial" w:eastAsia="Arial" w:hint="default"/>
        </w:rPr>
        <w:t>”</w:t>
      </w:r>
      <w:r>
        <w:rPr/>
        <w:t>行项目的列报行次进行了调整。</w:t>
      </w:r>
    </w:p>
    <w:p>
      <w:pPr>
        <w:spacing w:line="240" w:lineRule="auto" w:before="5"/>
        <w:rPr>
          <w:rFonts w:ascii="宋体" w:hAnsi="宋体" w:cs="宋体" w:eastAsia="宋体" w:hint="default"/>
          <w:sz w:val="17"/>
          <w:szCs w:val="17"/>
        </w:rPr>
      </w:pPr>
    </w:p>
    <w:p>
      <w:pPr>
        <w:pStyle w:val="BodyText"/>
        <w:spacing w:line="523" w:lineRule="auto"/>
        <w:ind w:left="513" w:right="3371"/>
        <w:jc w:val="left"/>
      </w:pPr>
      <w:r>
        <w:rPr/>
        <w:t>本公司对可比期间的比较数据按照财会</w:t>
      </w:r>
      <w:r>
        <w:rPr>
          <w:rFonts w:ascii="Arial" w:hAnsi="Arial" w:cs="Arial" w:eastAsia="Arial" w:hint="default"/>
        </w:rPr>
        <w:t>[2019]6</w:t>
      </w:r>
      <w:r>
        <w:rPr/>
        <w:t>号文进行调整。 财务报表格式的修订对本公司的资产总额、负债总额、净利润、其他综合收益等无影响。 受影响的报表科目如下：</w:t>
      </w:r>
    </w:p>
    <w:p>
      <w:pPr>
        <w:pStyle w:val="BodyText"/>
        <w:spacing w:line="240" w:lineRule="auto" w:before="80"/>
        <w:ind w:left="0" w:right="1491"/>
        <w:jc w:val="right"/>
      </w:pPr>
      <w:r>
        <w:rPr/>
        <w:t>单位：元</w:t>
      </w:r>
    </w:p>
    <w:p>
      <w:pPr>
        <w:spacing w:line="240" w:lineRule="auto" w:before="7"/>
        <w:rPr>
          <w:rFonts w:ascii="宋体" w:hAnsi="宋体" w:cs="宋体" w:eastAsia="宋体" w:hint="default"/>
          <w:sz w:val="21"/>
          <w:szCs w:val="21"/>
        </w:rPr>
      </w:pPr>
    </w:p>
    <w:tbl>
      <w:tblPr>
        <w:tblW w:w="0" w:type="auto"/>
        <w:jc w:val="left"/>
        <w:tblInd w:w="430" w:type="dxa"/>
        <w:tblLayout w:type="fixed"/>
        <w:tblCellMar>
          <w:top w:w="0" w:type="dxa"/>
          <w:left w:w="0" w:type="dxa"/>
          <w:bottom w:w="0" w:type="dxa"/>
          <w:right w:w="0" w:type="dxa"/>
        </w:tblCellMar>
        <w:tblLook w:val="01E0"/>
      </w:tblPr>
      <w:tblGrid>
        <w:gridCol w:w="2977"/>
        <w:gridCol w:w="1985"/>
        <w:gridCol w:w="1984"/>
        <w:gridCol w:w="2126"/>
      </w:tblGrid>
      <w:tr>
        <w:trPr>
          <w:trHeight w:val="347" w:hRule="exact"/>
        </w:trPr>
        <w:tc>
          <w:tcPr>
            <w:tcW w:w="2977"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1"/>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科目名称</w:t>
            </w:r>
          </w:p>
        </w:tc>
        <w:tc>
          <w:tcPr>
            <w:tcW w:w="6095" w:type="dxa"/>
            <w:gridSpan w:val="3"/>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本公司</w:t>
            </w:r>
          </w:p>
        </w:tc>
      </w:tr>
      <w:tr>
        <w:trPr>
          <w:trHeight w:val="347" w:hRule="exact"/>
        </w:trPr>
        <w:tc>
          <w:tcPr>
            <w:tcW w:w="2977" w:type="dxa"/>
            <w:vMerge/>
            <w:tcBorders>
              <w:left w:val="single" w:sz="6" w:space="0" w:color="000000"/>
              <w:bottom w:val="single" w:sz="6" w:space="0" w:color="000000"/>
              <w:right w:val="single" w:sz="6" w:space="0" w:color="000000"/>
            </w:tcBorders>
            <w:shd w:val="clear" w:color="auto" w:fill="D9D9D9"/>
          </w:tcPr>
          <w:p>
            <w:pPr/>
          </w:p>
        </w:tc>
        <w:tc>
          <w:tcPr>
            <w:tcW w:w="198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调整前</w:t>
            </w:r>
          </w:p>
        </w:tc>
        <w:tc>
          <w:tcPr>
            <w:tcW w:w="19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调整数</w:t>
            </w:r>
          </w:p>
        </w:tc>
        <w:tc>
          <w:tcPr>
            <w:tcW w:w="212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调整后</w:t>
            </w:r>
          </w:p>
        </w:tc>
      </w:tr>
      <w:tr>
        <w:trPr>
          <w:trHeight w:val="347"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应收票据及应收账款</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178,425,721.05</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-178,425,721.05</w:t>
            </w:r>
          </w:p>
        </w:tc>
        <w:tc>
          <w:tcPr>
            <w:tcW w:w="2126"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985"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985"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178,425,721.05</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178,425,721.05</w:t>
            </w:r>
          </w:p>
        </w:tc>
      </w:tr>
      <w:tr>
        <w:trPr>
          <w:trHeight w:val="347"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应付票据及应付账款</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268,438,691.19</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-268,438,691.19</w:t>
            </w:r>
          </w:p>
        </w:tc>
        <w:tc>
          <w:tcPr>
            <w:tcW w:w="2126"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985"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9,189,850.00</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9,189,850.00</w:t>
            </w:r>
          </w:p>
        </w:tc>
      </w:tr>
      <w:tr>
        <w:trPr>
          <w:trHeight w:val="347"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985" w:type="dxa"/>
            <w:tcBorders>
              <w:top w:val="single" w:sz="6" w:space="0" w:color="000000"/>
              <w:left w:val="single" w:sz="6" w:space="0" w:color="000000"/>
              <w:bottom w:val="single" w:sz="6" w:space="0" w:color="000000"/>
              <w:right w:val="single" w:sz="6" w:space="0" w:color="000000"/>
            </w:tcBorders>
          </w:tcPr>
          <w:p>
            <w:pP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259,248,841.19</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259,248,841.19</w:t>
            </w:r>
          </w:p>
        </w:tc>
      </w:tr>
      <w:tr>
        <w:trPr>
          <w:trHeight w:val="347"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124,961,024.91</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-28,372,432.48</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96,588,592.43</w:t>
            </w:r>
          </w:p>
        </w:tc>
      </w:tr>
      <w:tr>
        <w:trPr>
          <w:trHeight w:val="348"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77,634,034.60</w:t>
            </w:r>
          </w:p>
        </w:tc>
        <w:tc>
          <w:tcPr>
            <w:tcW w:w="19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28,372,432.48</w:t>
            </w: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106,006,467.08</w:t>
            </w:r>
          </w:p>
        </w:tc>
      </w:tr>
      <w:tr>
        <w:trPr>
          <w:trHeight w:val="347" w:hRule="exact"/>
        </w:trPr>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649,459,471.75</w:t>
            </w:r>
          </w:p>
        </w:tc>
        <w:tc>
          <w:tcPr>
            <w:tcW w:w="1984" w:type="dxa"/>
            <w:tcBorders>
              <w:top w:val="single" w:sz="6" w:space="0" w:color="000000"/>
              <w:left w:val="single" w:sz="6" w:space="0" w:color="000000"/>
              <w:bottom w:val="single" w:sz="6" w:space="0" w:color="000000"/>
              <w:right w:val="single" w:sz="6" w:space="0" w:color="000000"/>
            </w:tcBorders>
          </w:tcPr>
          <w:p>
            <w:pPr/>
          </w:p>
        </w:tc>
        <w:tc>
          <w:tcPr>
            <w:tcW w:w="21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649,459,471.75</w:t>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t>（</w:t>
      </w:r>
      <w:r>
        <w:rPr>
          <w:rFonts w:ascii="Arial" w:hAnsi="Arial" w:cs="Arial" w:eastAsia="Arial" w:hint="default"/>
        </w:rPr>
        <w:t>2</w:t>
      </w:r>
      <w:r>
        <w:rPr/>
        <w:t>）重要会计估计变更</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11"/>
        <w:rPr>
          <w:rFonts w:ascii="宋体" w:hAnsi="宋体" w:cs="宋体" w:eastAsia="宋体" w:hint="default"/>
          <w:sz w:val="25"/>
          <w:szCs w:val="25"/>
        </w:rPr>
      </w:pPr>
    </w:p>
    <w:p>
      <w:pPr>
        <w:pStyle w:val="Heading4"/>
        <w:spacing w:line="240" w:lineRule="auto"/>
        <w:ind w:right="0"/>
        <w:jc w:val="left"/>
        <w:rPr>
          <w:b w:val="0"/>
          <w:bCs w:val="0"/>
        </w:rPr>
      </w:pPr>
      <w:r>
        <w:rPr>
          <w:spacing w:val="-6"/>
        </w:rPr>
        <w:t>（</w:t>
      </w:r>
      <w:r>
        <w:rPr>
          <w:rFonts w:ascii="Arial" w:hAnsi="Arial" w:cs="Arial" w:eastAsia="Arial" w:hint="default"/>
          <w:spacing w:val="-6"/>
        </w:rPr>
        <w:t>3</w:t>
      </w:r>
      <w:r>
        <w:rPr>
          <w:spacing w:val="-6"/>
        </w:rPr>
        <w:t>）</w:t>
      </w:r>
      <w:r>
        <w:rPr>
          <w:rFonts w:ascii="Arial" w:hAnsi="Arial" w:cs="Arial" w:eastAsia="Arial" w:hint="default"/>
          <w:spacing w:val="-6"/>
        </w:rPr>
        <w:t>2019</w:t>
      </w:r>
      <w:r>
        <w:rPr>
          <w:rFonts w:ascii="Arial" w:hAnsi="Arial" w:cs="Arial" w:eastAsia="Arial" w:hint="default"/>
          <w:spacing w:val="-39"/>
        </w:rPr>
        <w:t> </w:t>
      </w:r>
      <w:r>
        <w:rPr/>
        <w:t>年起执行新金融工具准则、新收入准则或新租赁准则调整执行当年年初财务报表相关项目情况</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0"/>
        </w:sectPr>
      </w:pPr>
    </w:p>
    <w:p>
      <w:pPr>
        <w:pStyle w:val="BodyText"/>
        <w:spacing w:line="240" w:lineRule="auto" w:before="44"/>
        <w:ind w:right="-1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pStyle w:val="BodyText"/>
        <w:spacing w:line="240" w:lineRule="auto" w:before="161"/>
        <w:ind w:left="153" w:right="-19"/>
        <w:jc w:val="left"/>
      </w:pPr>
      <w:r>
        <w:rPr/>
        <w:t>合并资产负债表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0"/>
          <w:cols w:num="3" w:equalWidth="0">
            <w:col w:w="1532" w:space="2657"/>
            <w:col w:w="1415" w:space="3315"/>
            <w:col w:w="201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6"/>
        <w:gridCol w:w="2454"/>
        <w:gridCol w:w="2454"/>
        <w:gridCol w:w="2442"/>
      </w:tblGrid>
      <w:tr>
        <w:trPr>
          <w:trHeight w:val="401"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40"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9"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01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44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3"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42"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after="0"/>
        <w:sectPr>
          <w:type w:val="continuous"/>
          <w:pgSz w:w="11910" w:h="16840"/>
          <w:pgMar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5"/>
        <w:gridCol w:w="2454"/>
        <w:gridCol w:w="2454"/>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330,503,276.34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331,107,179.16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603,902.82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408,340,000.00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408,340,000.00</w:t>
            </w:r>
          </w:p>
        </w:tc>
      </w:tr>
      <w:tr>
        <w:trPr>
          <w:trHeight w:val="1026"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178,425,721.05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178,425,721.05</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18,545,860.03</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18,545,860.03</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55,049,415.52</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54,445,512.70</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-603,902.82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其中：应收利息</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603,902.82</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-603,902.82</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9,605,000.00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9,605,000.00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814,215,427.15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814,215,427.15</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79"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450,928,507.17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42,588,507.17</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-408,340,000.00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1,847,668,207.26</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1,847,668,207.26</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发放贷款和垫款</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47,900,000.00</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Arial" w:hAnsi="Arial" w:cs="Arial" w:eastAsia="Arial" w:hint="default"/>
                <w:sz w:val="18"/>
                <w:szCs w:val="18"/>
              </w:rPr>
            </w:pPr>
            <w:r>
              <w:rPr>
                <w:rFonts w:ascii="Arial"/>
                <w:spacing w:val="-1"/>
                <w:sz w:val="18"/>
              </w:rPr>
              <w:t>-47,900,000.00</w:t>
            </w:r>
            <w:r>
              <w:rPr>
                <w:rFonts w:ascii="Arial"/>
                <w:sz w:val="18"/>
              </w:rPr>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2"/>
                <w:sz w:val="18"/>
              </w:rPr>
              <w:t>117,136,960.65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2"/>
                <w:sz w:val="18"/>
              </w:rPr>
              <w:t>117,136,960.65</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78,722,530.86</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78,722,530.86</w:t>
            </w:r>
            <w:r>
              <w:rPr>
                <w:rFonts w:ascii="Arial"/>
                <w:sz w:val="18"/>
              </w:rPr>
            </w:r>
          </w:p>
        </w:tc>
      </w:tr>
    </w:tbl>
    <w:p>
      <w:pPr>
        <w:spacing w:after="0" w:line="240" w:lineRule="auto"/>
        <w:jc w:val="right"/>
        <w:rPr>
          <w:rFonts w:ascii="Arial" w:hAnsi="Arial" w:cs="Arial" w:eastAsia="Arial"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5"/>
        <w:gridCol w:w="2454"/>
        <w:gridCol w:w="2454"/>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74,816,244.95</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74,816,244.95</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23,448,537.09</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23,448,537.09</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206,642,453.30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206,642,453.30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140,734,710.13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140,734,710.13</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37,558,697.72</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37,558,697.72</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4,268,278.06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4,268,278.06</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22,889,269.55</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22,889,269.55</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2,756,000.00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2,756,000.00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678,151,151.45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708,973,682.31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30,822,530.86</w:t>
            </w:r>
            <w:r>
              <w:rPr>
                <w:rFonts w:ascii="Arial"/>
                <w:sz w:val="18"/>
              </w:rPr>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2,525,819,358.71</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2,556,641,889.57</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30,822,530.86</w:t>
            </w:r>
            <w:r>
              <w:rPr>
                <w:rFonts w:ascii="Arial"/>
                <w:sz w:val="18"/>
              </w:rPr>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430,000,000.00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430,502,012.50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502,012.50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9,189,850.00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9,189,850.00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259,248,841.19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259,248,841.19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151,235,748.51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151,235,748.51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79"/>
              <w:jc w:val="righ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23,695,144.04</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23,695,144.04</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10,418,355.87</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10,418,355.87</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91,575,101.42</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91,073,088.92</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-502,012.50</w:t>
            </w:r>
          </w:p>
        </w:tc>
      </w:tr>
    </w:tbl>
    <w:p>
      <w:pPr>
        <w:spacing w:after="0" w:line="240" w:lineRule="auto"/>
        <w:jc w:val="right"/>
        <w:rPr>
          <w:rFonts w:ascii="Arial" w:hAnsi="Arial" w:cs="Arial" w:eastAsia="Arial"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78"/>
        <w:gridCol w:w="2470"/>
        <w:gridCol w:w="2454"/>
        <w:gridCol w:w="2454"/>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6"/>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502,012.50</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-502,012.50</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6"/>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6"/>
              <w:jc w:val="righ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76"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19,903,840.08</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19,903,840.08</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2"/>
                <w:sz w:val="18"/>
              </w:rPr>
              <w:t>995,266,881.11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2"/>
                <w:sz w:val="18"/>
              </w:rPr>
              <w:t>995,266,881.11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6"/>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68,467,959.69</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68,467,959.69</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3,082,253.09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3,082,253.09</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68,467,959.69</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71,550,212.78</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3,082,253.09</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1,063,734,840.80</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1,066,817,093.89</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3,082,253.09</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622,200,000.00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622,200,000.00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369,358,612.29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369,358,612.29</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7,403,655.99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35,143,933.76</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27,740,277.77</w:t>
            </w:r>
            <w:r>
              <w:rPr>
                <w:rFonts w:ascii="Arial"/>
                <w:sz w:val="18"/>
              </w:rPr>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2"/>
                <w:sz w:val="18"/>
              </w:rPr>
              <w:t>67,571,711.68</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2"/>
                <w:sz w:val="18"/>
              </w:rPr>
              <w:t>67,571,711.68</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194"/>
        <w:gridCol w:w="2465"/>
        <w:gridCol w:w="2454"/>
        <w:gridCol w:w="2454"/>
      </w:tblGrid>
      <w:tr>
        <w:trPr>
          <w:trHeight w:val="402"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388,870,542.81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388,870,542.81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179"/>
              <w:jc w:val="left"/>
              <w:rPr>
                <w:rFonts w:ascii="宋体" w:hAnsi="宋体" w:cs="宋体" w:eastAsia="宋体" w:hint="default"/>
                <w:sz w:val="18"/>
                <w:szCs w:val="18"/>
              </w:rPr>
            </w:pPr>
            <w:r>
              <w:rPr>
                <w:rFonts w:ascii="宋体" w:hAnsi="宋体" w:cs="宋体" w:eastAsia="宋体" w:hint="default"/>
                <w:sz w:val="18"/>
                <w:szCs w:val="18"/>
              </w:rPr>
              <w:t>归属于母公司所有者权益 合计</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Arial" w:hAnsi="Arial" w:cs="Arial" w:eastAsia="Arial" w:hint="default"/>
                <w:sz w:val="18"/>
                <w:szCs w:val="18"/>
              </w:rPr>
            </w:pPr>
            <w:r>
              <w:rPr>
                <w:rFonts w:ascii="Arial"/>
                <w:spacing w:val="-1"/>
                <w:sz w:val="18"/>
              </w:rPr>
              <w:t>1,455,404,522.77</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Arial" w:hAnsi="Arial" w:cs="Arial" w:eastAsia="Arial" w:hint="default"/>
                <w:sz w:val="18"/>
                <w:szCs w:val="18"/>
              </w:rPr>
            </w:pPr>
            <w:r>
              <w:rPr>
                <w:rFonts w:ascii="Arial"/>
                <w:spacing w:val="-1"/>
                <w:sz w:val="18"/>
              </w:rPr>
              <w:t>1,483,144,800.54</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3"/>
              <w:jc w:val="right"/>
              <w:rPr>
                <w:rFonts w:ascii="Arial" w:hAnsi="Arial" w:cs="Arial" w:eastAsia="Arial" w:hint="default"/>
                <w:sz w:val="18"/>
                <w:szCs w:val="18"/>
              </w:rPr>
            </w:pPr>
            <w:r>
              <w:rPr>
                <w:rFonts w:ascii="Arial"/>
                <w:spacing w:val="-1"/>
                <w:sz w:val="18"/>
              </w:rPr>
              <w:t>27,740,277.77</w:t>
            </w:r>
            <w:r>
              <w:rPr>
                <w:rFonts w:ascii="Arial"/>
                <w:sz w:val="18"/>
              </w:rPr>
            </w:r>
          </w:p>
        </w:tc>
      </w:tr>
      <w:tr>
        <w:trPr>
          <w:trHeight w:val="402"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6,679,995.14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6,679,995.14</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1,462,084,517.91</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1,489,824,795.68</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27,740,277.77</w:t>
            </w:r>
            <w:r>
              <w:rPr>
                <w:rFonts w:ascii="Arial"/>
                <w:sz w:val="18"/>
              </w:rPr>
            </w:r>
          </w:p>
        </w:tc>
      </w:tr>
      <w:tr>
        <w:trPr>
          <w:trHeight w:val="402" w:hRule="exact"/>
        </w:trPr>
        <w:tc>
          <w:tcPr>
            <w:tcW w:w="2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2,525,819,358.71</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2,556,641,889.57</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30,822,530.86</w:t>
            </w:r>
            <w:r>
              <w:rPr>
                <w:rFonts w:ascii="Arial"/>
                <w:sz w:val="18"/>
              </w:rPr>
            </w:r>
          </w:p>
        </w:tc>
      </w:tr>
    </w:tbl>
    <w:p>
      <w:pPr>
        <w:spacing w:after="0" w:line="240" w:lineRule="auto"/>
        <w:jc w:val="right"/>
        <w:rPr>
          <w:rFonts w:ascii="Arial" w:hAnsi="Arial" w:cs="Arial" w:eastAsia="Arial" w:hint="default"/>
          <w:sz w:val="18"/>
          <w:szCs w:val="18"/>
        </w:rPr>
        <w:sectPr>
          <w:pgSz w:w="11910" w:h="16840"/>
          <w:pgMar w:header="747" w:footer="982" w:top="1060" w:bottom="1180" w:left="980" w:right="0"/>
        </w:sectPr>
      </w:pPr>
    </w:p>
    <w:p>
      <w:pPr>
        <w:pStyle w:val="BodyText"/>
        <w:spacing w:line="357" w:lineRule="auto" w:before="51"/>
        <w:ind w:right="-20"/>
        <w:jc w:val="left"/>
      </w:pPr>
      <w:r>
        <w:rPr/>
        <w:t>调整情况说明 无。</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19"/>
        <w:jc w:val="left"/>
      </w:pPr>
      <w:r>
        <w:rPr/>
        <w:t>母公司资产负债表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ind w:left="153" w:right="0"/>
        <w:jc w:val="left"/>
      </w:pPr>
      <w:r>
        <w:rPr/>
        <w:t>单位：元</w:t>
      </w:r>
    </w:p>
    <w:p>
      <w:pPr>
        <w:spacing w:after="0" w:line="240" w:lineRule="auto"/>
        <w:jc w:val="left"/>
        <w:sectPr>
          <w:type w:val="continuous"/>
          <w:pgSz w:w="11910" w:h="16840"/>
          <w:pgMar w:top="1060" w:bottom="1180" w:left="980" w:right="0"/>
          <w:cols w:num="3" w:equalWidth="0">
            <w:col w:w="1235" w:space="2865"/>
            <w:col w:w="1595" w:space="3225"/>
            <w:col w:w="2010"/>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83"/>
        <w:gridCol w:w="2465"/>
        <w:gridCol w:w="2454"/>
        <w:gridCol w:w="2454"/>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6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51"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9"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Arial" w:hAnsi="Arial" w:cs="Arial" w:eastAsia="Arial" w:hint="default"/>
                <w:sz w:val="18"/>
                <w:szCs w:val="18"/>
              </w:rPr>
              <w:t>01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01</w:t>
            </w:r>
            <w:r>
              <w:rPr>
                <w:rFonts w:ascii="Arial" w:hAnsi="Arial" w:cs="Arial" w:eastAsia="Arial" w:hint="default"/>
                <w:spacing w:val="-8"/>
                <w:sz w:val="18"/>
                <w:szCs w:val="18"/>
              </w:rPr>
              <w:t> </w:t>
            </w:r>
            <w:r>
              <w:rPr>
                <w:rFonts w:ascii="宋体" w:hAnsi="宋体" w:cs="宋体" w:eastAsia="宋体" w:hint="default"/>
                <w:sz w:val="18"/>
                <w:szCs w:val="18"/>
              </w:rPr>
              <w:t>日</w:t>
            </w: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调整数</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46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160,172,932.62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2"/>
                <w:sz w:val="18"/>
              </w:rPr>
              <w:t>160,221,148.11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48,215.49</w:t>
            </w:r>
            <w:r>
              <w:rPr>
                <w:rFonts w:ascii="Arial"/>
                <w:sz w:val="18"/>
              </w:rPr>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317,000,000.00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317,000,000.00</w:t>
            </w:r>
          </w:p>
        </w:tc>
      </w:tr>
      <w:tr>
        <w:trPr>
          <w:trHeight w:val="1026"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资产</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衍生金融资产</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164,739,644.24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164,739,644.24</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应收款项融资</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40,722,122.77</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40,722,122.77</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1,015,266,047.43</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1,015,217,831.94</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-48,215.49</w:t>
            </w:r>
            <w:r>
              <w:rPr>
                <w:rFonts w:ascii="Arial"/>
                <w:sz w:val="18"/>
              </w:rPr>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其中：应收利息</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48,215.49</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-48,215.49</w:t>
            </w:r>
            <w:r>
              <w:rPr>
                <w:rFonts w:ascii="Arial"/>
                <w:sz w:val="18"/>
              </w:rPr>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9"/>
              <w:jc w:val="right"/>
              <w:rPr>
                <w:rFonts w:ascii="宋体" w:hAnsi="宋体" w:cs="宋体" w:eastAsia="宋体" w:hint="default"/>
                <w:sz w:val="18"/>
                <w:szCs w:val="18"/>
              </w:rPr>
            </w:pPr>
            <w:r>
              <w:rPr>
                <w:rFonts w:ascii="宋体" w:hAnsi="宋体" w:cs="宋体" w:eastAsia="宋体" w:hint="default"/>
                <w:sz w:val="18"/>
                <w:szCs w:val="18"/>
              </w:rPr>
              <w:t>应收股利</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141,620,030.24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141,620,030.24</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合同资产</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79"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资产</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336,560,742.86</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19,560,742.86</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-317,000,000.00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1,859,081,520.16</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1,859,081,520.16</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46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债权投资</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83"/>
        <w:gridCol w:w="2465"/>
        <w:gridCol w:w="2454"/>
        <w:gridCol w:w="2454"/>
      </w:tblGrid>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43,400,000.00</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Arial" w:hAnsi="Arial" w:cs="Arial" w:eastAsia="Arial" w:hint="default"/>
                <w:sz w:val="18"/>
                <w:szCs w:val="18"/>
              </w:rPr>
            </w:pPr>
            <w:r>
              <w:rPr>
                <w:rFonts w:ascii="Arial"/>
                <w:spacing w:val="-1"/>
                <w:sz w:val="18"/>
              </w:rPr>
              <w:t>-43,400,000.00</w:t>
            </w:r>
            <w:r>
              <w:rPr>
                <w:rFonts w:ascii="Arial"/>
                <w:sz w:val="18"/>
              </w:rPr>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其他债权投资</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2"/>
                <w:sz w:val="18"/>
              </w:rPr>
              <w:t>691,760,404.11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2"/>
                <w:sz w:val="18"/>
              </w:rPr>
              <w:t>691,760,404.11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74,222,530.86</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74,222,530.86</w:t>
            </w:r>
            <w:r>
              <w:rPr>
                <w:rFonts w:ascii="Arial"/>
                <w:sz w:val="18"/>
              </w:rPr>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其他非流动金融资产</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12,918,264.27</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12,918,264.27</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使用权资产</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2"/>
                <w:sz w:val="18"/>
              </w:rPr>
              <w:t>37,897,557.11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2"/>
                <w:sz w:val="18"/>
              </w:rPr>
              <w:t>37,897,557.11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8,969,539.01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8,969,539.01</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4,202,108.13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4,202,108.13</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2,678,762.48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2,678,762.48</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2"/>
                <w:sz w:val="18"/>
              </w:rPr>
              <w:t>801,826,635.11</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832,649,165.97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30,822,530.86</w:t>
            </w:r>
            <w:r>
              <w:rPr>
                <w:rFonts w:ascii="Arial"/>
                <w:sz w:val="18"/>
              </w:rPr>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2,660,908,155.27</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2,691,730,686.13</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30,822,530.86</w:t>
            </w:r>
            <w:r>
              <w:rPr>
                <w:rFonts w:ascii="Arial"/>
                <w:sz w:val="18"/>
              </w:rPr>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46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430,000,000.00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430,502,012.50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502,012.50</w:t>
            </w: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79" w:firstLine="360"/>
              <w:jc w:val="both"/>
              <w:rPr>
                <w:rFonts w:ascii="宋体" w:hAnsi="宋体" w:cs="宋体" w:eastAsia="宋体" w:hint="default"/>
                <w:sz w:val="18"/>
                <w:szCs w:val="18"/>
              </w:rPr>
            </w:pPr>
            <w:r>
              <w:rPr>
                <w:rFonts w:ascii="宋体" w:hAnsi="宋体" w:cs="宋体" w:eastAsia="宋体" w:hint="default"/>
                <w:sz w:val="18"/>
                <w:szCs w:val="18"/>
              </w:rPr>
              <w:t>以公允价值计量且其 变动计入当期损益的金融 负债</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6,961,650.00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6,961,650.00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237,303,029.20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237,303,029.20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2"/>
                <w:sz w:val="18"/>
              </w:rPr>
              <w:t>115,195,422.00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2"/>
                <w:sz w:val="18"/>
              </w:rPr>
              <w:t>115,195,422.00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合同负债</w:t>
            </w:r>
          </w:p>
        </w:tc>
        <w:tc>
          <w:tcPr>
            <w:tcW w:w="2465"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10,082,456.22</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10,082,456.22</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5,399,464.04</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5,399,464.04</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46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340,483,288.98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339,981,276.48</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-502,012.50</w:t>
            </w:r>
          </w:p>
        </w:tc>
      </w:tr>
    </w:tbl>
    <w:p>
      <w:pPr>
        <w:spacing w:after="0" w:line="240" w:lineRule="auto"/>
        <w:jc w:val="right"/>
        <w:rPr>
          <w:rFonts w:ascii="Arial" w:hAnsi="Arial" w:cs="Arial" w:eastAsia="Arial" w:hint="default"/>
          <w:sz w:val="18"/>
          <w:szCs w:val="18"/>
        </w:rPr>
        <w:sectPr>
          <w:pgSz w:w="11910" w:h="16840"/>
          <w:pgMar w:header="747" w:footer="982" w:top="1060" w:bottom="118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178"/>
        <w:gridCol w:w="2470"/>
        <w:gridCol w:w="2454"/>
        <w:gridCol w:w="2454"/>
      </w:tblGrid>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6"/>
              <w:jc w:val="right"/>
              <w:rPr>
                <w:rFonts w:ascii="宋体" w:hAnsi="宋体" w:cs="宋体" w:eastAsia="宋体" w:hint="default"/>
                <w:sz w:val="18"/>
                <w:szCs w:val="18"/>
              </w:rPr>
            </w:pPr>
            <w:r>
              <w:rPr>
                <w:rFonts w:ascii="宋体" w:hAnsi="宋体" w:cs="宋体" w:eastAsia="宋体" w:hint="default"/>
                <w:sz w:val="18"/>
                <w:szCs w:val="18"/>
              </w:rPr>
              <w:t>其中：应付利息</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502,012.50</w:t>
            </w: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-502,012.50</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6"/>
              <w:jc w:val="right"/>
              <w:rPr>
                <w:rFonts w:ascii="宋体" w:hAnsi="宋体" w:cs="宋体" w:eastAsia="宋体" w:hint="default"/>
                <w:sz w:val="18"/>
                <w:szCs w:val="18"/>
              </w:rPr>
            </w:pPr>
            <w:r>
              <w:rPr>
                <w:rFonts w:ascii="宋体" w:hAnsi="宋体" w:cs="宋体" w:eastAsia="宋体" w:hint="default"/>
                <w:sz w:val="18"/>
                <w:szCs w:val="18"/>
              </w:rPr>
              <w:t>应付股利</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76" w:firstLine="360"/>
              <w:jc w:val="left"/>
              <w:rPr>
                <w:rFonts w:ascii="宋体" w:hAnsi="宋体" w:cs="宋体" w:eastAsia="宋体" w:hint="default"/>
                <w:sz w:val="18"/>
                <w:szCs w:val="18"/>
              </w:rPr>
            </w:pPr>
            <w:r>
              <w:rPr>
                <w:rFonts w:ascii="宋体" w:hAnsi="宋体" w:cs="宋体" w:eastAsia="宋体" w:hint="default"/>
                <w:sz w:val="18"/>
                <w:szCs w:val="18"/>
              </w:rPr>
              <w:t>一年内到期的非流动 负债</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12,791,565.70</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12,791,565.70</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1,158,216,876.14</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1,158,216,876.14</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4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租赁负债</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56"/>
              <w:jc w:val="right"/>
              <w:rPr>
                <w:rFonts w:ascii="宋体" w:hAnsi="宋体" w:cs="宋体" w:eastAsia="宋体" w:hint="default"/>
                <w:sz w:val="18"/>
                <w:szCs w:val="18"/>
              </w:rPr>
            </w:pPr>
            <w:r>
              <w:rPr>
                <w:rFonts w:ascii="宋体" w:hAnsi="宋体" w:cs="宋体" w:eastAsia="宋体" w:hint="default"/>
                <w:sz w:val="18"/>
                <w:szCs w:val="18"/>
              </w:rPr>
              <w:t>长期应付职工薪酬</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888,333.33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888,333.33</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3,082,253.09</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3,082,253.09</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3,970,586.42</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888,333.33</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3,970,586.42</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3,082,253.09</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1,159,105,209.47</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1,162,187,462.56</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3,082,253.09</w:t>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w:t>
            </w:r>
          </w:p>
        </w:tc>
        <w:tc>
          <w:tcPr>
            <w:tcW w:w="247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454"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股本</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622,200,000.00</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622,200,000.00</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其他权益工具</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51" w:right="0"/>
              <w:jc w:val="left"/>
              <w:rPr>
                <w:rFonts w:ascii="宋体" w:hAnsi="宋体" w:cs="宋体" w:eastAsia="宋体" w:hint="default"/>
                <w:sz w:val="18"/>
                <w:szCs w:val="18"/>
              </w:rPr>
            </w:pPr>
            <w:r>
              <w:rPr>
                <w:rFonts w:ascii="宋体" w:hAnsi="宋体" w:cs="宋体" w:eastAsia="宋体" w:hint="default"/>
                <w:sz w:val="18"/>
                <w:szCs w:val="18"/>
              </w:rPr>
              <w:t>其中：优先股</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91" w:right="0"/>
              <w:jc w:val="left"/>
              <w:rPr>
                <w:rFonts w:ascii="宋体" w:hAnsi="宋体" w:cs="宋体" w:eastAsia="宋体" w:hint="default"/>
                <w:sz w:val="18"/>
                <w:szCs w:val="18"/>
              </w:rPr>
            </w:pPr>
            <w:r>
              <w:rPr>
                <w:rFonts w:ascii="宋体" w:hAnsi="宋体" w:cs="宋体" w:eastAsia="宋体" w:hint="default"/>
                <w:sz w:val="18"/>
                <w:szCs w:val="18"/>
              </w:rPr>
              <w:t>永续债</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364,193,237.65</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364,193,237.65</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其他综合收益</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27,740,277.77</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27,740,277.77</w:t>
            </w:r>
            <w:r>
              <w:rPr>
                <w:rFonts w:ascii="Arial"/>
                <w:sz w:val="18"/>
              </w:rPr>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2470" w:type="dxa"/>
            <w:tcBorders>
              <w:top w:val="single" w:sz="4" w:space="0" w:color="000000"/>
              <w:left w:val="single" w:sz="13" w:space="0" w:color="D3D3D3"/>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2"/>
                <w:sz w:val="18"/>
              </w:rPr>
              <w:t>67,571,711.68</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2"/>
                <w:sz w:val="18"/>
              </w:rPr>
              <w:t>67,571,711.68</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447,837,996.47</w:t>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447,837,996.47</w:t>
            </w:r>
          </w:p>
        </w:tc>
        <w:tc>
          <w:tcPr>
            <w:tcW w:w="245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1,501,802,945.80</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1,529,543,223.57</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27,740,277.77</w:t>
            </w:r>
            <w:r>
              <w:rPr>
                <w:rFonts w:ascii="Arial"/>
                <w:sz w:val="18"/>
              </w:rPr>
            </w:r>
          </w:p>
        </w:tc>
      </w:tr>
      <w:tr>
        <w:trPr>
          <w:trHeight w:val="402" w:hRule="exact"/>
        </w:trPr>
        <w:tc>
          <w:tcPr>
            <w:tcW w:w="2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负债和所有者权益总计</w:t>
            </w:r>
          </w:p>
        </w:tc>
        <w:tc>
          <w:tcPr>
            <w:tcW w:w="247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2,660,908,155.27</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2,691,730,686.13</w:t>
            </w:r>
            <w:r>
              <w:rPr>
                <w:rFonts w:ascii="Arial"/>
                <w:sz w:val="18"/>
              </w:rPr>
            </w:r>
          </w:p>
        </w:tc>
        <w:tc>
          <w:tcPr>
            <w:tcW w:w="2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30,822,530.86</w:t>
            </w:r>
            <w:r>
              <w:rPr>
                <w:rFonts w:ascii="Arial"/>
                <w:sz w:val="18"/>
              </w:rPr>
            </w:r>
          </w:p>
        </w:tc>
      </w:tr>
    </w:tbl>
    <w:p>
      <w:pPr>
        <w:pStyle w:val="BodyText"/>
        <w:spacing w:line="240" w:lineRule="auto" w:before="51"/>
        <w:ind w:right="2239"/>
        <w:jc w:val="left"/>
      </w:pPr>
      <w:r>
        <w:rPr/>
        <w:t>调整情况说明</w:t>
      </w:r>
    </w:p>
    <w:p>
      <w:pPr>
        <w:spacing w:after="0" w:line="240" w:lineRule="auto"/>
        <w:jc w:val="left"/>
        <w:sectPr>
          <w:footerReference w:type="default" r:id="rId22"/>
          <w:pgSz w:w="11910" w:h="16840"/>
          <w:pgMar w:footer="982" w:header="747" w:top="1060" w:bottom="1180" w:left="980" w:right="0"/>
          <w:pgNumType w:start="135"/>
        </w:sectPr>
      </w:pPr>
    </w:p>
    <w:p>
      <w:pPr>
        <w:spacing w:line="240" w:lineRule="auto" w:before="12"/>
        <w:rPr>
          <w:rFonts w:ascii="宋体" w:hAnsi="宋体" w:cs="宋体" w:eastAsia="宋体" w:hint="default"/>
          <w:sz w:val="25"/>
          <w:szCs w:val="25"/>
        </w:rPr>
      </w:pPr>
    </w:p>
    <w:p>
      <w:pPr>
        <w:pStyle w:val="BodyText"/>
        <w:spacing w:line="240" w:lineRule="auto" w:before="44"/>
        <w:ind w:left="153" w:right="2239"/>
        <w:jc w:val="left"/>
      </w:pPr>
      <w:r>
        <w:rPr/>
        <w:t>无。</w:t>
      </w:r>
    </w:p>
    <w:p>
      <w:pPr>
        <w:spacing w:line="240" w:lineRule="auto" w:before="12"/>
        <w:rPr>
          <w:rFonts w:ascii="宋体" w:hAnsi="宋体" w:cs="宋体" w:eastAsia="宋体" w:hint="default"/>
          <w:sz w:val="26"/>
          <w:szCs w:val="26"/>
        </w:rPr>
      </w:pPr>
    </w:p>
    <w:p>
      <w:pPr>
        <w:pStyle w:val="Heading4"/>
        <w:spacing w:line="240" w:lineRule="auto"/>
        <w:ind w:right="2239"/>
        <w:jc w:val="left"/>
        <w:rPr>
          <w:b w:val="0"/>
          <w:bCs w:val="0"/>
        </w:rPr>
      </w:pPr>
      <w:r>
        <w:rPr/>
        <w:t>（</w:t>
      </w:r>
      <w:r>
        <w:rPr>
          <w:rFonts w:ascii="Arial" w:hAnsi="Arial" w:cs="Arial" w:eastAsia="Arial" w:hint="default"/>
        </w:rPr>
        <w:t>4</w:t>
      </w:r>
      <w:r>
        <w:rPr/>
        <w:t>）</w:t>
      </w:r>
      <w:r>
        <w:rPr>
          <w:rFonts w:ascii="Arial" w:hAnsi="Arial" w:cs="Arial" w:eastAsia="Arial" w:hint="default"/>
        </w:rPr>
        <w:t>2019</w:t>
      </w:r>
      <w:r>
        <w:rPr>
          <w:rFonts w:ascii="Arial" w:hAnsi="Arial" w:cs="Arial" w:eastAsia="Arial" w:hint="default"/>
          <w:spacing w:val="-14"/>
        </w:rPr>
        <w:t> </w:t>
      </w:r>
      <w:r>
        <w:rPr/>
        <w:t>年起执行新金融工具准则或新租赁准则追溯调整前期比较数据说明</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10"/>
        <w:rPr>
          <w:rFonts w:ascii="宋体" w:hAnsi="宋体" w:cs="宋体" w:eastAsia="宋体" w:hint="default"/>
          <w:sz w:val="25"/>
          <w:szCs w:val="25"/>
        </w:rPr>
      </w:pPr>
    </w:p>
    <w:p>
      <w:pPr>
        <w:spacing w:line="487" w:lineRule="auto" w:before="0"/>
        <w:ind w:left="154" w:right="8947" w:firstLine="0"/>
        <w:jc w:val="left"/>
        <w:rPr>
          <w:rFonts w:ascii="宋体" w:hAnsi="宋体" w:cs="宋体" w:eastAsia="宋体" w:hint="default"/>
          <w:sz w:val="21"/>
          <w:szCs w:val="21"/>
        </w:rPr>
      </w:pPr>
      <w:r>
        <w:rPr>
          <w:rFonts w:ascii="Arial" w:hAnsi="Arial" w:cs="Arial" w:eastAsia="Arial" w:hint="default"/>
          <w:b/>
          <w:bCs/>
          <w:sz w:val="21"/>
          <w:szCs w:val="21"/>
        </w:rPr>
        <w:t>45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六、税项</w:t>
      </w:r>
      <w:r>
        <w:rPr>
          <w:rFonts w:ascii="宋体" w:hAnsi="宋体" w:cs="宋体" w:eastAsia="宋体" w:hint="default"/>
          <w:b/>
          <w:bCs/>
          <w:spacing w:val="1"/>
          <w:w w:val="99"/>
          <w:sz w:val="24"/>
          <w:szCs w:val="24"/>
        </w:rPr>
        <w:t> </w:t>
      </w:r>
      <w:r>
        <w:rPr>
          <w:rFonts w:ascii="Arial" w:hAnsi="Arial" w:cs="Arial" w:eastAsia="Arial" w:hint="default"/>
          <w:b/>
          <w:bCs/>
          <w:sz w:val="21"/>
          <w:szCs w:val="21"/>
        </w:rPr>
        <w:t>1</w:t>
      </w:r>
      <w:r>
        <w:rPr>
          <w:rFonts w:ascii="宋体" w:hAnsi="宋体" w:cs="宋体" w:eastAsia="宋体" w:hint="default"/>
          <w:b/>
          <w:bCs/>
          <w:sz w:val="21"/>
          <w:szCs w:val="21"/>
        </w:rPr>
        <w:t>、主要税种及税率</w:t>
      </w:r>
      <w:r>
        <w:rPr>
          <w:rFonts w:ascii="宋体" w:hAnsi="宋体" w:cs="宋体" w:eastAsia="宋体" w:hint="default"/>
          <w:sz w:val="21"/>
          <w:szCs w:val="21"/>
        </w:rPr>
      </w:r>
    </w:p>
    <w:p>
      <w:pPr>
        <w:spacing w:line="240" w:lineRule="auto" w:before="4"/>
        <w:rPr>
          <w:rFonts w:ascii="宋体" w:hAnsi="宋体" w:cs="宋体" w:eastAsia="宋体" w:hint="default"/>
          <w:b/>
          <w:bCs/>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税种</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应税收入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Arial" w:hAnsi="Arial" w:cs="Arial" w:eastAsia="Arial" w:hint="default"/>
                <w:sz w:val="18"/>
                <w:szCs w:val="18"/>
              </w:rPr>
              <w:t>16</w:t>
            </w:r>
            <w:r>
              <w:rPr>
                <w:rFonts w:ascii="宋体" w:hAnsi="宋体" w:cs="宋体" w:eastAsia="宋体" w:hint="default"/>
                <w:sz w:val="18"/>
                <w:szCs w:val="18"/>
              </w:rPr>
              <w:t>、</w:t>
            </w:r>
            <w:r>
              <w:rPr>
                <w:rFonts w:ascii="Arial" w:hAnsi="Arial" w:cs="Arial" w:eastAsia="Arial" w:hint="default"/>
                <w:sz w:val="18"/>
                <w:szCs w:val="18"/>
              </w:rPr>
              <w:t>13</w:t>
            </w:r>
            <w:r>
              <w:rPr>
                <w:rFonts w:ascii="宋体" w:hAnsi="宋体" w:cs="宋体" w:eastAsia="宋体" w:hint="default"/>
                <w:sz w:val="18"/>
                <w:szCs w:val="18"/>
              </w:rPr>
              <w:t>、</w:t>
            </w:r>
            <w:r>
              <w:rPr>
                <w:rFonts w:ascii="Arial" w:hAnsi="Arial" w:cs="Arial" w:eastAsia="Arial" w:hint="default"/>
                <w:sz w:val="18"/>
                <w:szCs w:val="18"/>
              </w:rPr>
              <w:t>10</w:t>
            </w:r>
            <w:r>
              <w:rPr>
                <w:rFonts w:ascii="宋体" w:hAnsi="宋体" w:cs="宋体" w:eastAsia="宋体" w:hint="default"/>
                <w:sz w:val="18"/>
                <w:szCs w:val="18"/>
              </w:rPr>
              <w:t>、</w:t>
            </w:r>
            <w:r>
              <w:rPr>
                <w:rFonts w:ascii="Arial" w:hAnsi="Arial" w:cs="Arial" w:eastAsia="Arial" w:hint="default"/>
                <w:sz w:val="18"/>
                <w:szCs w:val="18"/>
              </w:rPr>
              <w:t>9</w:t>
            </w:r>
            <w:r>
              <w:rPr>
                <w:rFonts w:ascii="宋体" w:hAnsi="宋体" w:cs="宋体" w:eastAsia="宋体" w:hint="default"/>
                <w:sz w:val="18"/>
                <w:szCs w:val="18"/>
              </w:rPr>
              <w:t>、</w:t>
            </w:r>
            <w:r>
              <w:rPr>
                <w:rFonts w:ascii="Arial" w:hAnsi="Arial" w:cs="Arial" w:eastAsia="Arial" w:hint="default"/>
                <w:sz w:val="18"/>
                <w:szCs w:val="18"/>
              </w:rPr>
              <w:t>6</w:t>
            </w:r>
            <w:r>
              <w:rPr>
                <w:rFonts w:ascii="宋体" w:hAnsi="宋体" w:cs="宋体" w:eastAsia="宋体" w:hint="default"/>
                <w:sz w:val="18"/>
                <w:szCs w:val="18"/>
              </w:rPr>
              <w:t>、</w:t>
            </w:r>
            <w:r>
              <w:rPr>
                <w:rFonts w:ascii="Arial" w:hAnsi="Arial" w:cs="Arial" w:eastAsia="Arial" w:hint="default"/>
                <w:sz w:val="18"/>
                <w:szCs w:val="18"/>
              </w:rPr>
              <w:t>3</w:t>
            </w:r>
            <w:r>
              <w:rPr>
                <w:rFonts w:ascii="宋体" w:hAnsi="宋体" w:cs="宋体" w:eastAsia="宋体" w:hint="default"/>
                <w:sz w:val="18"/>
                <w:szCs w:val="18"/>
              </w:rPr>
              <w:t>（注）</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Arial" w:hAnsi="Arial" w:cs="Arial" w:eastAsia="Arial" w:hint="default"/>
                <w:sz w:val="18"/>
                <w:szCs w:val="18"/>
              </w:rPr>
            </w:pPr>
            <w:r>
              <w:rPr>
                <w:rFonts w:ascii="Arial" w:hAnsi="Arial" w:cs="Arial" w:eastAsia="Arial" w:hint="default"/>
                <w:sz w:val="18"/>
                <w:szCs w:val="18"/>
              </w:rPr>
              <w:t>7</w:t>
            </w:r>
            <w:r>
              <w:rPr>
                <w:rFonts w:ascii="宋体" w:hAnsi="宋体" w:cs="宋体" w:eastAsia="宋体" w:hint="default"/>
                <w:sz w:val="18"/>
                <w:szCs w:val="18"/>
              </w:rPr>
              <w:t>、</w:t>
            </w:r>
            <w:r>
              <w:rPr>
                <w:rFonts w:ascii="Arial" w:hAnsi="Arial" w:cs="Arial" w:eastAsia="Arial" w:hint="default"/>
                <w:sz w:val="18"/>
                <w:szCs w:val="18"/>
              </w:rPr>
              <w:t>5</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应纳税所得额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Arial" w:hAnsi="Arial" w:cs="Arial" w:eastAsia="Arial" w:hint="default"/>
                <w:sz w:val="18"/>
                <w:szCs w:val="18"/>
              </w:rPr>
            </w:pPr>
            <w:r>
              <w:rPr>
                <w:rFonts w:ascii="Arial"/>
                <w:sz w:val="18"/>
              </w:rPr>
              <w:t>25</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Arial" w:hAnsi="Arial" w:cs="Arial" w:eastAsia="Arial" w:hint="default"/>
                <w:sz w:val="18"/>
                <w:szCs w:val="18"/>
              </w:rPr>
            </w:pPr>
            <w:r>
              <w:rPr>
                <w:rFonts w:ascii="Arial"/>
                <w:sz w:val="18"/>
              </w:rPr>
              <w:t>3</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4" w:right="0"/>
              <w:jc w:val="left"/>
              <w:rPr>
                <w:rFonts w:ascii="宋体" w:hAnsi="宋体" w:cs="宋体" w:eastAsia="宋体" w:hint="default"/>
                <w:sz w:val="18"/>
                <w:szCs w:val="18"/>
              </w:rPr>
            </w:pPr>
            <w:r>
              <w:rPr>
                <w:rFonts w:ascii="宋体" w:hAnsi="宋体" w:cs="宋体" w:eastAsia="宋体" w:hint="default"/>
                <w:sz w:val="18"/>
                <w:szCs w:val="18"/>
              </w:rPr>
              <w:t>应纳流转税额</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2" w:right="0"/>
              <w:jc w:val="left"/>
              <w:rPr>
                <w:rFonts w:ascii="Arial" w:hAnsi="Arial" w:cs="Arial" w:eastAsia="Arial" w:hint="default"/>
                <w:sz w:val="18"/>
                <w:szCs w:val="18"/>
              </w:rPr>
            </w:pPr>
            <w:r>
              <w:rPr>
                <w:rFonts w:ascii="Arial"/>
                <w:sz w:val="18"/>
              </w:rPr>
              <w:t>2</w:t>
            </w:r>
          </w:p>
        </w:tc>
      </w:tr>
    </w:tbl>
    <w:p>
      <w:pPr>
        <w:spacing w:line="240" w:lineRule="auto" w:before="8"/>
        <w:rPr>
          <w:rFonts w:ascii="宋体" w:hAnsi="宋体" w:cs="宋体" w:eastAsia="宋体" w:hint="default"/>
          <w:b/>
          <w:bCs/>
          <w:sz w:val="6"/>
          <w:szCs w:val="6"/>
        </w:rPr>
      </w:pPr>
    </w:p>
    <w:p>
      <w:pPr>
        <w:pStyle w:val="BodyText"/>
        <w:spacing w:line="240" w:lineRule="auto" w:before="44"/>
        <w:ind w:right="2239"/>
        <w:jc w:val="left"/>
      </w:pPr>
      <w:r>
        <w:rPr/>
        <w:pict>
          <v:group style="position:absolute;margin-left:296.040009pt;margin-top:83.482002pt;width:237.7pt;height:20.8pt;mso-position-horizontal-relative:page;mso-position-vertical-relative:paragraph;z-index:-1406056" coordorigin="5921,1670" coordsize="4754,416">
            <v:group style="position:absolute;left:5932;top:1681;width:2;height:393" coordorigin="5932,1681" coordsize="2,393">
              <v:shape style="position:absolute;left:5932;top:1681;width:2;height:393" coordorigin="5932,1681" coordsize="0,393" path="m5932,1681l5932,2073e" filled="false" stroked="true" strokeweight="1.140pt" strokecolor="#ffffff">
                <v:path arrowok="t"/>
              </v:shape>
            </v:group>
            <v:group style="position:absolute;left:5944;top:1681;width:4731;height:393" coordorigin="5944,1681" coordsize="4731,393">
              <v:shape style="position:absolute;left:5944;top:1681;width:4731;height:393" coordorigin="5944,1681" coordsize="4731,393" path="m5944,2073l10674,2073,10674,1681,5944,1681,5944,2073xe" filled="true" fillcolor="#ffffff" stroked="false">
                <v:path arrowok="t"/>
                <v:fill type="solid"/>
              </v:shape>
            </v:group>
            <w10:wrap type="none"/>
          </v:group>
        </w:pict>
      </w:r>
      <w:r>
        <w:rPr/>
        <w:t>存在不同企业所得税税率纳税主体的，披露情况说明</w:t>
      </w:r>
    </w:p>
    <w:p>
      <w:pPr>
        <w:spacing w:line="240" w:lineRule="auto" w:before="3"/>
        <w:rPr>
          <w:rFonts w:ascii="宋体" w:hAnsi="宋体" w:cs="宋体" w:eastAsia="宋体" w:hint="default"/>
          <w:sz w:val="14"/>
          <w:szCs w:val="14"/>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纳税主体名称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所得税税率</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Arial" w:hAnsi="Arial" w:cs="Arial" w:eastAsia="Arial" w:hint="default"/>
                <w:sz w:val="18"/>
                <w:szCs w:val="18"/>
              </w:rPr>
            </w:pPr>
            <w:r>
              <w:rPr>
                <w:rFonts w:ascii="Arial"/>
                <w:sz w:val="18"/>
              </w:rPr>
              <w:t>10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上海榕基软件开发有限公司（以下简称上海榕基公司）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Arial" w:hAnsi="Arial" w:cs="Arial" w:eastAsia="Arial" w:hint="default"/>
                <w:sz w:val="18"/>
                <w:szCs w:val="18"/>
              </w:rPr>
            </w:pPr>
            <w:r>
              <w:rPr>
                <w:rFonts w:ascii="Arial"/>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33"/>
              <w:jc w:val="left"/>
              <w:rPr>
                <w:rFonts w:ascii="宋体" w:hAnsi="宋体" w:cs="宋体" w:eastAsia="宋体" w:hint="default"/>
                <w:sz w:val="18"/>
                <w:szCs w:val="18"/>
              </w:rPr>
            </w:pPr>
            <w:r>
              <w:rPr>
                <w:rFonts w:ascii="宋体" w:hAnsi="宋体" w:cs="宋体" w:eastAsia="宋体" w:hint="default"/>
                <w:spacing w:val="-3"/>
                <w:sz w:val="18"/>
                <w:szCs w:val="18"/>
              </w:rPr>
              <w:t>福州创华电气自动化系统有限公司（以下简称福州创华公司）</w:t>
            </w:r>
            <w:r>
              <w:rPr>
                <w:rFonts w:ascii="宋体" w:hAnsi="宋体" w:cs="宋体" w:eastAsia="宋体" w:hint="default"/>
                <w:sz w:val="18"/>
                <w:szCs w:val="18"/>
              </w:rPr>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Arial" w:hAnsi="Arial" w:cs="Arial" w:eastAsia="Arial" w:hint="default"/>
                <w:sz w:val="18"/>
                <w:szCs w:val="18"/>
              </w:rPr>
            </w:pPr>
            <w:r>
              <w:rPr>
                <w:rFonts w:ascii="Arial"/>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浙江榕基信息技术有限公司（以下简称浙江榕基公司）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Arial" w:hAnsi="Arial" w:cs="Arial" w:eastAsia="Arial" w:hint="default"/>
                <w:sz w:val="18"/>
                <w:szCs w:val="18"/>
              </w:rPr>
            </w:pPr>
            <w:r>
              <w:rPr>
                <w:rFonts w:ascii="Arial"/>
                <w:sz w:val="18"/>
              </w:rPr>
              <w:t>15</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榕基五一（北京）信息技术有限公司（以下简称榕基五一公 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Arial" w:hAnsi="Arial" w:cs="Arial" w:eastAsia="Arial" w:hint="default"/>
                <w:sz w:val="18"/>
                <w:szCs w:val="18"/>
              </w:rPr>
            </w:pPr>
            <w:r>
              <w:rPr>
                <w:rFonts w:ascii="Arial"/>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福建榕基软件工程有限公司（以下简称榕基软件工程公司）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Arial" w:hAnsi="Arial" w:cs="Arial" w:eastAsia="Arial" w:hint="default"/>
                <w:sz w:val="18"/>
                <w:szCs w:val="18"/>
              </w:rPr>
            </w:pPr>
            <w:r>
              <w:rPr>
                <w:rFonts w:ascii="Arial"/>
                <w:sz w:val="18"/>
              </w:rPr>
              <w:t>10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河南榕基信息技术有限公司（以下简称河南榕基公司）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Arial" w:hAnsi="Arial" w:cs="Arial" w:eastAsia="Arial" w:hint="default"/>
                <w:sz w:val="18"/>
                <w:szCs w:val="18"/>
              </w:rPr>
            </w:pPr>
            <w:r>
              <w:rPr>
                <w:rFonts w:ascii="Arial"/>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北京中榕基信息技术有限公司（以下简称北京中榕基公司）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Arial" w:hAnsi="Arial" w:cs="Arial" w:eastAsia="Arial" w:hint="default"/>
                <w:sz w:val="18"/>
                <w:szCs w:val="18"/>
              </w:rPr>
            </w:pPr>
            <w:r>
              <w:rPr>
                <w:rFonts w:ascii="Arial"/>
                <w:sz w:val="18"/>
              </w:rPr>
              <w:t>25</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马鞍山榕基软件信息科技有限公司（以下简称马鞍山软件信 息公司）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Arial" w:hAnsi="Arial" w:cs="Arial" w:eastAsia="Arial" w:hint="default"/>
                <w:sz w:val="18"/>
                <w:szCs w:val="18"/>
              </w:rPr>
            </w:pPr>
            <w:r>
              <w:rPr>
                <w:rFonts w:ascii="Arial"/>
                <w:sz w:val="18"/>
              </w:rPr>
              <w:t>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福建榕基投资有限公司（以下简称榕基投资公司）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Arial" w:hAnsi="Arial" w:cs="Arial" w:eastAsia="Arial" w:hint="default"/>
                <w:sz w:val="18"/>
                <w:szCs w:val="18"/>
              </w:rPr>
            </w:pPr>
            <w:r>
              <w:rPr>
                <w:rFonts w:ascii="Arial"/>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马鞍山榕基置业投资有限公司（以下简称榕基置业公司）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Arial" w:hAnsi="Arial" w:cs="Arial" w:eastAsia="Arial" w:hint="default"/>
                <w:sz w:val="18"/>
                <w:szCs w:val="18"/>
              </w:rPr>
            </w:pPr>
            <w:r>
              <w:rPr>
                <w:rFonts w:ascii="Arial"/>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信阳榕基信息技术有限公司（以下简称信阳榕基公司）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Arial" w:hAnsi="Arial" w:cs="Arial" w:eastAsia="Arial" w:hint="default"/>
                <w:sz w:val="18"/>
                <w:szCs w:val="18"/>
              </w:rPr>
            </w:pPr>
            <w:r>
              <w:rPr>
                <w:rFonts w:ascii="Arial"/>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榕基国际控股有限公司（以下简称榕基国际公司）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Arial" w:hAnsi="Arial" w:cs="Arial" w:eastAsia="Arial" w:hint="default"/>
                <w:sz w:val="18"/>
                <w:szCs w:val="18"/>
              </w:rPr>
            </w:pPr>
            <w:r>
              <w:rPr>
                <w:rFonts w:ascii="Arial"/>
                <w:sz w:val="18"/>
              </w:rPr>
              <w:t>8.25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河南豫础置业有限公司（以下简称豫础置业公司）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Arial" w:hAnsi="Arial" w:cs="Arial" w:eastAsia="Arial" w:hint="default"/>
                <w:sz w:val="18"/>
                <w:szCs w:val="18"/>
              </w:rPr>
            </w:pPr>
            <w:r>
              <w:rPr>
                <w:rFonts w:ascii="Arial"/>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沈阳榕基信息技术有限公司（以下简称沈阳榕基公司）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Arial" w:hAnsi="Arial" w:cs="Arial" w:eastAsia="Arial" w:hint="default"/>
                <w:sz w:val="18"/>
                <w:szCs w:val="18"/>
              </w:rPr>
            </w:pPr>
            <w:r>
              <w:rPr>
                <w:rFonts w:ascii="Arial"/>
                <w:sz w:val="18"/>
              </w:rPr>
              <w:t>25</w:t>
            </w:r>
          </w:p>
        </w:tc>
      </w:tr>
    </w:tbl>
    <w:p>
      <w:pPr>
        <w:spacing w:after="0" w:line="240" w:lineRule="auto"/>
        <w:jc w:val="left"/>
        <w:rPr>
          <w:rFonts w:ascii="Arial" w:hAnsi="Arial" w:cs="Arial" w:eastAsia="Arial"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河南裕信德置业有限公司（以下简称裕信德公司）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Arial" w:hAnsi="Arial" w:cs="Arial" w:eastAsia="Arial" w:hint="default"/>
                <w:sz w:val="18"/>
                <w:szCs w:val="18"/>
              </w:rPr>
            </w:pPr>
            <w:r>
              <w:rPr>
                <w:rFonts w:ascii="Arial"/>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浙江检榕网络科技有限公司（以下简称浙江检榕公司）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Arial" w:hAnsi="Arial" w:cs="Arial" w:eastAsia="Arial" w:hint="default"/>
                <w:sz w:val="18"/>
                <w:szCs w:val="18"/>
              </w:rPr>
            </w:pPr>
            <w:r>
              <w:rPr>
                <w:rFonts w:ascii="Arial"/>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福州榕易付网络科技有限公司（以下简称福州榕易付公司）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Arial" w:hAnsi="Arial" w:cs="Arial" w:eastAsia="Arial" w:hint="default"/>
                <w:sz w:val="18"/>
                <w:szCs w:val="18"/>
              </w:rPr>
            </w:pPr>
            <w:r>
              <w:rPr>
                <w:rFonts w:ascii="Arial"/>
                <w:sz w:val="18"/>
              </w:rPr>
              <w:t>25</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福建星榕基信息科技有限责任公司（以下简称福建星榕基公 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Arial" w:hAnsi="Arial" w:cs="Arial" w:eastAsia="Arial" w:hint="default"/>
                <w:sz w:val="18"/>
                <w:szCs w:val="18"/>
              </w:rPr>
            </w:pPr>
            <w:r>
              <w:rPr>
                <w:rFonts w:ascii="Arial"/>
                <w:sz w:val="18"/>
              </w:rPr>
              <w:t>12.50</w:t>
            </w:r>
          </w:p>
        </w:tc>
      </w:tr>
      <w:tr>
        <w:trPr>
          <w:trHeight w:val="714"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67"/>
              <w:jc w:val="left"/>
              <w:rPr>
                <w:rFonts w:ascii="宋体" w:hAnsi="宋体" w:cs="宋体" w:eastAsia="宋体" w:hint="default"/>
                <w:sz w:val="18"/>
                <w:szCs w:val="18"/>
              </w:rPr>
            </w:pPr>
            <w:r>
              <w:rPr>
                <w:rFonts w:ascii="宋体" w:hAnsi="宋体" w:cs="宋体" w:eastAsia="宋体" w:hint="default"/>
                <w:sz w:val="18"/>
                <w:szCs w:val="18"/>
              </w:rPr>
              <w:t>榕基国计（北京）信息技术有限公司（以下简称榕基国计公 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2" w:right="0"/>
              <w:jc w:val="left"/>
              <w:rPr>
                <w:rFonts w:ascii="Arial" w:hAnsi="Arial" w:cs="Arial" w:eastAsia="Arial" w:hint="default"/>
                <w:sz w:val="18"/>
                <w:szCs w:val="18"/>
              </w:rPr>
            </w:pPr>
            <w:r>
              <w:rPr>
                <w:rFonts w:ascii="Arial"/>
                <w:sz w:val="18"/>
              </w:rPr>
              <w:t>25</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福建容大物联网科技有限公司（以下简称容大物联网）</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Arial" w:hAnsi="Arial" w:cs="Arial" w:eastAsia="Arial" w:hint="default"/>
                <w:sz w:val="18"/>
                <w:szCs w:val="18"/>
              </w:rPr>
            </w:pPr>
            <w:r>
              <w:rPr>
                <w:rFonts w:ascii="Arial"/>
                <w:sz w:val="18"/>
              </w:rPr>
              <w:t>25</w:t>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rFonts w:ascii="Arial" w:hAnsi="Arial" w:cs="Arial" w:eastAsia="Arial" w:hint="default"/>
        </w:rPr>
        <w:t>2</w:t>
      </w:r>
      <w:r>
        <w:rPr/>
        <w:t>、税收优惠</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2239"/>
        <w:jc w:val="left"/>
      </w:pPr>
      <w:r>
        <w:rPr/>
        <w:t>（</w:t>
      </w:r>
      <w:r>
        <w:rPr>
          <w:rFonts w:ascii="Arial" w:hAnsi="Arial" w:cs="Arial" w:eastAsia="Arial" w:hint="default"/>
        </w:rPr>
        <w:t>1</w:t>
      </w:r>
      <w:r>
        <w:rPr/>
        <w:t>）增值税</w:t>
      </w:r>
    </w:p>
    <w:p>
      <w:pPr>
        <w:pStyle w:val="BodyText"/>
        <w:spacing w:line="302" w:lineRule="auto" w:before="103"/>
        <w:ind w:right="1204" w:firstLine="360"/>
        <w:jc w:val="left"/>
      </w:pPr>
      <w:r>
        <w:rPr>
          <w:spacing w:val="-3"/>
        </w:rPr>
        <w:t>根据《财政部、国家税务总局关于软件产品增值税政策的通知》（财税［</w:t>
      </w:r>
      <w:r>
        <w:rPr>
          <w:rFonts w:ascii="Arial" w:hAnsi="Arial" w:cs="Arial" w:eastAsia="Arial" w:hint="default"/>
          <w:spacing w:val="-3"/>
        </w:rPr>
        <w:t>2011</w:t>
      </w:r>
      <w:r>
        <w:rPr>
          <w:spacing w:val="-3"/>
        </w:rPr>
        <w:t>］</w:t>
      </w:r>
      <w:r>
        <w:rPr>
          <w:rFonts w:ascii="Arial" w:hAnsi="Arial" w:cs="Arial" w:eastAsia="Arial" w:hint="default"/>
          <w:spacing w:val="-3"/>
        </w:rPr>
        <w:t>100</w:t>
      </w:r>
      <w:r>
        <w:rPr>
          <w:rFonts w:ascii="Arial" w:hAnsi="Arial" w:cs="Arial" w:eastAsia="Arial" w:hint="default"/>
          <w:spacing w:val="5"/>
        </w:rPr>
        <w:t> </w:t>
      </w:r>
      <w:r>
        <w:rPr>
          <w:spacing w:val="-6"/>
        </w:rPr>
        <w:t>号），增值税一般纳税人销售其自</w:t>
      </w:r>
      <w:r>
        <w:rPr/>
        <w:t> 行开发生产的软件产品，对其增值税实际税负超过</w:t>
      </w:r>
      <w:r>
        <w:rPr>
          <w:spacing w:val="-47"/>
        </w:rPr>
        <w:t> </w:t>
      </w:r>
      <w:r>
        <w:rPr>
          <w:rFonts w:ascii="Arial" w:hAnsi="Arial" w:cs="Arial" w:eastAsia="Arial" w:hint="default"/>
        </w:rPr>
        <w:t>3%</w:t>
      </w:r>
      <w:r>
        <w:rPr/>
        <w:t>的部分实行即征即退政策。</w:t>
      </w:r>
    </w:p>
    <w:p>
      <w:pPr>
        <w:pStyle w:val="BodyText"/>
        <w:spacing w:line="240" w:lineRule="auto" w:before="51"/>
        <w:ind w:left="514" w:right="2239"/>
        <w:jc w:val="left"/>
      </w:pPr>
      <w:r>
        <w:rPr/>
        <w:t>（</w:t>
      </w:r>
      <w:r>
        <w:rPr>
          <w:rFonts w:ascii="Arial" w:hAnsi="Arial" w:cs="Arial" w:eastAsia="Arial" w:hint="default"/>
        </w:rPr>
        <w:t>2</w:t>
      </w:r>
      <w:r>
        <w:rPr/>
        <w:t>）企业所得税</w:t>
      </w:r>
    </w:p>
    <w:p>
      <w:pPr>
        <w:pStyle w:val="BodyText"/>
        <w:spacing w:line="240" w:lineRule="auto" w:before="103"/>
        <w:ind w:left="514" w:right="2239"/>
        <w:jc w:val="left"/>
      </w:pPr>
      <w:r>
        <w:rPr/>
        <w:t>①高新技术企业所得税优惠</w:t>
      </w:r>
    </w:p>
    <w:p>
      <w:pPr>
        <w:pStyle w:val="BodyText"/>
        <w:spacing w:line="302" w:lineRule="auto" w:before="116"/>
        <w:ind w:right="1131" w:firstLine="360"/>
        <w:jc w:val="both"/>
      </w:pPr>
      <w:r>
        <w:rPr>
          <w:spacing w:val="-5"/>
        </w:rPr>
        <w:t>根据《中华人民共和国企业所得税法》（主席令第</w:t>
      </w:r>
      <w:r>
        <w:rPr/>
        <w:t> </w:t>
      </w:r>
      <w:r>
        <w:rPr>
          <w:rFonts w:ascii="Arial" w:hAnsi="Arial" w:cs="Arial" w:eastAsia="Arial" w:hint="default"/>
        </w:rPr>
        <w:t>63</w:t>
      </w:r>
      <w:r>
        <w:rPr>
          <w:rFonts w:ascii="Arial" w:hAnsi="Arial" w:cs="Arial" w:eastAsia="Arial" w:hint="default"/>
          <w:spacing w:val="-27"/>
        </w:rPr>
        <w:t> </w:t>
      </w:r>
      <w:r>
        <w:rPr>
          <w:spacing w:val="-4"/>
        </w:rPr>
        <w:t>号），科技部、财政部、国家税务总局下发的《高新技术企业认定</w:t>
      </w:r>
      <w:r>
        <w:rPr/>
        <w:t> </w:t>
      </w:r>
      <w:r>
        <w:rPr>
          <w:spacing w:val="-1"/>
        </w:rPr>
        <w:t>管理办法（</w:t>
      </w:r>
      <w:r>
        <w:rPr>
          <w:rFonts w:ascii="Arial" w:hAnsi="Arial" w:cs="Arial" w:eastAsia="Arial" w:hint="default"/>
          <w:spacing w:val="-1"/>
        </w:rPr>
        <w:t>2016</w:t>
      </w:r>
      <w:r>
        <w:rPr>
          <w:rFonts w:ascii="Arial" w:hAnsi="Arial" w:cs="Arial" w:eastAsia="Arial" w:hint="default"/>
          <w:spacing w:val="-2"/>
        </w:rPr>
        <w:t> </w:t>
      </w:r>
      <w:r>
        <w:rPr>
          <w:spacing w:val="-12"/>
        </w:rPr>
        <w:t>修订）》（国科发［</w:t>
      </w:r>
      <w:r>
        <w:rPr>
          <w:rFonts w:ascii="Arial" w:hAnsi="Arial" w:cs="Arial" w:eastAsia="Arial" w:hint="default"/>
          <w:spacing w:val="-12"/>
        </w:rPr>
        <w:t>2016</w:t>
      </w:r>
      <w:r>
        <w:rPr>
          <w:spacing w:val="-12"/>
        </w:rPr>
        <w:t>］</w:t>
      </w:r>
      <w:r>
        <w:rPr>
          <w:rFonts w:ascii="Arial" w:hAnsi="Arial" w:cs="Arial" w:eastAsia="Arial" w:hint="default"/>
          <w:spacing w:val="-12"/>
        </w:rPr>
        <w:t>32</w:t>
      </w:r>
      <w:r>
        <w:rPr>
          <w:rFonts w:ascii="Arial" w:hAnsi="Arial" w:cs="Arial" w:eastAsia="Arial" w:hint="default"/>
          <w:spacing w:val="1"/>
        </w:rPr>
        <w:t> </w:t>
      </w:r>
      <w:r>
        <w:rPr/>
        <w:t>号）的规定，国家需要重点扶持的高新技术企业，减按</w:t>
      </w:r>
      <w:r>
        <w:rPr>
          <w:spacing w:val="-40"/>
        </w:rPr>
        <w:t> </w:t>
      </w:r>
      <w:r>
        <w:rPr>
          <w:rFonts w:ascii="Arial" w:hAnsi="Arial" w:cs="Arial" w:eastAsia="Arial" w:hint="default"/>
          <w:spacing w:val="-1"/>
        </w:rPr>
        <w:t>15%</w:t>
      </w:r>
      <w:r>
        <w:rPr>
          <w:spacing w:val="-1"/>
        </w:rPr>
        <w:t>的税率征收企业</w:t>
      </w:r>
      <w:r>
        <w:rPr>
          <w:spacing w:val="-83"/>
        </w:rPr>
        <w:t> </w:t>
      </w:r>
      <w:r>
        <w:rPr>
          <w:spacing w:val="-83"/>
        </w:rPr>
      </w:r>
      <w:r>
        <w:rPr/>
        <w:t>所得税。</w:t>
      </w:r>
    </w:p>
    <w:p>
      <w:pPr>
        <w:pStyle w:val="BodyText"/>
        <w:spacing w:line="240" w:lineRule="auto" w:before="68"/>
        <w:ind w:left="514" w:right="0"/>
        <w:jc w:val="left"/>
      </w:pPr>
      <w:r>
        <w:rPr>
          <w:rFonts w:ascii="Arial" w:hAnsi="Arial" w:cs="Arial" w:eastAsia="Arial" w:hint="default"/>
        </w:rPr>
        <w:t>2017</w:t>
      </w:r>
      <w:r>
        <w:rPr>
          <w:rFonts w:ascii="Arial" w:hAnsi="Arial" w:cs="Arial" w:eastAsia="Arial" w:hint="default"/>
          <w:spacing w:val="-12"/>
        </w:rPr>
        <w:t> </w:t>
      </w:r>
      <w:r>
        <w:rPr/>
        <w:t>年</w:t>
      </w:r>
      <w:r>
        <w:rPr>
          <w:spacing w:val="-53"/>
        </w:rPr>
        <w:t> </w:t>
      </w:r>
      <w:r>
        <w:rPr>
          <w:rFonts w:ascii="Arial" w:hAnsi="Arial" w:cs="Arial" w:eastAsia="Arial" w:hint="default"/>
        </w:rPr>
        <w:t>10</w:t>
      </w:r>
      <w:r>
        <w:rPr>
          <w:rFonts w:ascii="Arial" w:hAnsi="Arial" w:cs="Arial" w:eastAsia="Arial" w:hint="default"/>
          <w:spacing w:val="-14"/>
        </w:rPr>
        <w:t> </w:t>
      </w:r>
      <w:r>
        <w:rPr/>
        <w:t>月</w:t>
      </w:r>
      <w:r>
        <w:rPr>
          <w:spacing w:val="-52"/>
        </w:rPr>
        <w:t> </w:t>
      </w:r>
      <w:r>
        <w:rPr>
          <w:rFonts w:ascii="Arial" w:hAnsi="Arial" w:cs="Arial" w:eastAsia="Arial" w:hint="default"/>
        </w:rPr>
        <w:t>23</w:t>
      </w:r>
      <w:r>
        <w:rPr>
          <w:rFonts w:ascii="Arial" w:hAnsi="Arial" w:cs="Arial" w:eastAsia="Arial" w:hint="default"/>
          <w:spacing w:val="-14"/>
        </w:rPr>
        <w:t> </w:t>
      </w:r>
      <w:r>
        <w:rPr/>
        <w:t>日，本公司取得由福建省科学技术厅、福建省财政厅、福建省国家税务局、福建省地方税务局颁发的</w:t>
      </w:r>
    </w:p>
    <w:p>
      <w:pPr>
        <w:pStyle w:val="BodyText"/>
        <w:spacing w:line="240" w:lineRule="auto" w:before="65"/>
        <w:ind w:right="2239"/>
        <w:jc w:val="left"/>
      </w:pPr>
      <w:r>
        <w:rPr/>
        <w:t>《高新技术企业证书</w:t>
      </w:r>
      <w:r>
        <w:rPr>
          <w:spacing w:val="-90"/>
        </w:rPr>
        <w:t>》</w:t>
      </w:r>
      <w:r>
        <w:rPr/>
        <w:t>，证书编号</w:t>
      </w:r>
      <w:r>
        <w:rPr>
          <w:spacing w:val="-46"/>
        </w:rPr>
        <w:t> </w:t>
      </w:r>
      <w:r>
        <w:rPr>
          <w:rFonts w:ascii="Arial" w:hAnsi="Arial" w:cs="Arial" w:eastAsia="Arial" w:hint="default"/>
          <w:spacing w:val="-1"/>
        </w:rPr>
        <w:t>GR2</w:t>
      </w:r>
      <w:r>
        <w:rPr>
          <w:rFonts w:ascii="Arial" w:hAnsi="Arial" w:cs="Arial" w:eastAsia="Arial" w:hint="default"/>
        </w:rPr>
        <w:t>0</w:t>
      </w:r>
      <w:r>
        <w:rPr>
          <w:rFonts w:ascii="Arial" w:hAnsi="Arial" w:cs="Arial" w:eastAsia="Arial" w:hint="default"/>
          <w:spacing w:val="-1"/>
        </w:rPr>
        <w:t>1</w:t>
      </w:r>
      <w:r>
        <w:rPr>
          <w:rFonts w:ascii="Arial" w:hAnsi="Arial" w:cs="Arial" w:eastAsia="Arial" w:hint="default"/>
        </w:rPr>
        <w:t>73</w:t>
      </w:r>
      <w:r>
        <w:rPr>
          <w:rFonts w:ascii="Arial" w:hAnsi="Arial" w:cs="Arial" w:eastAsia="Arial" w:hint="default"/>
          <w:spacing w:val="-1"/>
        </w:rPr>
        <w:t>50</w:t>
      </w:r>
      <w:r>
        <w:rPr>
          <w:rFonts w:ascii="Arial" w:hAnsi="Arial" w:cs="Arial" w:eastAsia="Arial" w:hint="default"/>
        </w:rPr>
        <w:t>0</w:t>
      </w:r>
      <w:r>
        <w:rPr>
          <w:rFonts w:ascii="Arial" w:hAnsi="Arial" w:cs="Arial" w:eastAsia="Arial" w:hint="default"/>
          <w:spacing w:val="-1"/>
        </w:rPr>
        <w:t>0</w:t>
      </w:r>
      <w:r>
        <w:rPr>
          <w:rFonts w:ascii="Arial" w:hAnsi="Arial" w:cs="Arial" w:eastAsia="Arial" w:hint="default"/>
        </w:rPr>
        <w:t>0</w:t>
      </w:r>
      <w:r>
        <w:rPr>
          <w:rFonts w:ascii="Arial" w:hAnsi="Arial" w:cs="Arial" w:eastAsia="Arial" w:hint="default"/>
          <w:spacing w:val="-1"/>
        </w:rPr>
        <w:t>5</w:t>
      </w:r>
      <w:r>
        <w:rPr>
          <w:rFonts w:ascii="Arial" w:hAnsi="Arial" w:cs="Arial" w:eastAsia="Arial" w:hint="default"/>
        </w:rPr>
        <w:t>9</w:t>
      </w:r>
      <w:r>
        <w:rPr/>
        <w:t>，</w:t>
      </w:r>
      <w:r>
        <w:rPr>
          <w:spacing w:val="1"/>
        </w:rPr>
        <w:t>该</w:t>
      </w:r>
      <w:r>
        <w:rPr/>
        <w:t>证书的有效期从</w:t>
      </w:r>
      <w:r>
        <w:rPr>
          <w:spacing w:val="-46"/>
        </w:rPr>
        <w:t> </w:t>
      </w:r>
      <w:r>
        <w:rPr>
          <w:rFonts w:ascii="Arial" w:hAnsi="Arial" w:cs="Arial" w:eastAsia="Arial" w:hint="default"/>
          <w:spacing w:val="-1"/>
        </w:rPr>
        <w:t>2</w:t>
      </w:r>
      <w:r>
        <w:rPr>
          <w:rFonts w:ascii="Arial" w:hAnsi="Arial" w:cs="Arial" w:eastAsia="Arial" w:hint="default"/>
        </w:rPr>
        <w:t>017</w:t>
      </w:r>
      <w:r>
        <w:rPr>
          <w:rFonts w:ascii="Arial" w:hAnsi="Arial" w:cs="Arial" w:eastAsia="Arial" w:hint="default"/>
          <w:spacing w:val="-7"/>
        </w:rPr>
        <w:t> </w:t>
      </w:r>
      <w:r>
        <w:rPr/>
        <w:t>年至</w:t>
      </w:r>
      <w:r>
        <w:rPr>
          <w:spacing w:val="-45"/>
        </w:rPr>
        <w:t> </w:t>
      </w:r>
      <w:r>
        <w:rPr>
          <w:rFonts w:ascii="Arial" w:hAnsi="Arial" w:cs="Arial" w:eastAsia="Arial" w:hint="default"/>
        </w:rPr>
        <w:t>2</w:t>
      </w:r>
      <w:r>
        <w:rPr>
          <w:rFonts w:ascii="Arial" w:hAnsi="Arial" w:cs="Arial" w:eastAsia="Arial" w:hint="default"/>
          <w:spacing w:val="-1"/>
        </w:rPr>
        <w:t>0</w:t>
      </w:r>
      <w:r>
        <w:rPr>
          <w:rFonts w:ascii="Arial" w:hAnsi="Arial" w:cs="Arial" w:eastAsia="Arial" w:hint="default"/>
        </w:rPr>
        <w:t>19</w:t>
      </w:r>
      <w:r>
        <w:rPr>
          <w:rFonts w:ascii="Arial" w:hAnsi="Arial" w:cs="Arial" w:eastAsia="Arial" w:hint="default"/>
          <w:spacing w:val="-7"/>
        </w:rPr>
        <w:t> </w:t>
      </w:r>
      <w:r>
        <w:rPr/>
        <w:t>年。</w:t>
      </w:r>
    </w:p>
    <w:p>
      <w:pPr>
        <w:pStyle w:val="BodyText"/>
        <w:spacing w:line="240" w:lineRule="auto" w:before="102"/>
        <w:ind w:left="153" w:right="0"/>
        <w:jc w:val="left"/>
      </w:pPr>
      <w:r>
        <w:rPr>
          <w:rFonts w:ascii="Arial" w:hAnsi="Arial" w:cs="Arial" w:eastAsia="Arial" w:hint="default"/>
        </w:rPr>
        <w:t>2017</w:t>
      </w:r>
      <w:r>
        <w:rPr>
          <w:rFonts w:ascii="Arial" w:hAnsi="Arial" w:cs="Arial" w:eastAsia="Arial" w:hint="default"/>
          <w:spacing w:val="-9"/>
        </w:rPr>
        <w:t> </w:t>
      </w:r>
      <w:r>
        <w:rPr/>
        <w:t>年</w:t>
      </w:r>
      <w:r>
        <w:rPr>
          <w:spacing w:val="-50"/>
        </w:rPr>
        <w:t> </w:t>
      </w:r>
      <w:r>
        <w:rPr>
          <w:rFonts w:ascii="Arial" w:hAnsi="Arial" w:cs="Arial" w:eastAsia="Arial" w:hint="default"/>
          <w:spacing w:val="-7"/>
        </w:rPr>
        <w:t>11</w:t>
      </w:r>
      <w:r>
        <w:rPr>
          <w:rFonts w:ascii="Arial" w:hAnsi="Arial" w:cs="Arial" w:eastAsia="Arial" w:hint="default"/>
          <w:spacing w:val="-11"/>
        </w:rPr>
        <w:t> </w:t>
      </w:r>
      <w:r>
        <w:rPr/>
        <w:t>月</w:t>
      </w:r>
      <w:r>
        <w:rPr>
          <w:spacing w:val="-49"/>
        </w:rPr>
        <w:t> </w:t>
      </w:r>
      <w:r>
        <w:rPr>
          <w:rFonts w:ascii="Arial" w:hAnsi="Arial" w:cs="Arial" w:eastAsia="Arial" w:hint="default"/>
        </w:rPr>
        <w:t>13</w:t>
      </w:r>
      <w:r>
        <w:rPr>
          <w:rFonts w:ascii="Arial" w:hAnsi="Arial" w:cs="Arial" w:eastAsia="Arial" w:hint="default"/>
          <w:spacing w:val="-11"/>
        </w:rPr>
        <w:t> </w:t>
      </w:r>
      <w:r>
        <w:rPr/>
        <w:t>日，浙江榕基公司取得由浙江省科学技术厅、浙江省财政厅、浙江省国家税务局、浙江省地方税务局颁发</w:t>
      </w:r>
    </w:p>
    <w:p>
      <w:pPr>
        <w:pStyle w:val="BodyText"/>
        <w:spacing w:line="240" w:lineRule="auto" w:before="65"/>
        <w:ind w:left="153" w:right="2239"/>
        <w:jc w:val="left"/>
      </w:pPr>
      <w:r>
        <w:rPr/>
        <w:t>的《高新技术企业证书</w:t>
      </w:r>
      <w:r>
        <w:rPr>
          <w:spacing w:val="-90"/>
        </w:rPr>
        <w:t>》</w:t>
      </w:r>
      <w:r>
        <w:rPr/>
        <w:t>，证书编号</w:t>
      </w:r>
      <w:r>
        <w:rPr>
          <w:spacing w:val="-46"/>
        </w:rPr>
        <w:t> </w:t>
      </w:r>
      <w:r>
        <w:rPr>
          <w:rFonts w:ascii="Arial" w:hAnsi="Arial" w:cs="Arial" w:eastAsia="Arial" w:hint="default"/>
          <w:spacing w:val="-1"/>
        </w:rPr>
        <w:t>GR2</w:t>
      </w:r>
      <w:r>
        <w:rPr>
          <w:rFonts w:ascii="Arial" w:hAnsi="Arial" w:cs="Arial" w:eastAsia="Arial" w:hint="default"/>
        </w:rPr>
        <w:t>01</w:t>
      </w:r>
      <w:r>
        <w:rPr>
          <w:rFonts w:ascii="Arial" w:hAnsi="Arial" w:cs="Arial" w:eastAsia="Arial" w:hint="default"/>
          <w:spacing w:val="-1"/>
        </w:rPr>
        <w:t>73</w:t>
      </w:r>
      <w:r>
        <w:rPr>
          <w:rFonts w:ascii="Arial" w:hAnsi="Arial" w:cs="Arial" w:eastAsia="Arial" w:hint="default"/>
        </w:rPr>
        <w:t>3</w:t>
      </w:r>
      <w:r>
        <w:rPr>
          <w:rFonts w:ascii="Arial" w:hAnsi="Arial" w:cs="Arial" w:eastAsia="Arial" w:hint="default"/>
          <w:spacing w:val="-1"/>
        </w:rPr>
        <w:t>0</w:t>
      </w:r>
      <w:r>
        <w:rPr>
          <w:rFonts w:ascii="Arial" w:hAnsi="Arial" w:cs="Arial" w:eastAsia="Arial" w:hint="default"/>
        </w:rPr>
        <w:t>0</w:t>
      </w:r>
      <w:r>
        <w:rPr>
          <w:rFonts w:ascii="Arial" w:hAnsi="Arial" w:cs="Arial" w:eastAsia="Arial" w:hint="default"/>
          <w:spacing w:val="-1"/>
        </w:rPr>
        <w:t>31</w:t>
      </w:r>
      <w:r>
        <w:rPr>
          <w:rFonts w:ascii="Arial" w:hAnsi="Arial" w:cs="Arial" w:eastAsia="Arial" w:hint="default"/>
        </w:rPr>
        <w:t>37</w:t>
      </w:r>
      <w:r>
        <w:rPr>
          <w:spacing w:val="1"/>
        </w:rPr>
        <w:t>，</w:t>
      </w:r>
      <w:r>
        <w:rPr/>
        <w:t>该证书的有效期从</w:t>
      </w:r>
      <w:r>
        <w:rPr>
          <w:spacing w:val="-46"/>
        </w:rPr>
        <w:t> </w:t>
      </w:r>
      <w:r>
        <w:rPr>
          <w:rFonts w:ascii="Arial" w:hAnsi="Arial" w:cs="Arial" w:eastAsia="Arial" w:hint="default"/>
          <w:spacing w:val="-1"/>
        </w:rPr>
        <w:t>2</w:t>
      </w:r>
      <w:r>
        <w:rPr>
          <w:rFonts w:ascii="Arial" w:hAnsi="Arial" w:cs="Arial" w:eastAsia="Arial" w:hint="default"/>
        </w:rPr>
        <w:t>017</w:t>
      </w:r>
      <w:r>
        <w:rPr>
          <w:rFonts w:ascii="Arial" w:hAnsi="Arial" w:cs="Arial" w:eastAsia="Arial" w:hint="default"/>
          <w:spacing w:val="-7"/>
        </w:rPr>
        <w:t> </w:t>
      </w:r>
      <w:r>
        <w:rPr>
          <w:spacing w:val="1"/>
        </w:rPr>
        <w:t>年</w:t>
      </w:r>
      <w:r>
        <w:rPr/>
        <w:t>至</w:t>
      </w:r>
      <w:r>
        <w:rPr>
          <w:spacing w:val="-46"/>
        </w:rPr>
        <w:t> </w:t>
      </w:r>
      <w:r>
        <w:rPr>
          <w:rFonts w:ascii="Arial" w:hAnsi="Arial" w:cs="Arial" w:eastAsia="Arial" w:hint="default"/>
          <w:spacing w:val="-1"/>
        </w:rPr>
        <w:t>2</w:t>
      </w:r>
      <w:r>
        <w:rPr>
          <w:rFonts w:ascii="Arial" w:hAnsi="Arial" w:cs="Arial" w:eastAsia="Arial" w:hint="default"/>
        </w:rPr>
        <w:t>019</w:t>
      </w:r>
      <w:r>
        <w:rPr>
          <w:rFonts w:ascii="Arial" w:hAnsi="Arial" w:cs="Arial" w:eastAsia="Arial" w:hint="default"/>
          <w:spacing w:val="-7"/>
        </w:rPr>
        <w:t> </w:t>
      </w:r>
      <w:r>
        <w:rPr/>
        <w:t>年。</w:t>
      </w:r>
    </w:p>
    <w:p>
      <w:pPr>
        <w:pStyle w:val="BodyText"/>
        <w:spacing w:line="240" w:lineRule="auto" w:before="103"/>
        <w:ind w:left="153" w:right="0"/>
        <w:jc w:val="left"/>
      </w:pPr>
      <w:r>
        <w:rPr>
          <w:rFonts w:ascii="Arial" w:hAnsi="Arial" w:cs="Arial" w:eastAsia="Arial" w:hint="default"/>
        </w:rPr>
        <w:t>2018</w:t>
      </w:r>
      <w:r>
        <w:rPr>
          <w:rFonts w:ascii="Arial" w:hAnsi="Arial" w:cs="Arial" w:eastAsia="Arial" w:hint="default"/>
          <w:spacing w:val="-9"/>
        </w:rPr>
        <w:t> </w:t>
      </w:r>
      <w:r>
        <w:rPr/>
        <w:t>年</w:t>
      </w:r>
      <w:r>
        <w:rPr>
          <w:spacing w:val="-50"/>
        </w:rPr>
        <w:t> </w:t>
      </w:r>
      <w:r>
        <w:rPr>
          <w:rFonts w:ascii="Arial" w:hAnsi="Arial" w:cs="Arial" w:eastAsia="Arial" w:hint="default"/>
          <w:spacing w:val="-7"/>
        </w:rPr>
        <w:t>11</w:t>
      </w:r>
      <w:r>
        <w:rPr>
          <w:rFonts w:ascii="Arial" w:hAnsi="Arial" w:cs="Arial" w:eastAsia="Arial" w:hint="default"/>
          <w:spacing w:val="-11"/>
        </w:rPr>
        <w:t> </w:t>
      </w:r>
      <w:r>
        <w:rPr/>
        <w:t>月</w:t>
      </w:r>
      <w:r>
        <w:rPr>
          <w:spacing w:val="-49"/>
        </w:rPr>
        <w:t> </w:t>
      </w:r>
      <w:r>
        <w:rPr>
          <w:rFonts w:ascii="Arial" w:hAnsi="Arial" w:cs="Arial" w:eastAsia="Arial" w:hint="default"/>
        </w:rPr>
        <w:t>30</w:t>
      </w:r>
      <w:r>
        <w:rPr>
          <w:rFonts w:ascii="Arial" w:hAnsi="Arial" w:cs="Arial" w:eastAsia="Arial" w:hint="default"/>
          <w:spacing w:val="-11"/>
        </w:rPr>
        <w:t> </w:t>
      </w:r>
      <w:r>
        <w:rPr/>
        <w:t>日，榕基软件工程公司取得由福建省科学技术厅、福建省财政厅、福建省国家税务局、福建省地方税务局</w:t>
      </w:r>
    </w:p>
    <w:p>
      <w:pPr>
        <w:pStyle w:val="BodyText"/>
        <w:spacing w:line="240" w:lineRule="auto" w:before="65"/>
        <w:ind w:left="153" w:right="2239"/>
        <w:jc w:val="left"/>
      </w:pPr>
      <w:r>
        <w:rPr/>
        <w:t>颁发的《高新技术企业证书</w:t>
      </w:r>
      <w:r>
        <w:rPr>
          <w:spacing w:val="-90"/>
        </w:rPr>
        <w:t>》</w:t>
      </w:r>
      <w:r>
        <w:rPr/>
        <w:t>，证书编号</w:t>
      </w:r>
      <w:r>
        <w:rPr>
          <w:spacing w:val="-46"/>
        </w:rPr>
        <w:t> </w:t>
      </w:r>
      <w:r>
        <w:rPr>
          <w:rFonts w:ascii="Arial" w:hAnsi="Arial" w:cs="Arial" w:eastAsia="Arial" w:hint="default"/>
          <w:spacing w:val="-1"/>
        </w:rPr>
        <w:t>GR20</w:t>
      </w:r>
      <w:r>
        <w:rPr>
          <w:rFonts w:ascii="Arial" w:hAnsi="Arial" w:cs="Arial" w:eastAsia="Arial" w:hint="default"/>
        </w:rPr>
        <w:t>1</w:t>
      </w:r>
      <w:r>
        <w:rPr>
          <w:rFonts w:ascii="Arial" w:hAnsi="Arial" w:cs="Arial" w:eastAsia="Arial" w:hint="default"/>
          <w:spacing w:val="-1"/>
        </w:rPr>
        <w:t>8</w:t>
      </w:r>
      <w:r>
        <w:rPr>
          <w:rFonts w:ascii="Arial" w:hAnsi="Arial" w:cs="Arial" w:eastAsia="Arial" w:hint="default"/>
        </w:rPr>
        <w:t>3</w:t>
      </w:r>
      <w:r>
        <w:rPr>
          <w:rFonts w:ascii="Arial" w:hAnsi="Arial" w:cs="Arial" w:eastAsia="Arial" w:hint="default"/>
          <w:spacing w:val="-1"/>
        </w:rPr>
        <w:t>50</w:t>
      </w:r>
      <w:r>
        <w:rPr>
          <w:rFonts w:ascii="Arial" w:hAnsi="Arial" w:cs="Arial" w:eastAsia="Arial" w:hint="default"/>
        </w:rPr>
        <w:t>0</w:t>
      </w:r>
      <w:r>
        <w:rPr>
          <w:rFonts w:ascii="Arial" w:hAnsi="Arial" w:cs="Arial" w:eastAsia="Arial" w:hint="default"/>
          <w:spacing w:val="-1"/>
        </w:rPr>
        <w:t>0</w:t>
      </w:r>
      <w:r>
        <w:rPr>
          <w:rFonts w:ascii="Arial" w:hAnsi="Arial" w:cs="Arial" w:eastAsia="Arial" w:hint="default"/>
        </w:rPr>
        <w:t>4</w:t>
      </w:r>
      <w:r>
        <w:rPr>
          <w:rFonts w:ascii="Arial" w:hAnsi="Arial" w:cs="Arial" w:eastAsia="Arial" w:hint="default"/>
          <w:spacing w:val="-1"/>
        </w:rPr>
        <w:t>7</w:t>
      </w:r>
      <w:r>
        <w:rPr>
          <w:rFonts w:ascii="Arial" w:hAnsi="Arial" w:cs="Arial" w:eastAsia="Arial" w:hint="default"/>
          <w:spacing w:val="1"/>
        </w:rPr>
        <w:t>1</w:t>
      </w:r>
      <w:r>
        <w:rPr/>
        <w:t>，该证书的有效期从</w:t>
      </w:r>
      <w:r>
        <w:rPr>
          <w:spacing w:val="-46"/>
        </w:rPr>
        <w:t> </w:t>
      </w:r>
      <w:r>
        <w:rPr>
          <w:rFonts w:ascii="Arial" w:hAnsi="Arial" w:cs="Arial" w:eastAsia="Arial" w:hint="default"/>
          <w:spacing w:val="-1"/>
        </w:rPr>
        <w:t>2</w:t>
      </w:r>
      <w:r>
        <w:rPr>
          <w:rFonts w:ascii="Arial" w:hAnsi="Arial" w:cs="Arial" w:eastAsia="Arial" w:hint="default"/>
        </w:rPr>
        <w:t>018</w:t>
      </w:r>
      <w:r>
        <w:rPr>
          <w:rFonts w:ascii="Arial" w:hAnsi="Arial" w:cs="Arial" w:eastAsia="Arial" w:hint="default"/>
          <w:spacing w:val="-7"/>
        </w:rPr>
        <w:t> </w:t>
      </w:r>
      <w:r>
        <w:rPr>
          <w:spacing w:val="1"/>
        </w:rPr>
        <w:t>年</w:t>
      </w:r>
      <w:r>
        <w:rPr/>
        <w:t>至</w:t>
      </w:r>
      <w:r>
        <w:rPr>
          <w:spacing w:val="-46"/>
        </w:rPr>
        <w:t> </w:t>
      </w:r>
      <w:r>
        <w:rPr>
          <w:rFonts w:ascii="Arial" w:hAnsi="Arial" w:cs="Arial" w:eastAsia="Arial" w:hint="default"/>
          <w:spacing w:val="-1"/>
        </w:rPr>
        <w:t>2</w:t>
      </w:r>
      <w:r>
        <w:rPr>
          <w:rFonts w:ascii="Arial" w:hAnsi="Arial" w:cs="Arial" w:eastAsia="Arial" w:hint="default"/>
        </w:rPr>
        <w:t>020</w:t>
      </w:r>
      <w:r>
        <w:rPr>
          <w:rFonts w:ascii="Arial" w:hAnsi="Arial" w:cs="Arial" w:eastAsia="Arial" w:hint="default"/>
          <w:spacing w:val="-7"/>
        </w:rPr>
        <w:t> </w:t>
      </w:r>
      <w:r>
        <w:rPr/>
        <w:t>年。</w:t>
      </w:r>
    </w:p>
    <w:p>
      <w:pPr>
        <w:pStyle w:val="BodyText"/>
        <w:spacing w:line="357" w:lineRule="auto" w:before="103"/>
        <w:ind w:left="513" w:right="1199"/>
        <w:jc w:val="left"/>
      </w:pPr>
      <w:r>
        <w:rPr/>
        <w:t>②重点软件企业所得税优惠 </w:t>
      </w:r>
      <w:r>
        <w:rPr>
          <w:spacing w:val="-3"/>
        </w:rPr>
        <w:t>根据《关于进一步鼓励软件产业和集成电路产业发展企业所得税政策的通知》（财税［</w:t>
      </w:r>
      <w:r>
        <w:rPr>
          <w:rFonts w:ascii="Arial" w:hAnsi="Arial" w:cs="Arial" w:eastAsia="Arial" w:hint="default"/>
          <w:spacing w:val="-3"/>
        </w:rPr>
        <w:t>2012</w:t>
      </w:r>
      <w:r>
        <w:rPr>
          <w:spacing w:val="-3"/>
        </w:rPr>
        <w:t>］</w:t>
      </w:r>
      <w:r>
        <w:rPr>
          <w:rFonts w:ascii="Arial" w:hAnsi="Arial" w:cs="Arial" w:eastAsia="Arial" w:hint="default"/>
          <w:spacing w:val="-3"/>
        </w:rPr>
        <w:t>27</w:t>
      </w:r>
      <w:r>
        <w:rPr>
          <w:rFonts w:ascii="Arial" w:hAnsi="Arial" w:cs="Arial" w:eastAsia="Arial" w:hint="default"/>
          <w:spacing w:val="36"/>
        </w:rPr>
        <w:t> </w:t>
      </w:r>
      <w:r>
        <w:rPr/>
        <w:t>号）的有关规定，国</w:t>
      </w:r>
    </w:p>
    <w:p>
      <w:pPr>
        <w:pStyle w:val="BodyText"/>
        <w:spacing w:line="215" w:lineRule="exact"/>
        <w:ind w:left="153" w:right="2239"/>
        <w:jc w:val="left"/>
      </w:pPr>
      <w:r>
        <w:rPr/>
        <w:t>家规划布局内的重点软件企业，如当年未享受免税优惠的，可减按</w:t>
      </w:r>
      <w:r>
        <w:rPr>
          <w:spacing w:val="-49"/>
        </w:rPr>
        <w:t> </w:t>
      </w:r>
      <w:r>
        <w:rPr>
          <w:rFonts w:ascii="Arial" w:hAnsi="Arial" w:cs="Arial" w:eastAsia="Arial" w:hint="default"/>
        </w:rPr>
        <w:t>10.00%</w:t>
      </w:r>
      <w:r>
        <w:rPr/>
        <w:t>的税率征收企业所得税。</w:t>
      </w:r>
    </w:p>
    <w:p>
      <w:pPr>
        <w:pStyle w:val="BodyText"/>
        <w:spacing w:line="312" w:lineRule="auto" w:before="103"/>
        <w:ind w:right="1125" w:firstLine="360"/>
        <w:jc w:val="left"/>
      </w:pPr>
      <w:r>
        <w:rPr>
          <w:spacing w:val="-2"/>
        </w:rPr>
        <w:t>根据《财政部、国家税务总局、发展改革委、工业化信息部关于软件和集成电路产业企业所得税优惠政策有关问题的通</w:t>
      </w:r>
      <w:r>
        <w:rPr/>
        <w:t> </w:t>
      </w:r>
      <w:r>
        <w:rPr>
          <w:spacing w:val="-8"/>
        </w:rPr>
        <w:t>知》（财税［</w:t>
      </w:r>
      <w:r>
        <w:rPr>
          <w:rFonts w:ascii="Arial" w:hAnsi="Arial" w:cs="Arial" w:eastAsia="Arial" w:hint="default"/>
          <w:spacing w:val="-8"/>
        </w:rPr>
        <w:t>2016</w:t>
      </w:r>
      <w:r>
        <w:rPr>
          <w:spacing w:val="-8"/>
        </w:rPr>
        <w:t>］</w:t>
      </w:r>
      <w:r>
        <w:rPr>
          <w:rFonts w:ascii="Arial" w:hAnsi="Arial" w:cs="Arial" w:eastAsia="Arial" w:hint="default"/>
          <w:spacing w:val="-8"/>
        </w:rPr>
        <w:t>49</w:t>
      </w:r>
      <w:r>
        <w:rPr>
          <w:rFonts w:ascii="Arial" w:hAnsi="Arial" w:cs="Arial" w:eastAsia="Arial" w:hint="default"/>
        </w:rPr>
        <w:t> </w:t>
      </w:r>
      <w:r>
        <w:rPr/>
        <w:t>号）以及《国家发展改革委、工业化信息部、财政部、税务总局关于印发国家规划布局内重点软件</w:t>
      </w:r>
      <w:r>
        <w:rPr>
          <w:spacing w:val="-85"/>
        </w:rPr>
        <w:t> </w:t>
      </w:r>
      <w:r>
        <w:rPr>
          <w:spacing w:val="-85"/>
        </w:rPr>
      </w:r>
      <w:r>
        <w:rPr>
          <w:spacing w:val="-5"/>
        </w:rPr>
        <w:t>和集成电路设计领域的通知》（发改高技［</w:t>
      </w:r>
      <w:r>
        <w:rPr>
          <w:rFonts w:ascii="Arial" w:hAnsi="Arial" w:cs="Arial" w:eastAsia="Arial" w:hint="default"/>
          <w:spacing w:val="-5"/>
        </w:rPr>
        <w:t>2016</w:t>
      </w:r>
      <w:r>
        <w:rPr>
          <w:spacing w:val="-5"/>
        </w:rPr>
        <w:t>］</w:t>
      </w:r>
      <w:r>
        <w:rPr>
          <w:rFonts w:ascii="Arial" w:hAnsi="Arial" w:cs="Arial" w:eastAsia="Arial" w:hint="default"/>
          <w:spacing w:val="-5"/>
        </w:rPr>
        <w:t>1056</w:t>
      </w:r>
      <w:r>
        <w:rPr>
          <w:rFonts w:ascii="Arial" w:hAnsi="Arial" w:cs="Arial" w:eastAsia="Arial" w:hint="default"/>
          <w:spacing w:val="9"/>
        </w:rPr>
        <w:t> </w:t>
      </w:r>
      <w:r>
        <w:rPr>
          <w:spacing w:val="-2"/>
        </w:rPr>
        <w:t>号）的有关规定，享受财税［</w:t>
      </w:r>
      <w:r>
        <w:rPr>
          <w:rFonts w:ascii="Arial" w:hAnsi="Arial" w:cs="Arial" w:eastAsia="Arial" w:hint="default"/>
          <w:spacing w:val="-2"/>
        </w:rPr>
        <w:t>2012</w:t>
      </w:r>
      <w:r>
        <w:rPr>
          <w:spacing w:val="-2"/>
        </w:rPr>
        <w:t>］</w:t>
      </w:r>
      <w:r>
        <w:rPr>
          <w:rFonts w:ascii="Arial" w:hAnsi="Arial" w:cs="Arial" w:eastAsia="Arial" w:hint="default"/>
          <w:spacing w:val="-2"/>
        </w:rPr>
        <w:t>27</w:t>
      </w:r>
      <w:r>
        <w:rPr>
          <w:rFonts w:ascii="Arial" w:hAnsi="Arial" w:cs="Arial" w:eastAsia="Arial" w:hint="default"/>
          <w:spacing w:val="9"/>
        </w:rPr>
        <w:t> </w:t>
      </w:r>
      <w:r>
        <w:rPr/>
        <w:t>号文件规定的税收优惠政策</w:t>
      </w:r>
      <w:r>
        <w:rPr>
          <w:spacing w:val="-83"/>
        </w:rPr>
        <w:t> </w:t>
      </w:r>
      <w:r>
        <w:rPr>
          <w:spacing w:val="-83"/>
        </w:rPr>
      </w:r>
      <w:r>
        <w:rPr>
          <w:spacing w:val="-5"/>
        </w:rPr>
        <w:t>的软件、集成电路企业，每年汇算清缴时应按照《国家税务总局关于发布〈企业所得税优惠政策事项办理办法〉的公告》（国</w:t>
      </w:r>
      <w:r>
        <w:rPr>
          <w:spacing w:val="-79"/>
        </w:rPr>
        <w:t> </w:t>
      </w:r>
      <w:r>
        <w:rPr>
          <w:spacing w:val="-79"/>
        </w:rPr>
      </w:r>
      <w:r>
        <w:rPr/>
        <w:t>家税务总局公告</w:t>
      </w:r>
      <w:r>
        <w:rPr>
          <w:spacing w:val="-46"/>
        </w:rPr>
        <w:t> </w:t>
      </w:r>
      <w:r>
        <w:rPr>
          <w:rFonts w:ascii="Arial" w:hAnsi="Arial" w:cs="Arial" w:eastAsia="Arial" w:hint="default"/>
        </w:rPr>
        <w:t>2015</w:t>
      </w:r>
      <w:r>
        <w:rPr>
          <w:rFonts w:ascii="Arial" w:hAnsi="Arial" w:cs="Arial" w:eastAsia="Arial" w:hint="default"/>
          <w:spacing w:val="-7"/>
        </w:rPr>
        <w:t> </w:t>
      </w:r>
      <w:r>
        <w:rPr/>
        <w:t>年第</w:t>
      </w:r>
      <w:r>
        <w:rPr>
          <w:spacing w:val="-45"/>
        </w:rPr>
        <w:t> </w:t>
      </w:r>
      <w:r>
        <w:rPr>
          <w:rFonts w:ascii="Arial" w:hAnsi="Arial" w:cs="Arial" w:eastAsia="Arial" w:hint="default"/>
        </w:rPr>
        <w:t>76</w:t>
      </w:r>
      <w:r>
        <w:rPr>
          <w:rFonts w:ascii="Arial" w:hAnsi="Arial" w:cs="Arial" w:eastAsia="Arial" w:hint="default"/>
          <w:spacing w:val="-7"/>
        </w:rPr>
        <w:t> </w:t>
      </w:r>
      <w:r>
        <w:rPr/>
        <w:t>号）规定向税务机关备案，同时提交《享受企业所得税优惠政策的软件和集成电路企业备案 </w:t>
      </w:r>
      <w:r>
        <w:rPr>
          <w:spacing w:val="-2"/>
        </w:rPr>
        <w:t>资料明细表》规定的备案资料；在软件、集成电路企业享受优惠政策后，税务部门转请发展改革、工业和信息化部门进行核</w:t>
      </w:r>
      <w:r>
        <w:rPr>
          <w:spacing w:val="-66"/>
        </w:rPr>
        <w:t> </w:t>
      </w:r>
      <w:r>
        <w:rPr>
          <w:spacing w:val="-66"/>
        </w:rPr>
      </w:r>
      <w:r>
        <w:rPr>
          <w:spacing w:val="-2"/>
        </w:rPr>
        <w:t>查；对经核查不符合软件、集成电路企业条件的，由税务部门追缴其已经享受的企业所得税优惠，并按照税收征管法的规定</w:t>
      </w:r>
      <w:r>
        <w:rPr>
          <w:spacing w:val="-66"/>
        </w:rPr>
        <w:t> </w:t>
      </w:r>
      <w:r>
        <w:rPr>
          <w:spacing w:val="-66"/>
        </w:rPr>
      </w:r>
      <w:r>
        <w:rPr/>
        <w:t>进行处理。</w:t>
      </w:r>
    </w:p>
    <w:p>
      <w:pPr>
        <w:pStyle w:val="BodyText"/>
        <w:spacing w:line="302" w:lineRule="auto" w:before="61"/>
        <w:ind w:right="1115" w:firstLine="450"/>
        <w:jc w:val="left"/>
      </w:pPr>
      <w:r>
        <w:rPr/>
        <w:t>本公司</w:t>
      </w:r>
      <w:r>
        <w:rPr>
          <w:spacing w:val="-65"/>
        </w:rPr>
        <w:t> </w:t>
      </w:r>
      <w:r>
        <w:rPr>
          <w:rFonts w:ascii="Arial" w:hAnsi="Arial" w:cs="Arial" w:eastAsia="Arial" w:hint="default"/>
        </w:rPr>
        <w:t>2019</w:t>
      </w:r>
      <w:r>
        <w:rPr>
          <w:rFonts w:ascii="Arial" w:hAnsi="Arial" w:cs="Arial" w:eastAsia="Arial" w:hint="default"/>
          <w:spacing w:val="-26"/>
        </w:rPr>
        <w:t> </w:t>
      </w:r>
      <w:r>
        <w:rPr/>
        <w:t>年度经逐条对照，符合国家规划布局内重点软件企业的条件，经备案后可享受</w:t>
      </w:r>
      <w:r>
        <w:rPr>
          <w:spacing w:val="-65"/>
        </w:rPr>
        <w:t> </w:t>
      </w:r>
      <w:r>
        <w:rPr>
          <w:rFonts w:ascii="Arial" w:hAnsi="Arial" w:cs="Arial" w:eastAsia="Arial" w:hint="default"/>
        </w:rPr>
        <w:t>10.00%</w:t>
      </w:r>
      <w:r>
        <w:rPr/>
        <w:t>企业所得税优惠税 率，故</w:t>
      </w:r>
      <w:r>
        <w:rPr>
          <w:spacing w:val="-48"/>
        </w:rPr>
        <w:t> </w:t>
      </w:r>
      <w:r>
        <w:rPr>
          <w:rFonts w:ascii="Arial" w:hAnsi="Arial" w:cs="Arial" w:eastAsia="Arial" w:hint="default"/>
        </w:rPr>
        <w:t>2019</w:t>
      </w:r>
      <w:r>
        <w:rPr>
          <w:rFonts w:ascii="Arial" w:hAnsi="Arial" w:cs="Arial" w:eastAsia="Arial" w:hint="default"/>
          <w:spacing w:val="-9"/>
        </w:rPr>
        <w:t> </w:t>
      </w:r>
      <w:r>
        <w:rPr/>
        <w:t>年度减按</w:t>
      </w:r>
      <w:r>
        <w:rPr>
          <w:spacing w:val="-48"/>
        </w:rPr>
        <w:t> </w:t>
      </w:r>
      <w:r>
        <w:rPr>
          <w:rFonts w:ascii="Arial" w:hAnsi="Arial" w:cs="Arial" w:eastAsia="Arial" w:hint="default"/>
        </w:rPr>
        <w:t>10.00%</w:t>
      </w:r>
      <w:r>
        <w:rPr/>
        <w:t>税率计提企业所得税。</w:t>
      </w:r>
    </w:p>
    <w:p>
      <w:pPr>
        <w:pStyle w:val="BodyText"/>
        <w:spacing w:line="302" w:lineRule="auto" w:before="49"/>
        <w:ind w:left="153" w:right="1155" w:firstLine="360"/>
        <w:jc w:val="left"/>
      </w:pPr>
      <w:r>
        <w:rPr/>
        <w:t>榕基软件工程公司</w:t>
      </w:r>
      <w:r>
        <w:rPr>
          <w:spacing w:val="-48"/>
        </w:rPr>
        <w:t> </w:t>
      </w:r>
      <w:r>
        <w:rPr>
          <w:rFonts w:ascii="Arial" w:hAnsi="Arial" w:cs="Arial" w:eastAsia="Arial" w:hint="default"/>
        </w:rPr>
        <w:t>2019</w:t>
      </w:r>
      <w:r>
        <w:rPr>
          <w:rFonts w:ascii="Arial" w:hAnsi="Arial" w:cs="Arial" w:eastAsia="Arial" w:hint="default"/>
          <w:spacing w:val="-9"/>
        </w:rPr>
        <w:t> </w:t>
      </w:r>
      <w:r>
        <w:rPr/>
        <w:t>年度经逐条对照，符合国家规划布局内重点软件企业的条件，经备案后可享受</w:t>
      </w:r>
      <w:r>
        <w:rPr>
          <w:spacing w:val="-48"/>
        </w:rPr>
        <w:t> </w:t>
      </w:r>
      <w:r>
        <w:rPr>
          <w:rFonts w:ascii="Arial" w:hAnsi="Arial" w:cs="Arial" w:eastAsia="Arial" w:hint="default"/>
        </w:rPr>
        <w:t>10.00%</w:t>
      </w:r>
      <w:r>
        <w:rPr/>
        <w:t>企业所 得税优惠税率，故</w:t>
      </w:r>
      <w:r>
        <w:rPr>
          <w:spacing w:val="-48"/>
        </w:rPr>
        <w:t> </w:t>
      </w:r>
      <w:r>
        <w:rPr>
          <w:rFonts w:ascii="Arial" w:hAnsi="Arial" w:cs="Arial" w:eastAsia="Arial" w:hint="default"/>
        </w:rPr>
        <w:t>2019</w:t>
      </w:r>
      <w:r>
        <w:rPr>
          <w:rFonts w:ascii="Arial" w:hAnsi="Arial" w:cs="Arial" w:eastAsia="Arial" w:hint="default"/>
          <w:spacing w:val="-9"/>
        </w:rPr>
        <w:t> </w:t>
      </w:r>
      <w:r>
        <w:rPr/>
        <w:t>年度减按</w:t>
      </w:r>
      <w:r>
        <w:rPr>
          <w:spacing w:val="-48"/>
        </w:rPr>
        <w:t> </w:t>
      </w:r>
      <w:r>
        <w:rPr>
          <w:rFonts w:ascii="Arial" w:hAnsi="Arial" w:cs="Arial" w:eastAsia="Arial" w:hint="default"/>
        </w:rPr>
        <w:t>10.00%</w:t>
      </w:r>
      <w:r>
        <w:rPr/>
        <w:t>税率计提企业所得税。</w:t>
      </w:r>
    </w:p>
    <w:p>
      <w:pPr>
        <w:pStyle w:val="BodyText"/>
        <w:spacing w:line="240" w:lineRule="auto" w:before="52"/>
        <w:ind w:left="513" w:right="2239"/>
        <w:jc w:val="left"/>
      </w:pPr>
      <w:r>
        <w:rPr/>
        <w:t>③新办软件企业所得税优惠</w:t>
      </w:r>
    </w:p>
    <w:p>
      <w:pPr>
        <w:spacing w:after="0" w:line="240"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02" w:lineRule="auto" w:before="44"/>
        <w:ind w:left="153" w:right="1125" w:firstLine="450"/>
        <w:jc w:val="left"/>
      </w:pPr>
      <w:r>
        <w:rPr>
          <w:spacing w:val="-5"/>
        </w:rPr>
        <w:t>根据财政部、国家税务总局《关于企业所得税若干优惠政策》（财税［</w:t>
      </w:r>
      <w:r>
        <w:rPr>
          <w:rFonts w:ascii="Arial" w:hAnsi="Arial" w:cs="Arial" w:eastAsia="Arial" w:hint="default"/>
          <w:spacing w:val="-5"/>
        </w:rPr>
        <w:t>2008</w:t>
      </w:r>
      <w:r>
        <w:rPr>
          <w:spacing w:val="-5"/>
        </w:rPr>
        <w:t>］</w:t>
      </w:r>
      <w:r>
        <w:rPr>
          <w:rFonts w:ascii="Arial" w:hAnsi="Arial" w:cs="Arial" w:eastAsia="Arial" w:hint="default"/>
          <w:spacing w:val="-5"/>
        </w:rPr>
        <w:t>1</w:t>
      </w:r>
      <w:r>
        <w:rPr>
          <w:rFonts w:ascii="Arial" w:hAnsi="Arial" w:cs="Arial" w:eastAsia="Arial" w:hint="default"/>
          <w:spacing w:val="24"/>
        </w:rPr>
        <w:t> </w:t>
      </w:r>
      <w:r>
        <w:rPr>
          <w:spacing w:val="-2"/>
        </w:rPr>
        <w:t>号）规定：我国境内新办软件生产企业</w:t>
      </w:r>
      <w:r>
        <w:rPr/>
        <w:t> 经认定后，自获利年度起，第一年和第二年免征企业所得税，第三年至第五年减半征收企业所得税。</w:t>
      </w:r>
    </w:p>
    <w:p>
      <w:pPr>
        <w:pStyle w:val="BodyText"/>
        <w:spacing w:line="302" w:lineRule="auto" w:before="68"/>
        <w:ind w:left="153" w:right="1124" w:firstLine="450"/>
        <w:jc w:val="left"/>
      </w:pPr>
      <w:r>
        <w:rPr>
          <w:rFonts w:ascii="Arial" w:hAnsi="Arial" w:cs="Arial" w:eastAsia="Arial" w:hint="default"/>
        </w:rPr>
        <w:t>2012</w:t>
      </w:r>
      <w:r>
        <w:rPr>
          <w:rFonts w:ascii="Arial" w:hAnsi="Arial" w:cs="Arial" w:eastAsia="Arial" w:hint="default"/>
          <w:spacing w:val="-9"/>
        </w:rPr>
        <w:t> </w:t>
      </w:r>
      <w:r>
        <w:rPr/>
        <w:t>年</w:t>
      </w:r>
      <w:r>
        <w:rPr>
          <w:spacing w:val="-50"/>
        </w:rPr>
        <w:t> </w:t>
      </w:r>
      <w:r>
        <w:rPr>
          <w:rFonts w:ascii="Arial" w:hAnsi="Arial" w:cs="Arial" w:eastAsia="Arial" w:hint="default"/>
        </w:rPr>
        <w:t>12</w:t>
      </w:r>
      <w:r>
        <w:rPr>
          <w:rFonts w:ascii="Arial" w:hAnsi="Arial" w:cs="Arial" w:eastAsia="Arial" w:hint="default"/>
          <w:spacing w:val="-11"/>
        </w:rPr>
        <w:t> </w:t>
      </w:r>
      <w:r>
        <w:rPr>
          <w:spacing w:val="-3"/>
        </w:rPr>
        <w:t>月，马鞍山软件信息公司被认定为软件企业，自</w:t>
      </w:r>
      <w:r>
        <w:rPr>
          <w:spacing w:val="-50"/>
        </w:rPr>
        <w:t> </w:t>
      </w:r>
      <w:r>
        <w:rPr>
          <w:rFonts w:ascii="Arial" w:hAnsi="Arial" w:cs="Arial" w:eastAsia="Arial" w:hint="default"/>
        </w:rPr>
        <w:t>2012</w:t>
      </w:r>
      <w:r>
        <w:rPr>
          <w:rFonts w:ascii="Arial" w:hAnsi="Arial" w:cs="Arial" w:eastAsia="Arial" w:hint="default"/>
          <w:spacing w:val="-11"/>
        </w:rPr>
        <w:t> </w:t>
      </w:r>
      <w:r>
        <w:rPr/>
        <w:t>年起享受</w:t>
      </w:r>
      <w:r>
        <w:rPr>
          <w:rFonts w:ascii="Arial" w:hAnsi="Arial" w:cs="Arial" w:eastAsia="Arial" w:hint="default"/>
        </w:rPr>
        <w:t>“</w:t>
      </w:r>
      <w:r>
        <w:rPr/>
        <w:t>免二减三</w:t>
      </w:r>
      <w:r>
        <w:rPr>
          <w:rFonts w:ascii="Arial" w:hAnsi="Arial" w:cs="Arial" w:eastAsia="Arial" w:hint="default"/>
        </w:rPr>
        <w:t>”</w:t>
      </w:r>
      <w:r>
        <w:rPr/>
        <w:t>的税收优惠；其自成立以来尚未 盈利，未享受过</w:t>
      </w:r>
      <w:r>
        <w:rPr>
          <w:rFonts w:ascii="Arial" w:hAnsi="Arial" w:cs="Arial" w:eastAsia="Arial" w:hint="default"/>
        </w:rPr>
        <w:t>“</w:t>
      </w:r>
      <w:r>
        <w:rPr/>
        <w:t>免二减三</w:t>
      </w:r>
      <w:r>
        <w:rPr>
          <w:rFonts w:ascii="Arial" w:hAnsi="Arial" w:cs="Arial" w:eastAsia="Arial" w:hint="default"/>
        </w:rPr>
        <w:t>”</w:t>
      </w:r>
      <w:r>
        <w:rPr/>
        <w:t>税收优惠，故</w:t>
      </w:r>
      <w:r>
        <w:rPr>
          <w:spacing w:val="-48"/>
        </w:rPr>
        <w:t> </w:t>
      </w:r>
      <w:r>
        <w:rPr>
          <w:rFonts w:ascii="Arial" w:hAnsi="Arial" w:cs="Arial" w:eastAsia="Arial" w:hint="default"/>
        </w:rPr>
        <w:t>2019</w:t>
      </w:r>
      <w:r>
        <w:rPr>
          <w:rFonts w:ascii="Arial" w:hAnsi="Arial" w:cs="Arial" w:eastAsia="Arial" w:hint="default"/>
          <w:spacing w:val="-9"/>
        </w:rPr>
        <w:t> </w:t>
      </w:r>
      <w:r>
        <w:rPr/>
        <w:t>年度该公司企业所得税税率为</w:t>
      </w:r>
      <w:r>
        <w:rPr>
          <w:spacing w:val="-48"/>
        </w:rPr>
        <w:t> </w:t>
      </w:r>
      <w:r>
        <w:rPr>
          <w:rFonts w:ascii="Arial" w:hAnsi="Arial" w:cs="Arial" w:eastAsia="Arial" w:hint="default"/>
        </w:rPr>
        <w:t>0.00%</w:t>
      </w:r>
      <w:r>
        <w:rPr/>
        <w:t>。</w:t>
      </w:r>
    </w:p>
    <w:p>
      <w:pPr>
        <w:pStyle w:val="BodyText"/>
        <w:spacing w:line="302" w:lineRule="auto" w:before="51"/>
        <w:ind w:left="153" w:right="1039" w:firstLine="450"/>
        <w:jc w:val="left"/>
      </w:pPr>
      <w:r>
        <w:rPr/>
        <w:t>福建星榕基公司</w:t>
      </w:r>
      <w:r>
        <w:rPr>
          <w:spacing w:val="-52"/>
        </w:rPr>
        <w:t> </w:t>
      </w:r>
      <w:r>
        <w:rPr>
          <w:rFonts w:ascii="Arial" w:hAnsi="Arial" w:cs="Arial" w:eastAsia="Arial" w:hint="default"/>
        </w:rPr>
        <w:t>2015</w:t>
      </w:r>
      <w:r>
        <w:rPr>
          <w:rFonts w:ascii="Arial" w:hAnsi="Arial" w:cs="Arial" w:eastAsia="Arial" w:hint="default"/>
          <w:spacing w:val="-13"/>
        </w:rPr>
        <w:t> </w:t>
      </w:r>
      <w:r>
        <w:rPr/>
        <w:t>年成立，</w:t>
      </w:r>
      <w:r>
        <w:rPr>
          <w:rFonts w:ascii="Arial" w:hAnsi="Arial" w:cs="Arial" w:eastAsia="Arial" w:hint="default"/>
        </w:rPr>
        <w:t>2016</w:t>
      </w:r>
      <w:r>
        <w:rPr>
          <w:rFonts w:ascii="Arial" w:hAnsi="Arial" w:cs="Arial" w:eastAsia="Arial" w:hint="default"/>
          <w:spacing w:val="-13"/>
        </w:rPr>
        <w:t> </w:t>
      </w:r>
      <w:r>
        <w:rPr/>
        <w:t>年度经逐条对照，符合《财政部、国家税务总局、发展改革委、工业化信息部关 </w:t>
      </w:r>
      <w:r>
        <w:rPr>
          <w:spacing w:val="-3"/>
        </w:rPr>
        <w:t>于软件和集成电路产业企业所得税优惠政策有关问题的通知》（财税［</w:t>
      </w:r>
      <w:r>
        <w:rPr>
          <w:rFonts w:ascii="Arial" w:hAnsi="Arial" w:cs="Arial" w:eastAsia="Arial" w:hint="default"/>
          <w:spacing w:val="-3"/>
        </w:rPr>
        <w:t>2016</w:t>
      </w:r>
      <w:r>
        <w:rPr>
          <w:spacing w:val="-3"/>
        </w:rPr>
        <w:t>］</w:t>
      </w:r>
      <w:r>
        <w:rPr>
          <w:rFonts w:ascii="Arial" w:hAnsi="Arial" w:cs="Arial" w:eastAsia="Arial" w:hint="default"/>
          <w:spacing w:val="-3"/>
        </w:rPr>
        <w:t>49</w:t>
      </w:r>
      <w:r>
        <w:rPr>
          <w:rFonts w:ascii="Arial" w:hAnsi="Arial" w:cs="Arial" w:eastAsia="Arial" w:hint="default"/>
        </w:rPr>
        <w:t> </w:t>
      </w:r>
      <w:r>
        <w:rPr/>
        <w:t>号）规定的软件企业的条件，按规定向税</w:t>
      </w:r>
      <w:r>
        <w:rPr>
          <w:spacing w:val="-75"/>
        </w:rPr>
        <w:t> </w:t>
      </w:r>
      <w:r>
        <w:rPr>
          <w:spacing w:val="-75"/>
        </w:rPr>
      </w:r>
      <w:r>
        <w:rPr>
          <w:spacing w:val="-6"/>
        </w:rPr>
        <w:t>务机关备案，取得软件企业证书，自</w:t>
      </w:r>
      <w:r>
        <w:rPr>
          <w:spacing w:val="-44"/>
        </w:rPr>
        <w:t> </w:t>
      </w:r>
      <w:r>
        <w:rPr>
          <w:rFonts w:ascii="Arial" w:hAnsi="Arial" w:cs="Arial" w:eastAsia="Arial" w:hint="default"/>
        </w:rPr>
        <w:t>2016</w:t>
      </w:r>
      <w:r>
        <w:rPr>
          <w:rFonts w:ascii="Arial" w:hAnsi="Arial" w:cs="Arial" w:eastAsia="Arial" w:hint="default"/>
          <w:spacing w:val="-5"/>
        </w:rPr>
        <w:t> </w:t>
      </w:r>
      <w:r>
        <w:rPr>
          <w:spacing w:val="-3"/>
        </w:rPr>
        <w:t>年起享受</w:t>
      </w:r>
      <w:r>
        <w:rPr>
          <w:rFonts w:ascii="Arial" w:hAnsi="Arial" w:cs="Arial" w:eastAsia="Arial" w:hint="default"/>
          <w:spacing w:val="-3"/>
        </w:rPr>
        <w:t>“</w:t>
      </w:r>
      <w:r>
        <w:rPr>
          <w:spacing w:val="-3"/>
        </w:rPr>
        <w:t>免二减三</w:t>
      </w:r>
      <w:r>
        <w:rPr>
          <w:rFonts w:ascii="Arial" w:hAnsi="Arial" w:cs="Arial" w:eastAsia="Arial" w:hint="default"/>
          <w:spacing w:val="-3"/>
        </w:rPr>
        <w:t>”</w:t>
      </w:r>
      <w:r>
        <w:rPr>
          <w:spacing w:val="-3"/>
        </w:rPr>
        <w:t>的税收优惠，故</w:t>
      </w:r>
      <w:r>
        <w:rPr>
          <w:spacing w:val="-44"/>
        </w:rPr>
        <w:t> </w:t>
      </w:r>
      <w:r>
        <w:rPr>
          <w:rFonts w:ascii="Arial" w:hAnsi="Arial" w:cs="Arial" w:eastAsia="Arial" w:hint="default"/>
        </w:rPr>
        <w:t>2019</w:t>
      </w:r>
      <w:r>
        <w:rPr>
          <w:rFonts w:ascii="Arial" w:hAnsi="Arial" w:cs="Arial" w:eastAsia="Arial" w:hint="default"/>
          <w:spacing w:val="-5"/>
        </w:rPr>
        <w:t> </w:t>
      </w:r>
      <w:r>
        <w:rPr/>
        <w:t>年度该公司企业所得税税率为</w:t>
      </w:r>
      <w:r>
        <w:rPr>
          <w:spacing w:val="-44"/>
        </w:rPr>
        <w:t> </w:t>
      </w:r>
      <w:r>
        <w:rPr>
          <w:rFonts w:ascii="Arial" w:hAnsi="Arial" w:cs="Arial" w:eastAsia="Arial" w:hint="default"/>
        </w:rPr>
        <w:t>12.50%</w:t>
      </w:r>
      <w:r>
        <w:rPr/>
        <w:t>。</w:t>
      </w:r>
    </w:p>
    <w:p>
      <w:pPr>
        <w:pStyle w:val="BodyText"/>
        <w:spacing w:line="240" w:lineRule="auto" w:before="51"/>
        <w:ind w:left="153" w:right="0"/>
        <w:jc w:val="left"/>
      </w:pPr>
      <w:r>
        <w:rPr/>
        <w:t>公司需遵守《深圳证券交易所行业信息披露指引第</w:t>
      </w:r>
      <w:r>
        <w:rPr>
          <w:spacing w:val="-46"/>
        </w:rPr>
        <w:t> </w:t>
      </w:r>
      <w:r>
        <w:rPr>
          <w:rFonts w:ascii="Arial" w:hAnsi="Arial" w:cs="Arial" w:eastAsia="Arial" w:hint="default"/>
        </w:rPr>
        <w:t>12</w:t>
      </w:r>
      <w:r>
        <w:rPr>
          <w:rFonts w:ascii="Arial" w:hAnsi="Arial" w:cs="Arial" w:eastAsia="Arial" w:hint="default"/>
          <w:spacing w:val="-7"/>
        </w:rPr>
        <w:t> </w:t>
      </w:r>
      <w:r>
        <w:rPr/>
        <w:t>号</w:t>
      </w:r>
      <w:r>
        <w:rPr>
          <w:rFonts w:ascii="Arial" w:hAnsi="Arial" w:cs="Arial" w:eastAsia="Arial" w:hint="default"/>
        </w:rPr>
        <w:t>——</w:t>
      </w:r>
      <w:r>
        <w:rPr/>
        <w:t>上市公司从事软件与信息技术服务业务》的披露要求</w:t>
      </w:r>
    </w:p>
    <w:p>
      <w:pPr>
        <w:spacing w:line="240" w:lineRule="auto" w:before="10"/>
        <w:rPr>
          <w:rFonts w:ascii="宋体" w:hAnsi="宋体" w:cs="宋体" w:eastAsia="宋体" w:hint="default"/>
          <w:sz w:val="25"/>
          <w:szCs w:val="25"/>
        </w:rPr>
      </w:pPr>
    </w:p>
    <w:p>
      <w:pPr>
        <w:pStyle w:val="Heading4"/>
        <w:spacing w:line="240" w:lineRule="auto"/>
        <w:ind w:right="2239"/>
        <w:jc w:val="left"/>
        <w:rPr>
          <w:b w:val="0"/>
          <w:bCs w:val="0"/>
        </w:rPr>
      </w:pPr>
      <w:r>
        <w:rPr>
          <w:rFonts w:ascii="Arial" w:hAnsi="Arial" w:cs="Arial" w:eastAsia="Arial" w:hint="default"/>
        </w:rPr>
        <w:t>3</w:t>
      </w:r>
      <w:r>
        <w:rPr/>
        <w:t>、其他</w:t>
      </w:r>
      <w:r>
        <w:rPr>
          <w:b w:val="0"/>
          <w:bCs w:val="0"/>
        </w:rPr>
      </w:r>
    </w:p>
    <w:p>
      <w:pPr>
        <w:spacing w:line="240" w:lineRule="auto" w:before="9"/>
        <w:rPr>
          <w:rFonts w:ascii="宋体" w:hAnsi="宋体" w:cs="宋体" w:eastAsia="宋体" w:hint="default"/>
          <w:b/>
          <w:bCs/>
          <w:sz w:val="26"/>
          <w:szCs w:val="26"/>
        </w:rPr>
      </w:pPr>
    </w:p>
    <w:p>
      <w:pPr>
        <w:pStyle w:val="BodyText"/>
        <w:spacing w:line="302" w:lineRule="auto"/>
        <w:ind w:left="153" w:right="1131" w:firstLine="450"/>
        <w:jc w:val="both"/>
      </w:pPr>
      <w:r>
        <w:rPr>
          <w:spacing w:val="-3"/>
        </w:rPr>
        <w:t>说明：榕基国际公司注册地在香港，根据香港《</w:t>
      </w:r>
      <w:r>
        <w:rPr>
          <w:rFonts w:ascii="Arial" w:hAnsi="Arial" w:cs="Arial" w:eastAsia="Arial" w:hint="default"/>
          <w:spacing w:val="-3"/>
        </w:rPr>
        <w:t>2018</w:t>
      </w:r>
      <w:r>
        <w:rPr>
          <w:rFonts w:ascii="Arial" w:hAnsi="Arial" w:cs="Arial" w:eastAsia="Arial" w:hint="default"/>
          <w:spacing w:val="-1"/>
        </w:rPr>
        <w:t> </w:t>
      </w:r>
      <w:r>
        <w:rPr>
          <w:spacing w:val="-15"/>
        </w:rPr>
        <w:t>年税务（修订）（第</w:t>
      </w:r>
      <w:r>
        <w:rPr>
          <w:spacing w:val="-39"/>
        </w:rPr>
        <w:t> </w:t>
      </w:r>
      <w:r>
        <w:rPr>
          <w:rFonts w:ascii="Arial" w:hAnsi="Arial" w:cs="Arial" w:eastAsia="Arial" w:hint="default"/>
        </w:rPr>
        <w:t>3</w:t>
      </w:r>
      <w:r>
        <w:rPr>
          <w:rFonts w:ascii="Arial" w:hAnsi="Arial" w:cs="Arial" w:eastAsia="Arial" w:hint="default"/>
          <w:spacing w:val="-1"/>
        </w:rPr>
        <w:t> </w:t>
      </w:r>
      <w:r>
        <w:rPr>
          <w:spacing w:val="-23"/>
        </w:rPr>
        <w:t>号）条例》（《修订条例》），企业每年首</w:t>
      </w:r>
      <w:r>
        <w:rPr>
          <w:spacing w:val="-39"/>
        </w:rPr>
        <w:t> </w:t>
      </w:r>
      <w:r>
        <w:rPr>
          <w:rFonts w:ascii="Arial" w:hAnsi="Arial" w:cs="Arial" w:eastAsia="Arial" w:hint="default"/>
          <w:spacing w:val="-1"/>
        </w:rPr>
        <w:t>200</w:t>
      </w:r>
      <w:r>
        <w:rPr>
          <w:rFonts w:ascii="Arial" w:hAnsi="Arial" w:cs="Arial" w:eastAsia="Arial" w:hint="default"/>
        </w:rPr>
        <w:t> </w:t>
      </w:r>
      <w:r>
        <w:rPr/>
        <w:t>万元（港币）的利润，其所缴利得税率由现时标准税率</w:t>
      </w:r>
      <w:r>
        <w:rPr>
          <w:spacing w:val="-41"/>
        </w:rPr>
        <w:t> </w:t>
      </w:r>
      <w:r>
        <w:rPr>
          <w:rFonts w:ascii="Arial" w:hAnsi="Arial" w:cs="Arial" w:eastAsia="Arial" w:hint="default"/>
          <w:spacing w:val="-1"/>
        </w:rPr>
        <w:t>16.50%</w:t>
      </w:r>
      <w:r>
        <w:rPr>
          <w:spacing w:val="-1"/>
        </w:rPr>
        <w:t>削半至</w:t>
      </w:r>
      <w:r>
        <w:rPr>
          <w:spacing w:val="-41"/>
        </w:rPr>
        <w:t> </w:t>
      </w:r>
      <w:r>
        <w:rPr>
          <w:rFonts w:ascii="Arial" w:hAnsi="Arial" w:cs="Arial" w:eastAsia="Arial" w:hint="default"/>
          <w:spacing w:val="-1"/>
        </w:rPr>
        <w:t>8.25%</w:t>
      </w:r>
      <w:r>
        <w:rPr>
          <w:spacing w:val="-1"/>
        </w:rPr>
        <w:t>，若企业每年利润超过</w:t>
      </w:r>
      <w:r>
        <w:rPr>
          <w:spacing w:val="-41"/>
        </w:rPr>
        <w:t> </w:t>
      </w:r>
      <w:r>
        <w:rPr>
          <w:rFonts w:ascii="Arial" w:hAnsi="Arial" w:cs="Arial" w:eastAsia="Arial" w:hint="default"/>
          <w:spacing w:val="-1"/>
        </w:rPr>
        <w:t>200</w:t>
      </w:r>
      <w:r>
        <w:rPr>
          <w:rFonts w:ascii="Arial" w:hAnsi="Arial" w:cs="Arial" w:eastAsia="Arial" w:hint="default"/>
          <w:spacing w:val="-2"/>
        </w:rPr>
        <w:t> </w:t>
      </w:r>
      <w:r>
        <w:rPr>
          <w:spacing w:val="-12"/>
        </w:rPr>
        <w:t>万元（港币），其</w:t>
      </w:r>
      <w:r>
        <w:rPr>
          <w:spacing w:val="-85"/>
        </w:rPr>
        <w:t> </w:t>
      </w:r>
      <w:r>
        <w:rPr>
          <w:spacing w:val="-85"/>
        </w:rPr>
      </w:r>
      <w:r>
        <w:rPr/>
        <w:t>后利润按标准税率</w:t>
      </w:r>
      <w:r>
        <w:rPr>
          <w:spacing w:val="-50"/>
        </w:rPr>
        <w:t> </w:t>
      </w:r>
      <w:r>
        <w:rPr>
          <w:rFonts w:ascii="Arial" w:hAnsi="Arial" w:cs="Arial" w:eastAsia="Arial" w:hint="default"/>
        </w:rPr>
        <w:t>16.50%</w:t>
      </w:r>
      <w:r>
        <w:rPr/>
        <w:t>计算。</w:t>
      </w:r>
    </w:p>
    <w:p>
      <w:pPr>
        <w:spacing w:line="240" w:lineRule="auto" w:before="13"/>
        <w:rPr>
          <w:rFonts w:ascii="宋体" w:hAnsi="宋体" w:cs="宋体" w:eastAsia="宋体" w:hint="default"/>
          <w:sz w:val="19"/>
          <w:szCs w:val="19"/>
        </w:rPr>
      </w:pPr>
    </w:p>
    <w:p>
      <w:pPr>
        <w:pStyle w:val="Heading2"/>
        <w:spacing w:line="240" w:lineRule="auto"/>
        <w:ind w:right="2239"/>
        <w:jc w:val="left"/>
        <w:rPr>
          <w:b w:val="0"/>
          <w:bCs w:val="0"/>
        </w:rPr>
      </w:pPr>
      <w:r>
        <w:rPr/>
        <w:t>七、合并财务报表项目注释</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1</w:t>
      </w:r>
      <w:r>
        <w:rPr/>
        <w:t>、货币资金</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库存现金</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624,735.82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291,249.78</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344,728,941.80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306,190,734.23</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19,128,779.75</w:t>
            </w:r>
            <w:r>
              <w:rPr>
                <w:rFonts w:ascii="Arial"/>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24,625,195.15</w:t>
            </w:r>
            <w:r>
              <w:rPr>
                <w:rFonts w:ascii="Arial"/>
                <w:sz w:val="18"/>
              </w:rPr>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364,482,457.37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331,107,179.16</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1" w:right="0"/>
              <w:jc w:val="left"/>
              <w:rPr>
                <w:rFonts w:ascii="宋体" w:hAnsi="宋体" w:cs="宋体" w:eastAsia="宋体" w:hint="default"/>
                <w:sz w:val="18"/>
                <w:szCs w:val="18"/>
              </w:rPr>
            </w:pPr>
            <w:r>
              <w:rPr>
                <w:rFonts w:ascii="宋体" w:hAnsi="宋体" w:cs="宋体" w:eastAsia="宋体" w:hint="default"/>
                <w:sz w:val="18"/>
                <w:szCs w:val="18"/>
              </w:rPr>
              <w:t>其中：存放在境外的款项总额</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95,664,484.07</w:t>
            </w:r>
            <w:r>
              <w:rPr>
                <w:rFonts w:ascii="Arial"/>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91,722,599.67</w:t>
            </w:r>
            <w:r>
              <w:rPr>
                <w:rFonts w:ascii="Arial"/>
                <w:sz w:val="18"/>
              </w:rPr>
            </w:r>
          </w:p>
        </w:tc>
      </w:tr>
    </w:tbl>
    <w:p>
      <w:pPr>
        <w:pStyle w:val="BodyText"/>
        <w:spacing w:line="240" w:lineRule="auto" w:before="51"/>
        <w:ind w:left="604" w:right="2239"/>
        <w:jc w:val="left"/>
      </w:pPr>
      <w:r>
        <w:rPr/>
        <w:t>其他说明</w:t>
      </w:r>
    </w:p>
    <w:p>
      <w:pPr>
        <w:pStyle w:val="BodyText"/>
        <w:spacing w:line="240" w:lineRule="auto" w:before="116"/>
        <w:ind w:left="604" w:right="0"/>
        <w:jc w:val="left"/>
      </w:pPr>
      <w:r>
        <w:rPr/>
        <w:t>（</w:t>
      </w:r>
      <w:r>
        <w:rPr>
          <w:rFonts w:ascii="Arial" w:hAnsi="Arial" w:cs="Arial" w:eastAsia="Arial" w:hint="default"/>
        </w:rPr>
        <w:t>1</w:t>
      </w:r>
      <w:r>
        <w:rPr/>
        <w:t>）期末，银行存款</w:t>
      </w:r>
      <w:r>
        <w:rPr>
          <w:rFonts w:ascii="Arial" w:hAnsi="Arial" w:cs="Arial" w:eastAsia="Arial" w:hint="default"/>
        </w:rPr>
        <w:t>-</w:t>
      </w:r>
      <w:r>
        <w:rPr/>
        <w:t>应计利息</w:t>
      </w:r>
      <w:r>
        <w:rPr>
          <w:spacing w:val="-50"/>
        </w:rPr>
        <w:t> </w:t>
      </w:r>
      <w:r>
        <w:rPr>
          <w:rFonts w:ascii="Arial" w:hAnsi="Arial" w:cs="Arial" w:eastAsia="Arial" w:hint="default"/>
        </w:rPr>
        <w:t>83,378.71</w:t>
      </w:r>
      <w:r>
        <w:rPr>
          <w:rFonts w:ascii="Arial" w:hAnsi="Arial" w:cs="Arial" w:eastAsia="Arial" w:hint="default"/>
          <w:spacing w:val="-9"/>
        </w:rPr>
        <w:t> </w:t>
      </w:r>
      <w:r>
        <w:rPr/>
        <w:t>元、其他货币资金中保函保证金</w:t>
      </w:r>
      <w:r>
        <w:rPr>
          <w:spacing w:val="-50"/>
        </w:rPr>
        <w:t> </w:t>
      </w:r>
      <w:r>
        <w:rPr>
          <w:rFonts w:ascii="Arial" w:hAnsi="Arial" w:cs="Arial" w:eastAsia="Arial" w:hint="default"/>
        </w:rPr>
        <w:t>18,276,106.44</w:t>
      </w:r>
      <w:r>
        <w:rPr>
          <w:rFonts w:ascii="Arial" w:hAnsi="Arial" w:cs="Arial" w:eastAsia="Arial" w:hint="default"/>
          <w:spacing w:val="-11"/>
        </w:rPr>
        <w:t> </w:t>
      </w:r>
      <w:r>
        <w:rPr/>
        <w:t>元及银行承兑汇票保证金</w:t>
      </w:r>
    </w:p>
    <w:p>
      <w:pPr>
        <w:pStyle w:val="BodyText"/>
        <w:spacing w:line="240" w:lineRule="auto" w:before="65"/>
        <w:ind w:left="153" w:right="2239"/>
        <w:jc w:val="left"/>
      </w:pPr>
      <w:r>
        <w:rPr>
          <w:rFonts w:ascii="Arial" w:hAnsi="Arial" w:cs="Arial" w:eastAsia="Arial" w:hint="default"/>
        </w:rPr>
        <w:t>852,673.31</w:t>
      </w:r>
      <w:r>
        <w:rPr>
          <w:rFonts w:ascii="Arial" w:hAnsi="Arial" w:cs="Arial" w:eastAsia="Arial" w:hint="default"/>
          <w:spacing w:val="-12"/>
        </w:rPr>
        <w:t> </w:t>
      </w:r>
      <w:r>
        <w:rPr/>
        <w:t>元，本集团在编制现金流量表时未将其作为现金或现金等价物。</w:t>
      </w:r>
    </w:p>
    <w:p>
      <w:pPr>
        <w:pStyle w:val="BodyText"/>
        <w:spacing w:line="240" w:lineRule="auto" w:before="103"/>
        <w:ind w:left="604" w:right="2239"/>
        <w:jc w:val="left"/>
      </w:pPr>
      <w:r>
        <w:rPr/>
        <w:t>（</w:t>
      </w:r>
      <w:r>
        <w:rPr>
          <w:rFonts w:ascii="Arial" w:hAnsi="Arial" w:cs="Arial" w:eastAsia="Arial" w:hint="default"/>
        </w:rPr>
        <w:t>2</w:t>
      </w:r>
      <w:r>
        <w:rPr/>
        <w:t>）期末，本集团不存在抵押、质押或冻结、或存放在境外且资金汇回受到限制的款项。</w:t>
      </w:r>
    </w:p>
    <w:p>
      <w:pPr>
        <w:spacing w:line="240" w:lineRule="auto" w:before="10"/>
        <w:rPr>
          <w:rFonts w:ascii="宋体" w:hAnsi="宋体" w:cs="宋体" w:eastAsia="宋体" w:hint="default"/>
          <w:sz w:val="25"/>
          <w:szCs w:val="25"/>
        </w:rPr>
      </w:pPr>
    </w:p>
    <w:p>
      <w:pPr>
        <w:pStyle w:val="Heading4"/>
        <w:spacing w:line="240" w:lineRule="auto"/>
        <w:ind w:right="2239"/>
        <w:jc w:val="left"/>
        <w:rPr>
          <w:b w:val="0"/>
          <w:bCs w:val="0"/>
        </w:rPr>
      </w:pPr>
      <w:r>
        <w:rPr>
          <w:rFonts w:ascii="Arial" w:hAnsi="Arial" w:cs="Arial" w:eastAsia="Arial" w:hint="default"/>
        </w:rPr>
        <w:t>2</w:t>
      </w:r>
      <w:r>
        <w:rPr/>
        <w:t>、交易性金融资产</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83"/>
              <w:jc w:val="left"/>
              <w:rPr>
                <w:rFonts w:ascii="宋体" w:hAnsi="宋体" w:cs="宋体" w:eastAsia="宋体" w:hint="default"/>
                <w:sz w:val="18"/>
                <w:szCs w:val="18"/>
              </w:rPr>
            </w:pPr>
            <w:r>
              <w:rPr>
                <w:rFonts w:ascii="宋体" w:hAnsi="宋体" w:cs="宋体" w:eastAsia="宋体" w:hint="default"/>
                <w:sz w:val="18"/>
                <w:szCs w:val="18"/>
              </w:rPr>
              <w:t>以公允价值计量且其变动计入当期损益 的金融资产</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320,820,000.00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408,340,000.00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9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银行理财产品</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320,820,000.00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408,340,000.00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91"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after="0"/>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7" w:right="0"/>
              <w:jc w:val="left"/>
              <w:rPr>
                <w:rFonts w:ascii="Arial" w:hAnsi="Arial" w:cs="Arial" w:eastAsia="Arial" w:hint="default"/>
                <w:sz w:val="18"/>
                <w:szCs w:val="18"/>
              </w:rPr>
            </w:pPr>
            <w:r>
              <w:rPr>
                <w:rFonts w:ascii="Arial"/>
                <w:sz w:val="18"/>
              </w:rPr>
              <w:t>320,820,000.00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906" w:right="0"/>
              <w:jc w:val="left"/>
              <w:rPr>
                <w:rFonts w:ascii="Arial" w:hAnsi="Arial" w:cs="Arial" w:eastAsia="Arial" w:hint="default"/>
                <w:sz w:val="18"/>
                <w:szCs w:val="18"/>
              </w:rPr>
            </w:pPr>
            <w:r>
              <w:rPr>
                <w:rFonts w:ascii="Arial"/>
                <w:sz w:val="18"/>
              </w:rPr>
              <w:t>408,340,000.00</w:t>
            </w:r>
          </w:p>
        </w:tc>
      </w:tr>
    </w:tbl>
    <w:p>
      <w:pPr>
        <w:pStyle w:val="BodyText"/>
        <w:spacing w:line="240" w:lineRule="auto" w:before="51"/>
        <w:ind w:right="223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2239"/>
        <w:jc w:val="left"/>
        <w:rPr>
          <w:b w:val="0"/>
          <w:bCs w:val="0"/>
        </w:rPr>
      </w:pPr>
      <w:r>
        <w:rPr>
          <w:rFonts w:ascii="Arial" w:hAnsi="Arial" w:cs="Arial" w:eastAsia="Arial" w:hint="default"/>
        </w:rPr>
        <w:t>3</w:t>
      </w:r>
      <w:r>
        <w:rPr/>
        <w:t>、衍生金融资产</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2239"/>
        <w:jc w:val="left"/>
      </w:pPr>
      <w:r>
        <w:rPr/>
        <w:t>其他说明：</w:t>
      </w:r>
    </w:p>
    <w:p>
      <w:pPr>
        <w:spacing w:line="240" w:lineRule="auto" w:before="11"/>
        <w:rPr>
          <w:rFonts w:ascii="宋体" w:hAnsi="宋体" w:cs="宋体" w:eastAsia="宋体" w:hint="default"/>
          <w:sz w:val="26"/>
          <w:szCs w:val="26"/>
        </w:rPr>
      </w:pPr>
    </w:p>
    <w:p>
      <w:pPr>
        <w:pStyle w:val="Heading4"/>
        <w:spacing w:line="240" w:lineRule="auto"/>
        <w:ind w:right="2239"/>
        <w:jc w:val="left"/>
        <w:rPr>
          <w:b w:val="0"/>
          <w:bCs w:val="0"/>
        </w:rPr>
      </w:pPr>
      <w:r>
        <w:rPr>
          <w:rFonts w:ascii="Arial" w:hAnsi="Arial" w:cs="Arial" w:eastAsia="Arial" w:hint="default"/>
        </w:rPr>
        <w:t>4</w:t>
      </w:r>
      <w:r>
        <w:rPr/>
        <w:t>、应收票据</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2239"/>
        <w:jc w:val="left"/>
        <w:rPr>
          <w:b w:val="0"/>
          <w:bCs w:val="0"/>
        </w:rPr>
      </w:pPr>
      <w:r>
        <w:rPr/>
        <w:t>（</w:t>
      </w:r>
      <w:r>
        <w:rPr>
          <w:rFonts w:ascii="Arial" w:hAnsi="Arial" w:cs="Arial" w:eastAsia="Arial" w:hint="default"/>
        </w:rPr>
        <w:t>1</w:t>
      </w:r>
      <w:r>
        <w:rPr/>
        <w:t>）应收票据分类列示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2"/>
                <w:sz w:val="18"/>
              </w:rPr>
              <w:t>9,766,611.47</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商业承兑票据</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600,606.40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10,367,217.87</w:t>
            </w:r>
            <w:r>
              <w:rPr>
                <w:rFonts w:ascii="Arial"/>
                <w:sz w:val="18"/>
              </w:rPr>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51"/>
        <w:ind w:left="0" w:right="1130"/>
        <w:jc w:val="right"/>
      </w:pPr>
      <w:r>
        <w:rPr/>
        <w:t>单位：元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6"/>
        <w:gridCol w:w="762"/>
        <w:gridCol w:w="762"/>
        <w:gridCol w:w="762"/>
        <w:gridCol w:w="763"/>
        <w:gridCol w:w="790"/>
        <w:gridCol w:w="775"/>
        <w:gridCol w:w="798"/>
        <w:gridCol w:w="930"/>
        <w:gridCol w:w="798"/>
        <w:gridCol w:w="791"/>
      </w:tblGrid>
      <w:tr>
        <w:trPr>
          <w:trHeight w:val="402" w:hRule="exact"/>
        </w:trPr>
        <w:tc>
          <w:tcPr>
            <w:tcW w:w="16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636" w:type="dxa"/>
            <w:vMerge/>
            <w:tcBorders>
              <w:left w:val="single" w:sz="4" w:space="0" w:color="000000"/>
              <w:right w:val="single" w:sz="4" w:space="0" w:color="000000"/>
            </w:tcBorders>
            <w:shd w:val="clear" w:color="auto" w:fill="D3D3D3"/>
          </w:tcPr>
          <w:p>
            <w:pPr/>
          </w:p>
        </w:tc>
        <w:tc>
          <w:tcPr>
            <w:tcW w:w="15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73"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714" w:hRule="exact"/>
        </w:trPr>
        <w:tc>
          <w:tcPr>
            <w:tcW w:w="1636" w:type="dxa"/>
            <w:vMerge/>
            <w:tcBorders>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86"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tcBorders>
              <w:left w:val="single" w:sz="4" w:space="0" w:color="000000"/>
              <w:bottom w:val="single" w:sz="4" w:space="0" w:color="000000"/>
              <w:right w:val="single" w:sz="4" w:space="0" w:color="000000"/>
            </w:tcBorders>
            <w:shd w:val="clear" w:color="auto" w:fill="D3D3D3"/>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1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79"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791"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6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16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3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1"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pStyle w:val="BodyText"/>
        <w:spacing w:line="240" w:lineRule="auto" w:before="52"/>
        <w:ind w:right="2239"/>
        <w:jc w:val="left"/>
      </w:pPr>
      <w:r>
        <w:rPr/>
        <w:t>按单项计提坏账准备：</w:t>
      </w:r>
    </w:p>
    <w:p>
      <w:pPr>
        <w:pStyle w:val="BodyText"/>
        <w:spacing w:line="240" w:lineRule="auto" w:before="116"/>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88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3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1"/>
        <w:ind w:right="2239"/>
        <w:jc w:val="left"/>
      </w:pPr>
      <w:r>
        <w:rPr/>
        <w:t>按组合计提坏账准备：</w:t>
      </w:r>
    </w:p>
    <w:p>
      <w:pPr>
        <w:pStyle w:val="BodyText"/>
        <w:spacing w:line="240" w:lineRule="auto" w:before="117"/>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0" w:lineRule="auto" w:before="51"/>
        <w:ind w:left="153" w:right="1751"/>
        <w:jc w:val="left"/>
      </w:pPr>
      <w:r>
        <w:rPr/>
        <w:t>确定该组合依据的说明： 如是按照预期信用损失一般模型计提应收票据坏账准备，请参照其他应收款的披露方式披露坏账准备的相关信息：</w:t>
      </w:r>
    </w:p>
    <w:p>
      <w:pPr>
        <w:pStyle w:val="BodyText"/>
        <w:spacing w:line="240" w:lineRule="auto" w:before="26"/>
        <w:ind w:left="153"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after="0" w:line="240" w:lineRule="auto"/>
        <w:jc w:val="left"/>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2239"/>
        <w:jc w:val="left"/>
        <w:rPr>
          <w:b w:val="0"/>
          <w:bCs w:val="0"/>
        </w:rPr>
      </w:pPr>
      <w:r>
        <w:rPr/>
        <w:t>（</w:t>
      </w:r>
      <w:r>
        <w:rPr>
          <w:rFonts w:ascii="Arial" w:hAnsi="Arial" w:cs="Arial" w:eastAsia="Arial" w:hint="default"/>
        </w:rPr>
        <w:t>2</w:t>
      </w:r>
      <w:r>
        <w:rPr/>
        <w:t>）本期计提、收回或转回的坏账准备情况</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right="2239"/>
        <w:jc w:val="left"/>
      </w:pPr>
      <w:r>
        <w:rPr/>
        <w:t>本期计提坏账准备情况：</w:t>
      </w:r>
    </w:p>
    <w:p>
      <w:pPr>
        <w:pStyle w:val="BodyText"/>
        <w:spacing w:line="240" w:lineRule="auto" w:before="116"/>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3D3D3"/>
          </w:tcPr>
          <w:p>
            <w:pPr/>
          </w:p>
        </w:tc>
      </w:tr>
    </w:tbl>
    <w:p>
      <w:pPr>
        <w:pStyle w:val="BodyText"/>
        <w:spacing w:line="240" w:lineRule="auto" w:before="51"/>
        <w:ind w:right="2239"/>
        <w:jc w:val="left"/>
      </w:pPr>
      <w:r>
        <w:rPr/>
        <w:t>其中本期坏账准备收回或转回金额重要的：</w:t>
      </w:r>
    </w:p>
    <w:p>
      <w:pPr>
        <w:pStyle w:val="BodyText"/>
        <w:spacing w:line="240" w:lineRule="auto" w:before="117"/>
        <w:ind w:left="153"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2239"/>
        <w:jc w:val="left"/>
        <w:rPr>
          <w:b w:val="0"/>
          <w:bCs w:val="0"/>
        </w:rPr>
      </w:pPr>
      <w:r>
        <w:rPr/>
        <w:t>（</w:t>
      </w:r>
      <w:r>
        <w:rPr>
          <w:rFonts w:ascii="Arial" w:hAnsi="Arial" w:cs="Arial" w:eastAsia="Arial" w:hint="default"/>
        </w:rPr>
        <w:t>3</w:t>
      </w:r>
      <w:r>
        <w:rPr/>
        <w:t>）期末公司已质押的应收票据</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4777;top:14;width:2;height:393" coordorigin="4777,14" coordsize="2,393">
              <v:shape style="position:absolute;left:4777;top:14;width:2;height:393" coordorigin="4777,14" coordsize="0,393" path="m4777,14l4777,407e" filled="false" stroked="true" strokeweight="1.140pt" strokecolor="#d3d3d3">
                <v:path arrowok="t"/>
              </v:shape>
            </v:group>
            <v:group style="position:absolute;left:37;top:14;width:4728;height:393" coordorigin="37,14" coordsize="4728,393">
              <v:shape style="position:absolute;left:37;top:14;width:4728;height:393" coordorigin="37,14" coordsize="4728,393" path="m37,407l4765,407,4765,14,37,14,37,407xe" filled="true" fillcolor="#d3d3d3" stroked="false">
                <v:path arrowok="t"/>
                <v:fill type="solid"/>
              </v:shape>
            </v:group>
            <v:group style="position:absolute;left:4810;top:14;width:2;height:393" coordorigin="4810,14" coordsize="2,393">
              <v:shape style="position:absolute;left:4810;top:14;width:2;height:393" coordorigin="4810,14" coordsize="0,393" path="m4810,14l4810,407e" filled="false" stroked="true" strokeweight="1.140pt" strokecolor="#d3d3d3">
                <v:path arrowok="t"/>
              </v:shape>
            </v:group>
            <v:group style="position:absolute;left:9561;top:14;width:2;height:393" coordorigin="9561,14" coordsize="2,393">
              <v:shape style="position:absolute;left:9561;top:14;width:2;height:393" coordorigin="9561,14" coordsize="0,393" path="m9561,14l9561,407e" filled="false" stroked="true" strokeweight="1.140pt" strokecolor="#d3d3d3">
                <v:path arrowok="t"/>
              </v:shape>
            </v:group>
            <v:group style="position:absolute;left:4822;top:14;width:4728;height:393" coordorigin="4822,14" coordsize="4728,393">
              <v:shape style="position:absolute;left:4822;top:14;width:4728;height:393" coordorigin="4822,14" coordsize="4728,393" path="m4822,407l9550,407,9550,14,4822,14,48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5;height:2" coordorigin="5,412" coordsize="4785,2">
              <v:shape style="position:absolute;left:5;top:412;width:4785;height:2" coordorigin="5,412" coordsize="4785,0" path="m5,412l4789,412e" filled="false" stroked="true" strokeweight=".47998pt" strokecolor="#000000">
                <v:path arrowok="t"/>
              </v:shape>
            </v:group>
            <v:group style="position:absolute;left:4794;top:14;width:2;height:402" coordorigin="4794,14" coordsize="2,402">
              <v:shape style="position:absolute;left:4794;top:14;width:2;height:402" coordorigin="4794,14" coordsize="0,402" path="m4794,14l4794,416e" filled="false" stroked="true" strokeweight=".48001pt" strokecolor="#000000">
                <v:path arrowok="t"/>
              </v:shape>
            </v:group>
            <v:group style="position:absolute;left:4799;top:412;width:4774;height:2" coordorigin="4799,412" coordsize="4774,2">
              <v:shape style="position:absolute;left:4799;top:412;width:4774;height:2" coordorigin="4799,412" coordsize="4774,0" path="m4799,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期末已质押金额</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4"/>
        <w:spacing w:line="240" w:lineRule="auto" w:before="35"/>
        <w:ind w:right="2239"/>
        <w:jc w:val="left"/>
        <w:rPr>
          <w:b w:val="0"/>
          <w:bCs w:val="0"/>
        </w:rPr>
      </w:pPr>
      <w:r>
        <w:rPr/>
        <w:t>（</w:t>
      </w:r>
      <w:r>
        <w:rPr>
          <w:rFonts w:ascii="Arial" w:hAnsi="Arial" w:cs="Arial" w:eastAsia="Arial" w:hint="default"/>
        </w:rPr>
        <w:t>4</w:t>
      </w:r>
      <w:r>
        <w:rPr/>
        <w:t>）期末公司已背书或贴现且在资产负债表日尚未到期的应收票据</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81" w:right="0"/>
              <w:jc w:val="left"/>
              <w:rPr>
                <w:rFonts w:ascii="宋体" w:hAnsi="宋体" w:cs="宋体" w:eastAsia="宋体" w:hint="default"/>
                <w:sz w:val="18"/>
                <w:szCs w:val="18"/>
              </w:rPr>
            </w:pPr>
            <w:r>
              <w:rPr>
                <w:rFonts w:ascii="宋体" w:hAnsi="宋体" w:cs="宋体" w:eastAsia="宋体" w:hint="default"/>
                <w:sz w:val="18"/>
                <w:szCs w:val="18"/>
              </w:rPr>
              <w:t>期末终止确认金额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期末未终止确认金额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银行承兑票据</w:t>
            </w:r>
          </w:p>
        </w:tc>
        <w:tc>
          <w:tcPr>
            <w:tcW w:w="3202" w:type="dxa"/>
            <w:tcBorders>
              <w:top w:val="single" w:sz="4" w:space="0" w:color="000000"/>
              <w:left w:val="single" w:sz="13" w:space="0" w:color="D3D3D3"/>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500,000.00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500,000.00</w:t>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t>（</w:t>
      </w:r>
      <w:r>
        <w:rPr>
          <w:rFonts w:ascii="Arial" w:hAnsi="Arial" w:cs="Arial" w:eastAsia="Arial" w:hint="default"/>
        </w:rPr>
        <w:t>5</w:t>
      </w:r>
      <w:r>
        <w:rPr/>
        <w:t>）期末公司因出票人未履约而将其转应收账款的票据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4777;top:14;width:2;height:393" coordorigin="4777,14" coordsize="2,393">
              <v:shape style="position:absolute;left:4777;top:14;width:2;height:393" coordorigin="4777,14" coordsize="0,393" path="m4777,14l4777,407e" filled="false" stroked="true" strokeweight="1.140pt" strokecolor="#d3d3d3">
                <v:path arrowok="t"/>
              </v:shape>
            </v:group>
            <v:group style="position:absolute;left:37;top:14;width:4728;height:393" coordorigin="37,14" coordsize="4728,393">
              <v:shape style="position:absolute;left:37;top:14;width:4728;height:393" coordorigin="37,14" coordsize="4728,393" path="m37,407l4765,407,4765,14,37,14,37,407xe" filled="true" fillcolor="#d3d3d3" stroked="false">
                <v:path arrowok="t"/>
                <v:fill type="solid"/>
              </v:shape>
            </v:group>
            <v:group style="position:absolute;left:4810;top:14;width:2;height:393" coordorigin="4810,14" coordsize="2,393">
              <v:shape style="position:absolute;left:4810;top:14;width:2;height:393" coordorigin="4810,14" coordsize="0,393" path="m4810,14l4810,407e" filled="false" stroked="true" strokeweight="1.140pt" strokecolor="#d3d3d3">
                <v:path arrowok="t"/>
              </v:shape>
            </v:group>
            <v:group style="position:absolute;left:9561;top:14;width:2;height:393" coordorigin="9561,14" coordsize="2,393">
              <v:shape style="position:absolute;left:9561;top:14;width:2;height:393" coordorigin="9561,14" coordsize="0,393" path="m9561,14l9561,407e" filled="false" stroked="true" strokeweight="1.140pt" strokecolor="#d3d3d3">
                <v:path arrowok="t"/>
              </v:shape>
            </v:group>
            <v:group style="position:absolute;left:4822;top:14;width:4728;height:393" coordorigin="4822,14" coordsize="4728,393">
              <v:shape style="position:absolute;left:4822;top:14;width:4728;height:393" coordorigin="4822,14" coordsize="4728,393" path="m4822,407l9550,407,9550,14,4822,14,48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5;height:2" coordorigin="5,412" coordsize="4785,2">
              <v:shape style="position:absolute;left:5;top:412;width:4785;height:2" coordorigin="5,412" coordsize="4785,0" path="m5,412l4789,412e" filled="false" stroked="true" strokeweight=".48001pt" strokecolor="#000000">
                <v:path arrowok="t"/>
              </v:shape>
            </v:group>
            <v:group style="position:absolute;left:4794;top:14;width:2;height:402" coordorigin="4794,14" coordsize="2,402">
              <v:shape style="position:absolute;left:4794;top:14;width:2;height:402" coordorigin="4794,14" coordsize="0,402" path="m4794,14l4794,416e" filled="false" stroked="true" strokeweight=".48001pt" strokecolor="#000000">
                <v:path arrowok="t"/>
              </v:shape>
            </v:group>
            <v:group style="position:absolute;left:4799;top:412;width:4774;height:2" coordorigin="4799,412" coordsize="4774,2">
              <v:shape style="position:absolute;left:4799;top:412;width:4774;height:2" coordorigin="4799,412" coordsize="4774,0" path="m4799,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6"/>
                        <w:ind w:left="1581" w:right="0" w:firstLine="0"/>
                        <w:jc w:val="left"/>
                        <w:rPr>
                          <w:rFonts w:ascii="宋体" w:hAnsi="宋体" w:cs="宋体" w:eastAsia="宋体" w:hint="default"/>
                          <w:sz w:val="18"/>
                          <w:szCs w:val="18"/>
                        </w:rPr>
                      </w:pPr>
                      <w:r>
                        <w:rPr>
                          <w:rFonts w:ascii="宋体" w:hAnsi="宋体" w:cs="宋体" w:eastAsia="宋体" w:hint="default"/>
                          <w:sz w:val="18"/>
                          <w:szCs w:val="18"/>
                        </w:rPr>
                        <w:t>期末转应收账款金额</w:t>
                      </w:r>
                    </w:p>
                  </w:txbxContent>
                </v:textbox>
                <w10:wrap type="none"/>
              </v:shape>
            </v:group>
          </v:group>
        </w:pict>
      </w:r>
      <w:r>
        <w:rPr>
          <w:rFonts w:ascii="宋体" w:hAnsi="宋体" w:cs="宋体" w:eastAsia="宋体" w:hint="default"/>
          <w:position w:val="-7"/>
          <w:sz w:val="20"/>
          <w:szCs w:val="20"/>
        </w:rPr>
      </w:r>
    </w:p>
    <w:p>
      <w:pPr>
        <w:pStyle w:val="BodyText"/>
        <w:spacing w:line="357" w:lineRule="auto" w:before="46"/>
        <w:ind w:right="8050"/>
        <w:jc w:val="left"/>
      </w:pPr>
      <w:r>
        <w:rPr/>
        <w:t>其他说明 期末本集团无已质押的应收票据。</w:t>
      </w:r>
    </w:p>
    <w:p>
      <w:pPr>
        <w:spacing w:line="240" w:lineRule="auto" w:before="2"/>
        <w:rPr>
          <w:rFonts w:ascii="宋体" w:hAnsi="宋体" w:cs="宋体" w:eastAsia="宋体" w:hint="default"/>
          <w:sz w:val="20"/>
          <w:szCs w:val="20"/>
        </w:rPr>
      </w:pPr>
    </w:p>
    <w:p>
      <w:pPr>
        <w:pStyle w:val="Heading4"/>
        <w:spacing w:line="240" w:lineRule="auto"/>
        <w:ind w:right="2239"/>
        <w:jc w:val="left"/>
        <w:rPr>
          <w:b w:val="0"/>
          <w:bCs w:val="0"/>
        </w:rPr>
      </w:pPr>
      <w:r>
        <w:rPr/>
        <w:t>（</w:t>
      </w:r>
      <w:r>
        <w:rPr>
          <w:rFonts w:ascii="Arial" w:hAnsi="Arial" w:cs="Arial" w:eastAsia="Arial" w:hint="default"/>
        </w:rPr>
        <w:t>6</w:t>
      </w:r>
      <w:r>
        <w:rPr/>
        <w:t>）本期实际核销的应收票据情况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4777;top:14;width:2;height:393" coordorigin="4777,14" coordsize="2,393">
              <v:shape style="position:absolute;left:4777;top:14;width:2;height:393" coordorigin="4777,14" coordsize="0,393" path="m4777,14l4777,407e" filled="false" stroked="true" strokeweight="1.140pt" strokecolor="#d3d3d3">
                <v:path arrowok="t"/>
              </v:shape>
            </v:group>
            <v:group style="position:absolute;left:37;top:14;width:4728;height:393" coordorigin="37,14" coordsize="4728,393">
              <v:shape style="position:absolute;left:37;top:14;width:4728;height:393" coordorigin="37,14" coordsize="4728,393" path="m37,407l4765,407,4765,14,37,14,37,407xe" filled="true" fillcolor="#d3d3d3" stroked="false">
                <v:path arrowok="t"/>
                <v:fill type="solid"/>
              </v:shape>
            </v:group>
            <v:group style="position:absolute;left:4810;top:14;width:2;height:393" coordorigin="4810,14" coordsize="2,393">
              <v:shape style="position:absolute;left:4810;top:14;width:2;height:393" coordorigin="4810,14" coordsize="0,393" path="m4810,14l4810,407e" filled="false" stroked="true" strokeweight="1.140pt" strokecolor="#d3d3d3">
                <v:path arrowok="t"/>
              </v:shape>
            </v:group>
            <v:group style="position:absolute;left:9561;top:14;width:2;height:393" coordorigin="9561,14" coordsize="2,393">
              <v:shape style="position:absolute;left:9561;top:14;width:2;height:393" coordorigin="9561,14" coordsize="0,393" path="m9561,14l9561,407e" filled="false" stroked="true" strokeweight="1.140pt" strokecolor="#d3d3d3">
                <v:path arrowok="t"/>
              </v:shape>
            </v:group>
            <v:group style="position:absolute;left:4822;top:14;width:4728;height:393" coordorigin="4822,14" coordsize="4728,393">
              <v:shape style="position:absolute;left:4822;top:14;width:4728;height:393" coordorigin="4822,14" coordsize="4728,393" path="m4822,407l9550,407,9550,14,4822,14,48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5;height:2" coordorigin="5,412" coordsize="4785,2">
              <v:shape style="position:absolute;left:5;top:412;width:4785;height:2" coordorigin="5,412" coordsize="4785,0" path="m5,412l4789,412e" filled="false" stroked="true" strokeweight=".48pt" strokecolor="#000000">
                <v:path arrowok="t"/>
              </v:shape>
            </v:group>
            <v:group style="position:absolute;left:4794;top:14;width:2;height:402" coordorigin="4794,14" coordsize="2,402">
              <v:shape style="position:absolute;left:4794;top:14;width:2;height:402" coordorigin="4794,14" coordsize="0,402" path="m4794,14l4794,416e" filled="false" stroked="true" strokeweight=".48001pt" strokecolor="#000000">
                <v:path arrowok="t"/>
              </v:shape>
            </v:group>
            <v:group style="position:absolute;left:4799;top:412;width:4774;height:2" coordorigin="4799,412" coordsize="4774,2">
              <v:shape style="position:absolute;left:4799;top:412;width:4774;height:2" coordorigin="4799,412" coordsize="4774,0" path="m4799,412l9572,412e" filled="false" stroked="true" strokeweight=".4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21;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pgSz w:w="11910" w:h="16840"/>
          <w:pgMar w:header="747" w:footer="982" w:top="1060" w:bottom="1180" w:left="980" w:right="0"/>
        </w:sectPr>
      </w:pPr>
    </w:p>
    <w:p>
      <w:pPr>
        <w:pStyle w:val="BodyText"/>
        <w:spacing w:line="360" w:lineRule="auto" w:before="46"/>
        <w:ind w:left="153" w:right="-19"/>
        <w:jc w:val="left"/>
      </w:pPr>
      <w:r>
        <w:rPr/>
        <w:t>其中重要的应收票据核销情况： 无。</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0"/>
          <w:cols w:num="2" w:equalWidth="0">
            <w:col w:w="2675" w:space="6154"/>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应收票据性质</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60" w:lineRule="auto" w:before="51"/>
        <w:ind w:left="153" w:right="9131"/>
        <w:jc w:val="left"/>
      </w:pPr>
      <w:r>
        <w:rPr/>
        <w:t>应收票据核销说明： 无。</w:t>
      </w:r>
    </w:p>
    <w:p>
      <w:pPr>
        <w:spacing w:after="0" w:line="360" w:lineRule="auto"/>
        <w:jc w:val="left"/>
        <w:sectPr>
          <w:type w:val="continuous"/>
          <w:pgSz w:w="11910" w:h="16840"/>
          <w:pgMar w:top="1060" w:bottom="118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2239"/>
        <w:jc w:val="left"/>
        <w:rPr>
          <w:b w:val="0"/>
          <w:bCs w:val="0"/>
        </w:rPr>
      </w:pPr>
      <w:r>
        <w:rPr>
          <w:rFonts w:ascii="Arial" w:hAnsi="Arial" w:cs="Arial" w:eastAsia="Arial" w:hint="default"/>
        </w:rPr>
        <w:t>5</w:t>
      </w:r>
      <w:r>
        <w:rPr/>
        <w:t>、应收账款</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2239"/>
        <w:jc w:val="left"/>
        <w:rPr>
          <w:b w:val="0"/>
          <w:bCs w:val="0"/>
        </w:rPr>
      </w:pPr>
      <w:r>
        <w:rPr/>
        <w:t>（</w:t>
      </w:r>
      <w:r>
        <w:rPr>
          <w:rFonts w:ascii="Arial" w:hAnsi="Arial" w:cs="Arial" w:eastAsia="Arial"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74"/>
        <w:gridCol w:w="751"/>
        <w:gridCol w:w="790"/>
        <w:gridCol w:w="775"/>
        <w:gridCol w:w="798"/>
        <w:gridCol w:w="798"/>
        <w:gridCol w:w="801"/>
        <w:gridCol w:w="921"/>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3D3D3"/>
          </w:tcPr>
          <w:p>
            <w:pPr/>
          </w:p>
        </w:tc>
        <w:tc>
          <w:tcPr>
            <w:tcW w:w="383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93"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2" w:hRule="exact"/>
        </w:trPr>
        <w:tc>
          <w:tcPr>
            <w:tcW w:w="1635" w:type="dxa"/>
            <w:vMerge/>
            <w:tcBorders>
              <w:left w:val="single" w:sz="4" w:space="0" w:color="000000"/>
              <w:bottom w:val="nil" w:sz="6" w:space="0" w:color="auto"/>
              <w:right w:val="single" w:sz="4" w:space="0" w:color="000000"/>
            </w:tcBorders>
            <w:shd w:val="clear" w:color="auto" w:fill="D3D3D3"/>
          </w:tcPr>
          <w:p>
            <w:pPr/>
          </w:p>
        </w:tc>
        <w:tc>
          <w:tcPr>
            <w:tcW w:w="152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2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790" w:type="dxa"/>
            <w:vMerge w:val="restart"/>
            <w:tcBorders>
              <w:top w:val="single" w:sz="4" w:space="0" w:color="000000"/>
              <w:left w:val="single" w:sz="4" w:space="0" w:color="000000"/>
              <w:right w:val="single" w:sz="4" w:space="0" w:color="000000"/>
            </w:tcBorders>
            <w:shd w:val="clear" w:color="auto" w:fill="D3D3D3"/>
          </w:tcPr>
          <w:p>
            <w:pPr/>
          </w:p>
        </w:tc>
        <w:tc>
          <w:tcPr>
            <w:tcW w:w="1573"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42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4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21" w:type="dxa"/>
            <w:vMerge w:val="restart"/>
            <w:tcBorders>
              <w:top w:val="single" w:sz="4" w:space="0" w:color="000000"/>
              <w:left w:val="single" w:sz="4" w:space="0" w:color="000000"/>
              <w:right w:val="single" w:sz="4" w:space="0" w:color="000000"/>
            </w:tcBorders>
            <w:shd w:val="clear" w:color="auto" w:fill="D3D3D3"/>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3D3D3"/>
          </w:tcPr>
          <w:p>
            <w:pPr/>
          </w:p>
        </w:tc>
        <w:tc>
          <w:tcPr>
            <w:tcW w:w="1525" w:type="dxa"/>
            <w:gridSpan w:val="2"/>
            <w:vMerge/>
            <w:tcBorders>
              <w:left w:val="single" w:sz="4" w:space="0" w:color="000000"/>
              <w:bottom w:val="single" w:sz="4" w:space="0" w:color="000000"/>
              <w:right w:val="single" w:sz="4" w:space="0" w:color="000000"/>
            </w:tcBorders>
            <w:shd w:val="clear" w:color="auto" w:fill="D3D3D3"/>
          </w:tcPr>
          <w:p>
            <w:pPr/>
          </w:p>
        </w:tc>
        <w:tc>
          <w:tcPr>
            <w:tcW w:w="790" w:type="dxa"/>
            <w:vMerge/>
            <w:tcBorders>
              <w:left w:val="single" w:sz="4" w:space="0" w:color="000000"/>
              <w:bottom w:val="nil" w:sz="6" w:space="0" w:color="auto"/>
              <w:right w:val="single" w:sz="4" w:space="0" w:color="000000"/>
            </w:tcBorders>
            <w:shd w:val="clear" w:color="auto" w:fill="D3D3D3"/>
          </w:tcPr>
          <w:p>
            <w:pPr/>
          </w:p>
        </w:tc>
        <w:tc>
          <w:tcPr>
            <w:tcW w:w="1573" w:type="dxa"/>
            <w:gridSpan w:val="2"/>
            <w:vMerge/>
            <w:tcBorders>
              <w:left w:val="single" w:sz="4" w:space="0" w:color="000000"/>
              <w:bottom w:val="single" w:sz="4" w:space="0" w:color="000000"/>
              <w:right w:val="single" w:sz="4" w:space="0" w:color="000000"/>
            </w:tcBorders>
            <w:shd w:val="clear" w:color="auto" w:fill="D3D3D3"/>
          </w:tcPr>
          <w:p>
            <w:pPr/>
          </w:p>
        </w:tc>
        <w:tc>
          <w:tcPr>
            <w:tcW w:w="1599" w:type="dxa"/>
            <w:gridSpan w:val="2"/>
            <w:vMerge/>
            <w:tcBorders>
              <w:left w:val="single" w:sz="4" w:space="0" w:color="000000"/>
              <w:bottom w:val="single" w:sz="4" w:space="0" w:color="000000"/>
              <w:right w:val="single" w:sz="4" w:space="0" w:color="000000"/>
            </w:tcBorders>
            <w:shd w:val="clear" w:color="auto" w:fill="D3D3D3"/>
          </w:tcPr>
          <w:p>
            <w:pPr/>
          </w:p>
        </w:tc>
        <w:tc>
          <w:tcPr>
            <w:tcW w:w="921" w:type="dxa"/>
            <w:vMerge/>
            <w:tcBorders>
              <w:left w:val="single" w:sz="4" w:space="0" w:color="000000"/>
              <w:bottom w:val="nil" w:sz="6" w:space="0" w:color="auto"/>
              <w:right w:val="single" w:sz="4" w:space="0" w:color="000000"/>
            </w:tcBorders>
            <w:shd w:val="clear" w:color="auto" w:fill="D3D3D3"/>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3D3D3"/>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751"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274" w:right="104"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79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2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75"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801" w:type="dxa"/>
            <w:tcBorders>
              <w:top w:val="single" w:sz="4" w:space="0" w:color="000000"/>
              <w:left w:val="single" w:sz="4" w:space="0" w:color="000000"/>
              <w:bottom w:val="nil" w:sz="6" w:space="0" w:color="auto"/>
              <w:right w:val="single" w:sz="4" w:space="0" w:color="000000"/>
            </w:tcBorders>
            <w:shd w:val="clear" w:color="auto" w:fill="D3D3D3"/>
          </w:tcPr>
          <w:p>
            <w:pPr/>
          </w:p>
        </w:tc>
        <w:tc>
          <w:tcPr>
            <w:tcW w:w="92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left="8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4" w:hRule="exact"/>
        </w:trPr>
        <w:tc>
          <w:tcPr>
            <w:tcW w:w="1635" w:type="dxa"/>
            <w:vMerge w:val="restart"/>
            <w:tcBorders>
              <w:top w:val="single" w:sz="4" w:space="0" w:color="FFFFFF"/>
              <w:left w:val="single" w:sz="4" w:space="0" w:color="000000"/>
              <w:right w:val="single" w:sz="4" w:space="0" w:color="000000"/>
            </w:tcBorders>
            <w:shd w:val="clear" w:color="auto" w:fill="D3D3D3"/>
          </w:tcPr>
          <w:p>
            <w:pPr/>
          </w:p>
        </w:tc>
        <w:tc>
          <w:tcPr>
            <w:tcW w:w="763" w:type="dxa"/>
            <w:vMerge w:val="restart"/>
            <w:tcBorders>
              <w:top w:val="single" w:sz="4" w:space="0" w:color="FFFFFF"/>
              <w:left w:val="single" w:sz="4" w:space="0" w:color="000000"/>
              <w:right w:val="single" w:sz="4" w:space="0" w:color="000000"/>
            </w:tcBorders>
            <w:shd w:val="clear" w:color="auto" w:fill="D3D3D3"/>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3D3D3"/>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4" w:type="dxa"/>
            <w:vMerge w:val="restart"/>
            <w:tcBorders>
              <w:top w:val="single" w:sz="4" w:space="0" w:color="FFFFFF"/>
              <w:left w:val="single" w:sz="4" w:space="0" w:color="000000"/>
              <w:right w:val="single" w:sz="4" w:space="0" w:color="000000"/>
            </w:tcBorders>
            <w:shd w:val="clear" w:color="auto" w:fill="D3D3D3"/>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51" w:type="dxa"/>
            <w:vMerge/>
            <w:tcBorders>
              <w:left w:val="single" w:sz="4" w:space="0" w:color="000000"/>
              <w:right w:val="single" w:sz="4" w:space="0" w:color="000000"/>
            </w:tcBorders>
            <w:shd w:val="clear" w:color="auto" w:fill="D3D3D3"/>
          </w:tcPr>
          <w:p>
            <w:pPr/>
          </w:p>
        </w:tc>
        <w:tc>
          <w:tcPr>
            <w:tcW w:w="790" w:type="dxa"/>
            <w:vMerge/>
            <w:tcBorders>
              <w:left w:val="single" w:sz="4" w:space="0" w:color="000000"/>
              <w:bottom w:val="nil" w:sz="6" w:space="0" w:color="auto"/>
              <w:right w:val="single" w:sz="4" w:space="0" w:color="000000"/>
            </w:tcBorders>
            <w:shd w:val="clear" w:color="auto" w:fill="D3D3D3"/>
          </w:tcPr>
          <w:p>
            <w:pPr/>
          </w:p>
        </w:tc>
        <w:tc>
          <w:tcPr>
            <w:tcW w:w="77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20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21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0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4"/>
              <w:ind w:left="3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21" w:type="dxa"/>
            <w:vMerge/>
            <w:tcBorders>
              <w:left w:val="single" w:sz="4" w:space="0" w:color="000000"/>
              <w:bottom w:val="nil" w:sz="6" w:space="0" w:color="auto"/>
              <w:right w:val="single" w:sz="4" w:space="0" w:color="000000"/>
            </w:tcBorders>
            <w:shd w:val="clear" w:color="auto" w:fill="D3D3D3"/>
          </w:tcPr>
          <w:p>
            <w:pPr/>
          </w:p>
        </w:tc>
      </w:tr>
      <w:tr>
        <w:trPr>
          <w:trHeight w:val="200" w:hRule="exact"/>
        </w:trPr>
        <w:tc>
          <w:tcPr>
            <w:tcW w:w="1635" w:type="dxa"/>
            <w:vMerge/>
            <w:tcBorders>
              <w:left w:val="single" w:sz="4" w:space="0" w:color="000000"/>
              <w:right w:val="single" w:sz="4" w:space="0" w:color="000000"/>
            </w:tcBorders>
            <w:shd w:val="clear" w:color="auto" w:fill="D3D3D3"/>
          </w:tcPr>
          <w:p>
            <w:pPr/>
          </w:p>
        </w:tc>
        <w:tc>
          <w:tcPr>
            <w:tcW w:w="763"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74" w:type="dxa"/>
            <w:vMerge/>
            <w:tcBorders>
              <w:left w:val="single" w:sz="4" w:space="0" w:color="000000"/>
              <w:bottom w:val="nil" w:sz="6" w:space="0" w:color="auto"/>
              <w:right w:val="single" w:sz="4" w:space="0" w:color="000000"/>
            </w:tcBorders>
            <w:shd w:val="clear" w:color="auto" w:fill="D3D3D3"/>
          </w:tcPr>
          <w:p>
            <w:pPr/>
          </w:p>
        </w:tc>
        <w:tc>
          <w:tcPr>
            <w:tcW w:w="751" w:type="dxa"/>
            <w:vMerge/>
            <w:tcBorders>
              <w:left w:val="single" w:sz="4" w:space="0" w:color="000000"/>
              <w:right w:val="single" w:sz="4" w:space="0" w:color="000000"/>
            </w:tcBorders>
            <w:shd w:val="clear" w:color="auto" w:fill="D3D3D3"/>
          </w:tcPr>
          <w:p>
            <w:pPr/>
          </w:p>
        </w:tc>
        <w:tc>
          <w:tcPr>
            <w:tcW w:w="790" w:type="dxa"/>
            <w:vMerge w:val="restart"/>
            <w:tcBorders>
              <w:top w:val="nil" w:sz="6" w:space="0" w:color="auto"/>
              <w:left w:val="single" w:sz="4" w:space="0" w:color="000000"/>
              <w:right w:val="single" w:sz="4" w:space="0" w:color="000000"/>
            </w:tcBorders>
            <w:shd w:val="clear" w:color="auto" w:fill="D3D3D3"/>
          </w:tcPr>
          <w:p>
            <w:pPr/>
          </w:p>
        </w:tc>
        <w:tc>
          <w:tcPr>
            <w:tcW w:w="775" w:type="dxa"/>
            <w:vMerge/>
            <w:tcBorders>
              <w:left w:val="single" w:sz="4" w:space="0" w:color="000000"/>
              <w:bottom w:val="nil" w:sz="6" w:space="0" w:color="auto"/>
              <w:right w:val="single" w:sz="4" w:space="0" w:color="000000"/>
            </w:tcBorders>
            <w:shd w:val="clear" w:color="auto" w:fill="D3D3D3"/>
          </w:tcPr>
          <w:p>
            <w:pPr/>
          </w:p>
        </w:tc>
        <w:tc>
          <w:tcPr>
            <w:tcW w:w="798" w:type="dxa"/>
            <w:vMerge/>
            <w:tcBorders>
              <w:left w:val="single" w:sz="4" w:space="0" w:color="000000"/>
              <w:bottom w:val="nil" w:sz="6" w:space="0" w:color="auto"/>
              <w:right w:val="single" w:sz="4" w:space="0" w:color="000000"/>
            </w:tcBorders>
            <w:shd w:val="clear" w:color="auto" w:fill="D3D3D3"/>
          </w:tcPr>
          <w:p>
            <w:pPr/>
          </w:p>
        </w:tc>
        <w:tc>
          <w:tcPr>
            <w:tcW w:w="798" w:type="dxa"/>
            <w:vMerge/>
            <w:tcBorders>
              <w:left w:val="single" w:sz="4" w:space="0" w:color="000000"/>
              <w:bottom w:val="nil" w:sz="6" w:space="0" w:color="auto"/>
              <w:right w:val="single" w:sz="4" w:space="0" w:color="000000"/>
            </w:tcBorders>
            <w:shd w:val="clear" w:color="auto" w:fill="D3D3D3"/>
          </w:tcPr>
          <w:p>
            <w:pPr/>
          </w:p>
        </w:tc>
        <w:tc>
          <w:tcPr>
            <w:tcW w:w="801" w:type="dxa"/>
            <w:vMerge/>
            <w:tcBorders>
              <w:left w:val="single" w:sz="4" w:space="0" w:color="000000"/>
              <w:bottom w:val="nil" w:sz="6" w:space="0" w:color="auto"/>
              <w:right w:val="single" w:sz="4" w:space="0" w:color="000000"/>
            </w:tcBorders>
            <w:shd w:val="clear" w:color="auto" w:fill="D3D3D3"/>
          </w:tcPr>
          <w:p>
            <w:pPr/>
          </w:p>
        </w:tc>
        <w:tc>
          <w:tcPr>
            <w:tcW w:w="921" w:type="dxa"/>
            <w:vMerge w:val="restart"/>
            <w:tcBorders>
              <w:top w:val="nil" w:sz="6" w:space="0" w:color="auto"/>
              <w:left w:val="single" w:sz="4" w:space="0" w:color="000000"/>
              <w:right w:val="single" w:sz="4" w:space="0" w:color="000000"/>
            </w:tcBorders>
            <w:shd w:val="clear" w:color="auto" w:fill="D3D3D3"/>
          </w:tcPr>
          <w:p>
            <w:pPr/>
          </w:p>
        </w:tc>
      </w:tr>
      <w:tr>
        <w:trPr>
          <w:trHeight w:val="161" w:hRule="exact"/>
        </w:trPr>
        <w:tc>
          <w:tcPr>
            <w:tcW w:w="1635"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74" w:type="dxa"/>
            <w:tcBorders>
              <w:top w:val="nil" w:sz="6" w:space="0" w:color="auto"/>
              <w:left w:val="single" w:sz="4" w:space="0" w:color="000000"/>
              <w:bottom w:val="single" w:sz="4" w:space="0" w:color="000000"/>
              <w:right w:val="single" w:sz="4" w:space="0" w:color="000000"/>
            </w:tcBorders>
            <w:shd w:val="clear" w:color="auto" w:fill="D3D3D3"/>
          </w:tcPr>
          <w:p>
            <w:pPr/>
          </w:p>
        </w:tc>
        <w:tc>
          <w:tcPr>
            <w:tcW w:w="751" w:type="dxa"/>
            <w:vMerge/>
            <w:tcBorders>
              <w:left w:val="single" w:sz="4" w:space="0" w:color="000000"/>
              <w:bottom w:val="single" w:sz="4" w:space="0" w:color="000000"/>
              <w:right w:val="single" w:sz="4" w:space="0" w:color="000000"/>
            </w:tcBorders>
            <w:shd w:val="clear" w:color="auto" w:fill="D3D3D3"/>
          </w:tcPr>
          <w:p>
            <w:pPr/>
          </w:p>
        </w:tc>
        <w:tc>
          <w:tcPr>
            <w:tcW w:w="790" w:type="dxa"/>
            <w:vMerge/>
            <w:tcBorders>
              <w:left w:val="single" w:sz="4" w:space="0" w:color="000000"/>
              <w:bottom w:val="single" w:sz="4" w:space="0" w:color="000000"/>
              <w:right w:val="single" w:sz="4" w:space="0" w:color="000000"/>
            </w:tcBorders>
            <w:shd w:val="clear" w:color="auto" w:fill="D3D3D3"/>
          </w:tcPr>
          <w:p>
            <w:pPr/>
          </w:p>
        </w:tc>
        <w:tc>
          <w:tcPr>
            <w:tcW w:w="775"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801" w:type="dxa"/>
            <w:tcBorders>
              <w:top w:val="nil" w:sz="6" w:space="0" w:color="auto"/>
              <w:left w:val="single" w:sz="4" w:space="0" w:color="000000"/>
              <w:bottom w:val="single" w:sz="4" w:space="0" w:color="000000"/>
              <w:right w:val="single" w:sz="4" w:space="0" w:color="000000"/>
            </w:tcBorders>
            <w:shd w:val="clear" w:color="auto" w:fill="D3D3D3"/>
          </w:tcPr>
          <w:p>
            <w:pPr/>
          </w:p>
        </w:tc>
        <w:tc>
          <w:tcPr>
            <w:tcW w:w="921"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5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2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22" w:right="160"/>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5"/>
              <w:jc w:val="center"/>
              <w:rPr>
                <w:rFonts w:ascii="Arial" w:hAnsi="Arial" w:cs="Arial" w:eastAsia="Arial" w:hint="default"/>
                <w:sz w:val="18"/>
                <w:szCs w:val="18"/>
              </w:rPr>
            </w:pPr>
            <w:r>
              <w:rPr>
                <w:rFonts w:ascii="Arial"/>
                <w:sz w:val="18"/>
              </w:rPr>
              <w:t>204,692,</w:t>
            </w:r>
          </w:p>
          <w:p>
            <w:pPr>
              <w:pStyle w:val="TableParagraph"/>
              <w:spacing w:line="240" w:lineRule="auto" w:before="105"/>
              <w:ind w:left="143" w:right="0"/>
              <w:jc w:val="center"/>
              <w:rPr>
                <w:rFonts w:ascii="Arial" w:hAnsi="Arial" w:cs="Arial" w:eastAsia="Arial" w:hint="default"/>
                <w:sz w:val="18"/>
                <w:szCs w:val="18"/>
              </w:rPr>
            </w:pPr>
            <w:r>
              <w:rPr>
                <w:rFonts w:ascii="Arial"/>
                <w:sz w:val="18"/>
              </w:rPr>
              <w:t>816.35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100.00</w:t>
            </w:r>
          </w:p>
          <w:p>
            <w:pPr>
              <w:pStyle w:val="TableParagraph"/>
              <w:spacing w:line="240" w:lineRule="auto" w:before="105"/>
              <w:ind w:right="20"/>
              <w:jc w:val="right"/>
              <w:rPr>
                <w:rFonts w:ascii="Arial" w:hAnsi="Arial" w:cs="Arial" w:eastAsia="Arial" w:hint="default"/>
                <w:sz w:val="18"/>
                <w:szCs w:val="18"/>
              </w:rPr>
            </w:pPr>
            <w:r>
              <w:rPr>
                <w:rFonts w:ascii="Arial"/>
                <w:sz w:val="18"/>
              </w:rPr>
              <w:t>%</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Arial" w:hAnsi="Arial" w:cs="Arial" w:eastAsia="Arial" w:hint="default"/>
                <w:sz w:val="18"/>
                <w:szCs w:val="18"/>
              </w:rPr>
            </w:pPr>
            <w:r>
              <w:rPr>
                <w:rFonts w:ascii="Arial"/>
                <w:sz w:val="18"/>
              </w:rPr>
              <w:t>27,987,1</w:t>
            </w:r>
          </w:p>
          <w:p>
            <w:pPr>
              <w:pStyle w:val="TableParagraph"/>
              <w:spacing w:line="240" w:lineRule="auto" w:before="105"/>
              <w:ind w:left="279" w:right="0"/>
              <w:jc w:val="left"/>
              <w:rPr>
                <w:rFonts w:ascii="Arial" w:hAnsi="Arial" w:cs="Arial" w:eastAsia="Arial" w:hint="default"/>
                <w:sz w:val="18"/>
                <w:szCs w:val="18"/>
              </w:rPr>
            </w:pPr>
            <w:r>
              <w:rPr>
                <w:rFonts w:ascii="Arial"/>
                <w:sz w:val="18"/>
              </w:rPr>
              <w:t>40.73</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13.67%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center"/>
              <w:rPr>
                <w:rFonts w:ascii="Arial" w:hAnsi="Arial" w:cs="Arial" w:eastAsia="Arial" w:hint="default"/>
                <w:sz w:val="18"/>
                <w:szCs w:val="18"/>
              </w:rPr>
            </w:pPr>
            <w:r>
              <w:rPr>
                <w:rFonts w:ascii="Arial"/>
                <w:sz w:val="18"/>
              </w:rPr>
              <w:t>176,705,</w:t>
            </w:r>
          </w:p>
          <w:p>
            <w:pPr>
              <w:pStyle w:val="TableParagraph"/>
              <w:spacing w:line="240" w:lineRule="auto" w:before="105"/>
              <w:ind w:left="180" w:right="0"/>
              <w:jc w:val="center"/>
              <w:rPr>
                <w:rFonts w:ascii="Arial" w:hAnsi="Arial" w:cs="Arial" w:eastAsia="Arial" w:hint="default"/>
                <w:sz w:val="18"/>
                <w:szCs w:val="18"/>
              </w:rPr>
            </w:pPr>
            <w:r>
              <w:rPr>
                <w:rFonts w:ascii="Arial"/>
                <w:sz w:val="18"/>
              </w:rPr>
              <w:t>675.62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 w:right="0"/>
              <w:jc w:val="center"/>
              <w:rPr>
                <w:rFonts w:ascii="Arial" w:hAnsi="Arial" w:cs="Arial" w:eastAsia="Arial" w:hint="default"/>
                <w:sz w:val="18"/>
                <w:szCs w:val="18"/>
              </w:rPr>
            </w:pPr>
            <w:r>
              <w:rPr>
                <w:rFonts w:ascii="Arial"/>
                <w:sz w:val="18"/>
              </w:rPr>
              <w:t>201,946,</w:t>
            </w:r>
          </w:p>
          <w:p>
            <w:pPr>
              <w:pStyle w:val="TableParagraph"/>
              <w:spacing w:line="240" w:lineRule="auto" w:before="105"/>
              <w:ind w:left="168" w:right="0"/>
              <w:jc w:val="center"/>
              <w:rPr>
                <w:rFonts w:ascii="Arial" w:hAnsi="Arial" w:cs="Arial" w:eastAsia="Arial" w:hint="default"/>
                <w:sz w:val="18"/>
                <w:szCs w:val="18"/>
              </w:rPr>
            </w:pPr>
            <w:r>
              <w:rPr>
                <w:rFonts w:ascii="Arial"/>
                <w:sz w:val="18"/>
              </w:rPr>
              <w:t>617.69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3" w:right="0"/>
              <w:jc w:val="left"/>
              <w:rPr>
                <w:rFonts w:ascii="Arial" w:hAnsi="Arial" w:cs="Arial" w:eastAsia="Arial" w:hint="default"/>
                <w:sz w:val="18"/>
                <w:szCs w:val="18"/>
              </w:rPr>
            </w:pPr>
            <w:r>
              <w:rPr>
                <w:rFonts w:ascii="Arial"/>
                <w:sz w:val="18"/>
              </w:rPr>
              <w:t>23,520,8</w:t>
            </w:r>
          </w:p>
          <w:p>
            <w:pPr>
              <w:pStyle w:val="TableParagraph"/>
              <w:spacing w:line="240" w:lineRule="auto" w:before="105"/>
              <w:ind w:left="314" w:right="0"/>
              <w:jc w:val="left"/>
              <w:rPr>
                <w:rFonts w:ascii="Arial" w:hAnsi="Arial" w:cs="Arial" w:eastAsia="Arial" w:hint="default"/>
                <w:sz w:val="18"/>
                <w:szCs w:val="18"/>
              </w:rPr>
            </w:pPr>
            <w:r>
              <w:rPr>
                <w:rFonts w:ascii="Arial"/>
                <w:sz w:val="18"/>
              </w:rPr>
              <w:t>96.64</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33"/>
              <w:jc w:val="right"/>
              <w:rPr>
                <w:rFonts w:ascii="Arial" w:hAnsi="Arial" w:cs="Arial" w:eastAsia="Arial" w:hint="default"/>
                <w:sz w:val="18"/>
                <w:szCs w:val="18"/>
              </w:rPr>
            </w:pPr>
            <w:r>
              <w:rPr>
                <w:rFonts w:ascii="Arial"/>
                <w:spacing w:val="-3"/>
                <w:sz w:val="18"/>
              </w:rPr>
              <w:t>11.65%</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6" w:right="0"/>
              <w:jc w:val="left"/>
              <w:rPr>
                <w:rFonts w:ascii="Arial" w:hAnsi="Arial" w:cs="Arial" w:eastAsia="Arial" w:hint="default"/>
                <w:sz w:val="18"/>
                <w:szCs w:val="18"/>
              </w:rPr>
            </w:pPr>
            <w:r>
              <w:rPr>
                <w:rFonts w:ascii="Arial"/>
                <w:sz w:val="18"/>
              </w:rPr>
              <w:t>178,425,7</w:t>
            </w:r>
          </w:p>
          <w:p>
            <w:pPr>
              <w:pStyle w:val="TableParagraph"/>
              <w:spacing w:line="240" w:lineRule="auto" w:before="105"/>
              <w:ind w:left="437" w:right="0"/>
              <w:jc w:val="left"/>
              <w:rPr>
                <w:rFonts w:ascii="Arial" w:hAnsi="Arial" w:cs="Arial" w:eastAsia="Arial" w:hint="default"/>
                <w:sz w:val="18"/>
                <w:szCs w:val="18"/>
              </w:rPr>
            </w:pPr>
            <w:r>
              <w:rPr>
                <w:rFonts w:ascii="Arial"/>
                <w:sz w:val="18"/>
              </w:rPr>
              <w:t>21.05</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5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2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1"/>
              <w:jc w:val="left"/>
              <w:rPr>
                <w:rFonts w:ascii="宋体" w:hAnsi="宋体" w:cs="宋体" w:eastAsia="宋体" w:hint="default"/>
                <w:sz w:val="18"/>
                <w:szCs w:val="18"/>
              </w:rPr>
            </w:pPr>
            <w:r>
              <w:rPr>
                <w:rFonts w:ascii="宋体" w:hAnsi="宋体" w:cs="宋体" w:eastAsia="宋体" w:hint="default"/>
                <w:spacing w:val="-5"/>
                <w:sz w:val="18"/>
                <w:szCs w:val="18"/>
              </w:rPr>
              <w:t>应收政府部门、事业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单位客户</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9" w:right="0"/>
              <w:jc w:val="left"/>
              <w:rPr>
                <w:rFonts w:ascii="Arial" w:hAnsi="Arial" w:cs="Arial" w:eastAsia="Arial" w:hint="default"/>
                <w:sz w:val="18"/>
                <w:szCs w:val="18"/>
              </w:rPr>
            </w:pPr>
            <w:r>
              <w:rPr>
                <w:rFonts w:ascii="Arial"/>
                <w:sz w:val="18"/>
              </w:rPr>
              <w:t>96,098,9</w:t>
            </w:r>
          </w:p>
          <w:p>
            <w:pPr>
              <w:pStyle w:val="TableParagraph"/>
              <w:spacing w:line="240" w:lineRule="auto" w:before="105"/>
              <w:ind w:left="280" w:right="0"/>
              <w:jc w:val="left"/>
              <w:rPr>
                <w:rFonts w:ascii="Arial" w:hAnsi="Arial" w:cs="Arial" w:eastAsia="Arial" w:hint="default"/>
                <w:sz w:val="18"/>
                <w:szCs w:val="18"/>
              </w:rPr>
            </w:pPr>
            <w:r>
              <w:rPr>
                <w:rFonts w:ascii="Arial"/>
                <w:sz w:val="18"/>
              </w:rPr>
              <w:t>02.48</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46.95%</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Arial" w:hAnsi="Arial" w:cs="Arial" w:eastAsia="Arial" w:hint="default"/>
                <w:sz w:val="18"/>
                <w:szCs w:val="18"/>
              </w:rPr>
            </w:pPr>
            <w:r>
              <w:rPr>
                <w:rFonts w:ascii="Arial"/>
                <w:sz w:val="18"/>
              </w:rPr>
              <w:t>16,400,1</w:t>
            </w:r>
          </w:p>
          <w:p>
            <w:pPr>
              <w:pStyle w:val="TableParagraph"/>
              <w:spacing w:line="240" w:lineRule="auto" w:before="105"/>
              <w:ind w:left="279" w:right="0"/>
              <w:jc w:val="left"/>
              <w:rPr>
                <w:rFonts w:ascii="Arial" w:hAnsi="Arial" w:cs="Arial" w:eastAsia="Arial" w:hint="default"/>
                <w:sz w:val="18"/>
                <w:szCs w:val="18"/>
              </w:rPr>
            </w:pPr>
            <w:r>
              <w:rPr>
                <w:rFonts w:ascii="Arial"/>
                <w:sz w:val="18"/>
              </w:rPr>
              <w:t>58.88</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17.07%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5" w:right="0"/>
              <w:jc w:val="left"/>
              <w:rPr>
                <w:rFonts w:ascii="Arial" w:hAnsi="Arial" w:cs="Arial" w:eastAsia="Arial" w:hint="default"/>
                <w:sz w:val="18"/>
                <w:szCs w:val="18"/>
              </w:rPr>
            </w:pPr>
            <w:r>
              <w:rPr>
                <w:rFonts w:ascii="Arial"/>
                <w:sz w:val="18"/>
              </w:rPr>
              <w:t>79,698,7</w:t>
            </w:r>
          </w:p>
          <w:p>
            <w:pPr>
              <w:pStyle w:val="TableParagraph"/>
              <w:spacing w:line="240" w:lineRule="auto" w:before="105"/>
              <w:ind w:left="306" w:right="0"/>
              <w:jc w:val="left"/>
              <w:rPr>
                <w:rFonts w:ascii="Arial" w:hAnsi="Arial" w:cs="Arial" w:eastAsia="Arial" w:hint="default"/>
                <w:sz w:val="18"/>
                <w:szCs w:val="18"/>
              </w:rPr>
            </w:pPr>
            <w:r>
              <w:rPr>
                <w:rFonts w:ascii="Arial"/>
                <w:sz w:val="18"/>
              </w:rPr>
              <w:t>43.60</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2" w:right="0"/>
              <w:jc w:val="left"/>
              <w:rPr>
                <w:rFonts w:ascii="Arial" w:hAnsi="Arial" w:cs="Arial" w:eastAsia="Arial" w:hint="default"/>
                <w:sz w:val="18"/>
                <w:szCs w:val="18"/>
              </w:rPr>
            </w:pPr>
            <w:r>
              <w:rPr>
                <w:rFonts w:ascii="Arial"/>
                <w:sz w:val="18"/>
              </w:rPr>
              <w:t>86,670,7</w:t>
            </w:r>
          </w:p>
          <w:p>
            <w:pPr>
              <w:pStyle w:val="TableParagraph"/>
              <w:spacing w:line="240" w:lineRule="auto" w:before="105"/>
              <w:ind w:left="292" w:right="0"/>
              <w:jc w:val="left"/>
              <w:rPr>
                <w:rFonts w:ascii="Arial" w:hAnsi="Arial" w:cs="Arial" w:eastAsia="Arial" w:hint="default"/>
                <w:sz w:val="18"/>
                <w:szCs w:val="18"/>
              </w:rPr>
            </w:pPr>
            <w:r>
              <w:rPr>
                <w:rFonts w:ascii="Arial"/>
                <w:sz w:val="18"/>
              </w:rPr>
              <w:t>92.39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42.92%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left"/>
              <w:rPr>
                <w:rFonts w:ascii="Arial" w:hAnsi="Arial" w:cs="Arial" w:eastAsia="Arial" w:hint="default"/>
                <w:sz w:val="18"/>
                <w:szCs w:val="18"/>
              </w:rPr>
            </w:pPr>
            <w:r>
              <w:rPr>
                <w:rFonts w:ascii="Arial"/>
                <w:sz w:val="18"/>
              </w:rPr>
              <w:t>10,845,1</w:t>
            </w:r>
          </w:p>
          <w:p>
            <w:pPr>
              <w:pStyle w:val="TableParagraph"/>
              <w:spacing w:line="240" w:lineRule="auto" w:before="105"/>
              <w:ind w:left="314" w:right="0"/>
              <w:jc w:val="left"/>
              <w:rPr>
                <w:rFonts w:ascii="Arial" w:hAnsi="Arial" w:cs="Arial" w:eastAsia="Arial" w:hint="default"/>
                <w:sz w:val="18"/>
                <w:szCs w:val="18"/>
              </w:rPr>
            </w:pPr>
            <w:r>
              <w:rPr>
                <w:rFonts w:ascii="Arial"/>
                <w:sz w:val="18"/>
              </w:rPr>
              <w:t>12.49</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33"/>
              <w:jc w:val="right"/>
              <w:rPr>
                <w:rFonts w:ascii="Arial" w:hAnsi="Arial" w:cs="Arial" w:eastAsia="Arial" w:hint="default"/>
                <w:sz w:val="18"/>
                <w:szCs w:val="18"/>
              </w:rPr>
            </w:pPr>
            <w:r>
              <w:rPr>
                <w:rFonts w:ascii="Arial"/>
                <w:spacing w:val="-1"/>
                <w:sz w:val="18"/>
              </w:rPr>
              <w:t>12.51%</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6" w:right="0"/>
              <w:jc w:val="left"/>
              <w:rPr>
                <w:rFonts w:ascii="Arial" w:hAnsi="Arial" w:cs="Arial" w:eastAsia="Arial" w:hint="default"/>
                <w:sz w:val="18"/>
                <w:szCs w:val="18"/>
              </w:rPr>
            </w:pPr>
            <w:r>
              <w:rPr>
                <w:rFonts w:ascii="Arial"/>
                <w:sz w:val="18"/>
              </w:rPr>
              <w:t>75,825,67</w:t>
            </w:r>
          </w:p>
          <w:p>
            <w:pPr>
              <w:pStyle w:val="TableParagraph"/>
              <w:spacing w:line="240" w:lineRule="auto" w:before="105"/>
              <w:ind w:left="536" w:right="0"/>
              <w:jc w:val="left"/>
              <w:rPr>
                <w:rFonts w:ascii="Arial" w:hAnsi="Arial" w:cs="Arial" w:eastAsia="Arial" w:hint="default"/>
                <w:sz w:val="18"/>
                <w:szCs w:val="18"/>
              </w:rPr>
            </w:pPr>
            <w:r>
              <w:rPr>
                <w:rFonts w:ascii="Arial"/>
                <w:sz w:val="18"/>
              </w:rPr>
              <w:t>9.90</w:t>
            </w: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应收其他客户</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Arial" w:hAnsi="Arial" w:cs="Arial" w:eastAsia="Arial" w:hint="default"/>
                <w:sz w:val="18"/>
                <w:szCs w:val="18"/>
              </w:rPr>
            </w:pPr>
            <w:r>
              <w:rPr>
                <w:rFonts w:ascii="Arial"/>
                <w:sz w:val="18"/>
              </w:rPr>
              <w:t>108,593,</w:t>
            </w:r>
          </w:p>
          <w:p>
            <w:pPr>
              <w:pStyle w:val="TableParagraph"/>
              <w:spacing w:line="240" w:lineRule="auto" w:before="105"/>
              <w:ind w:left="155" w:right="0"/>
              <w:jc w:val="center"/>
              <w:rPr>
                <w:rFonts w:ascii="Arial" w:hAnsi="Arial" w:cs="Arial" w:eastAsia="Arial" w:hint="default"/>
                <w:sz w:val="18"/>
                <w:szCs w:val="18"/>
              </w:rPr>
            </w:pPr>
            <w:r>
              <w:rPr>
                <w:rFonts w:ascii="Arial"/>
                <w:sz w:val="18"/>
              </w:rPr>
              <w:t>913.87</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53.05%</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1" w:right="0"/>
              <w:jc w:val="left"/>
              <w:rPr>
                <w:rFonts w:ascii="Arial" w:hAnsi="Arial" w:cs="Arial" w:eastAsia="Arial" w:hint="default"/>
                <w:sz w:val="18"/>
                <w:szCs w:val="18"/>
              </w:rPr>
            </w:pPr>
            <w:r>
              <w:rPr>
                <w:rFonts w:ascii="Arial"/>
                <w:sz w:val="18"/>
              </w:rPr>
              <w:t>11,586,9</w:t>
            </w:r>
          </w:p>
          <w:p>
            <w:pPr>
              <w:pStyle w:val="TableParagraph"/>
              <w:spacing w:line="240" w:lineRule="auto" w:before="105"/>
              <w:ind w:left="279" w:right="0"/>
              <w:jc w:val="left"/>
              <w:rPr>
                <w:rFonts w:ascii="Arial" w:hAnsi="Arial" w:cs="Arial" w:eastAsia="Arial" w:hint="default"/>
                <w:sz w:val="18"/>
                <w:szCs w:val="18"/>
              </w:rPr>
            </w:pPr>
            <w:r>
              <w:rPr>
                <w:rFonts w:ascii="Arial"/>
                <w:sz w:val="18"/>
              </w:rPr>
              <w:t>81.85</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10.67%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55" w:right="0"/>
              <w:jc w:val="left"/>
              <w:rPr>
                <w:rFonts w:ascii="Arial" w:hAnsi="Arial" w:cs="Arial" w:eastAsia="Arial" w:hint="default"/>
                <w:sz w:val="18"/>
                <w:szCs w:val="18"/>
              </w:rPr>
            </w:pPr>
            <w:r>
              <w:rPr>
                <w:rFonts w:ascii="Arial"/>
                <w:sz w:val="18"/>
              </w:rPr>
              <w:t>97,006,9</w:t>
            </w:r>
          </w:p>
          <w:p>
            <w:pPr>
              <w:pStyle w:val="TableParagraph"/>
              <w:spacing w:line="240" w:lineRule="auto" w:before="105"/>
              <w:ind w:left="306" w:right="0"/>
              <w:jc w:val="left"/>
              <w:rPr>
                <w:rFonts w:ascii="Arial" w:hAnsi="Arial" w:cs="Arial" w:eastAsia="Arial" w:hint="default"/>
                <w:sz w:val="18"/>
                <w:szCs w:val="18"/>
              </w:rPr>
            </w:pPr>
            <w:r>
              <w:rPr>
                <w:rFonts w:ascii="Arial"/>
                <w:sz w:val="18"/>
              </w:rPr>
              <w:t>32.02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30" w:right="0"/>
              <w:jc w:val="center"/>
              <w:rPr>
                <w:rFonts w:ascii="Arial" w:hAnsi="Arial" w:cs="Arial" w:eastAsia="Arial" w:hint="default"/>
                <w:sz w:val="18"/>
                <w:szCs w:val="18"/>
              </w:rPr>
            </w:pPr>
            <w:r>
              <w:rPr>
                <w:rFonts w:ascii="Arial"/>
                <w:spacing w:val="-3"/>
                <w:sz w:val="18"/>
              </w:rPr>
              <w:t>115,275,</w:t>
            </w:r>
            <w:r>
              <w:rPr>
                <w:rFonts w:ascii="Arial"/>
                <w:sz w:val="18"/>
              </w:rPr>
            </w:r>
          </w:p>
          <w:p>
            <w:pPr>
              <w:pStyle w:val="TableParagraph"/>
              <w:spacing w:line="240" w:lineRule="auto" w:before="105"/>
              <w:ind w:left="168" w:right="0"/>
              <w:jc w:val="center"/>
              <w:rPr>
                <w:rFonts w:ascii="Arial" w:hAnsi="Arial" w:cs="Arial" w:eastAsia="Arial" w:hint="default"/>
                <w:sz w:val="18"/>
                <w:szCs w:val="18"/>
              </w:rPr>
            </w:pPr>
            <w:r>
              <w:rPr>
                <w:rFonts w:ascii="Arial"/>
                <w:sz w:val="18"/>
              </w:rPr>
              <w:t>825.30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57.08%</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3" w:right="0"/>
              <w:jc w:val="left"/>
              <w:rPr>
                <w:rFonts w:ascii="Arial" w:hAnsi="Arial" w:cs="Arial" w:eastAsia="Arial" w:hint="default"/>
                <w:sz w:val="18"/>
                <w:szCs w:val="18"/>
              </w:rPr>
            </w:pPr>
            <w:r>
              <w:rPr>
                <w:rFonts w:ascii="Arial"/>
                <w:sz w:val="18"/>
              </w:rPr>
              <w:t>12,675,7</w:t>
            </w:r>
          </w:p>
          <w:p>
            <w:pPr>
              <w:pStyle w:val="TableParagraph"/>
              <w:spacing w:line="240" w:lineRule="auto" w:before="105"/>
              <w:ind w:left="314" w:right="0"/>
              <w:jc w:val="left"/>
              <w:rPr>
                <w:rFonts w:ascii="Arial" w:hAnsi="Arial" w:cs="Arial" w:eastAsia="Arial" w:hint="default"/>
                <w:sz w:val="18"/>
                <w:szCs w:val="18"/>
              </w:rPr>
            </w:pPr>
            <w:r>
              <w:rPr>
                <w:rFonts w:ascii="Arial"/>
                <w:sz w:val="18"/>
              </w:rPr>
              <w:t>84.15</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33"/>
              <w:jc w:val="right"/>
              <w:rPr>
                <w:rFonts w:ascii="Arial" w:hAnsi="Arial" w:cs="Arial" w:eastAsia="Arial" w:hint="default"/>
                <w:sz w:val="18"/>
                <w:szCs w:val="18"/>
              </w:rPr>
            </w:pPr>
            <w:r>
              <w:rPr>
                <w:rFonts w:ascii="Arial"/>
                <w:spacing w:val="-3"/>
                <w:sz w:val="18"/>
              </w:rPr>
              <w:t>11.00%</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6" w:right="0"/>
              <w:jc w:val="left"/>
              <w:rPr>
                <w:rFonts w:ascii="Arial" w:hAnsi="Arial" w:cs="Arial" w:eastAsia="Arial" w:hint="default"/>
                <w:sz w:val="18"/>
                <w:szCs w:val="18"/>
              </w:rPr>
            </w:pPr>
            <w:r>
              <w:rPr>
                <w:rFonts w:ascii="Arial"/>
                <w:sz w:val="18"/>
              </w:rPr>
              <w:t>102,600,0</w:t>
            </w:r>
          </w:p>
          <w:p>
            <w:pPr>
              <w:pStyle w:val="TableParagraph"/>
              <w:spacing w:line="240" w:lineRule="auto" w:before="105"/>
              <w:ind w:left="437" w:right="0"/>
              <w:jc w:val="left"/>
              <w:rPr>
                <w:rFonts w:ascii="Arial" w:hAnsi="Arial" w:cs="Arial" w:eastAsia="Arial" w:hint="default"/>
                <w:sz w:val="18"/>
                <w:szCs w:val="18"/>
              </w:rPr>
            </w:pPr>
            <w:r>
              <w:rPr>
                <w:rFonts w:ascii="Arial"/>
                <w:sz w:val="18"/>
              </w:rPr>
              <w:t>41.15</w:t>
            </w:r>
          </w:p>
        </w:tc>
      </w:tr>
      <w:tr>
        <w:trPr>
          <w:trHeight w:val="715" w:hRule="exact"/>
        </w:trPr>
        <w:tc>
          <w:tcPr>
            <w:tcW w:w="16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 w:right="0"/>
              <w:jc w:val="center"/>
              <w:rPr>
                <w:rFonts w:ascii="Arial" w:hAnsi="Arial" w:cs="Arial" w:eastAsia="Arial" w:hint="default"/>
                <w:sz w:val="18"/>
                <w:szCs w:val="18"/>
              </w:rPr>
            </w:pPr>
            <w:r>
              <w:rPr>
                <w:rFonts w:ascii="Arial"/>
                <w:sz w:val="18"/>
              </w:rPr>
              <w:t>204,692,</w:t>
            </w:r>
          </w:p>
          <w:p>
            <w:pPr>
              <w:pStyle w:val="TableParagraph"/>
              <w:spacing w:line="240" w:lineRule="auto" w:before="105"/>
              <w:ind w:left="155" w:right="0"/>
              <w:jc w:val="center"/>
              <w:rPr>
                <w:rFonts w:ascii="Arial" w:hAnsi="Arial" w:cs="Arial" w:eastAsia="Arial" w:hint="default"/>
                <w:sz w:val="18"/>
                <w:szCs w:val="18"/>
              </w:rPr>
            </w:pPr>
            <w:r>
              <w:rPr>
                <w:rFonts w:ascii="Arial"/>
                <w:sz w:val="18"/>
              </w:rPr>
              <w:t>816.35</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100.00</w:t>
            </w:r>
          </w:p>
          <w:p>
            <w:pPr>
              <w:pStyle w:val="TableParagraph"/>
              <w:spacing w:line="240" w:lineRule="auto" w:before="105"/>
              <w:ind w:right="20"/>
              <w:jc w:val="right"/>
              <w:rPr>
                <w:rFonts w:ascii="Arial" w:hAnsi="Arial" w:cs="Arial" w:eastAsia="Arial" w:hint="default"/>
                <w:sz w:val="18"/>
                <w:szCs w:val="18"/>
              </w:rPr>
            </w:pPr>
            <w:r>
              <w:rPr>
                <w:rFonts w:ascii="Arial"/>
                <w:sz w:val="18"/>
              </w:rPr>
              <w:t>%</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left"/>
              <w:rPr>
                <w:rFonts w:ascii="Arial" w:hAnsi="Arial" w:cs="Arial" w:eastAsia="Arial" w:hint="default"/>
                <w:sz w:val="18"/>
                <w:szCs w:val="18"/>
              </w:rPr>
            </w:pPr>
            <w:r>
              <w:rPr>
                <w:rFonts w:ascii="Arial"/>
                <w:sz w:val="18"/>
              </w:rPr>
              <w:t>27,987,1</w:t>
            </w:r>
          </w:p>
          <w:p>
            <w:pPr>
              <w:pStyle w:val="TableParagraph"/>
              <w:spacing w:line="240" w:lineRule="auto" w:before="105"/>
              <w:ind w:left="279" w:right="0"/>
              <w:jc w:val="left"/>
              <w:rPr>
                <w:rFonts w:ascii="Arial" w:hAnsi="Arial" w:cs="Arial" w:eastAsia="Arial" w:hint="default"/>
                <w:sz w:val="18"/>
                <w:szCs w:val="18"/>
              </w:rPr>
            </w:pPr>
            <w:r>
              <w:rPr>
                <w:rFonts w:ascii="Arial"/>
                <w:sz w:val="18"/>
              </w:rPr>
              <w:t>40.73</w:t>
            </w:r>
          </w:p>
        </w:tc>
        <w:tc>
          <w:tcPr>
            <w:tcW w:w="7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13.67%</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8" w:right="0"/>
              <w:jc w:val="center"/>
              <w:rPr>
                <w:rFonts w:ascii="Arial" w:hAnsi="Arial" w:cs="Arial" w:eastAsia="Arial" w:hint="default"/>
                <w:sz w:val="18"/>
                <w:szCs w:val="18"/>
              </w:rPr>
            </w:pPr>
            <w:r>
              <w:rPr>
                <w:rFonts w:ascii="Arial"/>
                <w:sz w:val="18"/>
              </w:rPr>
              <w:t>176,705,</w:t>
            </w:r>
          </w:p>
          <w:p>
            <w:pPr>
              <w:pStyle w:val="TableParagraph"/>
              <w:spacing w:line="240" w:lineRule="auto" w:before="105"/>
              <w:ind w:left="180" w:right="0"/>
              <w:jc w:val="center"/>
              <w:rPr>
                <w:rFonts w:ascii="Arial" w:hAnsi="Arial" w:cs="Arial" w:eastAsia="Arial" w:hint="default"/>
                <w:sz w:val="18"/>
                <w:szCs w:val="18"/>
              </w:rPr>
            </w:pPr>
            <w:r>
              <w:rPr>
                <w:rFonts w:ascii="Arial"/>
                <w:sz w:val="18"/>
              </w:rPr>
              <w:t>675.62</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6" w:right="0"/>
              <w:jc w:val="center"/>
              <w:rPr>
                <w:rFonts w:ascii="Arial" w:hAnsi="Arial" w:cs="Arial" w:eastAsia="Arial" w:hint="default"/>
                <w:sz w:val="18"/>
                <w:szCs w:val="18"/>
              </w:rPr>
            </w:pPr>
            <w:r>
              <w:rPr>
                <w:rFonts w:ascii="Arial"/>
                <w:sz w:val="18"/>
              </w:rPr>
              <w:t>201,946,</w:t>
            </w:r>
          </w:p>
          <w:p>
            <w:pPr>
              <w:pStyle w:val="TableParagraph"/>
              <w:spacing w:line="240" w:lineRule="auto" w:before="105"/>
              <w:ind w:left="168" w:right="0"/>
              <w:jc w:val="center"/>
              <w:rPr>
                <w:rFonts w:ascii="Arial" w:hAnsi="Arial" w:cs="Arial" w:eastAsia="Arial" w:hint="default"/>
                <w:sz w:val="18"/>
                <w:szCs w:val="18"/>
              </w:rPr>
            </w:pPr>
            <w:r>
              <w:rPr>
                <w:rFonts w:ascii="Arial"/>
                <w:sz w:val="18"/>
              </w:rPr>
              <w:t>617.69</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3" w:right="0"/>
              <w:jc w:val="left"/>
              <w:rPr>
                <w:rFonts w:ascii="Arial" w:hAnsi="Arial" w:cs="Arial" w:eastAsia="Arial" w:hint="default"/>
                <w:sz w:val="18"/>
                <w:szCs w:val="18"/>
              </w:rPr>
            </w:pPr>
            <w:r>
              <w:rPr>
                <w:rFonts w:ascii="Arial"/>
                <w:sz w:val="18"/>
              </w:rPr>
              <w:t>23,520,8</w:t>
            </w:r>
          </w:p>
          <w:p>
            <w:pPr>
              <w:pStyle w:val="TableParagraph"/>
              <w:spacing w:line="240" w:lineRule="auto" w:before="105"/>
              <w:ind w:left="314" w:right="0"/>
              <w:jc w:val="left"/>
              <w:rPr>
                <w:rFonts w:ascii="Arial" w:hAnsi="Arial" w:cs="Arial" w:eastAsia="Arial" w:hint="default"/>
                <w:sz w:val="18"/>
                <w:szCs w:val="18"/>
              </w:rPr>
            </w:pPr>
            <w:r>
              <w:rPr>
                <w:rFonts w:ascii="Arial"/>
                <w:sz w:val="18"/>
              </w:rPr>
              <w:t>96.64</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33"/>
              <w:jc w:val="right"/>
              <w:rPr>
                <w:rFonts w:ascii="Arial" w:hAnsi="Arial" w:cs="Arial" w:eastAsia="Arial" w:hint="default"/>
                <w:sz w:val="18"/>
                <w:szCs w:val="18"/>
              </w:rPr>
            </w:pPr>
            <w:r>
              <w:rPr>
                <w:rFonts w:ascii="Arial"/>
                <w:spacing w:val="-3"/>
                <w:sz w:val="18"/>
              </w:rPr>
              <w:t>11.65%</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86" w:right="0"/>
              <w:jc w:val="left"/>
              <w:rPr>
                <w:rFonts w:ascii="Arial" w:hAnsi="Arial" w:cs="Arial" w:eastAsia="Arial" w:hint="default"/>
                <w:sz w:val="18"/>
                <w:szCs w:val="18"/>
              </w:rPr>
            </w:pPr>
            <w:r>
              <w:rPr>
                <w:rFonts w:ascii="Arial"/>
                <w:sz w:val="18"/>
              </w:rPr>
              <w:t>178,425,7</w:t>
            </w:r>
          </w:p>
          <w:p>
            <w:pPr>
              <w:pStyle w:val="TableParagraph"/>
              <w:spacing w:line="240" w:lineRule="auto" w:before="105"/>
              <w:ind w:left="437" w:right="0"/>
              <w:jc w:val="left"/>
              <w:rPr>
                <w:rFonts w:ascii="Arial" w:hAnsi="Arial" w:cs="Arial" w:eastAsia="Arial" w:hint="default"/>
                <w:sz w:val="18"/>
                <w:szCs w:val="18"/>
              </w:rPr>
            </w:pPr>
            <w:r>
              <w:rPr>
                <w:rFonts w:ascii="Arial"/>
                <w:sz w:val="18"/>
              </w:rPr>
              <w:t>21.05</w:t>
            </w:r>
          </w:p>
        </w:tc>
      </w:tr>
    </w:tbl>
    <w:p>
      <w:pPr>
        <w:pStyle w:val="BodyText"/>
        <w:spacing w:line="240" w:lineRule="auto" w:before="51"/>
        <w:ind w:right="2239"/>
        <w:jc w:val="left"/>
      </w:pPr>
      <w:r>
        <w:rPr/>
        <w:t>按单项计提坏账准备：</w:t>
      </w:r>
    </w:p>
    <w:p>
      <w:pPr>
        <w:pStyle w:val="BodyText"/>
        <w:spacing w:line="240" w:lineRule="auto" w:before="116"/>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886"/>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30"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6"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1"/>
        <w:ind w:right="2239"/>
        <w:jc w:val="left"/>
      </w:pPr>
      <w:r>
        <w:rPr/>
        <w:t>按组合计提坏账准备：应收政府部门、事业单位客户</w:t>
      </w:r>
    </w:p>
    <w:p>
      <w:pPr>
        <w:pStyle w:val="BodyText"/>
        <w:spacing w:line="240" w:lineRule="auto" w:before="117"/>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58,870,098.63</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4,120,906.90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7.00%</w:t>
            </w:r>
            <w:r>
              <w:rPr>
                <w:rFonts w:ascii="Arial"/>
                <w:w w:val="95"/>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2</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21,562,472.49</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3,980,432.42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18.46%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7"/>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9,335,459.50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3,913,424.62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41.92%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6,330,871.86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4,385,394.94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69.27%</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96,098,902.48</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16,400,158.88</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Arial" w:hAnsi="Arial" w:cs="Arial" w:eastAsia="Arial" w:hint="default"/>
                <w:sz w:val="18"/>
                <w:szCs w:val="18"/>
              </w:rPr>
            </w:pPr>
            <w:r>
              <w:rPr>
                <w:rFonts w:ascii="Arial"/>
                <w:sz w:val="18"/>
              </w:rPr>
              <w:t>--</w:t>
            </w:r>
          </w:p>
        </w:tc>
      </w:tr>
    </w:tbl>
    <w:p>
      <w:pPr>
        <w:spacing w:after="0" w:line="240" w:lineRule="auto"/>
        <w:jc w:val="center"/>
        <w:rPr>
          <w:rFonts w:ascii="Arial" w:hAnsi="Arial" w:cs="Arial" w:eastAsia="Arial" w:hint="default"/>
          <w:sz w:val="18"/>
          <w:szCs w:val="18"/>
        </w:rPr>
        <w:sectPr>
          <w:pgSz w:w="11910" w:h="16840"/>
          <w:pgMar w:header="747" w:footer="982" w:top="1060" w:bottom="1180" w:left="980" w:right="0"/>
        </w:sectPr>
      </w:pPr>
    </w:p>
    <w:p>
      <w:pPr>
        <w:pStyle w:val="BodyText"/>
        <w:spacing w:line="360" w:lineRule="auto" w:before="51"/>
        <w:ind w:left="153" w:right="-19"/>
        <w:jc w:val="left"/>
      </w:pPr>
      <w:r>
        <w:rPr/>
        <w:t>确定该组合依据的说明： 无。 按组合计提坏账准备： 应收其他客户</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0"/>
          <w:cols w:num="2" w:equalWidth="0">
            <w:col w:w="2135" w:space="6694"/>
            <w:col w:w="2101"/>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71,589,459.98</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1,582,127.07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2.21%</w:t>
            </w:r>
            <w:r>
              <w:rPr>
                <w:rFonts w:ascii="Arial"/>
                <w:w w:val="95"/>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2</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25,750,809.61</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3,541,122.46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13.75%</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7"/>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3,745,513.97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665,203.28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17.76%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7,508,130.31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5,798,529.04</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77.23%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108,593,913.87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2"/>
                <w:sz w:val="18"/>
              </w:rPr>
              <w:t>11,586,981.85</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Arial" w:hAnsi="Arial" w:cs="Arial" w:eastAsia="Arial" w:hint="default"/>
                <w:sz w:val="18"/>
                <w:szCs w:val="18"/>
              </w:rPr>
            </w:pPr>
            <w:r>
              <w:rPr>
                <w:rFonts w:ascii="Arial"/>
                <w:sz w:val="18"/>
              </w:rPr>
              <w:t>--</w:t>
            </w:r>
          </w:p>
        </w:tc>
      </w:tr>
    </w:tbl>
    <w:p>
      <w:pPr>
        <w:spacing w:after="0" w:line="240" w:lineRule="auto"/>
        <w:jc w:val="center"/>
        <w:rPr>
          <w:rFonts w:ascii="Arial" w:hAnsi="Arial" w:cs="Arial" w:eastAsia="Arial" w:hint="default"/>
          <w:sz w:val="18"/>
          <w:szCs w:val="18"/>
        </w:rPr>
        <w:sectPr>
          <w:pgSz w:w="11910" w:h="16840"/>
          <w:pgMar w:header="747" w:footer="982" w:top="1060" w:bottom="1180" w:left="980" w:right="0"/>
        </w:sectPr>
      </w:pPr>
    </w:p>
    <w:p>
      <w:pPr>
        <w:pStyle w:val="BodyText"/>
        <w:spacing w:line="360" w:lineRule="auto" w:before="51"/>
        <w:ind w:left="153" w:right="-19"/>
        <w:jc w:val="left"/>
      </w:pPr>
      <w:r>
        <w:rPr/>
        <w:t>确定该组合依据的说明： 无。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0"/>
          <w:cols w:num="2" w:equalWidth="0">
            <w:col w:w="2135" w:space="6694"/>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0" w:lineRule="auto" w:before="51"/>
        <w:ind w:left="153" w:right="1751"/>
        <w:jc w:val="left"/>
      </w:pPr>
      <w:r>
        <w:rPr/>
        <w:t>确定该组合依据的说明： 如是按照预期信用损失一般模型计提应收账款坏账准备，请参照其他应收款的披露方式披露坏账准备的相关信息：</w:t>
      </w:r>
    </w:p>
    <w:p>
      <w:pPr>
        <w:pStyle w:val="BodyText"/>
        <w:spacing w:line="340" w:lineRule="auto" w:before="26"/>
        <w:ind w:right="890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按账龄披露</w:t>
      </w:r>
    </w:p>
    <w:p>
      <w:pPr>
        <w:pStyle w:val="BodyText"/>
        <w:spacing w:line="240" w:lineRule="auto" w:before="40"/>
        <w:ind w:left="0" w:right="1129"/>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1"/>
        <w:gridCol w:w="4795"/>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47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130,459,558.61</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2</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47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47,313,282.10</w:t>
            </w:r>
            <w:r>
              <w:rPr>
                <w:rFonts w:ascii="Arial"/>
                <w:sz w:val="18"/>
              </w:rPr>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7"/>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47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13,080,973.47</w:t>
            </w:r>
            <w:r>
              <w:rPr>
                <w:rFonts w:ascii="Arial"/>
                <w:sz w:val="18"/>
              </w:rPr>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年以上</w:t>
            </w:r>
          </w:p>
        </w:tc>
        <w:tc>
          <w:tcPr>
            <w:tcW w:w="47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13,839,002.17</w:t>
            </w:r>
            <w:r>
              <w:rPr>
                <w:rFonts w:ascii="Arial"/>
                <w:sz w:val="18"/>
              </w:rPr>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91"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47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6,227,550.98</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91"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7"/>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5</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47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4,151,700.65</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91"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7"/>
                <w:sz w:val="18"/>
                <w:szCs w:val="18"/>
              </w:rPr>
              <w:t> </w:t>
            </w:r>
            <w:r>
              <w:rPr>
                <w:rFonts w:ascii="宋体" w:hAnsi="宋体" w:cs="宋体" w:eastAsia="宋体" w:hint="default"/>
                <w:sz w:val="18"/>
                <w:szCs w:val="18"/>
              </w:rPr>
              <w:t>年以上</w:t>
            </w:r>
          </w:p>
        </w:tc>
        <w:tc>
          <w:tcPr>
            <w:tcW w:w="47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3,459,750.54</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204,692,816.35</w:t>
            </w:r>
          </w:p>
        </w:tc>
      </w:tr>
    </w:tbl>
    <w:p>
      <w:pPr>
        <w:pStyle w:val="BodyText"/>
        <w:spacing w:line="240" w:lineRule="auto" w:before="51"/>
        <w:ind w:right="0"/>
        <w:jc w:val="left"/>
      </w:pPr>
      <w:r>
        <w:rPr/>
        <w:t>公司需要遵守《深圳证券交易所行业信息披露指引第</w:t>
      </w:r>
      <w:r>
        <w:rPr>
          <w:spacing w:val="-46"/>
        </w:rPr>
        <w:t> </w:t>
      </w:r>
      <w:r>
        <w:rPr>
          <w:rFonts w:ascii="Arial" w:hAnsi="Arial" w:cs="Arial" w:eastAsia="Arial" w:hint="default"/>
        </w:rPr>
        <w:t>12</w:t>
      </w:r>
      <w:r>
        <w:rPr>
          <w:rFonts w:ascii="Arial" w:hAnsi="Arial" w:cs="Arial" w:eastAsia="Arial" w:hint="default"/>
          <w:spacing w:val="-5"/>
        </w:rPr>
        <w:t> </w:t>
      </w:r>
      <w:r>
        <w:rPr/>
        <w:t>号</w:t>
      </w:r>
      <w:r>
        <w:rPr>
          <w:rFonts w:ascii="Arial" w:hAnsi="Arial" w:cs="Arial" w:eastAsia="Arial" w:hint="default"/>
        </w:rPr>
        <w:t>——</w:t>
      </w:r>
      <w:r>
        <w:rPr/>
        <w:t>上市公司从事软件与信息技术服务业务》的披露要求</w:t>
      </w:r>
    </w:p>
    <w:p>
      <w:pPr>
        <w:spacing w:line="240" w:lineRule="auto" w:before="10"/>
        <w:rPr>
          <w:rFonts w:ascii="宋体" w:hAnsi="宋体" w:cs="宋体" w:eastAsia="宋体" w:hint="default"/>
          <w:sz w:val="25"/>
          <w:szCs w:val="25"/>
        </w:rPr>
      </w:pPr>
    </w:p>
    <w:p>
      <w:pPr>
        <w:pStyle w:val="Heading4"/>
        <w:spacing w:line="240" w:lineRule="auto"/>
        <w:ind w:right="2239"/>
        <w:jc w:val="left"/>
        <w:rPr>
          <w:b w:val="0"/>
          <w:bCs w:val="0"/>
        </w:rPr>
      </w:pPr>
      <w:r>
        <w:rPr/>
        <w:t>（</w:t>
      </w:r>
      <w:r>
        <w:rPr>
          <w:rFonts w:ascii="Arial" w:hAnsi="Arial" w:cs="Arial" w:eastAsia="Arial" w:hint="default"/>
        </w:rPr>
        <w:t>2</w:t>
      </w:r>
      <w:r>
        <w:rPr/>
        <w:t>）本期计提、收回或转回的坏账准备情况</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right="2239"/>
        <w:jc w:val="left"/>
      </w:pPr>
      <w:r>
        <w:rPr/>
        <w:t>本期计提坏账准备情况：</w:t>
      </w:r>
    </w:p>
    <w:p>
      <w:pPr>
        <w:pStyle w:val="BodyText"/>
        <w:spacing w:line="240" w:lineRule="auto" w:before="116"/>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坏账准备金额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 w:right="0"/>
              <w:jc w:val="left"/>
              <w:rPr>
                <w:rFonts w:ascii="Arial" w:hAnsi="Arial" w:cs="Arial" w:eastAsia="Arial" w:hint="default"/>
                <w:sz w:val="18"/>
                <w:szCs w:val="18"/>
              </w:rPr>
            </w:pPr>
            <w:r>
              <w:rPr>
                <w:rFonts w:ascii="Arial"/>
                <w:sz w:val="18"/>
              </w:rPr>
              <w:t>23,520,896.64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3" w:right="0"/>
              <w:jc w:val="left"/>
              <w:rPr>
                <w:rFonts w:ascii="Arial" w:hAnsi="Arial" w:cs="Arial" w:eastAsia="Arial" w:hint="default"/>
                <w:sz w:val="18"/>
                <w:szCs w:val="18"/>
              </w:rPr>
            </w:pPr>
            <w:r>
              <w:rPr>
                <w:rFonts w:ascii="Arial"/>
                <w:sz w:val="18"/>
              </w:rPr>
              <w:t>4,466,244.09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 w:right="0"/>
              <w:jc w:val="left"/>
              <w:rPr>
                <w:rFonts w:ascii="Arial" w:hAnsi="Arial" w:cs="Arial" w:eastAsia="Arial" w:hint="default"/>
                <w:sz w:val="18"/>
                <w:szCs w:val="18"/>
              </w:rPr>
            </w:pPr>
            <w:r>
              <w:rPr>
                <w:rFonts w:ascii="Arial"/>
                <w:sz w:val="18"/>
              </w:rPr>
              <w:t>27,987,140.73</w:t>
            </w:r>
          </w:p>
        </w:tc>
      </w:tr>
    </w:tbl>
    <w:p>
      <w:pPr>
        <w:spacing w:after="0" w:line="240" w:lineRule="auto"/>
        <w:jc w:val="left"/>
        <w:rPr>
          <w:rFonts w:ascii="Arial" w:hAnsi="Arial" w:cs="Arial" w:eastAsia="Arial" w:hint="default"/>
          <w:sz w:val="18"/>
          <w:szCs w:val="18"/>
        </w:rPr>
        <w:sectPr>
          <w:type w:val="continuous"/>
          <w:pgSz w:w="11910" w:h="16840"/>
          <w:pgMar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 w:right="0"/>
              <w:jc w:val="left"/>
              <w:rPr>
                <w:rFonts w:ascii="Arial" w:hAnsi="Arial" w:cs="Arial" w:eastAsia="Arial" w:hint="default"/>
                <w:sz w:val="18"/>
                <w:szCs w:val="18"/>
              </w:rPr>
            </w:pPr>
            <w:r>
              <w:rPr>
                <w:rFonts w:ascii="Arial"/>
                <w:sz w:val="18"/>
              </w:rPr>
              <w:t>23,520,896.64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3" w:right="0"/>
              <w:jc w:val="left"/>
              <w:rPr>
                <w:rFonts w:ascii="Arial" w:hAnsi="Arial" w:cs="Arial" w:eastAsia="Arial" w:hint="default"/>
                <w:sz w:val="18"/>
                <w:szCs w:val="18"/>
              </w:rPr>
            </w:pPr>
            <w:r>
              <w:rPr>
                <w:rFonts w:ascii="Arial"/>
                <w:sz w:val="18"/>
              </w:rPr>
              <w:t>4,466,244.09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 w:right="0"/>
              <w:jc w:val="left"/>
              <w:rPr>
                <w:rFonts w:ascii="Arial" w:hAnsi="Arial" w:cs="Arial" w:eastAsia="Arial" w:hint="default"/>
                <w:sz w:val="18"/>
                <w:szCs w:val="18"/>
              </w:rPr>
            </w:pPr>
            <w:r>
              <w:rPr>
                <w:rFonts w:ascii="Arial"/>
                <w:sz w:val="18"/>
              </w:rPr>
              <w:t>27,987,140.73</w:t>
            </w:r>
          </w:p>
        </w:tc>
      </w:tr>
    </w:tbl>
    <w:p>
      <w:pPr>
        <w:spacing w:after="0" w:line="240" w:lineRule="auto"/>
        <w:jc w:val="left"/>
        <w:rPr>
          <w:rFonts w:ascii="Arial" w:hAnsi="Arial" w:cs="Arial" w:eastAsia="Arial" w:hint="default"/>
          <w:sz w:val="18"/>
          <w:szCs w:val="18"/>
        </w:rPr>
        <w:sectPr>
          <w:pgSz w:w="11910" w:h="16840"/>
          <w:pgMar w:header="747" w:footer="982" w:top="1060" w:bottom="1180" w:left="980" w:right="0"/>
        </w:sectPr>
      </w:pPr>
    </w:p>
    <w:p>
      <w:pPr>
        <w:pStyle w:val="BodyText"/>
        <w:spacing w:line="360" w:lineRule="auto" w:before="51"/>
        <w:ind w:left="153" w:right="-19"/>
        <w:jc w:val="left"/>
      </w:pPr>
      <w:r>
        <w:rPr/>
        <w:t>其中本期坏账准备收回或转回金额重要的： 无。</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0"/>
          <w:cols w:num="2" w:equalWidth="0">
            <w:col w:w="3575" w:space="5254"/>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t>（</w:t>
      </w:r>
      <w:r>
        <w:rPr>
          <w:rFonts w:ascii="Arial" w:hAnsi="Arial" w:cs="Arial" w:eastAsia="Arial"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2"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26;top:16;width:2;height:392" coordorigin="26,16" coordsize="2,392">
              <v:shape style="position:absolute;left:26;top:16;width:2;height:392" coordorigin="26,16" coordsize="0,392" path="m26,16l26,407e" filled="false" stroked="true" strokeweight="1.140pt" strokecolor="#d3d3d3">
                <v:path arrowok="t"/>
              </v:shape>
            </v:group>
            <v:group style="position:absolute;left:4777;top:16;width:2;height:392" coordorigin="4777,16" coordsize="2,392">
              <v:shape style="position:absolute;left:4777;top:16;width:2;height:392" coordorigin="4777,16" coordsize="0,392" path="m4777,16l4777,407e" filled="false" stroked="true" strokeweight="1.140pt" strokecolor="#d3d3d3">
                <v:path arrowok="t"/>
              </v:shape>
            </v:group>
            <v:group style="position:absolute;left:37;top:16;width:4728;height:392" coordorigin="37,16" coordsize="4728,392">
              <v:shape style="position:absolute;left:37;top:16;width:4728;height:392" coordorigin="37,16" coordsize="4728,392" path="m37,407l4765,407,4765,16,37,16,37,407xe" filled="true" fillcolor="#d3d3d3" stroked="false">
                <v:path arrowok="t"/>
                <v:fill type="solid"/>
              </v:shape>
            </v:group>
            <v:group style="position:absolute;left:4810;top:16;width:2;height:392" coordorigin="4810,16" coordsize="2,392">
              <v:shape style="position:absolute;left:4810;top:16;width:2;height:392" coordorigin="4810,16" coordsize="0,392" path="m4810,16l4810,407e" filled="false" stroked="true" strokeweight="1.140pt" strokecolor="#d3d3d3">
                <v:path arrowok="t"/>
              </v:shape>
            </v:group>
            <v:group style="position:absolute;left:9561;top:16;width:2;height:392" coordorigin="9561,16" coordsize="2,392">
              <v:shape style="position:absolute;left:9561;top:16;width:2;height:392" coordorigin="9561,16" coordsize="0,392" path="m9561,16l9561,407e" filled="false" stroked="true" strokeweight="1.140pt" strokecolor="#d3d3d3">
                <v:path arrowok="t"/>
              </v:shape>
            </v:group>
            <v:group style="position:absolute;left:4822;top:16;width:4728;height:392" coordorigin="4822,16" coordsize="4728,392">
              <v:shape style="position:absolute;left:4822;top:16;width:4728;height:392" coordorigin="4822,16" coordsize="4728,392" path="m4822,407l9550,407,9550,16,4822,16,48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4785;height:2" coordorigin="5,413" coordsize="4785,2">
              <v:shape style="position:absolute;left:5;top:413;width:4785;height:2" coordorigin="5,413" coordsize="4785,0" path="m5,413l4789,413e" filled="false" stroked="true" strokeweight=".47998pt" strokecolor="#000000">
                <v:path arrowok="t"/>
              </v:shape>
            </v:group>
            <v:group style="position:absolute;left:4794;top:14;width:2;height:404" coordorigin="4794,14" coordsize="2,404">
              <v:shape style="position:absolute;left:4794;top:14;width:2;height:404" coordorigin="4794,14" coordsize="0,404" path="m4794,14l4794,418e" filled="false" stroked="true" strokeweight=".48001pt" strokecolor="#000000">
                <v:path arrowok="t"/>
              </v:shape>
            </v:group>
            <v:group style="position:absolute;left:4799;top:413;width:4774;height:2" coordorigin="4799,413" coordsize="4774,2">
              <v:shape style="position:absolute;left:4799;top:413;width:4774;height:2" coordorigin="4799,413" coordsize="4774,0" path="m4799,413l9572,413e" filled="false" stroked="true" strokeweight=".47998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7998pt" strokecolor="#000000">
                <v:path arrowok="t"/>
              </v:shape>
              <v:shape style="position:absolute;left:2221;top:1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94;top:10;width:4784;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7"/>
        <w:ind w:right="2239"/>
        <w:jc w:val="left"/>
      </w:pPr>
      <w:r>
        <w:rPr/>
        <w:t>其中重要的应收账款核销情况：</w:t>
      </w:r>
    </w:p>
    <w:p>
      <w:pPr>
        <w:pStyle w:val="BodyText"/>
        <w:spacing w:line="240" w:lineRule="auto" w:before="116"/>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6"/>
        <w:gridCol w:w="1594"/>
        <w:gridCol w:w="1595"/>
        <w:gridCol w:w="1594"/>
        <w:gridCol w:w="1594"/>
        <w:gridCol w:w="1595"/>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3"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2"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23"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60" w:lineRule="auto" w:before="51"/>
        <w:ind w:left="153" w:right="8411"/>
        <w:jc w:val="left"/>
      </w:pPr>
      <w:r>
        <w:rPr/>
        <w:t>应收账款核销说明： 本期无实际核销的应收账款。</w:t>
      </w:r>
    </w:p>
    <w:p>
      <w:pPr>
        <w:spacing w:line="240" w:lineRule="auto" w:before="11"/>
        <w:rPr>
          <w:rFonts w:ascii="宋体" w:hAnsi="宋体" w:cs="宋体" w:eastAsia="宋体" w:hint="default"/>
          <w:sz w:val="19"/>
          <w:szCs w:val="19"/>
        </w:rPr>
      </w:pPr>
    </w:p>
    <w:p>
      <w:pPr>
        <w:pStyle w:val="Heading4"/>
        <w:spacing w:line="240" w:lineRule="auto"/>
        <w:ind w:right="2239"/>
        <w:jc w:val="left"/>
        <w:rPr>
          <w:b w:val="0"/>
          <w:bCs w:val="0"/>
        </w:rPr>
      </w:pPr>
      <w:r>
        <w:rPr/>
        <w:t>（</w:t>
      </w:r>
      <w:r>
        <w:rPr>
          <w:rFonts w:ascii="Arial" w:hAnsi="Arial" w:cs="Arial" w:eastAsia="Arial" w:hint="default"/>
        </w:rPr>
        <w:t>4</w:t>
      </w:r>
      <w:r>
        <w:rPr/>
        <w:t>）按欠款方归集的期末余额前五名的应收账款情况</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81"/>
        <w:gridCol w:w="2528"/>
        <w:gridCol w:w="2530"/>
        <w:gridCol w:w="2528"/>
      </w:tblGrid>
      <w:tr>
        <w:trPr>
          <w:trHeight w:val="714"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25"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2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8"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079" w:right="89" w:hanging="990"/>
              <w:jc w:val="left"/>
              <w:rPr>
                <w:rFonts w:ascii="宋体" w:hAnsi="宋体" w:cs="宋体" w:eastAsia="宋体" w:hint="default"/>
                <w:sz w:val="18"/>
                <w:szCs w:val="18"/>
              </w:rPr>
            </w:pPr>
            <w:r>
              <w:rPr>
                <w:rFonts w:ascii="宋体" w:hAnsi="宋体" w:cs="宋体" w:eastAsia="宋体" w:hint="default"/>
                <w:sz w:val="18"/>
                <w:szCs w:val="18"/>
              </w:rPr>
              <w:t>占应收账款期末余额合计数的 比例</w:t>
            </w:r>
          </w:p>
        </w:tc>
        <w:tc>
          <w:tcPr>
            <w:tcW w:w="25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38"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中国共产党信阳市纪律 检查委员会</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10,722,800.00</w:t>
            </w:r>
            <w:r>
              <w:rPr>
                <w:rFonts w:ascii="Arial"/>
                <w:sz w:val="18"/>
              </w:rPr>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w w:val="95"/>
                <w:sz w:val="18"/>
              </w:rPr>
              <w:t>5.24%</w:t>
            </w:r>
            <w:r>
              <w:rPr>
                <w:rFonts w:ascii="Arial"/>
                <w:w w:val="95"/>
                <w:sz w:val="18"/>
              </w:rPr>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750,596.00</w:t>
            </w:r>
          </w:p>
        </w:tc>
      </w:tr>
      <w:tr>
        <w:trPr>
          <w:trHeight w:val="714"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46"/>
              <w:jc w:val="left"/>
              <w:rPr>
                <w:rFonts w:ascii="宋体" w:hAnsi="宋体" w:cs="宋体" w:eastAsia="宋体" w:hint="default"/>
                <w:sz w:val="18"/>
                <w:szCs w:val="18"/>
              </w:rPr>
            </w:pPr>
            <w:r>
              <w:rPr>
                <w:rFonts w:ascii="宋体" w:hAnsi="宋体" w:cs="宋体" w:eastAsia="宋体" w:hint="default"/>
                <w:sz w:val="18"/>
                <w:szCs w:val="18"/>
              </w:rPr>
              <w:t>中软信息系统工程有限 公司</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9,410,867.70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w w:val="95"/>
                <w:sz w:val="18"/>
              </w:rPr>
              <w:t>4.60%</w:t>
            </w:r>
            <w:r>
              <w:rPr>
                <w:rFonts w:ascii="Arial"/>
                <w:w w:val="95"/>
                <w:sz w:val="18"/>
              </w:rPr>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207,980.18</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西安格蒂电力有限公司</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9,240,000.01</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4.51%</w:t>
            </w:r>
            <w:r>
              <w:rPr>
                <w:rFonts w:ascii="Arial"/>
                <w:w w:val="95"/>
                <w:sz w:val="18"/>
              </w:rPr>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1,271,424.00</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华润建筑有限公司</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7,528,989.56</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3.68%</w:t>
            </w:r>
            <w:r>
              <w:rPr>
                <w:rFonts w:ascii="Arial"/>
                <w:w w:val="95"/>
                <w:sz w:val="18"/>
              </w:rPr>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166,390.67</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福州市大数据服务中心</w:t>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7,074,070.50</w:t>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3.46%</w:t>
            </w:r>
            <w:r>
              <w:rPr>
                <w:rFonts w:ascii="Arial"/>
                <w:w w:val="95"/>
                <w:sz w:val="18"/>
              </w:rPr>
            </w:r>
          </w:p>
        </w:tc>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799,244.00</w:t>
            </w:r>
          </w:p>
        </w:tc>
      </w:tr>
      <w:tr>
        <w:trPr>
          <w:trHeight w:val="402" w:hRule="exact"/>
        </w:trPr>
        <w:tc>
          <w:tcPr>
            <w:tcW w:w="198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8"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43,976,727.77</w:t>
            </w:r>
            <w:r>
              <w:rPr>
                <w:rFonts w:ascii="Arial"/>
                <w:sz w:val="18"/>
              </w:rPr>
            </w:r>
          </w:p>
        </w:tc>
        <w:tc>
          <w:tcPr>
            <w:tcW w:w="2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21.49%</w:t>
            </w:r>
          </w:p>
        </w:tc>
        <w:tc>
          <w:tcPr>
            <w:tcW w:w="2528"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t>（</w:t>
      </w:r>
      <w:r>
        <w:rPr>
          <w:rFonts w:ascii="Arial" w:hAnsi="Arial" w:cs="Arial" w:eastAsia="Arial" w:hint="default"/>
        </w:rPr>
        <w:t>5</w:t>
      </w:r>
      <w:r>
        <w:rPr/>
        <w:t>）因金融资产转移而终止确认的应收账款</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2239"/>
        <w:jc w:val="left"/>
        <w:rPr>
          <w:b w:val="0"/>
          <w:bCs w:val="0"/>
        </w:rPr>
      </w:pPr>
      <w:r>
        <w:rPr/>
        <w:t>（</w:t>
      </w:r>
      <w:r>
        <w:rPr>
          <w:rFonts w:ascii="Arial" w:hAnsi="Arial" w:cs="Arial" w:eastAsia="Arial" w:hint="default"/>
        </w:rPr>
        <w:t>6</w:t>
      </w:r>
      <w:r>
        <w:rPr/>
        <w:t>）转移应收账款且继续涉入形成的资产、负债金额</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2239"/>
        <w:jc w:val="left"/>
      </w:pPr>
      <w:r>
        <w:rPr/>
        <w:t>其他说明：无。</w:t>
      </w:r>
    </w:p>
    <w:p>
      <w:pPr>
        <w:spacing w:line="240" w:lineRule="auto" w:before="10"/>
        <w:rPr>
          <w:rFonts w:ascii="宋体" w:hAnsi="宋体" w:cs="宋体" w:eastAsia="宋体" w:hint="default"/>
          <w:sz w:val="26"/>
          <w:szCs w:val="26"/>
        </w:rPr>
      </w:pPr>
    </w:p>
    <w:p>
      <w:pPr>
        <w:pStyle w:val="Heading4"/>
        <w:spacing w:line="240" w:lineRule="auto"/>
        <w:ind w:right="2239"/>
        <w:jc w:val="left"/>
        <w:rPr>
          <w:b w:val="0"/>
          <w:bCs w:val="0"/>
        </w:rPr>
      </w:pPr>
      <w:r>
        <w:rPr>
          <w:rFonts w:ascii="Arial" w:hAnsi="Arial" w:cs="Arial" w:eastAsia="Arial" w:hint="default"/>
        </w:rPr>
        <w:t>6</w:t>
      </w:r>
      <w:r>
        <w:rPr/>
        <w:t>、应收款项融资</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type w:val="continuous"/>
          <w:pgSz w:w="11910" w:h="16840"/>
          <w:pgMar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2239"/>
        <w:jc w:val="left"/>
      </w:pPr>
      <w:r>
        <w:rPr/>
        <w:t>应收款项融资本期增减变动及公允价值变动情况</w:t>
      </w:r>
    </w:p>
    <w:p>
      <w:pPr>
        <w:pStyle w:val="BodyText"/>
        <w:spacing w:line="340" w:lineRule="auto" w:before="117"/>
        <w:ind w:right="139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如是按照预期信用损失一般模型计提应收款项融资减值准备，请参照其他应收款的披露方式披露减值准备的相关信息：</w:t>
      </w:r>
    </w:p>
    <w:p>
      <w:pPr>
        <w:pStyle w:val="BodyText"/>
        <w:spacing w:line="340" w:lineRule="auto" w:before="41"/>
        <w:ind w:right="890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其他说明：</w:t>
      </w:r>
    </w:p>
    <w:p>
      <w:pPr>
        <w:pStyle w:val="BodyText"/>
        <w:spacing w:line="240" w:lineRule="auto" w:before="40"/>
        <w:ind w:right="2239"/>
        <w:jc w:val="left"/>
      </w:pPr>
      <w:r>
        <w:rPr/>
        <w:t>无。</w:t>
      </w:r>
    </w:p>
    <w:p>
      <w:pPr>
        <w:spacing w:line="240" w:lineRule="auto" w:before="11"/>
        <w:rPr>
          <w:rFonts w:ascii="宋体" w:hAnsi="宋体" w:cs="宋体" w:eastAsia="宋体" w:hint="default"/>
          <w:sz w:val="26"/>
          <w:szCs w:val="26"/>
        </w:rPr>
      </w:pPr>
    </w:p>
    <w:p>
      <w:pPr>
        <w:pStyle w:val="Heading4"/>
        <w:spacing w:line="240" w:lineRule="auto"/>
        <w:ind w:right="2239"/>
        <w:jc w:val="left"/>
        <w:rPr>
          <w:b w:val="0"/>
          <w:bCs w:val="0"/>
        </w:rPr>
      </w:pPr>
      <w:r>
        <w:rPr>
          <w:rFonts w:ascii="Arial" w:hAnsi="Arial" w:cs="Arial" w:eastAsia="Arial" w:hint="default"/>
        </w:rPr>
        <w:t>7</w:t>
      </w:r>
      <w:r>
        <w:rPr/>
        <w:t>、预付款项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t>（</w:t>
      </w:r>
      <w:r>
        <w:rPr>
          <w:rFonts w:ascii="Arial" w:hAnsi="Arial" w:cs="Arial" w:eastAsia="Arial" w:hint="default"/>
        </w:rPr>
        <w:t>1</w:t>
      </w:r>
      <w:r>
        <w:rPr/>
        <w:t>）预付款项按账龄列示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7"/>
        <w:gridCol w:w="1914"/>
        <w:gridCol w:w="1914"/>
        <w:gridCol w:w="1915"/>
      </w:tblGrid>
      <w:tr>
        <w:trPr>
          <w:trHeight w:val="206" w:hRule="exact"/>
        </w:trPr>
        <w:tc>
          <w:tcPr>
            <w:tcW w:w="1889" w:type="dxa"/>
            <w:tcBorders>
              <w:top w:val="single" w:sz="4" w:space="0" w:color="000000"/>
              <w:left w:val="single" w:sz="4" w:space="0" w:color="000000"/>
              <w:bottom w:val="nil" w:sz="6" w:space="0" w:color="auto"/>
              <w:right w:val="single" w:sz="4" w:space="0" w:color="000000"/>
            </w:tcBorders>
            <w:shd w:val="clear" w:color="auto" w:fill="D3D3D3"/>
          </w:tcPr>
          <w:p>
            <w:pPr/>
          </w:p>
        </w:tc>
        <w:tc>
          <w:tcPr>
            <w:tcW w:w="3841"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88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3841" w:type="dxa"/>
            <w:gridSpan w:val="2"/>
            <w:vMerge/>
            <w:tcBorders>
              <w:left w:val="single" w:sz="4" w:space="0" w:color="000000"/>
              <w:bottom w:val="single" w:sz="4" w:space="0" w:color="000000"/>
              <w:right w:val="single" w:sz="4" w:space="0" w:color="000000"/>
            </w:tcBorders>
            <w:shd w:val="clear" w:color="auto" w:fill="D3D3D3"/>
          </w:tcPr>
          <w:p>
            <w:pPr/>
          </w:p>
        </w:tc>
        <w:tc>
          <w:tcPr>
            <w:tcW w:w="3829"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1889" w:type="dxa"/>
            <w:vMerge/>
            <w:tcBorders>
              <w:left w:val="single" w:sz="4" w:space="0" w:color="000000"/>
              <w:bottom w:val="nil" w:sz="6" w:space="0" w:color="auto"/>
              <w:right w:val="single" w:sz="4" w:space="0" w:color="000000"/>
            </w:tcBorders>
            <w:shd w:val="clear" w:color="auto" w:fill="D3D3D3"/>
          </w:tcPr>
          <w:p>
            <w:pPr/>
          </w:p>
        </w:tc>
        <w:tc>
          <w:tcPr>
            <w:tcW w:w="192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比例</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比例</w:t>
            </w:r>
          </w:p>
        </w:tc>
      </w:tr>
      <w:tr>
        <w:trPr>
          <w:trHeight w:val="206" w:hRule="exact"/>
        </w:trPr>
        <w:tc>
          <w:tcPr>
            <w:tcW w:w="1889" w:type="dxa"/>
            <w:tcBorders>
              <w:top w:val="nil" w:sz="6" w:space="0" w:color="auto"/>
              <w:left w:val="single" w:sz="4" w:space="0" w:color="000000"/>
              <w:bottom w:val="single" w:sz="4" w:space="0" w:color="000000"/>
              <w:right w:val="single" w:sz="4" w:space="0" w:color="000000"/>
            </w:tcBorders>
            <w:shd w:val="clear" w:color="auto" w:fill="D3D3D3"/>
          </w:tcPr>
          <w:p>
            <w:pPr/>
          </w:p>
        </w:tc>
        <w:tc>
          <w:tcPr>
            <w:tcW w:w="1927"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5"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年以内</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10,844,326.29</w:t>
            </w:r>
            <w:r>
              <w:rPr>
                <w:rFonts w:ascii="Arial"/>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79.00%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16,479,126.61</w:t>
            </w:r>
            <w:r>
              <w:rPr>
                <w:rFonts w:ascii="Arial"/>
                <w:sz w:val="18"/>
              </w:rPr>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Arial" w:hAnsi="Arial" w:cs="Arial" w:eastAsia="Arial" w:hint="default"/>
                <w:sz w:val="18"/>
                <w:szCs w:val="18"/>
              </w:rPr>
            </w:pPr>
            <w:r>
              <w:rPr>
                <w:rFonts w:ascii="Arial"/>
                <w:spacing w:val="-1"/>
                <w:sz w:val="18"/>
              </w:rPr>
              <w:t>88.85%</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2</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951,927.04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95"/>
                <w:sz w:val="18"/>
              </w:rPr>
              <w:t>6.93%</w:t>
            </w:r>
            <w:r>
              <w:rPr>
                <w:rFonts w:ascii="Arial"/>
                <w:w w:val="95"/>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521,321.10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95"/>
                <w:sz w:val="18"/>
              </w:rPr>
              <w:t>2.81%</w:t>
            </w:r>
            <w:r>
              <w:rPr>
                <w:rFonts w:ascii="Arial"/>
                <w:w w:val="95"/>
                <w:sz w:val="18"/>
              </w:rPr>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7"/>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388,803.21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95"/>
                <w:sz w:val="18"/>
              </w:rPr>
              <w:t>2.83%</w:t>
            </w:r>
            <w:r>
              <w:rPr>
                <w:rFonts w:ascii="Arial"/>
                <w:w w:val="95"/>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398,098.00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95"/>
                <w:sz w:val="18"/>
              </w:rPr>
              <w:t>2.15%</w:t>
            </w:r>
            <w:r>
              <w:rPr>
                <w:rFonts w:ascii="Arial"/>
                <w:w w:val="95"/>
                <w:sz w:val="18"/>
              </w:rPr>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年以上</w:t>
            </w:r>
          </w:p>
        </w:tc>
        <w:tc>
          <w:tcPr>
            <w:tcW w:w="1927"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1,543,674.49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3"/>
                <w:sz w:val="18"/>
              </w:rPr>
              <w:t>11.24%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1,147,314.32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95"/>
                <w:sz w:val="18"/>
              </w:rPr>
              <w:t>6.19%</w:t>
            </w:r>
            <w:r>
              <w:rPr>
                <w:rFonts w:ascii="Arial"/>
                <w:w w:val="95"/>
                <w:sz w:val="18"/>
              </w:rPr>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7" w:type="dxa"/>
            <w:tcBorders>
              <w:top w:val="single" w:sz="4" w:space="0" w:color="000000"/>
              <w:left w:val="single" w:sz="9" w:space="0" w:color="D3D3D3"/>
              <w:bottom w:val="single" w:sz="4" w:space="0" w:color="000000"/>
              <w:right w:val="single" w:sz="9" w:space="0" w:color="D3D3D3"/>
            </w:tcBorders>
          </w:tcPr>
          <w:p>
            <w:pPr>
              <w:pStyle w:val="TableParagraph"/>
              <w:spacing w:line="240" w:lineRule="auto" w:before="91"/>
              <w:ind w:right="15"/>
              <w:jc w:val="right"/>
              <w:rPr>
                <w:rFonts w:ascii="Arial" w:hAnsi="Arial" w:cs="Arial" w:eastAsia="Arial" w:hint="default"/>
                <w:sz w:val="18"/>
                <w:szCs w:val="18"/>
              </w:rPr>
            </w:pPr>
            <w:r>
              <w:rPr>
                <w:rFonts w:ascii="Arial"/>
                <w:spacing w:val="-1"/>
                <w:sz w:val="18"/>
              </w:rPr>
              <w:t>13,728,731.03</w:t>
            </w:r>
            <w:r>
              <w:rPr>
                <w:rFonts w:ascii="Arial"/>
                <w:sz w:val="18"/>
              </w:rPr>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Arial" w:hAnsi="Arial" w:cs="Arial" w:eastAsia="Arial" w:hint="default"/>
                <w:sz w:val="18"/>
                <w:szCs w:val="18"/>
              </w:rPr>
            </w:pPr>
            <w:r>
              <w:rPr>
                <w:rFonts w:ascii="Arial"/>
                <w:sz w:val="18"/>
              </w:rPr>
              <w:t>--</w:t>
            </w:r>
          </w:p>
        </w:tc>
        <w:tc>
          <w:tcPr>
            <w:tcW w:w="1914"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7"/>
              <w:jc w:val="right"/>
              <w:rPr>
                <w:rFonts w:ascii="Arial" w:hAnsi="Arial" w:cs="Arial" w:eastAsia="Arial" w:hint="default"/>
                <w:sz w:val="18"/>
                <w:szCs w:val="18"/>
              </w:rPr>
            </w:pPr>
            <w:r>
              <w:rPr>
                <w:rFonts w:ascii="Arial"/>
                <w:spacing w:val="-1"/>
                <w:sz w:val="18"/>
              </w:rPr>
              <w:t>18,545,860.03</w:t>
            </w:r>
            <w:r>
              <w:rPr>
                <w:rFonts w:ascii="Arial"/>
                <w:sz w:val="18"/>
              </w:rPr>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Arial" w:hAnsi="Arial" w:cs="Arial" w:eastAsia="Arial" w:hint="default"/>
                <w:sz w:val="18"/>
                <w:szCs w:val="18"/>
              </w:rPr>
            </w:pPr>
            <w:r>
              <w:rPr>
                <w:rFonts w:ascii="Arial"/>
                <w:sz w:val="18"/>
              </w:rPr>
              <w:t>--</w:t>
            </w:r>
          </w:p>
        </w:tc>
      </w:tr>
    </w:tbl>
    <w:p>
      <w:pPr>
        <w:pStyle w:val="BodyText"/>
        <w:spacing w:line="340" w:lineRule="auto" w:before="51"/>
        <w:ind w:right="5883"/>
        <w:jc w:val="left"/>
      </w:pPr>
      <w:r>
        <w:rPr/>
        <w:t>账龄超过</w:t>
      </w:r>
      <w:r>
        <w:rPr>
          <w:spacing w:val="-46"/>
        </w:rPr>
        <w:t> </w:t>
      </w:r>
      <w:r>
        <w:rPr>
          <w:rFonts w:ascii="Arial" w:hAnsi="Arial" w:cs="Arial" w:eastAsia="Arial" w:hint="default"/>
        </w:rPr>
        <w:t>1</w:t>
      </w:r>
      <w:r>
        <w:rPr>
          <w:rFonts w:ascii="Arial" w:hAnsi="Arial" w:cs="Arial" w:eastAsia="Arial" w:hint="default"/>
          <w:spacing w:val="-7"/>
        </w:rPr>
        <w:t> </w:t>
      </w:r>
      <w:r>
        <w:rPr/>
        <w:t>年且金额重要的预付款项未及时结算原因的说明： 无。</w:t>
      </w:r>
    </w:p>
    <w:p>
      <w:pPr>
        <w:spacing w:line="240" w:lineRule="auto" w:before="2"/>
        <w:rPr>
          <w:rFonts w:ascii="宋体" w:hAnsi="宋体" w:cs="宋体" w:eastAsia="宋体" w:hint="default"/>
          <w:sz w:val="21"/>
          <w:szCs w:val="21"/>
        </w:rPr>
      </w:pPr>
    </w:p>
    <w:p>
      <w:pPr>
        <w:pStyle w:val="Heading4"/>
        <w:spacing w:line="240" w:lineRule="auto"/>
        <w:ind w:right="2239"/>
        <w:jc w:val="left"/>
        <w:rPr>
          <w:b w:val="0"/>
          <w:bCs w:val="0"/>
        </w:rPr>
      </w:pPr>
      <w:r>
        <w:rPr/>
        <w:t>（</w:t>
      </w:r>
      <w:r>
        <w:rPr>
          <w:rFonts w:ascii="Arial" w:hAnsi="Arial" w:cs="Arial" w:eastAsia="Arial" w:hint="default"/>
        </w:rPr>
        <w:t>2</w:t>
      </w:r>
      <w:r>
        <w:rPr/>
        <w:t>）按预付对象归集的期末余额前五名的预付款情况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310"/>
        <w:jc w:val="right"/>
      </w:pPr>
      <w:r>
        <w:rPr/>
        <w:t>单位：元</w:t>
      </w:r>
    </w:p>
    <w:p>
      <w:pPr>
        <w:spacing w:line="240" w:lineRule="auto" w:before="0"/>
        <w:rPr>
          <w:rFonts w:ascii="宋体" w:hAnsi="宋体" w:cs="宋体" w:eastAsia="宋体" w:hint="default"/>
          <w:sz w:val="8"/>
          <w:szCs w:val="8"/>
        </w:rPr>
      </w:pPr>
    </w:p>
    <w:tbl>
      <w:tblPr>
        <w:tblW w:w="0" w:type="auto"/>
        <w:jc w:val="left"/>
        <w:tblInd w:w="322" w:type="dxa"/>
        <w:tblLayout w:type="fixed"/>
        <w:tblCellMar>
          <w:top w:w="0" w:type="dxa"/>
          <w:left w:w="0" w:type="dxa"/>
          <w:bottom w:w="0" w:type="dxa"/>
          <w:right w:w="0" w:type="dxa"/>
        </w:tblCellMar>
        <w:tblLook w:val="01E0"/>
      </w:tblPr>
      <w:tblGrid>
        <w:gridCol w:w="3652"/>
        <w:gridCol w:w="2814"/>
        <w:gridCol w:w="2816"/>
      </w:tblGrid>
      <w:tr>
        <w:trPr>
          <w:trHeight w:val="664" w:hRule="exact"/>
        </w:trPr>
        <w:tc>
          <w:tcPr>
            <w:tcW w:w="365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1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814"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16" w:lineRule="auto" w:before="20"/>
              <w:ind w:left="1036" w:right="1037"/>
              <w:jc w:val="center"/>
              <w:rPr>
                <w:rFonts w:ascii="宋体" w:hAnsi="宋体" w:cs="宋体" w:eastAsia="宋体" w:hint="default"/>
                <w:sz w:val="18"/>
                <w:szCs w:val="18"/>
              </w:rPr>
            </w:pPr>
            <w:r>
              <w:rPr>
                <w:rFonts w:ascii="宋体" w:hAnsi="宋体" w:cs="宋体" w:eastAsia="宋体" w:hint="default"/>
                <w:sz w:val="18"/>
                <w:szCs w:val="18"/>
              </w:rPr>
              <w:t>预付款项 期末余额</w:t>
            </w:r>
          </w:p>
        </w:tc>
        <w:tc>
          <w:tcPr>
            <w:tcW w:w="281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316" w:lineRule="auto" w:before="20"/>
              <w:ind w:left="812" w:right="587" w:hanging="225"/>
              <w:jc w:val="left"/>
              <w:rPr>
                <w:rFonts w:ascii="宋体" w:hAnsi="宋体" w:cs="宋体" w:eastAsia="宋体" w:hint="default"/>
                <w:sz w:val="18"/>
                <w:szCs w:val="18"/>
              </w:rPr>
            </w:pPr>
            <w:r>
              <w:rPr>
                <w:rFonts w:ascii="宋体" w:hAnsi="宋体" w:cs="宋体" w:eastAsia="宋体" w:hint="default"/>
                <w:sz w:val="18"/>
                <w:szCs w:val="18"/>
              </w:rPr>
              <w:t>占预付款项期末余额 合计数的比例%</w:t>
            </w:r>
          </w:p>
        </w:tc>
      </w:tr>
      <w:tr>
        <w:trPr>
          <w:trHeight w:val="352" w:hRule="exact"/>
        </w:trPr>
        <w:tc>
          <w:tcPr>
            <w:tcW w:w="3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长沙松盛信息科技有限公司</w:t>
            </w:r>
          </w:p>
        </w:tc>
        <w:tc>
          <w:tcPr>
            <w:tcW w:w="2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right="134"/>
              <w:jc w:val="right"/>
              <w:rPr>
                <w:rFonts w:ascii="宋体" w:hAnsi="宋体" w:cs="宋体" w:eastAsia="宋体" w:hint="default"/>
                <w:sz w:val="18"/>
                <w:szCs w:val="18"/>
              </w:rPr>
            </w:pPr>
            <w:r>
              <w:rPr>
                <w:rFonts w:ascii="宋体"/>
                <w:sz w:val="18"/>
              </w:rPr>
              <w:t>2,400,000.00</w:t>
            </w:r>
          </w:p>
        </w:tc>
        <w:tc>
          <w:tcPr>
            <w:tcW w:w="2816" w:type="dxa"/>
            <w:tcBorders>
              <w:top w:val="single" w:sz="12" w:space="0" w:color="000000"/>
              <w:left w:val="single" w:sz="8" w:space="0" w:color="000000"/>
              <w:bottom w:val="single" w:sz="8" w:space="0" w:color="000000"/>
              <w:right w:val="single" w:sz="8" w:space="0" w:color="000000"/>
            </w:tcBorders>
          </w:tcPr>
          <w:p>
            <w:pPr>
              <w:pStyle w:val="TableParagraph"/>
              <w:spacing w:line="240" w:lineRule="auto" w:before="16"/>
              <w:ind w:right="1"/>
              <w:jc w:val="right"/>
              <w:rPr>
                <w:rFonts w:ascii="宋体" w:hAnsi="宋体" w:cs="宋体" w:eastAsia="宋体" w:hint="default"/>
                <w:sz w:val="18"/>
                <w:szCs w:val="18"/>
              </w:rPr>
            </w:pPr>
            <w:r>
              <w:rPr>
                <w:rFonts w:ascii="宋体"/>
                <w:sz w:val="18"/>
              </w:rPr>
              <w:t>17.48</w:t>
            </w:r>
          </w:p>
        </w:tc>
      </w:tr>
      <w:tr>
        <w:trPr>
          <w:trHeight w:val="352" w:hRule="exact"/>
        </w:trPr>
        <w:tc>
          <w:tcPr>
            <w:tcW w:w="3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福州彦安科技有限公司</w:t>
            </w:r>
          </w:p>
        </w:tc>
        <w:tc>
          <w:tcPr>
            <w:tcW w:w="2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34"/>
              <w:jc w:val="right"/>
              <w:rPr>
                <w:rFonts w:ascii="宋体" w:hAnsi="宋体" w:cs="宋体" w:eastAsia="宋体" w:hint="default"/>
                <w:sz w:val="18"/>
                <w:szCs w:val="18"/>
              </w:rPr>
            </w:pPr>
            <w:r>
              <w:rPr>
                <w:rFonts w:ascii="宋体"/>
                <w:sz w:val="18"/>
              </w:rPr>
              <w:t>1,043,949.52</w:t>
            </w:r>
          </w:p>
        </w:tc>
        <w:tc>
          <w:tcPr>
            <w:tcW w:w="2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7.60</w:t>
            </w:r>
          </w:p>
        </w:tc>
      </w:tr>
      <w:tr>
        <w:trPr>
          <w:trHeight w:val="353" w:hRule="exact"/>
        </w:trPr>
        <w:tc>
          <w:tcPr>
            <w:tcW w:w="3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卡涂秀秀（福建）科技有限公司</w:t>
            </w:r>
          </w:p>
        </w:tc>
        <w:tc>
          <w:tcPr>
            <w:tcW w:w="2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34"/>
              <w:jc w:val="right"/>
              <w:rPr>
                <w:rFonts w:ascii="宋体" w:hAnsi="宋体" w:cs="宋体" w:eastAsia="宋体" w:hint="default"/>
                <w:sz w:val="18"/>
                <w:szCs w:val="18"/>
              </w:rPr>
            </w:pPr>
            <w:r>
              <w:rPr>
                <w:rFonts w:ascii="宋体"/>
                <w:sz w:val="18"/>
              </w:rPr>
              <w:t>518,867.92</w:t>
            </w:r>
          </w:p>
        </w:tc>
        <w:tc>
          <w:tcPr>
            <w:tcW w:w="2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3.78</w:t>
            </w:r>
          </w:p>
        </w:tc>
      </w:tr>
      <w:tr>
        <w:trPr>
          <w:trHeight w:val="352" w:hRule="exact"/>
        </w:trPr>
        <w:tc>
          <w:tcPr>
            <w:tcW w:w="3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福建世联网络科技有限公司</w:t>
            </w:r>
          </w:p>
        </w:tc>
        <w:tc>
          <w:tcPr>
            <w:tcW w:w="2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34"/>
              <w:jc w:val="right"/>
              <w:rPr>
                <w:rFonts w:ascii="宋体" w:hAnsi="宋体" w:cs="宋体" w:eastAsia="宋体" w:hint="default"/>
                <w:sz w:val="18"/>
                <w:szCs w:val="18"/>
              </w:rPr>
            </w:pPr>
            <w:r>
              <w:rPr>
                <w:rFonts w:ascii="宋体"/>
                <w:sz w:val="18"/>
              </w:rPr>
              <w:t>446,275.00</w:t>
            </w:r>
          </w:p>
        </w:tc>
        <w:tc>
          <w:tcPr>
            <w:tcW w:w="2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3.25</w:t>
            </w:r>
          </w:p>
        </w:tc>
      </w:tr>
      <w:tr>
        <w:trPr>
          <w:trHeight w:val="352" w:hRule="exact"/>
        </w:trPr>
        <w:tc>
          <w:tcPr>
            <w:tcW w:w="3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信阳市方振信息技术有限公司</w:t>
            </w:r>
          </w:p>
        </w:tc>
        <w:tc>
          <w:tcPr>
            <w:tcW w:w="2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34"/>
              <w:jc w:val="right"/>
              <w:rPr>
                <w:rFonts w:ascii="宋体" w:hAnsi="宋体" w:cs="宋体" w:eastAsia="宋体" w:hint="default"/>
                <w:sz w:val="18"/>
                <w:szCs w:val="18"/>
              </w:rPr>
            </w:pPr>
            <w:r>
              <w:rPr>
                <w:rFonts w:ascii="宋体"/>
                <w:sz w:val="18"/>
              </w:rPr>
              <w:t>408,000.00</w:t>
            </w:r>
          </w:p>
        </w:tc>
        <w:tc>
          <w:tcPr>
            <w:tcW w:w="2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2.97</w:t>
            </w:r>
          </w:p>
        </w:tc>
      </w:tr>
      <w:tr>
        <w:trPr>
          <w:trHeight w:val="353" w:hRule="exact"/>
        </w:trPr>
        <w:tc>
          <w:tcPr>
            <w:tcW w:w="365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81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34"/>
              <w:jc w:val="right"/>
              <w:rPr>
                <w:rFonts w:ascii="宋体" w:hAnsi="宋体" w:cs="宋体" w:eastAsia="宋体" w:hint="default"/>
                <w:sz w:val="18"/>
                <w:szCs w:val="18"/>
              </w:rPr>
            </w:pPr>
            <w:r>
              <w:rPr>
                <w:rFonts w:ascii="宋体"/>
                <w:sz w:val="18"/>
              </w:rPr>
              <w:t>4,817,092.44</w:t>
            </w:r>
          </w:p>
        </w:tc>
        <w:tc>
          <w:tcPr>
            <w:tcW w:w="28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35.08</w:t>
            </w:r>
          </w:p>
        </w:tc>
      </w:tr>
    </w:tbl>
    <w:p>
      <w:pPr>
        <w:pStyle w:val="BodyText"/>
        <w:spacing w:line="357" w:lineRule="auto" w:before="51"/>
        <w:ind w:right="9850"/>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2239"/>
        <w:jc w:val="left"/>
        <w:rPr>
          <w:b w:val="0"/>
          <w:bCs w:val="0"/>
        </w:rPr>
      </w:pPr>
      <w:r>
        <w:rPr>
          <w:rFonts w:ascii="Arial" w:hAnsi="Arial" w:cs="Arial" w:eastAsia="Arial" w:hint="default"/>
        </w:rPr>
        <w:t>8</w:t>
      </w:r>
      <w:r>
        <w:rPr/>
        <w:t>、其他应收款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9,605,000.00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9,605,000.00</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38,408,203.35</w:t>
            </w:r>
            <w:r>
              <w:rPr>
                <w:rFonts w:ascii="Arial"/>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44,840,512.70</w:t>
            </w:r>
            <w:r>
              <w:rPr>
                <w:rFonts w:ascii="Arial"/>
                <w:sz w:val="18"/>
              </w:rPr>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48,013,203.35</w:t>
            </w:r>
            <w:r>
              <w:rPr>
                <w:rFonts w:ascii="Arial"/>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54,445,512.70</w:t>
            </w:r>
            <w:r>
              <w:rPr>
                <w:rFonts w:ascii="Arial"/>
                <w:sz w:val="18"/>
              </w:rPr>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t>（</w:t>
      </w:r>
      <w:r>
        <w:rPr>
          <w:rFonts w:ascii="Arial" w:hAnsi="Arial" w:cs="Arial" w:eastAsia="Arial" w:hint="default"/>
        </w:rPr>
        <w:t>1</w:t>
      </w:r>
      <w:r>
        <w:rPr/>
        <w:t>）应收利息</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2239"/>
        <w:jc w:val="left"/>
        <w:rPr>
          <w:b w:val="0"/>
          <w:bCs w:val="0"/>
        </w:rPr>
      </w:pPr>
      <w:r>
        <w:rPr>
          <w:rFonts w:ascii="Arial" w:hAnsi="Arial" w:cs="Arial" w:eastAsia="Arial"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rFonts w:ascii="Arial" w:hAnsi="Arial" w:cs="Arial" w:eastAsia="Arial" w:hint="default"/>
        </w:rPr>
        <w:t>2</w:t>
      </w:r>
      <w:r>
        <w:rPr/>
        <w:t>）重要逾期利息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357" w:lineRule="auto" w:before="51"/>
        <w:ind w:right="9850"/>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2239"/>
        <w:jc w:val="left"/>
        <w:rPr>
          <w:b w:val="0"/>
          <w:bCs w:val="0"/>
        </w:rPr>
      </w:pPr>
      <w:r>
        <w:rPr>
          <w:rFonts w:ascii="Arial" w:hAnsi="Arial" w:cs="Arial" w:eastAsia="Arial" w:hint="default"/>
        </w:rPr>
        <w:t>3</w:t>
      </w:r>
      <w:r>
        <w:rPr/>
        <w:t>）坏账准备计提情况</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2239"/>
        <w:jc w:val="left"/>
        <w:rPr>
          <w:b w:val="0"/>
          <w:bCs w:val="0"/>
        </w:rPr>
      </w:pPr>
      <w:r>
        <w:rPr/>
        <w:t>（</w:t>
      </w:r>
      <w:r>
        <w:rPr>
          <w:rFonts w:ascii="Arial" w:hAnsi="Arial" w:cs="Arial" w:eastAsia="Arial" w:hint="default"/>
        </w:rPr>
        <w:t>2</w:t>
      </w:r>
      <w:r>
        <w:rPr/>
        <w:t>）应收股利</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left="153" w:right="2239"/>
        <w:jc w:val="left"/>
        <w:rPr>
          <w:b w:val="0"/>
          <w:bCs w:val="0"/>
        </w:rPr>
      </w:pPr>
      <w:r>
        <w:rPr>
          <w:rFonts w:ascii="Arial" w:hAnsi="Arial" w:cs="Arial" w:eastAsia="Arial" w:hint="default"/>
        </w:rPr>
        <w:t>1</w:t>
      </w:r>
      <w:r>
        <w:rPr/>
        <w:t>）应收股利分类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9" w:right="0"/>
              <w:jc w:val="left"/>
              <w:rPr>
                <w:rFonts w:ascii="Arial" w:hAnsi="Arial" w:cs="Arial" w:eastAsia="Arial" w:hint="default"/>
                <w:sz w:val="18"/>
                <w:szCs w:val="18"/>
              </w:rPr>
            </w:pPr>
            <w:r>
              <w:rPr>
                <w:rFonts w:ascii="宋体" w:hAnsi="宋体" w:cs="宋体" w:eastAsia="宋体" w:hint="default"/>
                <w:sz w:val="18"/>
                <w:szCs w:val="18"/>
              </w:rPr>
              <w:t>项目</w:t>
            </w:r>
            <w:r>
              <w:rPr>
                <w:rFonts w:ascii="Arial" w:hAnsi="Arial" w:cs="Arial" w:eastAsia="Arial" w:hint="default"/>
                <w:sz w:val="18"/>
                <w:szCs w:val="18"/>
              </w:rPr>
              <w:t>(</w:t>
            </w:r>
            <w:r>
              <w:rPr>
                <w:rFonts w:ascii="宋体" w:hAnsi="宋体" w:cs="宋体" w:eastAsia="宋体" w:hint="default"/>
                <w:sz w:val="18"/>
                <w:szCs w:val="18"/>
              </w:rPr>
              <w:t>或被投资单位</w:t>
            </w:r>
            <w:r>
              <w:rPr>
                <w:rFonts w:ascii="Arial" w:hAnsi="Arial" w:cs="Arial" w:eastAsia="Arial"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9,605,000.00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9,605,000.00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9,605,000.00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9,605,000.00</w:t>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rFonts w:ascii="Arial" w:hAnsi="Arial" w:cs="Arial" w:eastAsia="Arial" w:hint="default"/>
        </w:rPr>
        <w:t>2</w:t>
      </w:r>
      <w:r>
        <w:rPr/>
        <w:t>）重要的账龄超过</w:t>
      </w:r>
      <w:r>
        <w:rPr>
          <w:spacing w:val="-54"/>
        </w:rPr>
        <w:t> </w:t>
      </w:r>
      <w:r>
        <w:rPr>
          <w:rFonts w:ascii="Arial" w:hAnsi="Arial" w:cs="Arial" w:eastAsia="Arial" w:hint="default"/>
        </w:rPr>
        <w:t>1</w:t>
      </w:r>
      <w:r>
        <w:rPr>
          <w:rFonts w:ascii="Arial" w:hAnsi="Arial" w:cs="Arial" w:eastAsia="Arial" w:hint="default"/>
          <w:spacing w:val="-8"/>
        </w:rPr>
        <w:t> </w:t>
      </w:r>
      <w:r>
        <w:rPr/>
        <w:t>年的应收股利</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14"/>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Arial" w:hAnsi="Arial" w:cs="Arial" w:eastAsia="Arial" w:hint="default"/>
                <w:sz w:val="18"/>
                <w:szCs w:val="18"/>
              </w:rPr>
            </w:pPr>
            <w:r>
              <w:rPr>
                <w:rFonts w:ascii="宋体" w:hAnsi="宋体" w:cs="宋体" w:eastAsia="宋体" w:hint="default"/>
                <w:sz w:val="18"/>
                <w:szCs w:val="18"/>
              </w:rPr>
              <w:t>项目</w:t>
            </w:r>
            <w:r>
              <w:rPr>
                <w:rFonts w:ascii="Arial" w:hAnsi="Arial" w:cs="Arial" w:eastAsia="Arial" w:hint="default"/>
                <w:sz w:val="18"/>
                <w:szCs w:val="18"/>
              </w:rPr>
              <w:t>(</w:t>
            </w:r>
            <w:r>
              <w:rPr>
                <w:rFonts w:ascii="宋体" w:hAnsi="宋体" w:cs="宋体" w:eastAsia="宋体" w:hint="default"/>
                <w:sz w:val="18"/>
                <w:szCs w:val="18"/>
              </w:rPr>
              <w:t>或被投资单位</w:t>
            </w:r>
            <w:r>
              <w:rPr>
                <w:rFonts w:ascii="Arial" w:hAnsi="Arial" w:cs="Arial" w:eastAsia="Arial"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71" w:right="50"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r>
        <w:trPr>
          <w:trHeight w:val="714"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福建亿榕信息技术有限 公司</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29" w:right="0"/>
              <w:jc w:val="left"/>
              <w:rPr>
                <w:rFonts w:ascii="Arial" w:hAnsi="Arial" w:cs="Arial" w:eastAsia="Arial" w:hint="default"/>
                <w:sz w:val="18"/>
                <w:szCs w:val="18"/>
              </w:rPr>
            </w:pPr>
            <w:r>
              <w:rPr>
                <w:rFonts w:ascii="Arial"/>
                <w:sz w:val="18"/>
              </w:rPr>
              <w:t>9,605,000.00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Arial" w:hAnsi="Arial" w:cs="Arial" w:eastAsia="Arial" w:hint="default"/>
                <w:sz w:val="18"/>
                <w:szCs w:val="18"/>
              </w:rPr>
              <w:t>3-4</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9"/>
              <w:jc w:val="left"/>
              <w:rPr>
                <w:rFonts w:ascii="宋体" w:hAnsi="宋体" w:cs="宋体" w:eastAsia="宋体" w:hint="default"/>
                <w:sz w:val="18"/>
                <w:szCs w:val="18"/>
              </w:rPr>
            </w:pPr>
            <w:r>
              <w:rPr>
                <w:rFonts w:ascii="宋体" w:hAnsi="宋体" w:cs="宋体" w:eastAsia="宋体" w:hint="default"/>
                <w:sz w:val="18"/>
                <w:szCs w:val="18"/>
              </w:rPr>
              <w:t>被投资单位尚未支付股 利</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否，公司正常经营</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03"/>
        <w:gridCol w:w="1925"/>
        <w:gridCol w:w="1914"/>
        <w:gridCol w:w="1914"/>
        <w:gridCol w:w="1903"/>
      </w:tblGrid>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5"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left="834" w:right="0"/>
              <w:jc w:val="left"/>
              <w:rPr>
                <w:rFonts w:ascii="Arial" w:hAnsi="Arial" w:cs="Arial" w:eastAsia="Arial" w:hint="default"/>
                <w:sz w:val="18"/>
                <w:szCs w:val="18"/>
              </w:rPr>
            </w:pPr>
            <w:r>
              <w:rPr>
                <w:rFonts w:ascii="Arial"/>
                <w:sz w:val="18"/>
              </w:rPr>
              <w:t>9,605,000.00</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Arial" w:hAnsi="Arial" w:cs="Arial" w:eastAsia="Arial" w:hint="default"/>
                <w:sz w:val="18"/>
                <w:szCs w:val="18"/>
              </w:rPr>
            </w:pPr>
            <w:r>
              <w:rPr>
                <w:rFonts w:ascii="Arial"/>
                <w:sz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Arial" w:hAnsi="Arial" w:cs="Arial" w:eastAsia="Arial" w:hint="default"/>
                <w:sz w:val="18"/>
                <w:szCs w:val="18"/>
              </w:rPr>
            </w:pPr>
            <w:r>
              <w:rPr>
                <w:rFonts w:ascii="Arial"/>
                <w:sz w:val="18"/>
              </w:rPr>
              <w:t>--</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Arial" w:hAnsi="Arial" w:cs="Arial" w:eastAsia="Arial" w:hint="default"/>
                <w:sz w:val="18"/>
                <w:szCs w:val="18"/>
              </w:rPr>
            </w:pPr>
            <w:r>
              <w:rPr>
                <w:rFonts w:ascii="Arial"/>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rFonts w:ascii="Arial" w:hAnsi="Arial" w:cs="Arial" w:eastAsia="Arial" w:hint="default"/>
        </w:rPr>
        <w:t>3</w:t>
      </w:r>
      <w:r>
        <w:rPr/>
        <w:t>）坏账准备计提情况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890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其他说明：</w:t>
      </w:r>
    </w:p>
    <w:p>
      <w:pPr>
        <w:pStyle w:val="Heading3"/>
        <w:spacing w:line="240" w:lineRule="auto" w:before="70"/>
        <w:ind w:right="2239"/>
        <w:jc w:val="left"/>
        <w:rPr>
          <w:rFonts w:ascii="宋体" w:hAnsi="宋体" w:cs="宋体" w:eastAsia="宋体" w:hint="default"/>
        </w:rPr>
      </w:pPr>
      <w:r>
        <w:rPr>
          <w:rFonts w:ascii="宋体" w:hAnsi="宋体" w:cs="宋体" w:eastAsia="宋体" w:hint="default"/>
        </w:rPr>
        <w:t>无。</w:t>
      </w:r>
    </w:p>
    <w:p>
      <w:pPr>
        <w:spacing w:line="240" w:lineRule="auto" w:before="9"/>
        <w:rPr>
          <w:rFonts w:ascii="宋体" w:hAnsi="宋体" w:cs="宋体" w:eastAsia="宋体" w:hint="default"/>
          <w:sz w:val="24"/>
          <w:szCs w:val="24"/>
        </w:rPr>
      </w:pPr>
    </w:p>
    <w:p>
      <w:pPr>
        <w:pStyle w:val="Heading4"/>
        <w:spacing w:line="240" w:lineRule="auto"/>
        <w:ind w:right="2239"/>
        <w:jc w:val="left"/>
        <w:rPr>
          <w:b w:val="0"/>
          <w:bCs w:val="0"/>
        </w:rPr>
      </w:pPr>
      <w:r>
        <w:rPr/>
        <w:t>（</w:t>
      </w:r>
      <w:r>
        <w:rPr>
          <w:rFonts w:ascii="Arial" w:hAnsi="Arial" w:cs="Arial" w:eastAsia="Arial" w:hint="default"/>
        </w:rPr>
        <w:t>3</w:t>
      </w:r>
      <w:r>
        <w:rPr/>
        <w:t>）其他应收款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2239"/>
        <w:jc w:val="left"/>
        <w:rPr>
          <w:b w:val="0"/>
          <w:bCs w:val="0"/>
        </w:rPr>
      </w:pPr>
      <w:r>
        <w:rPr>
          <w:rFonts w:ascii="Arial" w:hAnsi="Arial" w:cs="Arial" w:eastAsia="Arial" w:hint="default"/>
        </w:rPr>
        <w:t>1</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2"/>
                <w:sz w:val="18"/>
              </w:rPr>
              <w:t>39,375,501.11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37,382,181.83</w:t>
            </w:r>
            <w:r>
              <w:rPr>
                <w:rFonts w:ascii="Arial"/>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2"/>
                <w:sz w:val="18"/>
              </w:rPr>
              <w:t>11,212,458.67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12,739,688.86</w:t>
            </w:r>
            <w:r>
              <w:rPr>
                <w:rFonts w:ascii="Arial"/>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4,563,063.05</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6,489,851.02</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55,151,022.83</w:t>
            </w:r>
            <w:r>
              <w:rPr>
                <w:rFonts w:ascii="Arial"/>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2"/>
                <w:sz w:val="18"/>
              </w:rPr>
              <w:t>56,611,721.71</w:t>
            </w:r>
            <w:r>
              <w:rPr>
                <w:rFonts w:ascii="Arial"/>
                <w:sz w:val="18"/>
              </w:rPr>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rFonts w:ascii="Arial" w:hAnsi="Arial" w:cs="Arial" w:eastAsia="Arial" w:hint="default"/>
        </w:rPr>
        <w:t>2</w:t>
      </w:r>
      <w:r>
        <w:rPr/>
        <w:t>）坏账准备计提情况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8"/>
        <w:gridCol w:w="1666"/>
        <w:gridCol w:w="2099"/>
        <w:gridCol w:w="2099"/>
        <w:gridCol w:w="1804"/>
      </w:tblGrid>
      <w:tr>
        <w:trPr>
          <w:trHeight w:val="402" w:hRule="exact"/>
        </w:trPr>
        <w:tc>
          <w:tcPr>
            <w:tcW w:w="1888" w:type="dxa"/>
            <w:tcBorders>
              <w:top w:val="single" w:sz="4" w:space="0" w:color="000000"/>
              <w:left w:val="single" w:sz="4" w:space="0" w:color="000000"/>
              <w:bottom w:val="nil" w:sz="6" w:space="0" w:color="auto"/>
              <w:right w:val="single" w:sz="4" w:space="0" w:color="000000"/>
            </w:tcBorders>
            <w:shd w:val="clear" w:color="auto" w:fill="D3D3D3"/>
          </w:tcPr>
          <w:p>
            <w:pPr/>
          </w:p>
        </w:tc>
        <w:tc>
          <w:tcPr>
            <w:tcW w:w="16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6"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52" w:hRule="exact"/>
        </w:trPr>
        <w:tc>
          <w:tcPr>
            <w:tcW w:w="188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6" w:type="dxa"/>
            <w:vMerge w:val="restart"/>
            <w:tcBorders>
              <w:top w:val="single" w:sz="4" w:space="0" w:color="000000"/>
              <w:left w:val="single" w:sz="4" w:space="0" w:color="000000"/>
              <w:right w:val="single" w:sz="4" w:space="0" w:color="000000"/>
            </w:tcBorders>
            <w:shd w:val="clear" w:color="auto" w:fill="D3D3D3"/>
          </w:tcPr>
          <w:p>
            <w:pPr>
              <w:pStyle w:val="TableParagraph"/>
              <w:spacing w:line="302" w:lineRule="auto" w:before="51"/>
              <w:ind w:left="566" w:right="44" w:hanging="50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个月预期信 用损失</w:t>
            </w:r>
          </w:p>
        </w:tc>
        <w:tc>
          <w:tcPr>
            <w:tcW w:w="20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7"/>
              <w:ind w:right="0"/>
              <w:jc w:val="center"/>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未发生信用减值</w:t>
            </w:r>
            <w:r>
              <w:rPr>
                <w:rFonts w:ascii="Arial" w:hAnsi="Arial" w:cs="Arial" w:eastAsia="Arial" w:hint="default"/>
                <w:sz w:val="18"/>
                <w:szCs w:val="18"/>
              </w:rPr>
              <w:t>)</w:t>
            </w:r>
          </w:p>
        </w:tc>
        <w:tc>
          <w:tcPr>
            <w:tcW w:w="20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7"/>
              <w:ind w:right="0"/>
              <w:jc w:val="center"/>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已发生信用减值</w:t>
            </w:r>
            <w:r>
              <w:rPr>
                <w:rFonts w:ascii="Arial" w:hAnsi="Arial" w:cs="Arial" w:eastAsia="Arial" w:hint="default"/>
                <w:sz w:val="18"/>
                <w:szCs w:val="18"/>
              </w:rPr>
              <w:t>)</w:t>
            </w:r>
          </w:p>
        </w:tc>
        <w:tc>
          <w:tcPr>
            <w:tcW w:w="18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2" w:hRule="exact"/>
        </w:trPr>
        <w:tc>
          <w:tcPr>
            <w:tcW w:w="1888" w:type="dxa"/>
            <w:tcBorders>
              <w:top w:val="nil" w:sz="6" w:space="0" w:color="auto"/>
              <w:left w:val="single" w:sz="4" w:space="0" w:color="000000"/>
              <w:bottom w:val="single" w:sz="4" w:space="0" w:color="000000"/>
              <w:right w:val="single" w:sz="4" w:space="0" w:color="000000"/>
            </w:tcBorders>
            <w:shd w:val="clear" w:color="auto" w:fill="D3D3D3"/>
          </w:tcPr>
          <w:p>
            <w:pPr/>
          </w:p>
        </w:tc>
        <w:tc>
          <w:tcPr>
            <w:tcW w:w="1666" w:type="dxa"/>
            <w:vMerge/>
            <w:tcBorders>
              <w:left w:val="single" w:sz="4" w:space="0" w:color="000000"/>
              <w:bottom w:val="single" w:sz="4" w:space="0" w:color="000000"/>
              <w:right w:val="single" w:sz="4" w:space="0" w:color="000000"/>
            </w:tcBorders>
            <w:shd w:val="clear" w:color="auto" w:fill="D3D3D3"/>
          </w:tcPr>
          <w:p>
            <w:pPr/>
          </w:p>
        </w:tc>
        <w:tc>
          <w:tcPr>
            <w:tcW w:w="2099" w:type="dxa"/>
            <w:vMerge/>
            <w:tcBorders>
              <w:left w:val="single" w:sz="4" w:space="0" w:color="000000"/>
              <w:bottom w:val="single" w:sz="4" w:space="0" w:color="000000"/>
              <w:right w:val="single" w:sz="4" w:space="0" w:color="000000"/>
            </w:tcBorders>
            <w:shd w:val="clear" w:color="auto" w:fill="D3D3D3"/>
          </w:tcPr>
          <w:p>
            <w:pPr/>
          </w:p>
        </w:tc>
        <w:tc>
          <w:tcPr>
            <w:tcW w:w="2099" w:type="dxa"/>
            <w:vMerge/>
            <w:tcBorders>
              <w:left w:val="single" w:sz="4" w:space="0" w:color="000000"/>
              <w:bottom w:val="single" w:sz="4" w:space="0" w:color="000000"/>
              <w:right w:val="single" w:sz="4" w:space="0" w:color="000000"/>
            </w:tcBorders>
            <w:shd w:val="clear" w:color="auto" w:fill="D3D3D3"/>
          </w:tcPr>
          <w:p>
            <w:pPr/>
          </w:p>
        </w:tc>
        <w:tc>
          <w:tcPr>
            <w:tcW w:w="180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日余额</w:t>
            </w:r>
          </w:p>
        </w:tc>
        <w:tc>
          <w:tcPr>
            <w:tcW w:w="166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2"/>
                <w:sz w:val="18"/>
              </w:rPr>
              <w:t>11,771,209.01</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2"/>
                <w:sz w:val="18"/>
              </w:rPr>
              <w:t>11,771,209.01</w:t>
            </w:r>
          </w:p>
        </w:tc>
      </w:tr>
      <w:tr>
        <w:trPr>
          <w:trHeight w:val="160" w:hRule="exact"/>
        </w:trPr>
        <w:tc>
          <w:tcPr>
            <w:tcW w:w="1888" w:type="dxa"/>
            <w:vMerge w:val="restart"/>
            <w:tcBorders>
              <w:top w:val="single" w:sz="4" w:space="0" w:color="000000"/>
              <w:left w:val="single" w:sz="4" w:space="0" w:color="000000"/>
              <w:right w:val="single" w:sz="4" w:space="0" w:color="000000"/>
            </w:tcBorders>
            <w:shd w:val="clear" w:color="auto" w:fill="D3D3D3"/>
          </w:tcPr>
          <w:p>
            <w:pPr>
              <w:pStyle w:val="TableParagraph"/>
              <w:spacing w:line="302" w:lineRule="auto" w:before="51"/>
              <w:ind w:left="11" w:right="5"/>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1</w:t>
            </w:r>
            <w:r>
              <w:rPr>
                <w:rFonts w:ascii="Arial" w:hAnsi="Arial" w:cs="Arial" w:eastAsia="Arial"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w:hAnsi="Arial" w:cs="Arial" w:eastAsia="Arial" w:hint="default"/>
                <w:sz w:val="18"/>
                <w:szCs w:val="18"/>
              </w:rPr>
              <w:t>1</w:t>
            </w:r>
            <w:r>
              <w:rPr>
                <w:rFonts w:ascii="Arial" w:hAnsi="Arial" w:cs="Arial" w:eastAsia="Arial" w:hint="default"/>
                <w:spacing w:val="-15"/>
                <w:sz w:val="18"/>
                <w:szCs w:val="18"/>
              </w:rPr>
              <w:t> </w:t>
            </w:r>
            <w:r>
              <w:rPr>
                <w:rFonts w:ascii="宋体" w:hAnsi="宋体" w:cs="宋体" w:eastAsia="宋体" w:hint="default"/>
                <w:sz w:val="18"/>
                <w:szCs w:val="18"/>
              </w:rPr>
              <w:t>日余额在 本期</w:t>
            </w:r>
          </w:p>
        </w:tc>
        <w:tc>
          <w:tcPr>
            <w:tcW w:w="1666" w:type="dxa"/>
            <w:tcBorders>
              <w:top w:val="single" w:sz="4" w:space="0" w:color="000000"/>
              <w:left w:val="single" w:sz="4" w:space="0" w:color="000000"/>
              <w:bottom w:val="nil" w:sz="6" w:space="0" w:color="auto"/>
              <w:right w:val="single" w:sz="4" w:space="0" w:color="000000"/>
            </w:tcBorders>
            <w:shd w:val="clear" w:color="auto" w:fill="D3D3D3"/>
          </w:tcPr>
          <w:p>
            <w:pPr/>
          </w:p>
        </w:tc>
        <w:tc>
          <w:tcPr>
            <w:tcW w:w="2099" w:type="dxa"/>
            <w:tcBorders>
              <w:top w:val="single" w:sz="4" w:space="0" w:color="000000"/>
              <w:left w:val="single" w:sz="4" w:space="0" w:color="000000"/>
              <w:bottom w:val="nil" w:sz="6" w:space="0" w:color="auto"/>
              <w:right w:val="single" w:sz="4" w:space="0" w:color="000000"/>
            </w:tcBorders>
            <w:shd w:val="clear" w:color="auto" w:fill="D3D3D3"/>
          </w:tcPr>
          <w:p>
            <w:pPr/>
          </w:p>
        </w:tc>
        <w:tc>
          <w:tcPr>
            <w:tcW w:w="2099" w:type="dxa"/>
            <w:tcBorders>
              <w:top w:val="single" w:sz="4" w:space="0" w:color="000000"/>
              <w:left w:val="single" w:sz="4" w:space="0" w:color="000000"/>
              <w:bottom w:val="nil" w:sz="6" w:space="0" w:color="auto"/>
              <w:right w:val="single" w:sz="4" w:space="0" w:color="000000"/>
            </w:tcBorders>
            <w:shd w:val="clear" w:color="auto" w:fill="D3D3D3"/>
          </w:tcPr>
          <w:p>
            <w:pPr/>
          </w:p>
        </w:tc>
        <w:tc>
          <w:tcPr>
            <w:tcW w:w="180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4" w:hRule="exact"/>
        </w:trPr>
        <w:tc>
          <w:tcPr>
            <w:tcW w:w="1888" w:type="dxa"/>
            <w:vMerge/>
            <w:tcBorders>
              <w:left w:val="single" w:sz="4" w:space="0" w:color="000000"/>
              <w:right w:val="single" w:sz="4" w:space="0" w:color="000000"/>
            </w:tcBorders>
            <w:shd w:val="clear" w:color="auto" w:fill="D3D3D3"/>
          </w:tcPr>
          <w:p>
            <w:pPr/>
          </w:p>
        </w:tc>
        <w:tc>
          <w:tcPr>
            <w:tcW w:w="16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2"/>
              <w:ind w:left="16" w:right="0"/>
              <w:jc w:val="center"/>
              <w:rPr>
                <w:rFonts w:ascii="Arial" w:hAnsi="Arial" w:cs="Arial" w:eastAsia="Arial" w:hint="default"/>
                <w:sz w:val="18"/>
                <w:szCs w:val="18"/>
              </w:rPr>
            </w:pPr>
            <w:r>
              <w:rPr>
                <w:rFonts w:ascii="Arial" w:hAnsi="Arial" w:cs="Arial" w:eastAsia="Arial" w:hint="default"/>
                <w:sz w:val="18"/>
                <w:szCs w:val="18"/>
              </w:rPr>
              <w:t>——</w:t>
            </w:r>
          </w:p>
        </w:tc>
        <w:tc>
          <w:tcPr>
            <w:tcW w:w="20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2"/>
              <w:ind w:right="0"/>
              <w:jc w:val="center"/>
              <w:rPr>
                <w:rFonts w:ascii="Arial" w:hAnsi="Arial" w:cs="Arial" w:eastAsia="Arial" w:hint="default"/>
                <w:sz w:val="18"/>
                <w:szCs w:val="18"/>
              </w:rPr>
            </w:pPr>
            <w:r>
              <w:rPr>
                <w:rFonts w:ascii="Arial" w:hAnsi="Arial" w:cs="Arial" w:eastAsia="Arial" w:hint="default"/>
                <w:sz w:val="18"/>
                <w:szCs w:val="18"/>
              </w:rPr>
              <w:t>——</w:t>
            </w:r>
          </w:p>
        </w:tc>
        <w:tc>
          <w:tcPr>
            <w:tcW w:w="20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2"/>
              <w:ind w:right="0"/>
              <w:jc w:val="center"/>
              <w:rPr>
                <w:rFonts w:ascii="Arial" w:hAnsi="Arial" w:cs="Arial" w:eastAsia="Arial" w:hint="default"/>
                <w:sz w:val="18"/>
                <w:szCs w:val="18"/>
              </w:rPr>
            </w:pPr>
            <w:r>
              <w:rPr>
                <w:rFonts w:ascii="Arial" w:hAnsi="Arial" w:cs="Arial" w:eastAsia="Arial" w:hint="default"/>
                <w:sz w:val="18"/>
                <w:szCs w:val="18"/>
              </w:rPr>
              <w:t>——</w:t>
            </w:r>
          </w:p>
        </w:tc>
        <w:tc>
          <w:tcPr>
            <w:tcW w:w="18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2"/>
              <w:ind w:right="1"/>
              <w:jc w:val="center"/>
              <w:rPr>
                <w:rFonts w:ascii="Arial" w:hAnsi="Arial" w:cs="Arial" w:eastAsia="Arial" w:hint="default"/>
                <w:sz w:val="18"/>
                <w:szCs w:val="18"/>
              </w:rPr>
            </w:pPr>
            <w:r>
              <w:rPr>
                <w:rFonts w:ascii="Arial" w:hAnsi="Arial" w:cs="Arial" w:eastAsia="Arial" w:hint="default"/>
                <w:sz w:val="18"/>
                <w:szCs w:val="18"/>
              </w:rPr>
              <w:t>——</w:t>
            </w:r>
          </w:p>
        </w:tc>
      </w:tr>
      <w:tr>
        <w:trPr>
          <w:trHeight w:val="160" w:hRule="exact"/>
        </w:trPr>
        <w:tc>
          <w:tcPr>
            <w:tcW w:w="1888" w:type="dxa"/>
            <w:vMerge/>
            <w:tcBorders>
              <w:left w:val="single" w:sz="4" w:space="0" w:color="000000"/>
              <w:bottom w:val="single" w:sz="4" w:space="0" w:color="000000"/>
              <w:right w:val="single" w:sz="4" w:space="0" w:color="000000"/>
            </w:tcBorders>
            <w:shd w:val="clear" w:color="auto" w:fill="D3D3D3"/>
          </w:tcPr>
          <w:p>
            <w:pPr/>
          </w:p>
        </w:tc>
        <w:tc>
          <w:tcPr>
            <w:tcW w:w="1666" w:type="dxa"/>
            <w:tcBorders>
              <w:top w:val="nil" w:sz="6" w:space="0" w:color="auto"/>
              <w:left w:val="single" w:sz="4" w:space="0" w:color="000000"/>
              <w:bottom w:val="single" w:sz="4" w:space="0" w:color="000000"/>
              <w:right w:val="single" w:sz="4" w:space="0" w:color="000000"/>
            </w:tcBorders>
            <w:shd w:val="clear" w:color="auto" w:fill="D3D3D3"/>
          </w:tcPr>
          <w:p>
            <w:pPr/>
          </w:p>
        </w:tc>
        <w:tc>
          <w:tcPr>
            <w:tcW w:w="2099" w:type="dxa"/>
            <w:tcBorders>
              <w:top w:val="nil" w:sz="6" w:space="0" w:color="auto"/>
              <w:left w:val="single" w:sz="4" w:space="0" w:color="000000"/>
              <w:bottom w:val="single" w:sz="4" w:space="0" w:color="000000"/>
              <w:right w:val="single" w:sz="4" w:space="0" w:color="000000"/>
            </w:tcBorders>
            <w:shd w:val="clear" w:color="auto" w:fill="D3D3D3"/>
          </w:tcPr>
          <w:p>
            <w:pPr/>
          </w:p>
        </w:tc>
        <w:tc>
          <w:tcPr>
            <w:tcW w:w="2099" w:type="dxa"/>
            <w:tcBorders>
              <w:top w:val="nil" w:sz="6" w:space="0" w:color="auto"/>
              <w:left w:val="single" w:sz="4" w:space="0" w:color="000000"/>
              <w:bottom w:val="single" w:sz="4" w:space="0" w:color="000000"/>
              <w:right w:val="single" w:sz="4" w:space="0" w:color="000000"/>
            </w:tcBorders>
            <w:shd w:val="clear" w:color="auto" w:fill="D3D3D3"/>
          </w:tcPr>
          <w:p>
            <w:pPr/>
          </w:p>
        </w:tc>
        <w:tc>
          <w:tcPr>
            <w:tcW w:w="180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5,221,157.48</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5,221,157.48</w:t>
            </w:r>
          </w:p>
        </w:tc>
      </w:tr>
      <w:tr>
        <w:trPr>
          <w:trHeight w:val="402" w:hRule="exact"/>
        </w:trPr>
        <w:tc>
          <w:tcPr>
            <w:tcW w:w="1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6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249,547.01</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249,547.01</w:t>
            </w:r>
          </w:p>
        </w:tc>
      </w:tr>
      <w:tr>
        <w:trPr>
          <w:trHeight w:val="402" w:hRule="exact"/>
        </w:trPr>
        <w:tc>
          <w:tcPr>
            <w:tcW w:w="18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Arial" w:hAnsi="Arial" w:cs="Arial" w:eastAsia="Arial" w:hint="default"/>
                <w:sz w:val="18"/>
                <w:szCs w:val="18"/>
              </w:rPr>
              <w:t>12</w:t>
            </w:r>
            <w:r>
              <w:rPr>
                <w:rFonts w:ascii="Arial" w:hAnsi="Arial" w:cs="Arial" w:eastAsia="Arial"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Arial" w:hAnsi="Arial" w:cs="Arial" w:eastAsia="Arial" w:hint="default"/>
                <w:sz w:val="18"/>
                <w:szCs w:val="18"/>
              </w:rPr>
              <w:t>31</w:t>
            </w:r>
            <w:r>
              <w:rPr>
                <w:rFonts w:ascii="Arial" w:hAnsi="Arial" w:cs="Arial" w:eastAsia="Arial" w:hint="default"/>
                <w:spacing w:val="-20"/>
                <w:sz w:val="18"/>
                <w:szCs w:val="18"/>
              </w:rPr>
              <w:t> </w:t>
            </w:r>
            <w:r>
              <w:rPr>
                <w:rFonts w:ascii="宋体" w:hAnsi="宋体" w:cs="宋体" w:eastAsia="宋体" w:hint="default"/>
                <w:sz w:val="18"/>
                <w:szCs w:val="18"/>
              </w:rPr>
              <w:t>日余额</w:t>
            </w:r>
          </w:p>
        </w:tc>
        <w:tc>
          <w:tcPr>
            <w:tcW w:w="1666"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16,742,819.48</w:t>
            </w:r>
            <w:r>
              <w:rPr>
                <w:rFonts w:ascii="Arial"/>
                <w:sz w:val="18"/>
              </w:rPr>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16,742,819.48</w:t>
            </w:r>
            <w:r>
              <w:rPr>
                <w:rFonts w:ascii="Arial"/>
                <w:sz w:val="18"/>
              </w:rPr>
            </w:r>
          </w:p>
        </w:tc>
      </w:tr>
    </w:tbl>
    <w:p>
      <w:pPr>
        <w:spacing w:after="0" w:line="240" w:lineRule="auto"/>
        <w:jc w:val="right"/>
        <w:rPr>
          <w:rFonts w:ascii="Arial" w:hAnsi="Arial" w:cs="Arial" w:eastAsia="Arial" w:hint="default"/>
          <w:sz w:val="18"/>
          <w:szCs w:val="18"/>
        </w:rPr>
        <w:sectPr>
          <w:pgSz w:w="11910" w:h="16840"/>
          <w:pgMar w:header="747" w:footer="982" w:top="1060" w:bottom="1180" w:left="980" w:right="0"/>
        </w:sectPr>
      </w:pPr>
    </w:p>
    <w:p>
      <w:pPr>
        <w:pStyle w:val="BodyText"/>
        <w:spacing w:line="240" w:lineRule="auto" w:before="51"/>
        <w:ind w:right="-20"/>
        <w:jc w:val="left"/>
      </w:pPr>
      <w:r>
        <w:rPr/>
        <w:t>损失准备本期变动金额重大的账面余额变动情况</w:t>
      </w:r>
    </w:p>
    <w:p>
      <w:pPr>
        <w:pStyle w:val="BodyText"/>
        <w:spacing w:line="340" w:lineRule="auto" w:before="117"/>
        <w:ind w:right="1573"/>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0"/>
          <w:cols w:num="2" w:equalWidth="0">
            <w:col w:w="3935" w:space="4894"/>
            <w:col w:w="210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1"/>
        <w:gridCol w:w="4795"/>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47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19,444,715.54</w:t>
            </w:r>
            <w:r>
              <w:rPr>
                <w:rFonts w:ascii="Arial"/>
                <w:sz w:val="18"/>
              </w:rPr>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2</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47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2"/>
                <w:sz w:val="18"/>
              </w:rPr>
              <w:t>11,612,750.83</w:t>
            </w:r>
          </w:p>
        </w:tc>
      </w:tr>
    </w:tbl>
    <w:p>
      <w:pPr>
        <w:spacing w:after="0" w:line="240" w:lineRule="auto"/>
        <w:jc w:val="right"/>
        <w:rPr>
          <w:rFonts w:ascii="Arial" w:hAnsi="Arial" w:cs="Arial" w:eastAsia="Arial" w:hint="default"/>
          <w:sz w:val="18"/>
          <w:szCs w:val="18"/>
        </w:rPr>
        <w:sectPr>
          <w:type w:val="continuous"/>
          <w:pgSz w:w="11910" w:h="16840"/>
          <w:pgMar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784"/>
        <w:gridCol w:w="4784"/>
      </w:tblGrid>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7"/>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7,296,684.65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16,796,871.81</w:t>
            </w:r>
            <w:r>
              <w:rPr>
                <w:rFonts w:ascii="Arial"/>
                <w:sz w:val="18"/>
              </w:rPr>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875"/>
              <w:jc w:val="righ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9,238,279.50</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875"/>
              <w:jc w:val="righ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7"/>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5</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3,359,374.36</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3885"/>
              <w:jc w:val="righ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7"/>
                <w:sz w:val="18"/>
                <w:szCs w:val="18"/>
              </w:rPr>
              <w:t> </w:t>
            </w:r>
            <w:r>
              <w:rPr>
                <w:rFonts w:ascii="宋体" w:hAnsi="宋体" w:cs="宋体" w:eastAsia="宋体" w:hint="default"/>
                <w:sz w:val="18"/>
                <w:szCs w:val="18"/>
              </w:rPr>
              <w:t>年以上</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4,199,217.95</w:t>
            </w:r>
          </w:p>
        </w:tc>
      </w:tr>
      <w:tr>
        <w:trPr>
          <w:trHeight w:val="402" w:hRule="exact"/>
        </w:trPr>
        <w:tc>
          <w:tcPr>
            <w:tcW w:w="47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55,151,022.83</w:t>
            </w:r>
            <w:r>
              <w:rPr>
                <w:rFonts w:ascii="Arial"/>
                <w:sz w:val="18"/>
              </w:rPr>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rFonts w:ascii="Arial" w:hAnsi="Arial" w:cs="Arial" w:eastAsia="Arial" w:hint="default"/>
        </w:rPr>
        <w:t>3</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2239"/>
        <w:jc w:val="left"/>
      </w:pPr>
      <w:r>
        <w:rPr/>
        <w:t>本期计提坏账准备情况：</w:t>
      </w:r>
    </w:p>
    <w:p>
      <w:pPr>
        <w:pStyle w:val="BodyText"/>
        <w:spacing w:line="240" w:lineRule="auto" w:before="117"/>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15"/>
        <w:gridCol w:w="1098"/>
        <w:gridCol w:w="1194"/>
        <w:gridCol w:w="1303"/>
        <w:gridCol w:w="1092"/>
        <w:gridCol w:w="1736"/>
        <w:gridCol w:w="1729"/>
      </w:tblGrid>
      <w:tr>
        <w:trPr>
          <w:trHeight w:val="402" w:hRule="exact"/>
        </w:trPr>
        <w:tc>
          <w:tcPr>
            <w:tcW w:w="141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0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8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72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415" w:type="dxa"/>
            <w:vMerge/>
            <w:tcBorders>
              <w:left w:val="single" w:sz="4" w:space="0" w:color="000000"/>
              <w:bottom w:val="single" w:sz="4" w:space="0" w:color="000000"/>
              <w:right w:val="single" w:sz="4" w:space="0" w:color="000000"/>
            </w:tcBorders>
            <w:shd w:val="clear" w:color="auto" w:fill="D3D3D3"/>
          </w:tcPr>
          <w:p>
            <w:pPr/>
          </w:p>
        </w:tc>
        <w:tc>
          <w:tcPr>
            <w:tcW w:w="1098" w:type="dxa"/>
            <w:vMerge/>
            <w:tcBorders>
              <w:left w:val="single" w:sz="4" w:space="0" w:color="000000"/>
              <w:bottom w:val="single" w:sz="4" w:space="0" w:color="000000"/>
              <w:right w:val="single" w:sz="4" w:space="0" w:color="000000"/>
            </w:tcBorders>
            <w:shd w:val="clear" w:color="auto" w:fill="D3D3D3"/>
          </w:tcPr>
          <w:p>
            <w:pPr/>
          </w:p>
        </w:tc>
        <w:tc>
          <w:tcPr>
            <w:tcW w:w="1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5"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729"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52"/>
                <w:sz w:val="18"/>
                <w:szCs w:val="18"/>
              </w:rPr>
              <w:t> </w:t>
            </w:r>
            <w:r>
              <w:rPr>
                <w:rFonts w:ascii="Arial" w:hAnsi="Arial" w:cs="Arial" w:eastAsia="Arial" w:hint="default"/>
                <w:sz w:val="18"/>
                <w:szCs w:val="18"/>
              </w:rPr>
              <w:t>12</w:t>
            </w:r>
            <w:r>
              <w:rPr>
                <w:rFonts w:ascii="Arial" w:hAnsi="Arial" w:cs="Arial" w:eastAsia="Arial" w:hint="default"/>
                <w:spacing w:val="-12"/>
                <w:sz w:val="18"/>
                <w:szCs w:val="18"/>
              </w:rPr>
              <w:t> </w:t>
            </w:r>
            <w:r>
              <w:rPr>
                <w:rFonts w:ascii="宋体" w:hAnsi="宋体" w:cs="宋体" w:eastAsia="宋体" w:hint="default"/>
                <w:sz w:val="18"/>
                <w:szCs w:val="18"/>
              </w:rPr>
              <w:t>个月预期 信用损失</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2"/>
                <w:sz w:val="18"/>
              </w:rPr>
              <w:t>11,771,209.0</w:t>
            </w:r>
          </w:p>
          <w:p>
            <w:pPr>
              <w:pStyle w:val="TableParagraph"/>
              <w:spacing w:line="240" w:lineRule="auto" w:before="106"/>
              <w:ind w:right="21"/>
              <w:jc w:val="right"/>
              <w:rPr>
                <w:rFonts w:ascii="Arial" w:hAnsi="Arial" w:cs="Arial" w:eastAsia="Arial" w:hint="default"/>
                <w:sz w:val="18"/>
                <w:szCs w:val="18"/>
              </w:rPr>
            </w:pPr>
            <w:r>
              <w:rPr>
                <w:rFonts w:ascii="Arial"/>
                <w:sz w:val="18"/>
              </w:rPr>
              <w:t>1</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Arial" w:hAnsi="Arial" w:cs="Arial" w:eastAsia="Arial" w:hint="default"/>
                <w:sz w:val="18"/>
                <w:szCs w:val="18"/>
              </w:rPr>
            </w:pPr>
            <w:r>
              <w:rPr>
                <w:rFonts w:ascii="Arial"/>
                <w:sz w:val="18"/>
              </w:rPr>
              <w:t>5,221,157.48</w:t>
            </w:r>
          </w:p>
        </w:tc>
        <w:tc>
          <w:tcPr>
            <w:tcW w:w="130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2" w:right="0"/>
              <w:jc w:val="center"/>
              <w:rPr>
                <w:rFonts w:ascii="Arial" w:hAnsi="Arial" w:cs="Arial" w:eastAsia="Arial" w:hint="default"/>
                <w:sz w:val="18"/>
                <w:szCs w:val="18"/>
              </w:rPr>
            </w:pPr>
            <w:r>
              <w:rPr>
                <w:rFonts w:ascii="Arial"/>
                <w:sz w:val="18"/>
              </w:rPr>
              <w:t>249,547.01</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16,742,819.48</w:t>
            </w:r>
            <w:r>
              <w:rPr>
                <w:rFonts w:ascii="Arial"/>
                <w:sz w:val="18"/>
              </w:rPr>
            </w:r>
          </w:p>
        </w:tc>
      </w:tr>
      <w:tr>
        <w:trPr>
          <w:trHeight w:val="714" w:hRule="exact"/>
        </w:trPr>
        <w:tc>
          <w:tcPr>
            <w:tcW w:w="14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2"/>
                <w:sz w:val="18"/>
              </w:rPr>
              <w:t>11,771,209.0</w:t>
            </w:r>
          </w:p>
          <w:p>
            <w:pPr>
              <w:pStyle w:val="TableParagraph"/>
              <w:spacing w:line="240" w:lineRule="auto" w:before="106"/>
              <w:ind w:right="21"/>
              <w:jc w:val="right"/>
              <w:rPr>
                <w:rFonts w:ascii="Arial" w:hAnsi="Arial" w:cs="Arial" w:eastAsia="Arial" w:hint="default"/>
                <w:sz w:val="18"/>
                <w:szCs w:val="18"/>
              </w:rPr>
            </w:pPr>
            <w:r>
              <w:rPr>
                <w:rFonts w:ascii="Arial"/>
                <w:sz w:val="18"/>
              </w:rPr>
              <w:t>1</w:t>
            </w:r>
          </w:p>
        </w:tc>
        <w:tc>
          <w:tcPr>
            <w:tcW w:w="1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84" w:right="0"/>
              <w:jc w:val="center"/>
              <w:rPr>
                <w:rFonts w:ascii="Arial" w:hAnsi="Arial" w:cs="Arial" w:eastAsia="Arial" w:hint="default"/>
                <w:sz w:val="18"/>
                <w:szCs w:val="18"/>
              </w:rPr>
            </w:pPr>
            <w:r>
              <w:rPr>
                <w:rFonts w:ascii="Arial"/>
                <w:sz w:val="18"/>
              </w:rPr>
              <w:t>5,221,157.48</w:t>
            </w:r>
          </w:p>
        </w:tc>
        <w:tc>
          <w:tcPr>
            <w:tcW w:w="1303" w:type="dxa"/>
            <w:tcBorders>
              <w:top w:val="single" w:sz="4" w:space="0" w:color="000000"/>
              <w:left w:val="single" w:sz="4" w:space="0" w:color="000000"/>
              <w:bottom w:val="single" w:sz="4" w:space="0" w:color="000000"/>
              <w:right w:val="single" w:sz="4" w:space="0" w:color="000000"/>
            </w:tcBorders>
          </w:tcPr>
          <w:p>
            <w:pPr/>
          </w:p>
        </w:tc>
        <w:tc>
          <w:tcPr>
            <w:tcW w:w="10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32" w:right="0"/>
              <w:jc w:val="center"/>
              <w:rPr>
                <w:rFonts w:ascii="Arial" w:hAnsi="Arial" w:cs="Arial" w:eastAsia="Arial" w:hint="default"/>
                <w:sz w:val="18"/>
                <w:szCs w:val="18"/>
              </w:rPr>
            </w:pPr>
            <w:r>
              <w:rPr>
                <w:rFonts w:ascii="Arial"/>
                <w:sz w:val="18"/>
              </w:rPr>
              <w:t>249,547.01</w:t>
            </w:r>
          </w:p>
        </w:tc>
        <w:tc>
          <w:tcPr>
            <w:tcW w:w="1736"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16,742,819.48</w:t>
            </w:r>
            <w:r>
              <w:rPr>
                <w:rFonts w:ascii="Arial"/>
                <w:sz w:val="18"/>
              </w:rPr>
            </w:r>
          </w:p>
        </w:tc>
      </w:tr>
    </w:tbl>
    <w:p>
      <w:pPr>
        <w:pStyle w:val="BodyText"/>
        <w:spacing w:line="240" w:lineRule="auto" w:before="51"/>
        <w:ind w:right="2239"/>
        <w:jc w:val="left"/>
      </w:pPr>
      <w:r>
        <w:rPr/>
        <w:t>其中本期坏账准备转回或收回金额重要的：</w:t>
      </w:r>
    </w:p>
    <w:p>
      <w:pPr>
        <w:pStyle w:val="BodyText"/>
        <w:spacing w:line="240" w:lineRule="auto" w:before="117"/>
        <w:ind w:left="0" w:right="113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959"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3"/>
        <w:rPr>
          <w:rFonts w:ascii="宋体" w:hAnsi="宋体" w:cs="宋体" w:eastAsia="宋体" w:hint="default"/>
          <w:sz w:val="19"/>
          <w:szCs w:val="19"/>
        </w:rPr>
      </w:pPr>
    </w:p>
    <w:p>
      <w:pPr>
        <w:pStyle w:val="Heading4"/>
        <w:spacing w:line="240" w:lineRule="auto" w:before="35"/>
        <w:ind w:right="2239"/>
        <w:jc w:val="left"/>
        <w:rPr>
          <w:b w:val="0"/>
          <w:bCs w:val="0"/>
        </w:rPr>
      </w:pPr>
      <w:r>
        <w:rPr>
          <w:rFonts w:ascii="Arial" w:hAnsi="Arial" w:cs="Arial" w:eastAsia="Arial" w:hint="default"/>
        </w:rPr>
        <w:t>4</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780"/>
        <w:gridCol w:w="4788"/>
      </w:tblGrid>
      <w:tr>
        <w:trPr>
          <w:trHeight w:val="402" w:hRule="exact"/>
        </w:trPr>
        <w:tc>
          <w:tcPr>
            <w:tcW w:w="478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核销金额</w:t>
            </w:r>
          </w:p>
        </w:tc>
      </w:tr>
      <w:tr>
        <w:trPr>
          <w:trHeight w:val="402" w:hRule="exact"/>
        </w:trPr>
        <w:tc>
          <w:tcPr>
            <w:tcW w:w="4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实际核销的应收账款</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249,547.01</w:t>
            </w:r>
          </w:p>
        </w:tc>
      </w:tr>
    </w:tbl>
    <w:p>
      <w:pPr>
        <w:pStyle w:val="BodyText"/>
        <w:spacing w:line="240" w:lineRule="auto" w:before="51"/>
        <w:ind w:right="2239"/>
        <w:jc w:val="left"/>
      </w:pPr>
      <w:r>
        <w:rPr/>
        <w:t>其中重要的其他应收款核销情况：</w:t>
      </w:r>
    </w:p>
    <w:p>
      <w:pPr>
        <w:pStyle w:val="BodyText"/>
        <w:spacing w:line="240" w:lineRule="auto" w:before="117"/>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21" w:right="71"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357" w:lineRule="auto" w:before="52"/>
        <w:ind w:left="153" w:right="8951"/>
        <w:jc w:val="left"/>
      </w:pPr>
      <w:r>
        <w:rPr/>
        <w:t>其他应收款核销说明： 无。</w:t>
      </w:r>
    </w:p>
    <w:p>
      <w:pPr>
        <w:spacing w:line="240" w:lineRule="auto" w:before="1"/>
        <w:rPr>
          <w:rFonts w:ascii="宋体" w:hAnsi="宋体" w:cs="宋体" w:eastAsia="宋体" w:hint="default"/>
          <w:sz w:val="20"/>
          <w:szCs w:val="20"/>
        </w:rPr>
      </w:pPr>
    </w:p>
    <w:p>
      <w:pPr>
        <w:pStyle w:val="Heading4"/>
        <w:spacing w:line="240" w:lineRule="auto"/>
        <w:ind w:right="2239"/>
        <w:jc w:val="left"/>
        <w:rPr>
          <w:b w:val="0"/>
          <w:bCs w:val="0"/>
        </w:rPr>
      </w:pPr>
      <w:r>
        <w:rPr>
          <w:rFonts w:ascii="Arial" w:hAnsi="Arial" w:cs="Arial" w:eastAsia="Arial" w:hint="default"/>
        </w:rPr>
        <w:t>5</w:t>
      </w:r>
      <w:r>
        <w:rPr/>
        <w:t>）按欠款方归集的期末余额前五名的其他应收款情况</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3" w:right="71"/>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1"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6"/>
        <w:gridCol w:w="1595"/>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郑州市金水区杨金 产业园区管委会</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5,000,000.00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w w:val="95"/>
                <w:sz w:val="18"/>
              </w:rPr>
              <w:t>9.07%</w:t>
            </w:r>
            <w:r>
              <w:rPr>
                <w:rFonts w:ascii="Arial"/>
                <w:w w:val="95"/>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1,000,000.00</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left"/>
              <w:rPr>
                <w:rFonts w:ascii="宋体" w:hAnsi="宋体" w:cs="宋体" w:eastAsia="宋体" w:hint="default"/>
                <w:sz w:val="18"/>
                <w:szCs w:val="18"/>
              </w:rPr>
            </w:pPr>
            <w:r>
              <w:rPr>
                <w:rFonts w:ascii="宋体" w:hAnsi="宋体" w:cs="宋体" w:eastAsia="宋体" w:hint="default"/>
                <w:sz w:val="18"/>
                <w:szCs w:val="18"/>
              </w:rPr>
              <w:t>海关总署物资装备 采购中心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4,030,100.00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年以内</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w w:val="95"/>
                <w:sz w:val="18"/>
              </w:rPr>
              <w:t>7.31%</w:t>
            </w:r>
            <w:r>
              <w:rPr>
                <w:rFonts w:ascii="Arial"/>
                <w:w w:val="95"/>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452,177.22</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19"/>
              <w:jc w:val="both"/>
              <w:rPr>
                <w:rFonts w:ascii="宋体" w:hAnsi="宋体" w:cs="宋体" w:eastAsia="宋体" w:hint="default"/>
                <w:sz w:val="18"/>
                <w:szCs w:val="18"/>
              </w:rPr>
            </w:pPr>
            <w:r>
              <w:rPr>
                <w:rFonts w:ascii="宋体" w:hAnsi="宋体" w:cs="宋体" w:eastAsia="宋体" w:hint="default"/>
                <w:sz w:val="18"/>
                <w:szCs w:val="18"/>
              </w:rPr>
              <w:t>信阳市建筑节能与 墙体材料革新办公 室</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1,787,196.00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年以上</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3"/>
              <w:jc w:val="right"/>
              <w:rPr>
                <w:rFonts w:ascii="Arial" w:hAnsi="Arial" w:cs="Arial" w:eastAsia="Arial" w:hint="default"/>
                <w:sz w:val="18"/>
                <w:szCs w:val="18"/>
              </w:rPr>
            </w:pPr>
            <w:r>
              <w:rPr>
                <w:rFonts w:ascii="Arial"/>
                <w:spacing w:val="-1"/>
                <w:w w:val="95"/>
                <w:sz w:val="18"/>
              </w:rPr>
              <w:t>3.24%</w:t>
            </w:r>
            <w:r>
              <w:rPr>
                <w:rFonts w:ascii="Arial"/>
                <w:w w:val="95"/>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sz w:val="18"/>
              </w:rPr>
              <w:t>357,439.20</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管兵</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1,628,751.00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w w:val="95"/>
                <w:sz w:val="18"/>
              </w:rPr>
              <w:t>2.95%</w:t>
            </w:r>
            <w:r>
              <w:rPr>
                <w:rFonts w:ascii="Arial"/>
                <w:w w:val="95"/>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339,268.83</w:t>
            </w:r>
          </w:p>
        </w:tc>
      </w:tr>
      <w:tr>
        <w:trPr>
          <w:trHeight w:val="1026"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 w:right="119"/>
              <w:jc w:val="left"/>
              <w:rPr>
                <w:rFonts w:ascii="宋体" w:hAnsi="宋体" w:cs="宋体" w:eastAsia="宋体" w:hint="default"/>
                <w:sz w:val="18"/>
                <w:szCs w:val="18"/>
              </w:rPr>
            </w:pPr>
            <w:r>
              <w:rPr>
                <w:rFonts w:ascii="宋体" w:hAnsi="宋体" w:cs="宋体" w:eastAsia="宋体" w:hint="default"/>
                <w:sz w:val="18"/>
                <w:szCs w:val="18"/>
              </w:rPr>
              <w:t>德化县会计核算中 心</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1,425,329.42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Arial" w:hAnsi="Arial" w:cs="Arial" w:eastAsia="Arial" w:hint="default"/>
                <w:sz w:val="18"/>
                <w:szCs w:val="18"/>
              </w:rPr>
            </w:pPr>
            <w:r>
              <w:rPr>
                <w:rFonts w:ascii="Arial" w:hAnsi="Arial" w:cs="Arial" w:eastAsia="Arial" w:hint="default"/>
                <w:sz w:val="18"/>
                <w:szCs w:val="18"/>
              </w:rPr>
              <w:t>2-3 </w:t>
            </w:r>
            <w:r>
              <w:rPr>
                <w:rFonts w:ascii="宋体" w:hAnsi="宋体" w:cs="宋体" w:eastAsia="宋体" w:hint="default"/>
                <w:sz w:val="18"/>
                <w:szCs w:val="18"/>
              </w:rPr>
              <w:t>年</w:t>
            </w:r>
            <w:r>
              <w:rPr>
                <w:rFonts w:ascii="宋体" w:hAnsi="宋体" w:cs="宋体" w:eastAsia="宋体" w:hint="default"/>
                <w:spacing w:val="-57"/>
                <w:sz w:val="18"/>
                <w:szCs w:val="18"/>
              </w:rPr>
              <w:t> </w:t>
            </w:r>
            <w:r>
              <w:rPr>
                <w:rFonts w:ascii="Arial" w:hAnsi="Arial" w:cs="Arial" w:eastAsia="Arial" w:hint="default"/>
                <w:sz w:val="18"/>
                <w:szCs w:val="18"/>
              </w:rPr>
              <w:t>348,140.62</w:t>
            </w:r>
          </w:p>
          <w:p>
            <w:pPr>
              <w:pStyle w:val="TableParagraph"/>
              <w:spacing w:line="240" w:lineRule="auto" w:before="63"/>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年以上</w:t>
            </w:r>
          </w:p>
          <w:p>
            <w:pPr>
              <w:pStyle w:val="TableParagraph"/>
              <w:spacing w:line="240" w:lineRule="auto" w:before="105"/>
              <w:ind w:left="22" w:right="0"/>
              <w:jc w:val="left"/>
              <w:rPr>
                <w:rFonts w:ascii="Arial" w:hAnsi="Arial" w:cs="Arial" w:eastAsia="Arial" w:hint="default"/>
                <w:sz w:val="18"/>
                <w:szCs w:val="18"/>
              </w:rPr>
            </w:pPr>
            <w:r>
              <w:rPr>
                <w:rFonts w:ascii="Arial"/>
                <w:sz w:val="18"/>
              </w:rPr>
              <w:t>1,077,188.80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41"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240" w:lineRule="auto" w:before="116"/>
              <w:ind w:left="1052" w:right="0"/>
              <w:jc w:val="left"/>
              <w:rPr>
                <w:rFonts w:ascii="Arial" w:hAnsi="Arial" w:cs="Arial" w:eastAsia="Arial" w:hint="default"/>
                <w:sz w:val="18"/>
                <w:szCs w:val="18"/>
              </w:rPr>
            </w:pPr>
            <w:r>
              <w:rPr>
                <w:rFonts w:ascii="Arial"/>
                <w:sz w:val="18"/>
              </w:rPr>
              <w:t>2.58%</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sz w:val="18"/>
              </w:rPr>
              <w:t>958,478.82</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 w:right="0"/>
              <w:jc w:val="center"/>
              <w:rPr>
                <w:rFonts w:ascii="Arial" w:hAnsi="Arial" w:cs="Arial" w:eastAsia="Arial" w:hint="default"/>
                <w:sz w:val="18"/>
                <w:szCs w:val="18"/>
              </w:rPr>
            </w:pPr>
            <w:r>
              <w:rPr>
                <w:rFonts w:ascii="Arial"/>
                <w:sz w:val="18"/>
              </w:rPr>
              <w:t>--</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13,871,376.42</w:t>
            </w:r>
            <w:r>
              <w:rPr>
                <w:rFonts w:ascii="Arial"/>
                <w:sz w:val="18"/>
              </w:rPr>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Arial" w:hAnsi="Arial" w:cs="Arial" w:eastAsia="Arial" w:hint="default"/>
                <w:sz w:val="18"/>
                <w:szCs w:val="18"/>
              </w:rPr>
            </w:pPr>
            <w:r>
              <w:rPr>
                <w:rFonts w:ascii="Arial"/>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25.15%</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3,107,364.07</w:t>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pict>
          <v:group style="position:absolute;margin-left:375.779999pt;margin-top:-83.945908pt;width:79.2pt;height:15.6pt;mso-position-horizontal-relative:page;mso-position-vertical-relative:paragraph;z-index:-1405744" coordorigin="7516,-1679" coordsize="1584,312">
            <v:shape style="position:absolute;left:7516;top:-1679;width:1584;height:312" coordorigin="7516,-1679" coordsize="1584,312" path="m7516,-1367l9100,-1367,9100,-1679,7516,-1679,7516,-1367xe" filled="true" fillcolor="#ffffff" stroked="false">
              <v:path arrowok="t"/>
              <v:fill type="solid"/>
            </v:shape>
            <w10:wrap type="none"/>
          </v:group>
        </w:pict>
      </w:r>
      <w:r>
        <w:rPr>
          <w:rFonts w:ascii="Arial" w:hAnsi="Arial" w:cs="Arial" w:eastAsia="Arial"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4"/>
        <w:gridCol w:w="1914"/>
        <w:gridCol w:w="1914"/>
        <w:gridCol w:w="1905"/>
      </w:tblGrid>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0"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683" w:right="39"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rFonts w:ascii="Arial" w:hAnsi="Arial" w:cs="Arial" w:eastAsia="Arial" w:hint="default"/>
        </w:rPr>
        <w:t>7</w:t>
      </w:r>
      <w:r>
        <w:rPr/>
        <w:t>）因金融资产转移而终止确认的其他应收款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8</w:t>
      </w:r>
      <w:r>
        <w:rPr/>
        <w:t>）转移其他应收款且继续涉入形成的资产、负债金额</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9850"/>
        <w:jc w:val="left"/>
      </w:pPr>
      <w:r>
        <w:rPr/>
        <w:t>其他说明： 无。</w:t>
      </w:r>
    </w:p>
    <w:p>
      <w:pPr>
        <w:spacing w:line="240" w:lineRule="auto" w:before="11"/>
        <w:rPr>
          <w:rFonts w:ascii="宋体" w:hAnsi="宋体" w:cs="宋体" w:eastAsia="宋体" w:hint="default"/>
          <w:sz w:val="19"/>
          <w:szCs w:val="19"/>
        </w:rPr>
      </w:pPr>
    </w:p>
    <w:p>
      <w:pPr>
        <w:pStyle w:val="Heading4"/>
        <w:spacing w:line="240" w:lineRule="auto"/>
        <w:ind w:right="2239"/>
        <w:jc w:val="left"/>
        <w:rPr>
          <w:b w:val="0"/>
          <w:bCs w:val="0"/>
        </w:rPr>
      </w:pPr>
      <w:r>
        <w:rPr>
          <w:rFonts w:ascii="Arial" w:hAnsi="Arial" w:cs="Arial" w:eastAsia="Arial" w:hint="default"/>
        </w:rPr>
        <w:t>9</w:t>
      </w:r>
      <w:r>
        <w:rPr/>
        <w:t>、存货</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2239"/>
        <w:jc w:val="left"/>
      </w:pPr>
      <w:r>
        <w:rPr/>
        <w:t>是否已执行新收入准则</w:t>
      </w:r>
    </w:p>
    <w:p>
      <w:pPr>
        <w:pStyle w:val="BodyText"/>
        <w:spacing w:line="240" w:lineRule="auto" w:before="116"/>
        <w:ind w:left="153" w:right="2239"/>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29"/>
        </w:rPr>
        <w:t> </w:t>
      </w:r>
      <w:r>
        <w:rPr/>
        <w:t>否</w:t>
      </w:r>
    </w:p>
    <w:p>
      <w:pPr>
        <w:spacing w:line="240" w:lineRule="auto" w:before="10"/>
        <w:rPr>
          <w:rFonts w:ascii="宋体" w:hAnsi="宋体" w:cs="宋体" w:eastAsia="宋体" w:hint="default"/>
          <w:sz w:val="25"/>
          <w:szCs w:val="25"/>
        </w:rPr>
      </w:pPr>
    </w:p>
    <w:p>
      <w:pPr>
        <w:pStyle w:val="Heading4"/>
        <w:spacing w:line="240" w:lineRule="auto"/>
        <w:ind w:right="2239"/>
        <w:jc w:val="left"/>
        <w:rPr>
          <w:b w:val="0"/>
          <w:bCs w:val="0"/>
        </w:rPr>
      </w:pPr>
      <w:r>
        <w:rPr/>
        <w:t>（</w:t>
      </w:r>
      <w:r>
        <w:rPr>
          <w:rFonts w:ascii="Arial" w:hAnsi="Arial" w:cs="Arial" w:eastAsia="Arial" w:hint="default"/>
        </w:rPr>
        <w:t>1</w:t>
      </w:r>
      <w:r>
        <w:rPr/>
        <w:t>）存货分类</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7" w:hRule="exact"/>
        </w:trPr>
        <w:tc>
          <w:tcPr>
            <w:tcW w:w="1357" w:type="dxa"/>
            <w:tcBorders>
              <w:top w:val="single" w:sz="4" w:space="0" w:color="000000"/>
              <w:left w:val="single" w:sz="4" w:space="0" w:color="000000"/>
              <w:bottom w:val="nil" w:sz="6" w:space="0" w:color="auto"/>
              <w:right w:val="single" w:sz="4" w:space="0" w:color="000000"/>
            </w:tcBorders>
            <w:shd w:val="clear" w:color="auto" w:fill="D3D3D3"/>
          </w:tcPr>
          <w:p>
            <w:pPr/>
          </w:p>
        </w:tc>
        <w:tc>
          <w:tcPr>
            <w:tcW w:w="410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5" w:hRule="exact"/>
        </w:trPr>
        <w:tc>
          <w:tcPr>
            <w:tcW w:w="135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vMerge/>
            <w:tcBorders>
              <w:left w:val="single" w:sz="4" w:space="0" w:color="000000"/>
              <w:bottom w:val="single" w:sz="4" w:space="0" w:color="000000"/>
              <w:right w:val="single" w:sz="4" w:space="0" w:color="000000"/>
            </w:tcBorders>
            <w:shd w:val="clear" w:color="auto" w:fill="D3D3D3"/>
          </w:tcPr>
          <w:p>
            <w:pPr/>
          </w:p>
        </w:tc>
        <w:tc>
          <w:tcPr>
            <w:tcW w:w="4102" w:type="dxa"/>
            <w:gridSpan w:val="3"/>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357" w:type="dxa"/>
            <w:vMerge/>
            <w:tcBorders>
              <w:left w:val="single" w:sz="4" w:space="0" w:color="000000"/>
              <w:bottom w:val="nil" w:sz="6" w:space="0" w:color="auto"/>
              <w:right w:val="single" w:sz="4" w:space="0" w:color="000000"/>
            </w:tcBorders>
            <w:shd w:val="clear" w:color="auto" w:fill="D3D3D3"/>
          </w:tcPr>
          <w:p>
            <w:pP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35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8,557,426.04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520,873.05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8,036,552.99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13,066,058.63</w:t>
            </w:r>
            <w:r>
              <w:rPr>
                <w:rFonts w:ascii="Arial"/>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520,873.05</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9" w:right="0"/>
              <w:jc w:val="center"/>
              <w:rPr>
                <w:rFonts w:ascii="Arial" w:hAnsi="Arial" w:cs="Arial" w:eastAsia="Arial" w:hint="default"/>
                <w:sz w:val="18"/>
                <w:szCs w:val="18"/>
              </w:rPr>
            </w:pPr>
            <w:r>
              <w:rPr>
                <w:rFonts w:ascii="Arial"/>
                <w:sz w:val="18"/>
              </w:rPr>
              <w:t>12,545,185.58</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109,309,047.81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544,695.02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108,764,352.79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102,383,795.93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544,695.02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 w:right="0"/>
              <w:jc w:val="center"/>
              <w:rPr>
                <w:rFonts w:ascii="Arial" w:hAnsi="Arial" w:cs="Arial" w:eastAsia="Arial" w:hint="default"/>
                <w:sz w:val="18"/>
                <w:szCs w:val="18"/>
              </w:rPr>
            </w:pPr>
            <w:r>
              <w:rPr>
                <w:rFonts w:ascii="Arial"/>
                <w:sz w:val="18"/>
              </w:rPr>
              <w:t>101,839,100.91</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劳务成本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2"/>
                <w:sz w:val="18"/>
              </w:rPr>
              <w:t>60,189,115.28</w:t>
            </w:r>
            <w:r>
              <w:rPr>
                <w:rFonts w:ascii="Arial"/>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2"/>
                <w:sz w:val="18"/>
              </w:rPr>
              <w:t>60,189,115.28</w:t>
            </w:r>
            <w:r>
              <w:rPr>
                <w:rFonts w:ascii="Arial"/>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77,430,026.66</w:t>
            </w:r>
            <w:r>
              <w:rPr>
                <w:rFonts w:ascii="Arial"/>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59" w:right="0"/>
              <w:jc w:val="center"/>
              <w:rPr>
                <w:rFonts w:ascii="Arial" w:hAnsi="Arial" w:cs="Arial" w:eastAsia="Arial" w:hint="default"/>
                <w:sz w:val="18"/>
                <w:szCs w:val="18"/>
              </w:rPr>
            </w:pPr>
            <w:r>
              <w:rPr>
                <w:rFonts w:ascii="Arial"/>
                <w:sz w:val="18"/>
              </w:rPr>
              <w:t>77,430,026.66</w:t>
            </w:r>
          </w:p>
        </w:tc>
      </w:tr>
      <w:tr>
        <w:trPr>
          <w:trHeight w:val="403"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开发成本</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694,718,224.16</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694,718,224.16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571,845,538.93</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1" w:right="0"/>
              <w:jc w:val="center"/>
              <w:rPr>
                <w:rFonts w:ascii="Arial" w:hAnsi="Arial" w:cs="Arial" w:eastAsia="Arial" w:hint="default"/>
                <w:sz w:val="18"/>
                <w:szCs w:val="18"/>
              </w:rPr>
            </w:pPr>
            <w:r>
              <w:rPr>
                <w:rFonts w:ascii="Arial"/>
                <w:sz w:val="18"/>
              </w:rPr>
              <w:t>571,845,538.93</w:t>
            </w:r>
          </w:p>
        </w:tc>
      </w:tr>
    </w:tbl>
    <w:p>
      <w:pPr>
        <w:spacing w:after="0" w:line="240" w:lineRule="auto"/>
        <w:jc w:val="center"/>
        <w:rPr>
          <w:rFonts w:ascii="Arial" w:hAnsi="Arial" w:cs="Arial" w:eastAsia="Arial"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开发产品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45,655,539.07</w:t>
            </w:r>
            <w:r>
              <w:rPr>
                <w:rFonts w:ascii="Arial"/>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45,655,539.07</w:t>
            </w:r>
            <w:r>
              <w:rPr>
                <w:rFonts w:ascii="Arial"/>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50,555,575.07</w:t>
            </w:r>
            <w:r>
              <w:rPr>
                <w:rFonts w:ascii="Arial"/>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center"/>
              <w:rPr>
                <w:rFonts w:ascii="Arial" w:hAnsi="Arial" w:cs="Arial" w:eastAsia="Arial" w:hint="default"/>
                <w:sz w:val="18"/>
                <w:szCs w:val="18"/>
              </w:rPr>
            </w:pPr>
            <w:r>
              <w:rPr>
                <w:rFonts w:ascii="Arial"/>
                <w:sz w:val="18"/>
              </w:rPr>
              <w:t>50,555,575.07</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918,429,352.36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3" w:right="0"/>
              <w:jc w:val="left"/>
              <w:rPr>
                <w:rFonts w:ascii="Arial" w:hAnsi="Arial" w:cs="Arial" w:eastAsia="Arial" w:hint="default"/>
                <w:sz w:val="18"/>
                <w:szCs w:val="18"/>
              </w:rPr>
            </w:pPr>
            <w:r>
              <w:rPr>
                <w:rFonts w:ascii="Arial"/>
                <w:sz w:val="18"/>
              </w:rPr>
              <w:t>1,065,568.07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917,363,784.29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815,280,995.22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3" w:right="0"/>
              <w:jc w:val="left"/>
              <w:rPr>
                <w:rFonts w:ascii="Arial" w:hAnsi="Arial" w:cs="Arial" w:eastAsia="Arial" w:hint="default"/>
                <w:sz w:val="18"/>
                <w:szCs w:val="18"/>
              </w:rPr>
            </w:pPr>
            <w:r>
              <w:rPr>
                <w:rFonts w:ascii="Arial"/>
                <w:sz w:val="18"/>
              </w:rPr>
              <w:t>1,065,568.07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Arial" w:hAnsi="Arial" w:cs="Arial" w:eastAsia="Arial" w:hint="default"/>
                <w:sz w:val="18"/>
                <w:szCs w:val="18"/>
              </w:rPr>
            </w:pPr>
            <w:r>
              <w:rPr>
                <w:rFonts w:ascii="Arial"/>
                <w:sz w:val="18"/>
              </w:rPr>
              <w:t>814,215,427.15</w:t>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t>（</w:t>
      </w:r>
      <w:r>
        <w:rPr>
          <w:rFonts w:ascii="Arial" w:hAnsi="Arial" w:cs="Arial" w:eastAsia="Arial" w:hint="default"/>
        </w:rPr>
        <w:t>2</w:t>
      </w:r>
      <w:r>
        <w:rPr/>
        <w:t>）存货跌价准备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7"/>
        <w:gridCol w:w="1368"/>
        <w:gridCol w:w="1367"/>
        <w:gridCol w:w="1367"/>
        <w:gridCol w:w="1368"/>
        <w:gridCol w:w="1367"/>
        <w:gridCol w:w="1367"/>
      </w:tblGrid>
      <w:tr>
        <w:trPr>
          <w:trHeight w:val="206" w:hRule="exact"/>
        </w:trPr>
        <w:tc>
          <w:tcPr>
            <w:tcW w:w="135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821"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273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823" w:right="0"/>
              <w:jc w:val="left"/>
              <w:rPr>
                <w:rFonts w:ascii="宋体" w:hAnsi="宋体" w:cs="宋体" w:eastAsia="宋体" w:hint="default"/>
                <w:sz w:val="18"/>
                <w:szCs w:val="18"/>
              </w:rPr>
            </w:pPr>
            <w:r>
              <w:rPr>
                <w:rFonts w:ascii="宋体" w:hAnsi="宋体" w:cs="宋体" w:eastAsia="宋体" w:hint="default"/>
                <w:sz w:val="18"/>
                <w:szCs w:val="18"/>
              </w:rPr>
              <w:t>本期减少金额</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6" w:hRule="exact"/>
        </w:trPr>
        <w:tc>
          <w:tcPr>
            <w:tcW w:w="135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3D3D3"/>
          </w:tcPr>
          <w:p>
            <w:pPr/>
          </w:p>
        </w:tc>
        <w:tc>
          <w:tcPr>
            <w:tcW w:w="2735" w:type="dxa"/>
            <w:gridSpan w:val="2"/>
            <w:vMerge/>
            <w:tcBorders>
              <w:left w:val="single" w:sz="4" w:space="0" w:color="000000"/>
              <w:bottom w:val="single" w:sz="4" w:space="0" w:color="000000"/>
              <w:right w:val="single" w:sz="4" w:space="0" w:color="000000"/>
            </w:tcBorders>
            <w:shd w:val="clear" w:color="auto" w:fill="D3D3D3"/>
          </w:tcPr>
          <w:p>
            <w:pPr/>
          </w:p>
        </w:tc>
        <w:tc>
          <w:tcPr>
            <w:tcW w:w="136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6" w:hRule="exact"/>
        </w:trPr>
        <w:tc>
          <w:tcPr>
            <w:tcW w:w="1357" w:type="dxa"/>
            <w:vMerge/>
            <w:tcBorders>
              <w:left w:val="single" w:sz="4" w:space="0" w:color="000000"/>
              <w:bottom w:val="nil" w:sz="6" w:space="0" w:color="auto"/>
              <w:right w:val="single" w:sz="4" w:space="0" w:color="000000"/>
            </w:tcBorders>
            <w:shd w:val="clear" w:color="auto" w:fill="D3D3D3"/>
          </w:tcPr>
          <w:p>
            <w:pPr/>
          </w:p>
        </w:tc>
        <w:tc>
          <w:tcPr>
            <w:tcW w:w="1368" w:type="dxa"/>
            <w:vMerge/>
            <w:tcBorders>
              <w:left w:val="single" w:sz="4" w:space="0" w:color="000000"/>
              <w:bottom w:val="nil" w:sz="6" w:space="0" w:color="auto"/>
              <w:right w:val="single" w:sz="4" w:space="0" w:color="000000"/>
            </w:tcBorders>
            <w:shd w:val="clear" w:color="auto" w:fill="D3D3D3"/>
          </w:tcPr>
          <w:p>
            <w:pP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29" w:right="0"/>
              <w:jc w:val="left"/>
              <w:rPr>
                <w:rFonts w:ascii="宋体" w:hAnsi="宋体" w:cs="宋体" w:eastAsia="宋体" w:hint="default"/>
                <w:sz w:val="18"/>
                <w:szCs w:val="18"/>
              </w:rPr>
            </w:pPr>
            <w:r>
              <w:rPr>
                <w:rFonts w:ascii="宋体" w:hAnsi="宋体" w:cs="宋体" w:eastAsia="宋体" w:hint="default"/>
                <w:sz w:val="18"/>
                <w:szCs w:val="18"/>
              </w:rPr>
              <w:t>转回或转销</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nil" w:sz="6" w:space="0" w:color="auto"/>
              <w:right w:val="single" w:sz="4" w:space="0" w:color="000000"/>
            </w:tcBorders>
            <w:shd w:val="clear" w:color="auto" w:fill="D3D3D3"/>
          </w:tcPr>
          <w:p>
            <w:pPr/>
          </w:p>
        </w:tc>
      </w:tr>
      <w:tr>
        <w:trPr>
          <w:trHeight w:val="206" w:hRule="exact"/>
        </w:trPr>
        <w:tc>
          <w:tcPr>
            <w:tcW w:w="135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3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520,873.05</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520,873.05</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发出商品</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544,695.02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544,695.02</w:t>
            </w:r>
          </w:p>
        </w:tc>
      </w:tr>
      <w:tr>
        <w:trPr>
          <w:trHeight w:val="402" w:hRule="exact"/>
        </w:trPr>
        <w:tc>
          <w:tcPr>
            <w:tcW w:w="13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1,065,568.07</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1,065,568.07</w:t>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t>（</w:t>
      </w:r>
      <w:r>
        <w:rPr>
          <w:rFonts w:ascii="Arial" w:hAnsi="Arial" w:cs="Arial" w:eastAsia="Arial" w:hint="default"/>
        </w:rPr>
        <w:t>3</w:t>
      </w:r>
      <w:r>
        <w:rPr/>
        <w:t>）存货期末余额含有借款费用资本化金额的说明</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t>（</w:t>
      </w:r>
      <w:r>
        <w:rPr>
          <w:rFonts w:ascii="Arial" w:hAnsi="Arial" w:cs="Arial" w:eastAsia="Arial" w:hint="default"/>
        </w:rPr>
        <w:t>4</w:t>
      </w:r>
      <w:r>
        <w:rPr/>
        <w:t>）期末建造合同形成的已完工未结算资产情况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4776;top:14;width:2;height:393" coordorigin="4776,14" coordsize="2,393">
              <v:shape style="position:absolute;left:4776;top:14;width:2;height:393" coordorigin="4776,14" coordsize="0,393" path="m4776,14l4776,407e" filled="false" stroked="true" strokeweight="1.2pt" strokecolor="#d3d3d3">
                <v:path arrowok="t"/>
              </v:shape>
            </v:group>
            <v:group style="position:absolute;left:37;top:14;width:4727;height:393" coordorigin="37,14" coordsize="4727,393">
              <v:shape style="position:absolute;left:37;top:14;width:4727;height:393" coordorigin="37,14" coordsize="4727,393" path="m37,407l4764,407,4764,14,37,14,37,407xe" filled="true" fillcolor="#d3d3d3" stroked="false">
                <v:path arrowok="t"/>
                <v:fill type="solid"/>
              </v:shape>
            </v:group>
            <v:group style="position:absolute;left:4809;top:14;width:2;height:393" coordorigin="4809,14" coordsize="2,393">
              <v:shape style="position:absolute;left:4809;top:14;width:2;height:393" coordorigin="4809,14" coordsize="0,393" path="m4809,14l4809,407e" filled="false" stroked="true" strokeweight="1.140pt" strokecolor="#d3d3d3">
                <v:path arrowok="t"/>
              </v:shape>
            </v:group>
            <v:group style="position:absolute;left:9561;top:14;width:2;height:393" coordorigin="9561,14" coordsize="2,393">
              <v:shape style="position:absolute;left:9561;top:14;width:2;height:393" coordorigin="9561,14" coordsize="0,393" path="m9561,14l9561,407e" filled="false" stroked="true" strokeweight="1.140pt" strokecolor="#d3d3d3">
                <v:path arrowok="t"/>
              </v:shape>
            </v:group>
            <v:group style="position:absolute;left:4820;top:14;width:4730;height:393" coordorigin="4820,14" coordsize="4730,393">
              <v:shape style="position:absolute;left:4820;top:14;width:4730;height:393" coordorigin="4820,14" coordsize="4730,393" path="m4820,407l9550,407,9550,14,4820,14,4820,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4;height:2" coordorigin="5,412" coordsize="4784,2">
              <v:shape style="position:absolute;left:5;top:412;width:4784;height:2" coordorigin="5,412" coordsize="4784,0" path="m5,412l4788,412e" filled="false" stroked="true" strokeweight=".47998pt" strokecolor="#000000">
                <v:path arrowok="t"/>
              </v:shape>
            </v:group>
            <v:group style="position:absolute;left:4793;top:14;width:2;height:402" coordorigin="4793,14" coordsize="2,402">
              <v:shape style="position:absolute;left:4793;top:14;width:2;height:402" coordorigin="4793,14" coordsize="0,402" path="m4793,14l4793,416e" filled="false" stroked="true" strokeweight=".48001pt" strokecolor="#000000">
                <v:path arrowok="t"/>
              </v:shape>
            </v:group>
            <v:group style="position:absolute;left:4798;top:412;width:4775;height:2" coordorigin="4798,412" coordsize="4775,2">
              <v:shape style="position:absolute;left:4798;top:412;width:4775;height:2" coordorigin="4798,412" coordsize="4775,0" path="m4798,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20;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4;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2239"/>
        <w:jc w:val="left"/>
      </w:pPr>
      <w:r>
        <w:rPr/>
        <w:t>其他说明：</w:t>
      </w:r>
    </w:p>
    <w:p>
      <w:pPr>
        <w:pStyle w:val="BodyText"/>
        <w:spacing w:line="240" w:lineRule="auto" w:before="116"/>
        <w:ind w:right="2239"/>
        <w:jc w:val="left"/>
      </w:pPr>
      <w:r>
        <w:rPr/>
        <w:t>（A）开发成本</w:t>
      </w:r>
    </w:p>
    <w:p>
      <w:pPr>
        <w:spacing w:line="240" w:lineRule="auto" w:before="7"/>
        <w:rPr>
          <w:rFonts w:ascii="宋体" w:hAnsi="宋体" w:cs="宋体" w:eastAsia="宋体" w:hint="default"/>
          <w:sz w:val="21"/>
          <w:szCs w:val="21"/>
        </w:rPr>
      </w:pPr>
    </w:p>
    <w:tbl>
      <w:tblPr>
        <w:tblW w:w="0" w:type="auto"/>
        <w:jc w:val="left"/>
        <w:tblInd w:w="146" w:type="dxa"/>
        <w:tblLayout w:type="fixed"/>
        <w:tblCellMar>
          <w:top w:w="0" w:type="dxa"/>
          <w:left w:w="0" w:type="dxa"/>
          <w:bottom w:w="0" w:type="dxa"/>
          <w:right w:w="0" w:type="dxa"/>
        </w:tblCellMar>
        <w:tblLook w:val="01E0"/>
      </w:tblPr>
      <w:tblGrid>
        <w:gridCol w:w="1702"/>
        <w:gridCol w:w="1134"/>
        <w:gridCol w:w="1276"/>
        <w:gridCol w:w="1276"/>
        <w:gridCol w:w="1528"/>
        <w:gridCol w:w="1591"/>
        <w:gridCol w:w="1134"/>
      </w:tblGrid>
      <w:tr>
        <w:trPr>
          <w:trHeight w:val="347"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11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99" w:right="0"/>
              <w:jc w:val="left"/>
              <w:rPr>
                <w:rFonts w:ascii="宋体" w:hAnsi="宋体" w:cs="宋体" w:eastAsia="宋体" w:hint="default"/>
                <w:sz w:val="18"/>
                <w:szCs w:val="18"/>
              </w:rPr>
            </w:pPr>
            <w:r>
              <w:rPr>
                <w:rFonts w:ascii="宋体" w:hAnsi="宋体" w:cs="宋体" w:eastAsia="宋体" w:hint="default"/>
                <w:sz w:val="18"/>
                <w:szCs w:val="18"/>
              </w:rPr>
              <w:t>开工时间</w:t>
            </w:r>
          </w:p>
        </w:tc>
        <w:tc>
          <w:tcPr>
            <w:tcW w:w="12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89" w:right="0"/>
              <w:jc w:val="left"/>
              <w:rPr>
                <w:rFonts w:ascii="宋体" w:hAnsi="宋体" w:cs="宋体" w:eastAsia="宋体" w:hint="default"/>
                <w:sz w:val="18"/>
                <w:szCs w:val="18"/>
              </w:rPr>
            </w:pPr>
            <w:r>
              <w:rPr>
                <w:rFonts w:ascii="宋体" w:hAnsi="宋体" w:cs="宋体" w:eastAsia="宋体" w:hint="default"/>
                <w:sz w:val="18"/>
                <w:szCs w:val="18"/>
              </w:rPr>
              <w:t>预计竣工时间</w:t>
            </w:r>
          </w:p>
        </w:tc>
        <w:tc>
          <w:tcPr>
            <w:tcW w:w="12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80" w:right="0"/>
              <w:jc w:val="left"/>
              <w:rPr>
                <w:rFonts w:ascii="宋体" w:hAnsi="宋体" w:cs="宋体" w:eastAsia="宋体" w:hint="default"/>
                <w:sz w:val="18"/>
                <w:szCs w:val="18"/>
              </w:rPr>
            </w:pPr>
            <w:r>
              <w:rPr>
                <w:rFonts w:ascii="宋体" w:hAnsi="宋体" w:cs="宋体" w:eastAsia="宋体" w:hint="default"/>
                <w:sz w:val="18"/>
                <w:szCs w:val="18"/>
              </w:rPr>
              <w:t>预计总投资</w:t>
            </w:r>
          </w:p>
        </w:tc>
        <w:tc>
          <w:tcPr>
            <w:tcW w:w="152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35"/>
              <w:jc w:val="right"/>
              <w:rPr>
                <w:rFonts w:ascii="宋体" w:hAnsi="宋体" w:cs="宋体" w:eastAsia="宋体" w:hint="default"/>
                <w:sz w:val="18"/>
                <w:szCs w:val="18"/>
              </w:rPr>
            </w:pPr>
            <w:r>
              <w:rPr>
                <w:rFonts w:ascii="宋体" w:hAnsi="宋体" w:cs="宋体" w:eastAsia="宋体" w:hint="default"/>
                <w:sz w:val="18"/>
                <w:szCs w:val="18"/>
              </w:rPr>
              <w:t>2019.12.31（元）</w:t>
            </w:r>
          </w:p>
        </w:tc>
        <w:tc>
          <w:tcPr>
            <w:tcW w:w="15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right="67"/>
              <w:jc w:val="right"/>
              <w:rPr>
                <w:rFonts w:ascii="宋体" w:hAnsi="宋体" w:cs="宋体" w:eastAsia="宋体" w:hint="default"/>
                <w:sz w:val="18"/>
                <w:szCs w:val="18"/>
              </w:rPr>
            </w:pPr>
            <w:r>
              <w:rPr>
                <w:rFonts w:ascii="宋体" w:hAnsi="宋体" w:cs="宋体" w:eastAsia="宋体" w:hint="default"/>
                <w:sz w:val="18"/>
                <w:szCs w:val="18"/>
              </w:rPr>
              <w:t>2018.12.31（元）</w:t>
            </w:r>
          </w:p>
        </w:tc>
        <w:tc>
          <w:tcPr>
            <w:tcW w:w="11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0"/>
              <w:ind w:left="19" w:right="0"/>
              <w:jc w:val="left"/>
              <w:rPr>
                <w:rFonts w:ascii="宋体" w:hAnsi="宋体" w:cs="宋体" w:eastAsia="宋体" w:hint="default"/>
                <w:sz w:val="18"/>
                <w:szCs w:val="18"/>
              </w:rPr>
            </w:pPr>
            <w:r>
              <w:rPr>
                <w:rFonts w:ascii="宋体" w:hAnsi="宋体" w:cs="宋体" w:eastAsia="宋体" w:hint="default"/>
                <w:sz w:val="18"/>
                <w:szCs w:val="18"/>
              </w:rPr>
              <w:t>期末跌价准备</w:t>
            </w:r>
          </w:p>
        </w:tc>
      </w:tr>
      <w:tr>
        <w:trPr>
          <w:trHeight w:val="659"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2"/>
              <w:jc w:val="left"/>
              <w:rPr>
                <w:rFonts w:ascii="宋体" w:hAnsi="宋体" w:cs="宋体" w:eastAsia="宋体" w:hint="default"/>
                <w:sz w:val="18"/>
                <w:szCs w:val="18"/>
              </w:rPr>
            </w:pPr>
            <w:r>
              <w:rPr>
                <w:rFonts w:ascii="宋体" w:hAnsi="宋体" w:cs="宋体" w:eastAsia="宋体" w:hint="default"/>
                <w:spacing w:val="25"/>
                <w:sz w:val="18"/>
                <w:szCs w:val="18"/>
              </w:rPr>
              <w:t>马鞍山智</w:t>
            </w:r>
            <w:r>
              <w:rPr>
                <w:rFonts w:ascii="宋体" w:hAnsi="宋体" w:cs="宋体" w:eastAsia="宋体" w:hint="default"/>
                <w:spacing w:val="-56"/>
                <w:sz w:val="18"/>
                <w:szCs w:val="18"/>
              </w:rPr>
              <w:t> </w:t>
            </w:r>
            <w:r>
              <w:rPr>
                <w:rFonts w:ascii="宋体" w:hAnsi="宋体" w:cs="宋体" w:eastAsia="宋体" w:hint="default"/>
                <w:sz w:val="18"/>
                <w:szCs w:val="18"/>
              </w:rPr>
              <w:t>慧</w:t>
            </w:r>
            <w:r>
              <w:rPr>
                <w:rFonts w:ascii="宋体" w:hAnsi="宋体" w:cs="宋体" w:eastAsia="宋体" w:hint="default"/>
                <w:spacing w:val="-56"/>
                <w:sz w:val="18"/>
                <w:szCs w:val="18"/>
              </w:rPr>
              <w:t> </w:t>
            </w:r>
            <w:r>
              <w:rPr>
                <w:rFonts w:ascii="宋体" w:hAnsi="宋体" w:cs="宋体" w:eastAsia="宋体" w:hint="default"/>
                <w:spacing w:val="22"/>
                <w:sz w:val="18"/>
                <w:szCs w:val="18"/>
              </w:rPr>
              <w:t>园项目</w:t>
            </w:r>
            <w:r>
              <w:rPr>
                <w:rFonts w:ascii="宋体" w:hAnsi="宋体" w:cs="宋体" w:eastAsia="宋体" w:hint="default"/>
                <w:spacing w:val="-56"/>
                <w:sz w:val="18"/>
                <w:szCs w:val="18"/>
              </w:rPr>
              <w:t> </w:t>
            </w:r>
            <w:r>
              <w:rPr>
                <w:rFonts w:ascii="宋体" w:hAnsi="宋体" w:cs="宋体" w:eastAsia="宋体" w:hint="default"/>
                <w:sz w:val="18"/>
                <w:szCs w:val="18"/>
              </w:rPr>
              <w:t>二、三期工程</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hAnsi="宋体" w:cs="宋体" w:eastAsia="宋体" w:hint="default"/>
                <w:sz w:val="18"/>
                <w:szCs w:val="18"/>
              </w:rPr>
              <w:t>2016年1月</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sz w:val="18"/>
              </w:rPr>
              <w:t>-</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sz w:val="18"/>
              </w:rPr>
              <w:t>-</w:t>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sz w:val="18"/>
              </w:rPr>
              <w:t>43,844,572.76</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z w:val="18"/>
              </w:rPr>
              <w:t>37,352,396.54</w:t>
            </w:r>
          </w:p>
        </w:tc>
        <w:tc>
          <w:tcPr>
            <w:tcW w:w="1134"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60"/>
              <w:jc w:val="center"/>
              <w:rPr>
                <w:rFonts w:ascii="宋体" w:hAnsi="宋体" w:cs="宋体" w:eastAsia="宋体" w:hint="default"/>
                <w:sz w:val="18"/>
                <w:szCs w:val="18"/>
              </w:rPr>
            </w:pPr>
            <w:r>
              <w:rPr>
                <w:rFonts w:ascii="宋体" w:hAnsi="宋体" w:cs="宋体" w:eastAsia="宋体" w:hint="default"/>
                <w:sz w:val="18"/>
                <w:szCs w:val="18"/>
              </w:rPr>
              <w:t>信阳榕基软件园项目</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2015年9月</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2020年12月</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6亿元</w:t>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463,290,526.81</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347,404,357.42</w:t>
            </w:r>
          </w:p>
        </w:tc>
        <w:tc>
          <w:tcPr>
            <w:tcW w:w="1134" w:type="dxa"/>
            <w:tcBorders>
              <w:top w:val="single" w:sz="6" w:space="0" w:color="000000"/>
              <w:left w:val="single" w:sz="6" w:space="0" w:color="000000"/>
              <w:bottom w:val="single" w:sz="6" w:space="0" w:color="000000"/>
              <w:right w:val="single" w:sz="6" w:space="0" w:color="000000"/>
            </w:tcBorders>
          </w:tcPr>
          <w:p>
            <w:pPr/>
          </w:p>
        </w:tc>
      </w:tr>
      <w:tr>
        <w:trPr>
          <w:trHeight w:val="659"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
              <w:jc w:val="left"/>
              <w:rPr>
                <w:rFonts w:ascii="宋体" w:hAnsi="宋体" w:cs="宋体" w:eastAsia="宋体" w:hint="default"/>
                <w:sz w:val="18"/>
                <w:szCs w:val="18"/>
              </w:rPr>
            </w:pPr>
            <w:r>
              <w:rPr>
                <w:rFonts w:ascii="宋体" w:hAnsi="宋体" w:cs="宋体" w:eastAsia="宋体" w:hint="default"/>
                <w:spacing w:val="7"/>
                <w:sz w:val="18"/>
                <w:szCs w:val="18"/>
              </w:rPr>
              <w:t>郑州市金水区科教新 </w:t>
            </w:r>
            <w:r>
              <w:rPr>
                <w:rFonts w:ascii="宋体" w:hAnsi="宋体" w:cs="宋体" w:eastAsia="宋体" w:hint="default"/>
                <w:sz w:val="18"/>
                <w:szCs w:val="18"/>
              </w:rPr>
              <w:t>城项目</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hAnsi="宋体" w:cs="宋体" w:eastAsia="宋体" w:hint="default"/>
                <w:sz w:val="18"/>
                <w:szCs w:val="18"/>
              </w:rPr>
              <w:t>2015年8月</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hAnsi="宋体" w:cs="宋体" w:eastAsia="宋体" w:hint="default"/>
                <w:sz w:val="18"/>
                <w:szCs w:val="18"/>
              </w:rPr>
              <w:t>2021年8月</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hAnsi="宋体" w:cs="宋体" w:eastAsia="宋体" w:hint="default"/>
                <w:sz w:val="18"/>
                <w:szCs w:val="18"/>
              </w:rPr>
              <w:t>6亿元</w:t>
            </w: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sz w:val="18"/>
              </w:rPr>
              <w:t>187,583,124.59</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z w:val="18"/>
              </w:rPr>
              <w:t>187,088,784.97</w:t>
            </w:r>
          </w:p>
        </w:tc>
        <w:tc>
          <w:tcPr>
            <w:tcW w:w="1134"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7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134"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c>
          <w:tcPr>
            <w:tcW w:w="15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694,718,224.16</w:t>
            </w:r>
          </w:p>
        </w:tc>
        <w:tc>
          <w:tcPr>
            <w:tcW w:w="15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571,845,538.93</w:t>
            </w:r>
          </w:p>
        </w:tc>
        <w:tc>
          <w:tcPr>
            <w:tcW w:w="1134"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8"/>
        <w:rPr>
          <w:rFonts w:ascii="宋体" w:hAnsi="宋体" w:cs="宋体" w:eastAsia="宋体" w:hint="default"/>
          <w:sz w:val="6"/>
          <w:szCs w:val="6"/>
        </w:rPr>
      </w:pPr>
    </w:p>
    <w:p>
      <w:pPr>
        <w:pStyle w:val="BodyText"/>
        <w:spacing w:line="240" w:lineRule="auto" w:before="44"/>
        <w:ind w:right="2239"/>
        <w:jc w:val="left"/>
      </w:pPr>
      <w:r>
        <w:rPr/>
        <w:t>（B）开发产品</w:t>
      </w:r>
    </w:p>
    <w:p>
      <w:pPr>
        <w:spacing w:line="240" w:lineRule="auto" w:before="12"/>
        <w:rPr>
          <w:rFonts w:ascii="宋体" w:hAnsi="宋体" w:cs="宋体" w:eastAsia="宋体" w:hint="default"/>
          <w:sz w:val="18"/>
          <w:szCs w:val="18"/>
        </w:rPr>
      </w:pPr>
    </w:p>
    <w:p>
      <w:pPr>
        <w:pStyle w:val="BodyText"/>
        <w:spacing w:line="240" w:lineRule="auto" w:before="44"/>
        <w:ind w:left="0" w:right="1131"/>
        <w:jc w:val="right"/>
      </w:pPr>
      <w:r>
        <w:rPr/>
        <w:t>单位： 元</w:t>
      </w:r>
    </w:p>
    <w:p>
      <w:pPr>
        <w:spacing w:line="240" w:lineRule="auto" w:before="7"/>
        <w:rPr>
          <w:rFonts w:ascii="宋体" w:hAnsi="宋体" w:cs="宋体" w:eastAsia="宋体" w:hint="default"/>
          <w:sz w:val="21"/>
          <w:szCs w:val="21"/>
        </w:rPr>
      </w:pPr>
    </w:p>
    <w:tbl>
      <w:tblPr>
        <w:tblW w:w="0" w:type="auto"/>
        <w:jc w:val="left"/>
        <w:tblInd w:w="146" w:type="dxa"/>
        <w:tblLayout w:type="fixed"/>
        <w:tblCellMar>
          <w:top w:w="0" w:type="dxa"/>
          <w:left w:w="0" w:type="dxa"/>
          <w:bottom w:w="0" w:type="dxa"/>
          <w:right w:w="0" w:type="dxa"/>
        </w:tblCellMar>
        <w:tblLook w:val="01E0"/>
      </w:tblPr>
      <w:tblGrid>
        <w:gridCol w:w="1418"/>
        <w:gridCol w:w="1273"/>
        <w:gridCol w:w="1349"/>
        <w:gridCol w:w="1348"/>
        <w:gridCol w:w="1348"/>
        <w:gridCol w:w="1349"/>
        <w:gridCol w:w="1196"/>
      </w:tblGrid>
      <w:tr>
        <w:trPr>
          <w:trHeight w:val="347" w:hRule="exact"/>
        </w:trPr>
        <w:tc>
          <w:tcPr>
            <w:tcW w:w="141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340"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27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68" w:right="0"/>
              <w:jc w:val="left"/>
              <w:rPr>
                <w:rFonts w:ascii="宋体" w:hAnsi="宋体" w:cs="宋体" w:eastAsia="宋体" w:hint="default"/>
                <w:sz w:val="18"/>
                <w:szCs w:val="18"/>
              </w:rPr>
            </w:pPr>
            <w:r>
              <w:rPr>
                <w:rFonts w:ascii="宋体" w:hAnsi="宋体" w:cs="宋体" w:eastAsia="宋体" w:hint="default"/>
                <w:sz w:val="18"/>
                <w:szCs w:val="18"/>
              </w:rPr>
              <w:t>竣工时间</w:t>
            </w:r>
          </w:p>
        </w:tc>
        <w:tc>
          <w:tcPr>
            <w:tcW w:w="13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17" w:right="0"/>
              <w:jc w:val="left"/>
              <w:rPr>
                <w:rFonts w:ascii="宋体" w:hAnsi="宋体" w:cs="宋体" w:eastAsia="宋体" w:hint="default"/>
                <w:sz w:val="18"/>
                <w:szCs w:val="18"/>
              </w:rPr>
            </w:pPr>
            <w:r>
              <w:rPr>
                <w:rFonts w:ascii="宋体"/>
                <w:sz w:val="18"/>
              </w:rPr>
              <w:t>2019.01.01</w:t>
            </w:r>
          </w:p>
        </w:tc>
        <w:tc>
          <w:tcPr>
            <w:tcW w:w="13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30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4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30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4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217" w:right="0"/>
              <w:jc w:val="left"/>
              <w:rPr>
                <w:rFonts w:ascii="宋体" w:hAnsi="宋体" w:cs="宋体" w:eastAsia="宋体" w:hint="default"/>
                <w:sz w:val="18"/>
                <w:szCs w:val="18"/>
              </w:rPr>
            </w:pPr>
            <w:r>
              <w:rPr>
                <w:rFonts w:ascii="宋体"/>
                <w:sz w:val="18"/>
              </w:rPr>
              <w:t>2019.12.31</w:t>
            </w:r>
          </w:p>
        </w:tc>
        <w:tc>
          <w:tcPr>
            <w:tcW w:w="119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50" w:right="0"/>
              <w:jc w:val="left"/>
              <w:rPr>
                <w:rFonts w:ascii="宋体" w:hAnsi="宋体" w:cs="宋体" w:eastAsia="宋体" w:hint="default"/>
                <w:sz w:val="18"/>
                <w:szCs w:val="18"/>
              </w:rPr>
            </w:pPr>
            <w:r>
              <w:rPr>
                <w:rFonts w:ascii="宋体" w:hAnsi="宋体" w:cs="宋体" w:eastAsia="宋体" w:hint="default"/>
                <w:sz w:val="18"/>
                <w:szCs w:val="18"/>
              </w:rPr>
              <w:t>期末跌价准备</w:t>
            </w:r>
          </w:p>
        </w:tc>
      </w:tr>
      <w:tr>
        <w:trPr>
          <w:trHeight w:val="660" w:hRule="exact"/>
        </w:trPr>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18"/>
                <w:sz w:val="18"/>
                <w:szCs w:val="18"/>
              </w:rPr>
              <w:t>马鞍山智慧园</w:t>
            </w:r>
            <w:r>
              <w:rPr>
                <w:rFonts w:ascii="宋体" w:hAnsi="宋体" w:cs="宋体" w:eastAsia="宋体" w:hint="default"/>
                <w:spacing w:val="-65"/>
                <w:sz w:val="18"/>
                <w:szCs w:val="18"/>
              </w:rPr>
              <w:t> </w:t>
            </w:r>
            <w:r>
              <w:rPr>
                <w:rFonts w:ascii="宋体" w:hAnsi="宋体" w:cs="宋体" w:eastAsia="宋体" w:hint="default"/>
                <w:sz w:val="18"/>
                <w:szCs w:val="18"/>
              </w:rPr>
              <w:t>项</w:t>
            </w:r>
            <w:r>
              <w:rPr>
                <w:rFonts w:ascii="宋体" w:hAnsi="宋体" w:cs="宋体" w:eastAsia="宋体" w:hint="default"/>
                <w:sz w:val="18"/>
                <w:szCs w:val="18"/>
              </w:rPr>
              <w:t> 目一期工程</w:t>
            </w:r>
          </w:p>
        </w:tc>
        <w:tc>
          <w:tcPr>
            <w:tcW w:w="12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24" w:right="0"/>
              <w:jc w:val="left"/>
              <w:rPr>
                <w:rFonts w:ascii="宋体" w:hAnsi="宋体" w:cs="宋体" w:eastAsia="宋体" w:hint="default"/>
                <w:sz w:val="18"/>
                <w:szCs w:val="18"/>
              </w:rPr>
            </w:pPr>
            <w:r>
              <w:rPr>
                <w:rFonts w:ascii="宋体" w:hAnsi="宋体" w:cs="宋体" w:eastAsia="宋体" w:hint="default"/>
                <w:sz w:val="18"/>
                <w:szCs w:val="18"/>
              </w:rPr>
              <w:t>2016年6月</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62" w:right="0"/>
              <w:jc w:val="left"/>
              <w:rPr>
                <w:rFonts w:ascii="宋体" w:hAnsi="宋体" w:cs="宋体" w:eastAsia="宋体" w:hint="default"/>
                <w:sz w:val="18"/>
                <w:szCs w:val="18"/>
              </w:rPr>
            </w:pPr>
            <w:r>
              <w:rPr>
                <w:rFonts w:ascii="宋体"/>
                <w:sz w:val="18"/>
              </w:rPr>
              <w:t>50,555,575.07</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430" w:right="0"/>
              <w:jc w:val="left"/>
              <w:rPr>
                <w:rFonts w:ascii="宋体" w:hAnsi="宋体" w:cs="宋体" w:eastAsia="宋体" w:hint="default"/>
                <w:sz w:val="18"/>
                <w:szCs w:val="18"/>
              </w:rPr>
            </w:pPr>
            <w:r>
              <w:rPr>
                <w:rFonts w:ascii="宋体"/>
                <w:sz w:val="18"/>
              </w:rPr>
              <w:t>156,320.74</w:t>
            </w:r>
          </w:p>
        </w:tc>
        <w:tc>
          <w:tcPr>
            <w:tcW w:w="1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250" w:right="0"/>
              <w:jc w:val="left"/>
              <w:rPr>
                <w:rFonts w:ascii="宋体" w:hAnsi="宋体" w:cs="宋体" w:eastAsia="宋体" w:hint="default"/>
                <w:sz w:val="18"/>
                <w:szCs w:val="18"/>
              </w:rPr>
            </w:pPr>
            <w:r>
              <w:rPr>
                <w:rFonts w:ascii="宋体"/>
                <w:sz w:val="18"/>
              </w:rPr>
              <w:t>5,056,356.74</w:t>
            </w:r>
          </w:p>
        </w:tc>
        <w:tc>
          <w:tcPr>
            <w:tcW w:w="13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left="162" w:right="0"/>
              <w:jc w:val="left"/>
              <w:rPr>
                <w:rFonts w:ascii="宋体" w:hAnsi="宋体" w:cs="宋体" w:eastAsia="宋体" w:hint="default"/>
                <w:sz w:val="18"/>
                <w:szCs w:val="18"/>
              </w:rPr>
            </w:pPr>
            <w:r>
              <w:rPr>
                <w:rFonts w:ascii="宋体"/>
                <w:sz w:val="18"/>
              </w:rPr>
              <w:t>45,655,539.07</w:t>
            </w:r>
          </w:p>
        </w:tc>
        <w:tc>
          <w:tcPr>
            <w:tcW w:w="119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rFonts w:ascii="Arial" w:hAnsi="Arial" w:cs="Arial" w:eastAsia="Arial" w:hint="default"/>
        </w:rPr>
        <w:t>10</w:t>
      </w:r>
      <w:r>
        <w:rPr/>
        <w:t>、合同资产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32"/>
        <w:gridCol w:w="3720"/>
        <w:gridCol w:w="3715"/>
      </w:tblGrid>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2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32"/>
        <w:gridCol w:w="1195"/>
        <w:gridCol w:w="1330"/>
        <w:gridCol w:w="1195"/>
        <w:gridCol w:w="1195"/>
        <w:gridCol w:w="1196"/>
        <w:gridCol w:w="1312"/>
      </w:tblGrid>
      <w:tr>
        <w:trPr>
          <w:trHeight w:val="402" w:hRule="exact"/>
        </w:trPr>
        <w:tc>
          <w:tcPr>
            <w:tcW w:w="213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00"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6"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51"/>
        <w:ind w:right="2239"/>
        <w:jc w:val="left"/>
      </w:pPr>
      <w:r>
        <w:rPr/>
        <w:t>合同资产的账面价值在本期内发生的重大变动金额和原因：</w:t>
      </w:r>
    </w:p>
    <w:p>
      <w:pPr>
        <w:pStyle w:val="BodyText"/>
        <w:spacing w:line="240" w:lineRule="auto" w:before="117"/>
        <w:ind w:left="0" w:right="113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6"/>
        <w:gridCol w:w="2418"/>
        <w:gridCol w:w="494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pStyle w:val="BodyText"/>
        <w:spacing w:line="240" w:lineRule="auto" w:before="52"/>
        <w:ind w:right="0"/>
        <w:jc w:val="left"/>
      </w:pPr>
      <w:r>
        <w:rPr/>
        <w:t>如是按照预期信用损失一般模型计提合同资产坏账准备，请参照其他应收款的披露方式披露坏账准备的相关信息：</w:t>
      </w:r>
    </w:p>
    <w:p>
      <w:pPr>
        <w:pStyle w:val="BodyText"/>
        <w:spacing w:line="340" w:lineRule="auto" w:before="116"/>
        <w:ind w:right="823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本期合同资产计提减值准备情况</w:t>
      </w:r>
    </w:p>
    <w:p>
      <w:pPr>
        <w:pStyle w:val="BodyText"/>
        <w:spacing w:line="240" w:lineRule="auto" w:before="40"/>
        <w:ind w:left="0" w:right="1129"/>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本期转回</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6" w:right="0"/>
              <w:jc w:val="left"/>
              <w:rPr>
                <w:rFonts w:ascii="宋体" w:hAnsi="宋体" w:cs="宋体" w:eastAsia="宋体" w:hint="default"/>
                <w:sz w:val="18"/>
                <w:szCs w:val="18"/>
              </w:rPr>
            </w:pPr>
            <w:r>
              <w:rPr>
                <w:rFonts w:ascii="宋体" w:hAnsi="宋体" w:cs="宋体" w:eastAsia="宋体" w:hint="default"/>
                <w:sz w:val="18"/>
                <w:szCs w:val="18"/>
              </w:rPr>
              <w:t>本期转销</w:t>
            </w:r>
            <w:r>
              <w:rPr>
                <w:rFonts w:ascii="Arial" w:hAnsi="Arial" w:cs="Arial" w:eastAsia="Arial" w:hint="default"/>
                <w:sz w:val="18"/>
                <w:szCs w:val="18"/>
              </w:rPr>
              <w:t>/</w:t>
            </w:r>
            <w:r>
              <w:rPr>
                <w:rFonts w:ascii="宋体" w:hAnsi="宋体" w:cs="宋体" w:eastAsia="宋体" w:hint="default"/>
                <w:sz w:val="18"/>
                <w:szCs w:val="18"/>
              </w:rPr>
              <w:t>核销</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原因</w:t>
            </w:r>
          </w:p>
        </w:tc>
      </w:tr>
    </w:tbl>
    <w:p>
      <w:pPr>
        <w:pStyle w:val="BodyText"/>
        <w:spacing w:line="357" w:lineRule="auto" w:before="52"/>
        <w:ind w:right="9850"/>
        <w:jc w:val="left"/>
      </w:pPr>
      <w:r>
        <w:rPr/>
        <w:t>其他说明： 无。</w:t>
      </w:r>
    </w:p>
    <w:p>
      <w:pPr>
        <w:spacing w:line="240" w:lineRule="auto" w:before="1"/>
        <w:rPr>
          <w:rFonts w:ascii="宋体" w:hAnsi="宋体" w:cs="宋体" w:eastAsia="宋体" w:hint="default"/>
          <w:sz w:val="20"/>
          <w:szCs w:val="20"/>
        </w:rPr>
      </w:pPr>
    </w:p>
    <w:p>
      <w:pPr>
        <w:pStyle w:val="Heading4"/>
        <w:spacing w:line="240" w:lineRule="auto"/>
        <w:ind w:right="2239"/>
        <w:jc w:val="left"/>
        <w:rPr>
          <w:b w:val="0"/>
          <w:bCs w:val="0"/>
        </w:rPr>
      </w:pPr>
      <w:r>
        <w:rPr>
          <w:rFonts w:ascii="Arial" w:hAnsi="Arial" w:cs="Arial" w:eastAsia="Arial" w:hint="default"/>
        </w:rPr>
        <w:t>11</w:t>
      </w:r>
      <w:r>
        <w:rPr/>
        <w:t>、持有待售资产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7"/>
        <w:gridCol w:w="1368"/>
        <w:gridCol w:w="1367"/>
        <w:gridCol w:w="1367"/>
        <w:gridCol w:w="1368"/>
      </w:tblGrid>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9"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8"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pStyle w:val="BodyText"/>
        <w:spacing w:line="360" w:lineRule="auto" w:before="51"/>
        <w:ind w:right="9850"/>
        <w:jc w:val="left"/>
      </w:pPr>
      <w:r>
        <w:rPr/>
        <w:t>其他说明： 无。</w:t>
      </w:r>
    </w:p>
    <w:p>
      <w:pPr>
        <w:spacing w:line="240" w:lineRule="auto" w:before="11"/>
        <w:rPr>
          <w:rFonts w:ascii="宋体" w:hAnsi="宋体" w:cs="宋体" w:eastAsia="宋体" w:hint="default"/>
          <w:sz w:val="19"/>
          <w:szCs w:val="19"/>
        </w:rPr>
      </w:pPr>
    </w:p>
    <w:p>
      <w:pPr>
        <w:pStyle w:val="Heading4"/>
        <w:spacing w:line="240" w:lineRule="auto"/>
        <w:ind w:right="2239"/>
        <w:jc w:val="left"/>
        <w:rPr>
          <w:b w:val="0"/>
          <w:bCs w:val="0"/>
        </w:rPr>
      </w:pPr>
      <w:r>
        <w:rPr>
          <w:rFonts w:ascii="Arial" w:hAnsi="Arial" w:cs="Arial" w:eastAsia="Arial" w:hint="default"/>
        </w:rPr>
        <w:t>12</w:t>
      </w:r>
      <w:r>
        <w:rPr/>
        <w:t>、一年内到期的非流动资产</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2239"/>
        <w:jc w:val="left"/>
      </w:pPr>
      <w:r>
        <w:rPr/>
        <w:t>重要的债权投资</w:t>
      </w:r>
      <w:r>
        <w:rPr>
          <w:rFonts w:ascii="Arial" w:hAnsi="Arial" w:cs="Arial" w:eastAsia="Arial" w:hint="default"/>
        </w:rPr>
        <w:t>/</w:t>
      </w:r>
      <w:r>
        <w:rPr/>
        <w:t>其他债权投资</w:t>
      </w:r>
    </w:p>
    <w:p>
      <w:pPr>
        <w:pStyle w:val="BodyText"/>
        <w:spacing w:line="240" w:lineRule="auto" w:before="104"/>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6"/>
        <w:gridCol w:w="956"/>
        <w:gridCol w:w="959"/>
        <w:gridCol w:w="955"/>
        <w:gridCol w:w="958"/>
        <w:gridCol w:w="955"/>
        <w:gridCol w:w="958"/>
        <w:gridCol w:w="956"/>
        <w:gridCol w:w="929"/>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79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916" w:type="dxa"/>
            <w:vMerge/>
            <w:tcBorders>
              <w:left w:val="single" w:sz="4" w:space="0" w:color="000000"/>
              <w:bottom w:val="single" w:sz="4" w:space="0" w:color="000000"/>
              <w:right w:val="single" w:sz="4" w:space="0" w:color="000000"/>
            </w:tcBorders>
            <w:shd w:val="clear" w:color="auto" w:fill="D3D3D3"/>
          </w:tcPr>
          <w:p>
            <w:pP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4"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3"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2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357" w:lineRule="auto" w:before="52"/>
        <w:ind w:right="9850"/>
        <w:jc w:val="left"/>
      </w:pPr>
      <w:r>
        <w:rPr/>
        <w:t>其他说明： 无。</w:t>
      </w:r>
    </w:p>
    <w:p>
      <w:pPr>
        <w:spacing w:line="240" w:lineRule="auto" w:before="1"/>
        <w:rPr>
          <w:rFonts w:ascii="宋体" w:hAnsi="宋体" w:cs="宋体" w:eastAsia="宋体" w:hint="default"/>
          <w:sz w:val="20"/>
          <w:szCs w:val="20"/>
        </w:rPr>
      </w:pPr>
    </w:p>
    <w:p>
      <w:pPr>
        <w:pStyle w:val="Heading4"/>
        <w:spacing w:line="240" w:lineRule="auto"/>
        <w:ind w:right="2239"/>
        <w:jc w:val="left"/>
        <w:rPr>
          <w:b w:val="0"/>
          <w:bCs w:val="0"/>
        </w:rPr>
      </w:pPr>
      <w:r>
        <w:rPr>
          <w:rFonts w:ascii="Arial" w:hAnsi="Arial" w:cs="Arial" w:eastAsia="Arial" w:hint="default"/>
        </w:rPr>
        <w:t>13</w:t>
      </w:r>
      <w:r>
        <w:rPr/>
        <w:t>、其他流动资产</w:t>
      </w:r>
      <w:r>
        <w:rPr>
          <w:b w:val="0"/>
          <w:bCs w:val="0"/>
        </w:rPr>
      </w:r>
    </w:p>
    <w:p>
      <w:pPr>
        <w:spacing w:line="240" w:lineRule="auto" w:before="5"/>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0"/>
        </w:sectPr>
      </w:pPr>
    </w:p>
    <w:p>
      <w:pPr>
        <w:pStyle w:val="BodyText"/>
        <w:spacing w:line="240" w:lineRule="auto" w:before="44"/>
        <w:ind w:right="-20"/>
        <w:jc w:val="left"/>
      </w:pPr>
      <w:r>
        <w:rPr/>
        <w:t>是否已执行新收入准则</w:t>
      </w:r>
    </w:p>
    <w:p>
      <w:pPr>
        <w:pStyle w:val="BodyText"/>
        <w:spacing w:line="240" w:lineRule="auto" w:before="116"/>
        <w:ind w:left="153" w:right="-20"/>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29"/>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0"/>
          <w:cols w:num="2" w:equalWidth="0">
            <w:col w:w="1955" w:space="6874"/>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待抵扣进项税额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21,802,261.52</w:t>
            </w:r>
            <w:r>
              <w:rPr>
                <w:rFonts w:ascii="Arial"/>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17,986,189.15</w:t>
            </w:r>
            <w:r>
              <w:rPr>
                <w:rFonts w:ascii="Arial"/>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待认证进项税额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412,938.31</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4,299,148.10</w:t>
            </w:r>
          </w:p>
        </w:tc>
      </w:tr>
    </w:tbl>
    <w:p>
      <w:pPr>
        <w:spacing w:after="0" w:line="240" w:lineRule="auto"/>
        <w:jc w:val="right"/>
        <w:rPr>
          <w:rFonts w:ascii="Arial" w:hAnsi="Arial" w:cs="Arial" w:eastAsia="Arial" w:hint="default"/>
          <w:sz w:val="18"/>
          <w:szCs w:val="18"/>
        </w:rPr>
        <w:sectPr>
          <w:type w:val="continuous"/>
          <w:pgSz w:w="11910" w:h="16840"/>
          <w:pgMar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增值税留抵税额</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37,653,746.52</w:t>
            </w:r>
            <w:r>
              <w:rPr>
                <w:rFonts w:ascii="Arial"/>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20,303,169.92</w:t>
            </w:r>
            <w:r>
              <w:rPr>
                <w:rFonts w:ascii="Arial"/>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预缴其他税费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33,217.35</w:t>
            </w:r>
            <w:r>
              <w:rPr>
                <w:rFonts w:ascii="Arial"/>
                <w:sz w:val="18"/>
              </w:rPr>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未终止确认的已转移的银行承兑汇票</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60,402,163.70</w:t>
            </w:r>
            <w:r>
              <w:rPr>
                <w:rFonts w:ascii="Arial"/>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42,588,507.17</w:t>
            </w:r>
            <w:r>
              <w:rPr>
                <w:rFonts w:ascii="Arial"/>
                <w:sz w:val="18"/>
              </w:rPr>
            </w:r>
          </w:p>
        </w:tc>
      </w:tr>
    </w:tbl>
    <w:p>
      <w:pPr>
        <w:pStyle w:val="BodyText"/>
        <w:spacing w:line="357" w:lineRule="auto" w:before="51"/>
        <w:ind w:right="9850"/>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2239"/>
        <w:jc w:val="left"/>
        <w:rPr>
          <w:b w:val="0"/>
          <w:bCs w:val="0"/>
        </w:rPr>
      </w:pPr>
      <w:r>
        <w:rPr>
          <w:rFonts w:ascii="Arial" w:hAnsi="Arial" w:cs="Arial" w:eastAsia="Arial" w:hint="default"/>
        </w:rPr>
        <w:t>14</w:t>
      </w:r>
      <w:r>
        <w:rPr/>
        <w:t>、债权投资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1"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240" w:lineRule="auto" w:before="52"/>
        <w:ind w:right="2239"/>
        <w:jc w:val="left"/>
      </w:pPr>
      <w:r>
        <w:rPr/>
        <w:t>重要的债权投资</w:t>
      </w:r>
    </w:p>
    <w:p>
      <w:pPr>
        <w:pStyle w:val="BodyText"/>
        <w:spacing w:line="240" w:lineRule="auto" w:before="116"/>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6"/>
        <w:gridCol w:w="956"/>
        <w:gridCol w:w="959"/>
        <w:gridCol w:w="955"/>
        <w:gridCol w:w="958"/>
        <w:gridCol w:w="955"/>
        <w:gridCol w:w="958"/>
        <w:gridCol w:w="956"/>
        <w:gridCol w:w="945"/>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债权项目</w:t>
            </w:r>
          </w:p>
        </w:tc>
        <w:tc>
          <w:tcPr>
            <w:tcW w:w="382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4"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916" w:type="dxa"/>
            <w:vMerge/>
            <w:tcBorders>
              <w:left w:val="single" w:sz="4" w:space="0" w:color="000000"/>
              <w:bottom w:val="single" w:sz="4" w:space="0" w:color="000000"/>
              <w:right w:val="single" w:sz="4" w:space="0" w:color="000000"/>
            </w:tcBorders>
            <w:shd w:val="clear" w:color="auto" w:fill="D3D3D3"/>
          </w:tcPr>
          <w:p>
            <w:pP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4"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3"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51"/>
        <w:ind w:right="2239"/>
        <w:jc w:val="left"/>
      </w:pPr>
      <w:r>
        <w:rPr/>
        <w:t>减值准备计提情况</w:t>
      </w:r>
    </w:p>
    <w:p>
      <w:pPr>
        <w:pStyle w:val="BodyText"/>
        <w:spacing w:line="240" w:lineRule="auto" w:before="117"/>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6"/>
        <w:gridCol w:w="1650"/>
        <w:gridCol w:w="2099"/>
        <w:gridCol w:w="2099"/>
        <w:gridCol w:w="1804"/>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6" w:type="dxa"/>
            <w:vMerge/>
            <w:tcBorders>
              <w:left w:val="single" w:sz="4" w:space="0" w:color="000000"/>
              <w:bottom w:val="single" w:sz="4" w:space="0" w:color="000000"/>
              <w:right w:val="single" w:sz="4" w:space="0" w:color="000000"/>
            </w:tcBorders>
            <w:shd w:val="clear" w:color="auto" w:fill="D3D3D3"/>
          </w:tcPr>
          <w:p>
            <w:pPr/>
          </w:p>
        </w:tc>
        <w:tc>
          <w:tcPr>
            <w:tcW w:w="1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549" w:right="43" w:hanging="50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个月预期信 用损失</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7"/>
              <w:ind w:right="1"/>
              <w:jc w:val="center"/>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未发生信用减值</w:t>
            </w:r>
            <w:r>
              <w:rPr>
                <w:rFonts w:ascii="Arial" w:hAnsi="Arial" w:cs="Arial" w:eastAsia="Arial"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7"/>
              <w:ind w:right="1"/>
              <w:jc w:val="center"/>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已发生信用减值</w:t>
            </w:r>
            <w:r>
              <w:rPr>
                <w:rFonts w:ascii="Arial" w:hAnsi="Arial" w:cs="Arial" w:eastAsia="Arial" w:hint="default"/>
                <w:sz w:val="18"/>
                <w:szCs w:val="18"/>
              </w:rPr>
              <w:t>)</w:t>
            </w:r>
          </w:p>
        </w:tc>
        <w:tc>
          <w:tcPr>
            <w:tcW w:w="1804"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2"/>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1</w:t>
            </w:r>
            <w:r>
              <w:rPr>
                <w:rFonts w:ascii="Arial" w:hAnsi="Arial" w:cs="Arial" w:eastAsia="Arial"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w:hAnsi="Arial" w:cs="Arial" w:eastAsia="Arial" w:hint="default"/>
                <w:sz w:val="18"/>
                <w:szCs w:val="18"/>
              </w:rPr>
              <w:t>1</w:t>
            </w:r>
            <w:r>
              <w:rPr>
                <w:rFonts w:ascii="Arial" w:hAnsi="Arial" w:cs="Arial" w:eastAsia="Arial" w:hint="default"/>
                <w:spacing w:val="-15"/>
                <w:sz w:val="18"/>
                <w:szCs w:val="18"/>
              </w:rPr>
              <w:t> </w:t>
            </w:r>
            <w:r>
              <w:rPr>
                <w:rFonts w:ascii="宋体" w:hAnsi="宋体" w:cs="宋体" w:eastAsia="宋体" w:hint="default"/>
                <w:sz w:val="18"/>
                <w:szCs w:val="18"/>
              </w:rPr>
              <w:t>日余额在 本期</w:t>
            </w:r>
          </w:p>
        </w:tc>
        <w:tc>
          <w:tcPr>
            <w:tcW w:w="1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Arial" w:hAnsi="Arial" w:cs="Arial" w:eastAsia="Arial" w:hint="default"/>
                <w:sz w:val="18"/>
                <w:szCs w:val="18"/>
              </w:rPr>
            </w:pPr>
            <w:r>
              <w:rPr>
                <w:rFonts w:ascii="Arial" w:hAnsi="Arial" w:cs="Arial" w:eastAsia="Arial"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Arial" w:hAnsi="Arial" w:cs="Arial" w:eastAsia="Arial" w:hint="default"/>
                <w:sz w:val="18"/>
                <w:szCs w:val="18"/>
              </w:rPr>
            </w:pPr>
            <w:r>
              <w:rPr>
                <w:rFonts w:ascii="Arial" w:hAnsi="Arial" w:cs="Arial" w:eastAsia="Arial"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Arial" w:hAnsi="Arial" w:cs="Arial" w:eastAsia="Arial" w:hint="default"/>
                <w:sz w:val="18"/>
                <w:szCs w:val="18"/>
              </w:rPr>
            </w:pPr>
            <w:r>
              <w:rPr>
                <w:rFonts w:ascii="Arial" w:hAnsi="Arial" w:cs="Arial" w:eastAsia="Arial" w:hint="default"/>
                <w:sz w:val="18"/>
                <w:szCs w:val="18"/>
              </w:rPr>
              <w:t>——</w:t>
            </w:r>
          </w:p>
        </w:tc>
        <w:tc>
          <w:tcPr>
            <w:tcW w:w="1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Arial" w:hAnsi="Arial" w:cs="Arial" w:eastAsia="Arial" w:hint="default"/>
                <w:sz w:val="18"/>
                <w:szCs w:val="18"/>
              </w:rPr>
            </w:pPr>
            <w:r>
              <w:rPr>
                <w:rFonts w:ascii="Arial" w:hAnsi="Arial" w:cs="Arial" w:eastAsia="Arial" w:hint="default"/>
                <w:sz w:val="18"/>
                <w:szCs w:val="18"/>
              </w:rPr>
              <w:t>——</w:t>
            </w:r>
          </w:p>
        </w:tc>
      </w:tr>
    </w:tbl>
    <w:p>
      <w:pPr>
        <w:pStyle w:val="BodyText"/>
        <w:spacing w:line="240" w:lineRule="auto" w:before="51"/>
        <w:ind w:right="2239"/>
        <w:jc w:val="left"/>
      </w:pPr>
      <w:r>
        <w:rPr/>
        <w:t>损失准备本期变动金额重大的账面余额变动情况</w:t>
      </w:r>
    </w:p>
    <w:p>
      <w:pPr>
        <w:pStyle w:val="BodyText"/>
        <w:spacing w:line="340" w:lineRule="auto" w:before="117"/>
        <w:ind w:right="890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其他说明：</w:t>
      </w:r>
    </w:p>
    <w:p>
      <w:pPr>
        <w:pStyle w:val="BodyText"/>
        <w:spacing w:line="240" w:lineRule="auto" w:before="41"/>
        <w:ind w:right="2239"/>
        <w:jc w:val="left"/>
      </w:pPr>
      <w:r>
        <w:rPr/>
        <w:t>无。</w:t>
      </w:r>
    </w:p>
    <w:p>
      <w:pPr>
        <w:spacing w:line="240" w:lineRule="auto" w:before="10"/>
        <w:rPr>
          <w:rFonts w:ascii="宋体" w:hAnsi="宋体" w:cs="宋体" w:eastAsia="宋体" w:hint="default"/>
          <w:sz w:val="26"/>
          <w:szCs w:val="26"/>
        </w:rPr>
      </w:pPr>
    </w:p>
    <w:p>
      <w:pPr>
        <w:pStyle w:val="Heading4"/>
        <w:spacing w:line="240" w:lineRule="auto"/>
        <w:ind w:right="2239"/>
        <w:jc w:val="left"/>
        <w:rPr>
          <w:b w:val="0"/>
          <w:bCs w:val="0"/>
        </w:rPr>
      </w:pPr>
      <w:r>
        <w:rPr>
          <w:rFonts w:ascii="Arial" w:hAnsi="Arial" w:cs="Arial" w:eastAsia="Arial" w:hint="default"/>
        </w:rPr>
        <w:t>15</w:t>
      </w:r>
      <w:r>
        <w:rPr/>
        <w:t>、其他债权投资</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296"/>
        <w:gridCol w:w="1036"/>
        <w:gridCol w:w="1033"/>
        <w:gridCol w:w="1034"/>
        <w:gridCol w:w="1034"/>
        <w:gridCol w:w="1033"/>
        <w:gridCol w:w="1034"/>
        <w:gridCol w:w="1034"/>
        <w:gridCol w:w="1034"/>
      </w:tblGrid>
      <w:tr>
        <w:trPr>
          <w:trHeight w:val="358" w:hRule="exact"/>
        </w:trPr>
        <w:tc>
          <w:tcPr>
            <w:tcW w:w="1296" w:type="dxa"/>
            <w:tcBorders>
              <w:top w:val="single" w:sz="4" w:space="0" w:color="000000"/>
              <w:left w:val="single" w:sz="4" w:space="0" w:color="000000"/>
              <w:bottom w:val="nil" w:sz="6" w:space="0" w:color="auto"/>
              <w:right w:val="single" w:sz="4" w:space="0" w:color="000000"/>
            </w:tcBorders>
            <w:shd w:val="clear" w:color="auto" w:fill="D3D3D3"/>
          </w:tcPr>
          <w:p>
            <w:pPr/>
          </w:p>
        </w:tc>
        <w:tc>
          <w:tcPr>
            <w:tcW w:w="1036" w:type="dxa"/>
            <w:tcBorders>
              <w:top w:val="single" w:sz="4" w:space="0" w:color="000000"/>
              <w:left w:val="single" w:sz="4" w:space="0" w:color="000000"/>
              <w:bottom w:val="nil" w:sz="6" w:space="0" w:color="auto"/>
              <w:right w:val="single" w:sz="4" w:space="0" w:color="000000"/>
            </w:tcBorders>
            <w:shd w:val="clear" w:color="auto" w:fill="D3D3D3"/>
          </w:tcPr>
          <w:p>
            <w:pPr/>
          </w:p>
        </w:tc>
        <w:tc>
          <w:tcPr>
            <w:tcW w:w="1033" w:type="dxa"/>
            <w:tcBorders>
              <w:top w:val="single" w:sz="4" w:space="0" w:color="000000"/>
              <w:left w:val="single" w:sz="4" w:space="0" w:color="000000"/>
              <w:bottom w:val="nil" w:sz="6" w:space="0" w:color="auto"/>
              <w:right w:val="single" w:sz="4" w:space="0" w:color="000000"/>
            </w:tcBorders>
            <w:shd w:val="clear" w:color="auto" w:fill="D3D3D3"/>
          </w:tcPr>
          <w:p>
            <w:pPr/>
          </w:p>
        </w:tc>
        <w:tc>
          <w:tcPr>
            <w:tcW w:w="1034" w:type="dxa"/>
            <w:tcBorders>
              <w:top w:val="single" w:sz="4" w:space="0" w:color="000000"/>
              <w:left w:val="single" w:sz="4" w:space="0" w:color="000000"/>
              <w:bottom w:val="nil" w:sz="6" w:space="0" w:color="auto"/>
              <w:right w:val="single" w:sz="4" w:space="0" w:color="000000"/>
            </w:tcBorders>
            <w:shd w:val="clear" w:color="auto" w:fill="D3D3D3"/>
          </w:tcPr>
          <w:p>
            <w:pPr/>
          </w:p>
        </w:tc>
        <w:tc>
          <w:tcPr>
            <w:tcW w:w="1034" w:type="dxa"/>
            <w:tcBorders>
              <w:top w:val="single" w:sz="4" w:space="0" w:color="000000"/>
              <w:left w:val="single" w:sz="4" w:space="0" w:color="000000"/>
              <w:bottom w:val="nil" w:sz="6" w:space="0" w:color="auto"/>
              <w:right w:val="single" w:sz="4" w:space="0" w:color="000000"/>
            </w:tcBorders>
            <w:shd w:val="clear" w:color="auto" w:fill="D3D3D3"/>
          </w:tcPr>
          <w:p>
            <w:pPr/>
          </w:p>
        </w:tc>
        <w:tc>
          <w:tcPr>
            <w:tcW w:w="1033" w:type="dxa"/>
            <w:tcBorders>
              <w:top w:val="single" w:sz="4" w:space="0" w:color="000000"/>
              <w:left w:val="single" w:sz="4" w:space="0" w:color="000000"/>
              <w:bottom w:val="nil" w:sz="6" w:space="0" w:color="auto"/>
              <w:right w:val="single" w:sz="4" w:space="0" w:color="000000"/>
            </w:tcBorders>
            <w:shd w:val="clear" w:color="auto" w:fill="D3D3D3"/>
          </w:tcPr>
          <w:p>
            <w:pPr/>
          </w:p>
        </w:tc>
        <w:tc>
          <w:tcPr>
            <w:tcW w:w="1034" w:type="dxa"/>
            <w:tcBorders>
              <w:top w:val="single" w:sz="4" w:space="0" w:color="000000"/>
              <w:left w:val="single" w:sz="4" w:space="0" w:color="000000"/>
              <w:bottom w:val="nil" w:sz="6" w:space="0" w:color="auto"/>
              <w:right w:val="single" w:sz="4" w:space="0" w:color="000000"/>
            </w:tcBorders>
            <w:shd w:val="clear" w:color="auto" w:fill="D3D3D3"/>
          </w:tcPr>
          <w:p>
            <w:pPr/>
          </w:p>
        </w:tc>
        <w:tc>
          <w:tcPr>
            <w:tcW w:w="1034"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累计在其他</w:t>
            </w:r>
          </w:p>
        </w:tc>
        <w:tc>
          <w:tcPr>
            <w:tcW w:w="103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625" w:hRule="exact"/>
        </w:trPr>
        <w:tc>
          <w:tcPr>
            <w:tcW w:w="129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3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5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3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0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0"/>
              <w:ind w:left="241" w:right="61" w:hanging="180"/>
              <w:jc w:val="left"/>
              <w:rPr>
                <w:rFonts w:ascii="宋体" w:hAnsi="宋体" w:cs="宋体" w:eastAsia="宋体" w:hint="default"/>
                <w:sz w:val="18"/>
                <w:szCs w:val="18"/>
              </w:rPr>
            </w:pPr>
            <w:r>
              <w:rPr>
                <w:rFonts w:ascii="宋体" w:hAnsi="宋体" w:cs="宋体" w:eastAsia="宋体" w:hint="default"/>
                <w:sz w:val="18"/>
                <w:szCs w:val="18"/>
              </w:rPr>
              <w:t>本期公允价 值变动</w:t>
            </w:r>
          </w:p>
        </w:tc>
        <w:tc>
          <w:tcPr>
            <w:tcW w:w="10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15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3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0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9" w:lineRule="auto" w:before="10"/>
              <w:ind w:left="241" w:right="61" w:hanging="180"/>
              <w:jc w:val="left"/>
              <w:rPr>
                <w:rFonts w:ascii="宋体" w:hAnsi="宋体" w:cs="宋体" w:eastAsia="宋体" w:hint="default"/>
                <w:sz w:val="18"/>
                <w:szCs w:val="18"/>
              </w:rPr>
            </w:pPr>
            <w:r>
              <w:rPr>
                <w:rFonts w:ascii="宋体" w:hAnsi="宋体" w:cs="宋体" w:eastAsia="宋体" w:hint="default"/>
                <w:sz w:val="18"/>
                <w:szCs w:val="18"/>
              </w:rPr>
              <w:t>累计公允价 值变动</w:t>
            </w:r>
          </w:p>
        </w:tc>
        <w:tc>
          <w:tcPr>
            <w:tcW w:w="10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316" w:lineRule="auto" w:before="10"/>
              <w:ind w:left="61" w:right="61"/>
              <w:jc w:val="left"/>
              <w:rPr>
                <w:rFonts w:ascii="宋体" w:hAnsi="宋体" w:cs="宋体" w:eastAsia="宋体" w:hint="default"/>
                <w:sz w:val="18"/>
                <w:szCs w:val="18"/>
              </w:rPr>
            </w:pPr>
            <w:r>
              <w:rPr>
                <w:rFonts w:ascii="宋体" w:hAnsi="宋体" w:cs="宋体" w:eastAsia="宋体" w:hint="default"/>
                <w:sz w:val="18"/>
                <w:szCs w:val="18"/>
              </w:rPr>
              <w:t>综合收益中 确认的损失</w:t>
            </w:r>
          </w:p>
        </w:tc>
        <w:tc>
          <w:tcPr>
            <w:tcW w:w="103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
              <w:ind w:right="0"/>
              <w:jc w:val="left"/>
              <w:rPr>
                <w:rFonts w:ascii="宋体" w:hAnsi="宋体" w:cs="宋体" w:eastAsia="宋体" w:hint="default"/>
                <w:sz w:val="12"/>
                <w:szCs w:val="12"/>
              </w:rPr>
            </w:pPr>
          </w:p>
          <w:p>
            <w:pPr>
              <w:pStyle w:val="TableParagraph"/>
              <w:spacing w:line="240" w:lineRule="auto"/>
              <w:ind w:left="332" w:right="0"/>
              <w:jc w:val="left"/>
              <w:rPr>
                <w:rFonts w:ascii="宋体" w:hAnsi="宋体" w:cs="宋体" w:eastAsia="宋体" w:hint="default"/>
                <w:sz w:val="18"/>
                <w:szCs w:val="18"/>
              </w:rPr>
            </w:pPr>
            <w:r>
              <w:rPr>
                <w:rFonts w:ascii="宋体" w:hAnsi="宋体" w:cs="宋体" w:eastAsia="宋体" w:hint="default"/>
                <w:sz w:val="18"/>
                <w:szCs w:val="18"/>
              </w:rPr>
              <w:t>备注</w:t>
            </w:r>
          </w:p>
        </w:tc>
      </w:tr>
      <w:tr>
        <w:trPr>
          <w:trHeight w:val="355" w:hRule="exact"/>
        </w:trPr>
        <w:tc>
          <w:tcPr>
            <w:tcW w:w="1296" w:type="dxa"/>
            <w:tcBorders>
              <w:top w:val="nil" w:sz="6" w:space="0" w:color="auto"/>
              <w:left w:val="single" w:sz="4" w:space="0" w:color="000000"/>
              <w:bottom w:val="single" w:sz="4" w:space="0" w:color="000000"/>
              <w:right w:val="single" w:sz="4" w:space="0" w:color="000000"/>
            </w:tcBorders>
            <w:shd w:val="clear" w:color="auto" w:fill="D3D3D3"/>
          </w:tcPr>
          <w:p>
            <w:pPr/>
          </w:p>
        </w:tc>
        <w:tc>
          <w:tcPr>
            <w:tcW w:w="1036" w:type="dxa"/>
            <w:tcBorders>
              <w:top w:val="nil" w:sz="6" w:space="0" w:color="auto"/>
              <w:left w:val="single" w:sz="4" w:space="0" w:color="000000"/>
              <w:bottom w:val="single" w:sz="4" w:space="0" w:color="000000"/>
              <w:right w:val="single" w:sz="4" w:space="0" w:color="000000"/>
            </w:tcBorders>
            <w:shd w:val="clear" w:color="auto" w:fill="D3D3D3"/>
          </w:tcPr>
          <w:p>
            <w:pPr/>
          </w:p>
        </w:tc>
        <w:tc>
          <w:tcPr>
            <w:tcW w:w="1033" w:type="dxa"/>
            <w:tcBorders>
              <w:top w:val="nil" w:sz="6" w:space="0" w:color="auto"/>
              <w:left w:val="single" w:sz="4" w:space="0" w:color="000000"/>
              <w:bottom w:val="single" w:sz="4" w:space="0" w:color="000000"/>
              <w:right w:val="single" w:sz="4" w:space="0" w:color="000000"/>
            </w:tcBorders>
            <w:shd w:val="clear" w:color="auto" w:fill="D3D3D3"/>
          </w:tcPr>
          <w:p>
            <w:pPr/>
          </w:p>
        </w:tc>
        <w:tc>
          <w:tcPr>
            <w:tcW w:w="1034" w:type="dxa"/>
            <w:tcBorders>
              <w:top w:val="nil" w:sz="6" w:space="0" w:color="auto"/>
              <w:left w:val="single" w:sz="4" w:space="0" w:color="000000"/>
              <w:bottom w:val="single" w:sz="4" w:space="0" w:color="000000"/>
              <w:right w:val="single" w:sz="4" w:space="0" w:color="000000"/>
            </w:tcBorders>
            <w:shd w:val="clear" w:color="auto" w:fill="D3D3D3"/>
          </w:tcPr>
          <w:p>
            <w:pPr/>
          </w:p>
        </w:tc>
        <w:tc>
          <w:tcPr>
            <w:tcW w:w="1034" w:type="dxa"/>
            <w:tcBorders>
              <w:top w:val="nil" w:sz="6" w:space="0" w:color="auto"/>
              <w:left w:val="single" w:sz="4" w:space="0" w:color="000000"/>
              <w:bottom w:val="single" w:sz="4" w:space="0" w:color="000000"/>
              <w:right w:val="single" w:sz="4" w:space="0" w:color="000000"/>
            </w:tcBorders>
            <w:shd w:val="clear" w:color="auto" w:fill="D3D3D3"/>
          </w:tcPr>
          <w:p>
            <w:pPr/>
          </w:p>
        </w:tc>
        <w:tc>
          <w:tcPr>
            <w:tcW w:w="1033" w:type="dxa"/>
            <w:tcBorders>
              <w:top w:val="nil" w:sz="6" w:space="0" w:color="auto"/>
              <w:left w:val="single" w:sz="4" w:space="0" w:color="000000"/>
              <w:bottom w:val="single" w:sz="4" w:space="0" w:color="000000"/>
              <w:right w:val="single" w:sz="4" w:space="0" w:color="000000"/>
            </w:tcBorders>
            <w:shd w:val="clear" w:color="auto" w:fill="D3D3D3"/>
          </w:tcPr>
          <w:p>
            <w:pPr/>
          </w:p>
        </w:tc>
        <w:tc>
          <w:tcPr>
            <w:tcW w:w="1034" w:type="dxa"/>
            <w:tcBorders>
              <w:top w:val="nil" w:sz="6" w:space="0" w:color="auto"/>
              <w:left w:val="single" w:sz="4" w:space="0" w:color="000000"/>
              <w:bottom w:val="single" w:sz="4" w:space="0" w:color="000000"/>
              <w:right w:val="single" w:sz="4" w:space="0" w:color="000000"/>
            </w:tcBorders>
            <w:shd w:val="clear" w:color="auto" w:fill="D3D3D3"/>
          </w:tcPr>
          <w:p>
            <w:pPr/>
          </w:p>
        </w:tc>
        <w:tc>
          <w:tcPr>
            <w:tcW w:w="1034"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准备</w:t>
            </w:r>
          </w:p>
        </w:tc>
        <w:tc>
          <w:tcPr>
            <w:tcW w:w="1034" w:type="dxa"/>
            <w:tcBorders>
              <w:top w:val="nil" w:sz="6" w:space="0" w:color="auto"/>
              <w:left w:val="single" w:sz="4" w:space="0" w:color="000000"/>
              <w:bottom w:val="single" w:sz="4" w:space="0" w:color="000000"/>
              <w:right w:val="single" w:sz="4" w:space="0" w:color="000000"/>
            </w:tcBorders>
            <w:shd w:val="clear" w:color="auto" w:fill="D3D3D3"/>
          </w:tcPr>
          <w:p>
            <w:pPr/>
          </w:p>
        </w:tc>
      </w:tr>
    </w:tbl>
    <w:p>
      <w:pPr>
        <w:pStyle w:val="BodyText"/>
        <w:spacing w:line="240" w:lineRule="auto" w:before="51"/>
        <w:ind w:right="2239"/>
        <w:jc w:val="left"/>
      </w:pPr>
      <w:r>
        <w:rPr/>
        <w:t>重要的其他债权投资</w:t>
      </w:r>
    </w:p>
    <w:p>
      <w:pPr>
        <w:pStyle w:val="BodyText"/>
        <w:spacing w:line="240" w:lineRule="auto" w:before="117"/>
        <w:ind w:left="0" w:right="113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6"/>
        <w:gridCol w:w="3828"/>
        <w:gridCol w:w="3814"/>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12" w:right="0"/>
              <w:jc w:val="left"/>
              <w:rPr>
                <w:rFonts w:ascii="宋体" w:hAnsi="宋体" w:cs="宋体" w:eastAsia="宋体" w:hint="default"/>
                <w:sz w:val="18"/>
                <w:szCs w:val="18"/>
              </w:rPr>
            </w:pPr>
            <w:r>
              <w:rPr>
                <w:rFonts w:ascii="宋体" w:hAnsi="宋体" w:cs="宋体" w:eastAsia="宋体" w:hint="default"/>
                <w:sz w:val="18"/>
                <w:szCs w:val="18"/>
              </w:rPr>
              <w:t>其他债权项目</w:t>
            </w:r>
          </w:p>
        </w:tc>
        <w:tc>
          <w:tcPr>
            <w:tcW w:w="38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6"/>
        <w:gridCol w:w="956"/>
        <w:gridCol w:w="959"/>
        <w:gridCol w:w="955"/>
        <w:gridCol w:w="958"/>
        <w:gridCol w:w="955"/>
        <w:gridCol w:w="958"/>
        <w:gridCol w:w="956"/>
        <w:gridCol w:w="945"/>
      </w:tblGrid>
      <w:tr>
        <w:trPr>
          <w:trHeight w:val="402" w:hRule="exact"/>
        </w:trPr>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4"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到期日</w:t>
            </w:r>
          </w:p>
        </w:tc>
        <w:tc>
          <w:tcPr>
            <w:tcW w:w="95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3" w:right="0"/>
              <w:jc w:val="left"/>
              <w:rPr>
                <w:rFonts w:ascii="宋体" w:hAnsi="宋体" w:cs="宋体" w:eastAsia="宋体" w:hint="default"/>
                <w:sz w:val="18"/>
                <w:szCs w:val="18"/>
              </w:rPr>
            </w:pPr>
            <w:r>
              <w:rPr>
                <w:rFonts w:ascii="宋体" w:hAnsi="宋体" w:cs="宋体" w:eastAsia="宋体" w:hint="default"/>
                <w:sz w:val="18"/>
                <w:szCs w:val="18"/>
              </w:rPr>
              <w:t>票面利率</w:t>
            </w:r>
          </w:p>
        </w:tc>
        <w:tc>
          <w:tcPr>
            <w:tcW w:w="9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2" w:right="0"/>
              <w:jc w:val="left"/>
              <w:rPr>
                <w:rFonts w:ascii="宋体" w:hAnsi="宋体" w:cs="宋体" w:eastAsia="宋体" w:hint="default"/>
                <w:sz w:val="18"/>
                <w:szCs w:val="18"/>
              </w:rPr>
            </w:pPr>
            <w:r>
              <w:rPr>
                <w:rFonts w:ascii="宋体" w:hAnsi="宋体" w:cs="宋体" w:eastAsia="宋体" w:hint="default"/>
                <w:sz w:val="18"/>
                <w:szCs w:val="18"/>
              </w:rPr>
              <w:t>实际利率</w:t>
            </w:r>
          </w:p>
        </w:tc>
        <w:tc>
          <w:tcPr>
            <w:tcW w:w="9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宋体" w:hAnsi="宋体" w:cs="宋体" w:eastAsia="宋体" w:hint="default"/>
                <w:sz w:val="18"/>
                <w:szCs w:val="18"/>
              </w:rPr>
              <w:t>到期日</w:t>
            </w:r>
          </w:p>
        </w:tc>
      </w:tr>
    </w:tbl>
    <w:p>
      <w:pPr>
        <w:pStyle w:val="BodyText"/>
        <w:spacing w:line="240" w:lineRule="auto" w:before="51"/>
        <w:ind w:right="2239"/>
        <w:jc w:val="left"/>
      </w:pPr>
      <w:r>
        <w:rPr/>
        <w:t>减值准备计提情况</w:t>
      </w:r>
    </w:p>
    <w:p>
      <w:pPr>
        <w:pStyle w:val="BodyText"/>
        <w:spacing w:line="240" w:lineRule="auto" w:before="117"/>
        <w:ind w:left="0" w:right="113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6"/>
        <w:gridCol w:w="1650"/>
        <w:gridCol w:w="2099"/>
        <w:gridCol w:w="2099"/>
        <w:gridCol w:w="1804"/>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6" w:type="dxa"/>
            <w:vMerge/>
            <w:tcBorders>
              <w:left w:val="single" w:sz="4" w:space="0" w:color="000000"/>
              <w:bottom w:val="single" w:sz="4" w:space="0" w:color="000000"/>
              <w:right w:val="single" w:sz="4" w:space="0" w:color="000000"/>
            </w:tcBorders>
            <w:shd w:val="clear" w:color="auto" w:fill="D3D3D3"/>
          </w:tcPr>
          <w:p>
            <w:pPr/>
          </w:p>
        </w:tc>
        <w:tc>
          <w:tcPr>
            <w:tcW w:w="1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2"/>
              <w:ind w:left="549" w:right="43" w:hanging="50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个月预期信 用损失</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right="1"/>
              <w:jc w:val="center"/>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未发生信用减值</w:t>
            </w:r>
            <w:r>
              <w:rPr>
                <w:rFonts w:ascii="Arial" w:hAnsi="Arial" w:cs="Arial" w:eastAsia="Arial"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right="1"/>
              <w:jc w:val="center"/>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已发生信用减值</w:t>
            </w:r>
            <w:r>
              <w:rPr>
                <w:rFonts w:ascii="Arial" w:hAnsi="Arial" w:cs="Arial" w:eastAsia="Arial" w:hint="default"/>
                <w:sz w:val="18"/>
                <w:szCs w:val="18"/>
              </w:rPr>
              <w:t>)</w:t>
            </w:r>
          </w:p>
        </w:tc>
        <w:tc>
          <w:tcPr>
            <w:tcW w:w="1804" w:type="dxa"/>
            <w:vMerge/>
            <w:tcBorders>
              <w:left w:val="single" w:sz="4" w:space="0" w:color="000000"/>
              <w:bottom w:val="single" w:sz="4" w:space="0" w:color="000000"/>
              <w:right w:val="single" w:sz="4" w:space="0" w:color="000000"/>
            </w:tcBorders>
            <w:shd w:val="clear" w:color="auto" w:fill="D3D3D3"/>
          </w:tcPr>
          <w:p>
            <w:pP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2"/>
              <w:ind w:left="22" w:right="22"/>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1</w:t>
            </w:r>
            <w:r>
              <w:rPr>
                <w:rFonts w:ascii="Arial" w:hAnsi="Arial" w:cs="Arial" w:eastAsia="Arial"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w:hAnsi="Arial" w:cs="Arial" w:eastAsia="Arial" w:hint="default"/>
                <w:sz w:val="18"/>
                <w:szCs w:val="18"/>
              </w:rPr>
              <w:t>1</w:t>
            </w:r>
            <w:r>
              <w:rPr>
                <w:rFonts w:ascii="Arial" w:hAnsi="Arial" w:cs="Arial" w:eastAsia="Arial" w:hint="default"/>
                <w:spacing w:val="-15"/>
                <w:sz w:val="18"/>
                <w:szCs w:val="18"/>
              </w:rPr>
              <w:t> </w:t>
            </w:r>
            <w:r>
              <w:rPr>
                <w:rFonts w:ascii="宋体" w:hAnsi="宋体" w:cs="宋体" w:eastAsia="宋体" w:hint="default"/>
                <w:sz w:val="18"/>
                <w:szCs w:val="18"/>
              </w:rPr>
              <w:t>日余额在 本期</w:t>
            </w:r>
          </w:p>
        </w:tc>
        <w:tc>
          <w:tcPr>
            <w:tcW w:w="1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
              <w:jc w:val="center"/>
              <w:rPr>
                <w:rFonts w:ascii="Arial" w:hAnsi="Arial" w:cs="Arial" w:eastAsia="Arial" w:hint="default"/>
                <w:sz w:val="18"/>
                <w:szCs w:val="18"/>
              </w:rPr>
            </w:pPr>
            <w:r>
              <w:rPr>
                <w:rFonts w:ascii="Arial" w:hAnsi="Arial" w:cs="Arial" w:eastAsia="Arial"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
              <w:jc w:val="center"/>
              <w:rPr>
                <w:rFonts w:ascii="Arial" w:hAnsi="Arial" w:cs="Arial" w:eastAsia="Arial" w:hint="default"/>
                <w:sz w:val="18"/>
                <w:szCs w:val="18"/>
              </w:rPr>
            </w:pPr>
            <w:r>
              <w:rPr>
                <w:rFonts w:ascii="Arial" w:hAnsi="Arial" w:cs="Arial" w:eastAsia="Arial"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
              <w:jc w:val="center"/>
              <w:rPr>
                <w:rFonts w:ascii="Arial" w:hAnsi="Arial" w:cs="Arial" w:eastAsia="Arial" w:hint="default"/>
                <w:sz w:val="18"/>
                <w:szCs w:val="18"/>
              </w:rPr>
            </w:pPr>
            <w:r>
              <w:rPr>
                <w:rFonts w:ascii="Arial" w:hAnsi="Arial" w:cs="Arial" w:eastAsia="Arial" w:hint="default"/>
                <w:sz w:val="18"/>
                <w:szCs w:val="18"/>
              </w:rPr>
              <w:t>——</w:t>
            </w:r>
          </w:p>
        </w:tc>
        <w:tc>
          <w:tcPr>
            <w:tcW w:w="1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1"/>
              <w:jc w:val="center"/>
              <w:rPr>
                <w:rFonts w:ascii="Arial" w:hAnsi="Arial" w:cs="Arial" w:eastAsia="Arial" w:hint="default"/>
                <w:sz w:val="18"/>
                <w:szCs w:val="18"/>
              </w:rPr>
            </w:pPr>
            <w:r>
              <w:rPr>
                <w:rFonts w:ascii="Arial" w:hAnsi="Arial" w:cs="Arial" w:eastAsia="Arial" w:hint="default"/>
                <w:sz w:val="18"/>
                <w:szCs w:val="18"/>
              </w:rPr>
              <w:t>——</w:t>
            </w:r>
          </w:p>
        </w:tc>
      </w:tr>
    </w:tbl>
    <w:p>
      <w:pPr>
        <w:pStyle w:val="BodyText"/>
        <w:spacing w:line="240" w:lineRule="auto" w:before="51"/>
        <w:ind w:right="2239"/>
        <w:jc w:val="left"/>
      </w:pPr>
      <w:r>
        <w:rPr/>
        <w:t>损失准备本期变动金额重大的账面余额变动情况</w:t>
      </w:r>
    </w:p>
    <w:p>
      <w:pPr>
        <w:pStyle w:val="BodyText"/>
        <w:spacing w:line="340" w:lineRule="auto" w:before="116"/>
        <w:ind w:right="890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其他说明：</w:t>
      </w:r>
    </w:p>
    <w:p>
      <w:pPr>
        <w:pStyle w:val="BodyText"/>
        <w:spacing w:line="240" w:lineRule="auto" w:before="40"/>
        <w:ind w:right="2239"/>
        <w:jc w:val="left"/>
      </w:pPr>
      <w:r>
        <w:rPr/>
        <w:t>无。</w:t>
      </w:r>
    </w:p>
    <w:p>
      <w:pPr>
        <w:spacing w:line="240" w:lineRule="auto" w:before="10"/>
        <w:rPr>
          <w:rFonts w:ascii="宋体" w:hAnsi="宋体" w:cs="宋体" w:eastAsia="宋体" w:hint="default"/>
          <w:sz w:val="26"/>
          <w:szCs w:val="26"/>
        </w:rPr>
      </w:pPr>
    </w:p>
    <w:p>
      <w:pPr>
        <w:pStyle w:val="Heading4"/>
        <w:spacing w:line="240" w:lineRule="auto"/>
        <w:ind w:right="2239"/>
        <w:jc w:val="left"/>
        <w:rPr>
          <w:b w:val="0"/>
          <w:bCs w:val="0"/>
        </w:rPr>
      </w:pPr>
      <w:r>
        <w:rPr>
          <w:rFonts w:ascii="Arial" w:hAnsi="Arial" w:cs="Arial" w:eastAsia="Arial" w:hint="default"/>
        </w:rPr>
        <w:t>16</w:t>
      </w:r>
      <w:r>
        <w:rPr/>
        <w:t>、长期应收款</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2239"/>
        <w:jc w:val="left"/>
        <w:rPr>
          <w:b w:val="0"/>
          <w:bCs w:val="0"/>
        </w:rPr>
      </w:pPr>
      <w:r>
        <w:rPr/>
        <w:t>（</w:t>
      </w:r>
      <w:r>
        <w:rPr>
          <w:rFonts w:ascii="Arial" w:hAnsi="Arial" w:cs="Arial" w:eastAsia="Arial" w:hint="default"/>
        </w:rPr>
        <w:t>1</w:t>
      </w:r>
      <w:r>
        <w:rPr/>
        <w:t>）长期应收款情况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403"/>
        <w:gridCol w:w="1168"/>
        <w:gridCol w:w="1166"/>
        <w:gridCol w:w="1168"/>
        <w:gridCol w:w="1166"/>
        <w:gridCol w:w="1169"/>
        <w:gridCol w:w="1164"/>
        <w:gridCol w:w="1165"/>
      </w:tblGrid>
      <w:tr>
        <w:trPr>
          <w:trHeight w:val="402" w:hRule="exact"/>
        </w:trPr>
        <w:tc>
          <w:tcPr>
            <w:tcW w:w="140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5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499"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116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28" w:right="0"/>
              <w:jc w:val="left"/>
              <w:rPr>
                <w:rFonts w:ascii="宋体" w:hAnsi="宋体" w:cs="宋体" w:eastAsia="宋体" w:hint="default"/>
                <w:sz w:val="18"/>
                <w:szCs w:val="18"/>
              </w:rPr>
            </w:pPr>
            <w:r>
              <w:rPr>
                <w:rFonts w:ascii="宋体" w:hAnsi="宋体" w:cs="宋体" w:eastAsia="宋体" w:hint="default"/>
                <w:sz w:val="18"/>
                <w:szCs w:val="18"/>
              </w:rPr>
              <w:t>折现率区间</w:t>
            </w:r>
          </w:p>
        </w:tc>
      </w:tr>
      <w:tr>
        <w:trPr>
          <w:trHeight w:val="403" w:hRule="exact"/>
        </w:trPr>
        <w:tc>
          <w:tcPr>
            <w:tcW w:w="1403" w:type="dxa"/>
            <w:vMerge/>
            <w:tcBorders>
              <w:left w:val="single" w:sz="4" w:space="0" w:color="000000"/>
              <w:bottom w:val="single" w:sz="4" w:space="0" w:color="000000"/>
              <w:right w:val="single" w:sz="4" w:space="0" w:color="000000"/>
            </w:tcBorders>
            <w:shd w:val="clear" w:color="auto" w:fill="D3D3D3"/>
          </w:tcPr>
          <w:p>
            <w:pPr/>
          </w:p>
        </w:tc>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65" w:type="dxa"/>
            <w:vMerge/>
            <w:tcBorders>
              <w:left w:val="single" w:sz="4" w:space="0" w:color="000000"/>
              <w:bottom w:val="single" w:sz="4" w:space="0" w:color="000000"/>
              <w:right w:val="single" w:sz="4" w:space="0" w:color="000000"/>
            </w:tcBorders>
            <w:shd w:val="clear" w:color="auto" w:fill="D3D3D3"/>
          </w:tcPr>
          <w:p>
            <w:pPr/>
          </w:p>
        </w:tc>
      </w:tr>
    </w:tbl>
    <w:p>
      <w:pPr>
        <w:pStyle w:val="BodyText"/>
        <w:spacing w:line="240" w:lineRule="auto" w:before="52"/>
        <w:ind w:right="2239"/>
        <w:jc w:val="left"/>
      </w:pPr>
      <w:r>
        <w:rPr/>
        <w:t>坏账准备减值情况</w:t>
      </w:r>
    </w:p>
    <w:p>
      <w:pPr>
        <w:pStyle w:val="BodyText"/>
        <w:spacing w:line="240" w:lineRule="auto" w:before="116"/>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6"/>
        <w:gridCol w:w="1650"/>
        <w:gridCol w:w="2099"/>
        <w:gridCol w:w="2099"/>
        <w:gridCol w:w="1804"/>
      </w:tblGrid>
      <w:tr>
        <w:trPr>
          <w:trHeight w:val="402" w:hRule="exact"/>
        </w:trPr>
        <w:tc>
          <w:tcPr>
            <w:tcW w:w="19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第一阶段</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714" w:hRule="exact"/>
        </w:trPr>
        <w:tc>
          <w:tcPr>
            <w:tcW w:w="1916" w:type="dxa"/>
            <w:vMerge/>
            <w:tcBorders>
              <w:left w:val="single" w:sz="4" w:space="0" w:color="000000"/>
              <w:bottom w:val="single" w:sz="4" w:space="0" w:color="000000"/>
              <w:right w:val="single" w:sz="4" w:space="0" w:color="000000"/>
            </w:tcBorders>
            <w:shd w:val="clear" w:color="auto" w:fill="D3D3D3"/>
          </w:tcPr>
          <w:p>
            <w:pPr/>
          </w:p>
        </w:tc>
        <w:tc>
          <w:tcPr>
            <w:tcW w:w="1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549" w:right="43" w:hanging="50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个月预期信 用损失</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right="1"/>
              <w:jc w:val="center"/>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未发生信用减值</w:t>
            </w:r>
            <w:r>
              <w:rPr>
                <w:rFonts w:ascii="Arial" w:hAnsi="Arial" w:cs="Arial" w:eastAsia="Arial"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right="1"/>
              <w:jc w:val="center"/>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已发生信用减值</w:t>
            </w:r>
            <w:r>
              <w:rPr>
                <w:rFonts w:ascii="Arial" w:hAnsi="Arial" w:cs="Arial" w:eastAsia="Arial" w:hint="default"/>
                <w:sz w:val="18"/>
                <w:szCs w:val="18"/>
              </w:rPr>
              <w:t>)</w:t>
            </w:r>
          </w:p>
        </w:tc>
        <w:tc>
          <w:tcPr>
            <w:tcW w:w="1804"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2"/>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1</w:t>
            </w:r>
            <w:r>
              <w:rPr>
                <w:rFonts w:ascii="Arial" w:hAnsi="Arial" w:cs="Arial" w:eastAsia="Arial"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w:hAnsi="Arial" w:cs="Arial" w:eastAsia="Arial" w:hint="default"/>
                <w:sz w:val="18"/>
                <w:szCs w:val="18"/>
              </w:rPr>
              <w:t>1</w:t>
            </w:r>
            <w:r>
              <w:rPr>
                <w:rFonts w:ascii="Arial" w:hAnsi="Arial" w:cs="Arial" w:eastAsia="Arial" w:hint="default"/>
                <w:spacing w:val="-15"/>
                <w:sz w:val="18"/>
                <w:szCs w:val="18"/>
              </w:rPr>
              <w:t> </w:t>
            </w:r>
            <w:r>
              <w:rPr>
                <w:rFonts w:ascii="宋体" w:hAnsi="宋体" w:cs="宋体" w:eastAsia="宋体" w:hint="default"/>
                <w:sz w:val="18"/>
                <w:szCs w:val="18"/>
              </w:rPr>
              <w:t>日余额在 本期</w:t>
            </w:r>
          </w:p>
        </w:tc>
        <w:tc>
          <w:tcPr>
            <w:tcW w:w="1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Arial" w:hAnsi="Arial" w:cs="Arial" w:eastAsia="Arial" w:hint="default"/>
                <w:sz w:val="18"/>
                <w:szCs w:val="18"/>
              </w:rPr>
            </w:pPr>
            <w:r>
              <w:rPr>
                <w:rFonts w:ascii="Arial" w:hAnsi="Arial" w:cs="Arial" w:eastAsia="Arial"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Arial" w:hAnsi="Arial" w:cs="Arial" w:eastAsia="Arial" w:hint="default"/>
                <w:sz w:val="18"/>
                <w:szCs w:val="18"/>
              </w:rPr>
            </w:pPr>
            <w:r>
              <w:rPr>
                <w:rFonts w:ascii="Arial" w:hAnsi="Arial" w:cs="Arial" w:eastAsia="Arial" w:hint="default"/>
                <w:sz w:val="18"/>
                <w:szCs w:val="18"/>
              </w:rPr>
              <w:t>——</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Arial" w:hAnsi="Arial" w:cs="Arial" w:eastAsia="Arial" w:hint="default"/>
                <w:sz w:val="18"/>
                <w:szCs w:val="18"/>
              </w:rPr>
            </w:pPr>
            <w:r>
              <w:rPr>
                <w:rFonts w:ascii="Arial" w:hAnsi="Arial" w:cs="Arial" w:eastAsia="Arial" w:hint="default"/>
                <w:sz w:val="18"/>
                <w:szCs w:val="18"/>
              </w:rPr>
              <w:t>——</w:t>
            </w:r>
          </w:p>
        </w:tc>
        <w:tc>
          <w:tcPr>
            <w:tcW w:w="18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Arial" w:hAnsi="Arial" w:cs="Arial" w:eastAsia="Arial" w:hint="default"/>
                <w:sz w:val="18"/>
                <w:szCs w:val="18"/>
              </w:rPr>
            </w:pPr>
            <w:r>
              <w:rPr>
                <w:rFonts w:ascii="Arial" w:hAnsi="Arial" w:cs="Arial" w:eastAsia="Arial" w:hint="default"/>
                <w:sz w:val="18"/>
                <w:szCs w:val="18"/>
              </w:rPr>
              <w:t>——</w:t>
            </w:r>
          </w:p>
        </w:tc>
      </w:tr>
    </w:tbl>
    <w:p>
      <w:pPr>
        <w:pStyle w:val="BodyText"/>
        <w:spacing w:line="240" w:lineRule="auto" w:before="51"/>
        <w:ind w:right="2239"/>
        <w:jc w:val="left"/>
      </w:pPr>
      <w:r>
        <w:rPr/>
        <w:t>损失准备本期变动金额重大的账面余额变动情况</w:t>
      </w:r>
    </w:p>
    <w:p>
      <w:pPr>
        <w:pStyle w:val="BodyText"/>
        <w:spacing w:line="240" w:lineRule="auto" w:before="117"/>
        <w:ind w:left="153"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2239"/>
        <w:jc w:val="left"/>
        <w:rPr>
          <w:b w:val="0"/>
          <w:bCs w:val="0"/>
        </w:rPr>
      </w:pPr>
      <w:r>
        <w:rPr/>
        <w:t>（</w:t>
      </w:r>
      <w:r>
        <w:rPr>
          <w:rFonts w:ascii="Arial" w:hAnsi="Arial" w:cs="Arial" w:eastAsia="Arial" w:hint="default"/>
        </w:rPr>
        <w:t>2</w:t>
      </w:r>
      <w:r>
        <w:rPr/>
        <w:t>）因金融资产转移而终止确认的长期应收款</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2239"/>
        <w:jc w:val="left"/>
        <w:rPr>
          <w:b w:val="0"/>
          <w:bCs w:val="0"/>
        </w:rPr>
      </w:pPr>
      <w:r>
        <w:rPr/>
        <w:t>（</w:t>
      </w:r>
      <w:r>
        <w:rPr>
          <w:rFonts w:ascii="Arial" w:hAnsi="Arial" w:cs="Arial" w:eastAsia="Arial" w:hint="default"/>
        </w:rPr>
        <w:t>3</w:t>
      </w:r>
      <w:r>
        <w:rPr/>
        <w:t>）转移长期应收款且继续涉入形成的资产、负债金额</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10030"/>
        <w:jc w:val="left"/>
      </w:pPr>
      <w:r>
        <w:rPr/>
        <w:t>其他说明 无。</w:t>
      </w:r>
    </w:p>
    <w:p>
      <w:pPr>
        <w:spacing w:line="240" w:lineRule="auto" w:before="1"/>
        <w:rPr>
          <w:rFonts w:ascii="宋体" w:hAnsi="宋体" w:cs="宋体" w:eastAsia="宋体" w:hint="default"/>
          <w:sz w:val="20"/>
          <w:szCs w:val="20"/>
        </w:rPr>
      </w:pPr>
    </w:p>
    <w:p>
      <w:pPr>
        <w:pStyle w:val="Heading4"/>
        <w:spacing w:line="240" w:lineRule="auto"/>
        <w:ind w:right="2239"/>
        <w:jc w:val="left"/>
        <w:rPr>
          <w:b w:val="0"/>
          <w:bCs w:val="0"/>
        </w:rPr>
      </w:pPr>
      <w:r>
        <w:rPr>
          <w:rFonts w:ascii="Arial" w:hAnsi="Arial" w:cs="Arial" w:eastAsia="Arial" w:hint="default"/>
        </w:rPr>
        <w:t>17</w:t>
      </w:r>
      <w:r>
        <w:rPr/>
        <w:t>、长期股权投资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02" w:right="31" w:hanging="270"/>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09" w:lineRule="auto"/>
              <w:ind w:left="34" w:right="31"/>
              <w:jc w:val="center"/>
              <w:rPr>
                <w:rFonts w:ascii="Arial" w:hAnsi="Arial" w:cs="Arial" w:eastAsia="Arial" w:hint="default"/>
                <w:sz w:val="18"/>
                <w:szCs w:val="18"/>
              </w:rPr>
            </w:pPr>
            <w:r>
              <w:rPr>
                <w:rFonts w:ascii="宋体" w:hAnsi="宋体" w:cs="宋体" w:eastAsia="宋体" w:hint="default"/>
                <w:sz w:val="18"/>
                <w:szCs w:val="18"/>
              </w:rPr>
              <w:t>期初余额 </w:t>
            </w:r>
            <w:r>
              <w:rPr>
                <w:rFonts w:ascii="Arial" w:hAnsi="Arial" w:cs="Arial" w:eastAsia="Arial" w:hint="default"/>
                <w:sz w:val="18"/>
                <w:szCs w:val="18"/>
              </w:rPr>
              <w:t>(</w:t>
            </w:r>
            <w:r>
              <w:rPr>
                <w:rFonts w:ascii="宋体" w:hAnsi="宋体" w:cs="宋体" w:eastAsia="宋体" w:hint="default"/>
                <w:sz w:val="18"/>
                <w:szCs w:val="18"/>
              </w:rPr>
              <w:t>账面价 值</w:t>
            </w:r>
            <w:r>
              <w:rPr>
                <w:rFonts w:ascii="Arial" w:hAnsi="Arial" w:cs="Arial" w:eastAsia="Arial"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09" w:lineRule="auto"/>
              <w:ind w:left="33" w:right="32"/>
              <w:jc w:val="center"/>
              <w:rPr>
                <w:rFonts w:ascii="Arial" w:hAnsi="Arial" w:cs="Arial" w:eastAsia="Arial" w:hint="default"/>
                <w:sz w:val="18"/>
                <w:szCs w:val="18"/>
              </w:rPr>
            </w:pPr>
            <w:r>
              <w:rPr>
                <w:rFonts w:ascii="宋体" w:hAnsi="宋体" w:cs="宋体" w:eastAsia="宋体" w:hint="default"/>
                <w:sz w:val="18"/>
                <w:szCs w:val="18"/>
              </w:rPr>
              <w:t>期末余额 </w:t>
            </w:r>
            <w:r>
              <w:rPr>
                <w:rFonts w:ascii="Arial" w:hAnsi="Arial" w:cs="Arial" w:eastAsia="Arial" w:hint="default"/>
                <w:sz w:val="18"/>
                <w:szCs w:val="18"/>
              </w:rPr>
              <w:t>(</w:t>
            </w:r>
            <w:r>
              <w:rPr>
                <w:rFonts w:ascii="宋体" w:hAnsi="宋体" w:cs="宋体" w:eastAsia="宋体" w:hint="default"/>
                <w:sz w:val="18"/>
                <w:szCs w:val="18"/>
              </w:rPr>
              <w:t>账面价 值</w:t>
            </w:r>
            <w:r>
              <w:rPr>
                <w:rFonts w:ascii="Arial" w:hAnsi="Arial" w:cs="Arial" w:eastAsia="Arial" w:hint="default"/>
                <w:sz w:val="18"/>
                <w:szCs w:val="18"/>
              </w:rPr>
              <w:t>)</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6"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福建亿榕 信息技术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81,662,73</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7.62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1,015,883</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82,678,62</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0.80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福建文鑫 莲业有限 责任公司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5" w:right="0"/>
              <w:jc w:val="left"/>
              <w:rPr>
                <w:rFonts w:ascii="Times New Roman" w:hAnsi="Times New Roman" w:cs="Times New Roman" w:eastAsia="Times New Roman" w:hint="default"/>
                <w:sz w:val="18"/>
                <w:szCs w:val="18"/>
              </w:rPr>
            </w:pPr>
            <w:r>
              <w:rPr>
                <w:rFonts w:ascii="Times New Roman"/>
                <w:sz w:val="18"/>
              </w:rPr>
              <w:t>26,833,68</w:t>
            </w:r>
          </w:p>
          <w:p>
            <w:pPr>
              <w:pStyle w:val="TableParagraph"/>
              <w:spacing w:line="240" w:lineRule="auto" w:before="106"/>
              <w:ind w:left="451" w:right="0"/>
              <w:jc w:val="left"/>
              <w:rPr>
                <w:rFonts w:ascii="Times New Roman" w:hAnsi="Times New Roman" w:cs="Times New Roman" w:eastAsia="Times New Roman" w:hint="default"/>
                <w:sz w:val="18"/>
                <w:szCs w:val="18"/>
              </w:rPr>
            </w:pPr>
            <w:r>
              <w:rPr>
                <w:rFonts w:ascii="Times New Roman"/>
                <w:sz w:val="18"/>
              </w:rPr>
              <w:t>9.17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-919,207.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69</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4" w:right="0"/>
              <w:jc w:val="left"/>
              <w:rPr>
                <w:rFonts w:ascii="Times New Roman" w:hAnsi="Times New Roman" w:cs="Times New Roman" w:eastAsia="Times New Roman" w:hint="default"/>
                <w:sz w:val="18"/>
                <w:szCs w:val="18"/>
              </w:rPr>
            </w:pPr>
            <w:r>
              <w:rPr>
                <w:rFonts w:ascii="Times New Roman"/>
                <w:sz w:val="18"/>
              </w:rPr>
              <w:t>25,914,48</w:t>
            </w:r>
          </w:p>
          <w:p>
            <w:pPr>
              <w:pStyle w:val="TableParagraph"/>
              <w:spacing w:line="240" w:lineRule="auto" w:before="106"/>
              <w:ind w:left="449" w:right="0"/>
              <w:jc w:val="left"/>
              <w:rPr>
                <w:rFonts w:ascii="Times New Roman" w:hAnsi="Times New Roman" w:cs="Times New Roman" w:eastAsia="Times New Roman" w:hint="default"/>
                <w:sz w:val="18"/>
                <w:szCs w:val="18"/>
              </w:rPr>
            </w:pPr>
            <w:r>
              <w:rPr>
                <w:rFonts w:ascii="Times New Roman"/>
                <w:sz w:val="18"/>
              </w:rPr>
              <w:t>1.48</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建宁县日 升投资有 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2,806,667</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.04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-19,527.7</w:t>
            </w:r>
          </w:p>
          <w:p>
            <w:pPr>
              <w:pStyle w:val="TableParagraph"/>
              <w:spacing w:line="240" w:lineRule="auto" w:before="106"/>
              <w:ind w:right="23"/>
              <w:jc w:val="right"/>
              <w:rPr>
                <w:rFonts w:ascii="Times New Roman" w:hAnsi="Times New Roman" w:cs="Times New Roman" w:eastAsia="Times New Roman" w:hint="default"/>
                <w:sz w:val="18"/>
                <w:szCs w:val="18"/>
              </w:rPr>
            </w:pPr>
            <w:r>
              <w:rPr>
                <w:rFonts w:ascii="Times New Roman"/>
                <w:sz w:val="18"/>
              </w:rPr>
              <w:t>4</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2,787,139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.30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41"/>
              <w:jc w:val="both"/>
              <w:rPr>
                <w:rFonts w:ascii="宋体" w:hAnsi="宋体" w:cs="宋体" w:eastAsia="宋体" w:hint="default"/>
                <w:sz w:val="18"/>
                <w:szCs w:val="18"/>
              </w:rPr>
            </w:pPr>
            <w:r>
              <w:rPr>
                <w:rFonts w:ascii="宋体" w:hAnsi="宋体" w:cs="宋体" w:eastAsia="宋体" w:hint="default"/>
                <w:sz w:val="18"/>
                <w:szCs w:val="18"/>
              </w:rPr>
              <w:t>福建闽光 软件股份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5,833,866</w:t>
            </w:r>
          </w:p>
          <w:p>
            <w:pPr>
              <w:pStyle w:val="TableParagraph"/>
              <w:spacing w:line="240" w:lineRule="auto" w:before="106"/>
              <w:ind w:right="19"/>
              <w:jc w:val="right"/>
              <w:rPr>
                <w:rFonts w:ascii="Times New Roman" w:hAnsi="Times New Roman" w:cs="Times New Roman" w:eastAsia="Times New Roman" w:hint="default"/>
                <w:sz w:val="18"/>
                <w:szCs w:val="18"/>
              </w:rPr>
            </w:pPr>
            <w:r>
              <w:rPr>
                <w:rFonts w:ascii="Times New Roman"/>
                <w:sz w:val="18"/>
              </w:rPr>
              <w:t>.82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1,363,711</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4" w:right="0"/>
              <w:jc w:val="left"/>
              <w:rPr>
                <w:rFonts w:ascii="Times New Roman" w:hAnsi="Times New Roman" w:cs="Times New Roman" w:eastAsia="Times New Roman" w:hint="default"/>
                <w:sz w:val="18"/>
                <w:szCs w:val="18"/>
              </w:rPr>
            </w:pPr>
            <w:r>
              <w:rPr>
                <w:rFonts w:ascii="Times New Roman"/>
                <w:sz w:val="18"/>
              </w:rPr>
              <w:t>-1,050,00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6,147,578</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.22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117,136,9</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60.65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1,440,859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-1,050,00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117,527,8</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19.80</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117,136,9</w:t>
            </w:r>
          </w:p>
          <w:p>
            <w:pPr>
              <w:pStyle w:val="TableParagraph"/>
              <w:spacing w:line="240" w:lineRule="auto" w:before="106"/>
              <w:ind w:left="361" w:right="0"/>
              <w:jc w:val="left"/>
              <w:rPr>
                <w:rFonts w:ascii="Times New Roman" w:hAnsi="Times New Roman" w:cs="Times New Roman" w:eastAsia="Times New Roman" w:hint="default"/>
                <w:sz w:val="18"/>
                <w:szCs w:val="18"/>
              </w:rPr>
            </w:pPr>
            <w:r>
              <w:rPr>
                <w:rFonts w:ascii="Times New Roman"/>
                <w:sz w:val="18"/>
              </w:rPr>
              <w:t>60.65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1,440,859</w:t>
            </w:r>
          </w:p>
          <w:p>
            <w:pPr>
              <w:pStyle w:val="TableParagraph"/>
              <w:spacing w:line="240" w:lineRule="auto" w:before="106"/>
              <w:ind w:right="20"/>
              <w:jc w:val="right"/>
              <w:rPr>
                <w:rFonts w:ascii="Times New Roman" w:hAnsi="Times New Roman" w:cs="Times New Roman" w:eastAsia="Times New Roman" w:hint="default"/>
                <w:sz w:val="18"/>
                <w:szCs w:val="18"/>
              </w:rPr>
            </w:pPr>
            <w:r>
              <w:rPr>
                <w:rFonts w:ascii="Times New Roman"/>
                <w:sz w:val="18"/>
              </w:rPr>
              <w:t>.15</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Times New Roman" w:hAnsi="Times New Roman" w:cs="Times New Roman" w:eastAsia="Times New Roman" w:hint="default"/>
                <w:sz w:val="18"/>
                <w:szCs w:val="18"/>
              </w:rPr>
            </w:pPr>
            <w:r>
              <w:rPr>
                <w:rFonts w:ascii="Times New Roman"/>
                <w:sz w:val="18"/>
              </w:rPr>
              <w:t>-1,050,00</w:t>
            </w:r>
          </w:p>
          <w:p>
            <w:pPr>
              <w:pStyle w:val="TableParagraph"/>
              <w:spacing w:line="240" w:lineRule="auto" w:before="106"/>
              <w:ind w:left="450" w:right="0"/>
              <w:jc w:val="left"/>
              <w:rPr>
                <w:rFonts w:ascii="Times New Roman" w:hAnsi="Times New Roman" w:cs="Times New Roman" w:eastAsia="Times New Roman" w:hint="default"/>
                <w:sz w:val="18"/>
                <w:szCs w:val="18"/>
              </w:rPr>
            </w:pPr>
            <w:r>
              <w:rPr>
                <w:rFonts w:ascii="Times New Roman"/>
                <w:sz w:val="18"/>
              </w:rPr>
              <w:t>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1" w:right="0"/>
              <w:jc w:val="left"/>
              <w:rPr>
                <w:rFonts w:ascii="Times New Roman" w:hAnsi="Times New Roman" w:cs="Times New Roman" w:eastAsia="Times New Roman" w:hint="default"/>
                <w:sz w:val="18"/>
                <w:szCs w:val="18"/>
              </w:rPr>
            </w:pPr>
            <w:r>
              <w:rPr>
                <w:rFonts w:ascii="Times New Roman"/>
                <w:sz w:val="18"/>
              </w:rPr>
              <w:t>117,527,8</w:t>
            </w:r>
          </w:p>
          <w:p>
            <w:pPr>
              <w:pStyle w:val="TableParagraph"/>
              <w:spacing w:line="240" w:lineRule="auto" w:before="106"/>
              <w:ind w:left="359" w:right="0"/>
              <w:jc w:val="left"/>
              <w:rPr>
                <w:rFonts w:ascii="Times New Roman" w:hAnsi="Times New Roman" w:cs="Times New Roman" w:eastAsia="Times New Roman" w:hint="default"/>
                <w:sz w:val="18"/>
                <w:szCs w:val="18"/>
              </w:rPr>
            </w:pPr>
            <w:r>
              <w:rPr>
                <w:rFonts w:ascii="Times New Roman"/>
                <w:sz w:val="18"/>
              </w:rPr>
              <w:t>19.80</w:t>
            </w:r>
          </w:p>
        </w:tc>
        <w:tc>
          <w:tcPr>
            <w:tcW w:w="79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right="10030"/>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2239"/>
        <w:jc w:val="left"/>
        <w:rPr>
          <w:b w:val="0"/>
          <w:bCs w:val="0"/>
        </w:rPr>
      </w:pPr>
      <w:r>
        <w:rPr>
          <w:rFonts w:ascii="Arial" w:hAnsi="Arial" w:cs="Arial" w:eastAsia="Arial" w:hint="default"/>
        </w:rPr>
        <w:t>18</w:t>
      </w:r>
      <w:r>
        <w:rPr/>
        <w:t>、其他权益工具投资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厦门国际银行股份有限公司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83,906,363.50</w:t>
            </w:r>
            <w:r>
              <w:rPr>
                <w:rFonts w:ascii="Arial"/>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74,222,530.86</w:t>
            </w:r>
            <w:r>
              <w:rPr>
                <w:rFonts w:ascii="Arial"/>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智润科技有限公司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4,500,000.00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4,500,000.00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福水智联技术有限公司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4,500,000.00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深圳易股天下信息技术服务有限公司</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3,000,000.00</w:t>
            </w:r>
          </w:p>
        </w:tc>
        <w:tc>
          <w:tcPr>
            <w:tcW w:w="319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95,906,363.50</w:t>
            </w:r>
            <w:r>
              <w:rPr>
                <w:rFonts w:ascii="Arial"/>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78,722,530.86</w:t>
            </w:r>
            <w:r>
              <w:rPr>
                <w:rFonts w:ascii="Arial"/>
                <w:sz w:val="18"/>
              </w:rPr>
            </w:r>
          </w:p>
        </w:tc>
      </w:tr>
    </w:tbl>
    <w:p>
      <w:pPr>
        <w:pStyle w:val="BodyText"/>
        <w:spacing w:line="240" w:lineRule="auto" w:before="51"/>
        <w:ind w:right="2239"/>
        <w:jc w:val="left"/>
      </w:pPr>
      <w:r>
        <w:rPr/>
        <w:t>分项披露本期非交易性权益工具投资</w:t>
      </w:r>
    </w:p>
    <w:p>
      <w:pPr>
        <w:pStyle w:val="BodyText"/>
        <w:spacing w:line="240" w:lineRule="auto" w:before="116"/>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367" w:hRule="exact"/>
        </w:trPr>
        <w:tc>
          <w:tcPr>
            <w:tcW w:w="1369"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其他综合收益转</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71"/>
              <w:ind w:left="47" w:right="0"/>
              <w:jc w:val="left"/>
              <w:rPr>
                <w:rFonts w:ascii="宋体" w:hAnsi="宋体" w:cs="宋体" w:eastAsia="宋体" w:hint="default"/>
                <w:sz w:val="18"/>
                <w:szCs w:val="18"/>
              </w:rPr>
            </w:pPr>
            <w:r>
              <w:rPr>
                <w:rFonts w:ascii="宋体" w:hAnsi="宋体" w:cs="宋体" w:eastAsia="宋体" w:hint="default"/>
                <w:sz w:val="18"/>
                <w:szCs w:val="18"/>
              </w:rPr>
              <w:t>指定为以公允价</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其他综合收益转</w:t>
            </w:r>
          </w:p>
        </w:tc>
      </w:tr>
      <w:tr>
        <w:trPr>
          <w:trHeight w:val="312" w:hRule="exact"/>
        </w:trPr>
        <w:tc>
          <w:tcPr>
            <w:tcW w:w="136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319"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47" w:right="0"/>
              <w:jc w:val="left"/>
              <w:rPr>
                <w:rFonts w:ascii="宋体" w:hAnsi="宋体" w:cs="宋体" w:eastAsia="宋体" w:hint="default"/>
                <w:sz w:val="18"/>
                <w:szCs w:val="18"/>
              </w:rPr>
            </w:pPr>
            <w:r>
              <w:rPr>
                <w:rFonts w:ascii="宋体" w:hAnsi="宋体" w:cs="宋体" w:eastAsia="宋体" w:hint="default"/>
                <w:sz w:val="18"/>
                <w:szCs w:val="18"/>
              </w:rPr>
              <w:t>确认的股利收入</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317" w:right="0"/>
              <w:jc w:val="left"/>
              <w:rPr>
                <w:rFonts w:ascii="宋体" w:hAnsi="宋体" w:cs="宋体" w:eastAsia="宋体" w:hint="default"/>
                <w:sz w:val="18"/>
                <w:szCs w:val="18"/>
              </w:rPr>
            </w:pPr>
            <w:r>
              <w:rPr>
                <w:rFonts w:ascii="宋体" w:hAnsi="宋体" w:cs="宋体" w:eastAsia="宋体" w:hint="default"/>
                <w:sz w:val="18"/>
                <w:szCs w:val="18"/>
              </w:rPr>
              <w:t>累计利得</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
              <w:ind w:left="317" w:right="0"/>
              <w:jc w:val="left"/>
              <w:rPr>
                <w:rFonts w:ascii="宋体" w:hAnsi="宋体" w:cs="宋体" w:eastAsia="宋体" w:hint="default"/>
                <w:sz w:val="18"/>
                <w:szCs w:val="18"/>
              </w:rPr>
            </w:pPr>
            <w:r>
              <w:rPr>
                <w:rFonts w:ascii="宋体" w:hAnsi="宋体" w:cs="宋体" w:eastAsia="宋体" w:hint="default"/>
                <w:sz w:val="18"/>
                <w:szCs w:val="18"/>
              </w:rPr>
              <w:t>累计损失</w:t>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35" w:lineRule="exact"/>
              <w:ind w:right="0"/>
              <w:jc w:val="center"/>
              <w:rPr>
                <w:rFonts w:ascii="宋体" w:hAnsi="宋体" w:cs="宋体" w:eastAsia="宋体" w:hint="default"/>
                <w:sz w:val="18"/>
                <w:szCs w:val="18"/>
              </w:rPr>
            </w:pPr>
            <w:r>
              <w:rPr>
                <w:rFonts w:ascii="宋体" w:hAnsi="宋体" w:cs="宋体" w:eastAsia="宋体" w:hint="default"/>
                <w:sz w:val="18"/>
                <w:szCs w:val="18"/>
              </w:rPr>
              <w:t>入留存收益的金</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0"/>
              <w:ind w:left="47" w:right="0"/>
              <w:jc w:val="left"/>
              <w:rPr>
                <w:rFonts w:ascii="宋体" w:hAnsi="宋体" w:cs="宋体" w:eastAsia="宋体" w:hint="default"/>
                <w:sz w:val="18"/>
                <w:szCs w:val="18"/>
              </w:rPr>
            </w:pPr>
            <w:r>
              <w:rPr>
                <w:rFonts w:ascii="宋体" w:hAnsi="宋体" w:cs="宋体" w:eastAsia="宋体" w:hint="default"/>
                <w:sz w:val="18"/>
                <w:szCs w:val="18"/>
              </w:rPr>
              <w:t>值计量且其变动</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35" w:lineRule="exact"/>
              <w:ind w:right="1"/>
              <w:jc w:val="center"/>
              <w:rPr>
                <w:rFonts w:ascii="宋体" w:hAnsi="宋体" w:cs="宋体" w:eastAsia="宋体" w:hint="default"/>
                <w:sz w:val="18"/>
                <w:szCs w:val="18"/>
              </w:rPr>
            </w:pPr>
            <w:r>
              <w:rPr>
                <w:rFonts w:ascii="宋体" w:hAnsi="宋体" w:cs="宋体" w:eastAsia="宋体" w:hint="default"/>
                <w:sz w:val="18"/>
                <w:szCs w:val="18"/>
              </w:rPr>
              <w:t>入留存收益的原</w:t>
            </w:r>
          </w:p>
        </w:tc>
      </w:tr>
      <w:tr>
        <w:trPr>
          <w:trHeight w:val="347" w:hRule="exact"/>
        </w:trPr>
        <w:tc>
          <w:tcPr>
            <w:tcW w:w="1369"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
              <w:ind w:right="0"/>
              <w:jc w:val="center"/>
              <w:rPr>
                <w:rFonts w:ascii="宋体" w:hAnsi="宋体" w:cs="宋体" w:eastAsia="宋体" w:hint="default"/>
                <w:sz w:val="18"/>
                <w:szCs w:val="18"/>
              </w:rPr>
            </w:pPr>
            <w:r>
              <w:rPr>
                <w:rFonts w:ascii="宋体" w:hAnsi="宋体" w:cs="宋体" w:eastAsia="宋体" w:hint="default"/>
                <w:sz w:val="18"/>
                <w:szCs w:val="18"/>
              </w:rPr>
              <w:t>额</w:t>
            </w: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20"/>
              <w:ind w:left="47" w:right="0"/>
              <w:jc w:val="left"/>
              <w:rPr>
                <w:rFonts w:ascii="宋体" w:hAnsi="宋体" w:cs="宋体" w:eastAsia="宋体" w:hint="default"/>
                <w:sz w:val="18"/>
                <w:szCs w:val="18"/>
              </w:rPr>
            </w:pPr>
            <w:r>
              <w:rPr>
                <w:rFonts w:ascii="宋体" w:hAnsi="宋体" w:cs="宋体" w:eastAsia="宋体" w:hint="default"/>
                <w:sz w:val="18"/>
                <w:szCs w:val="18"/>
              </w:rPr>
              <w:t>计入其他综合收</w:t>
            </w: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
              <w:ind w:right="1"/>
              <w:jc w:val="center"/>
              <w:rPr>
                <w:rFonts w:ascii="宋体" w:hAnsi="宋体" w:cs="宋体" w:eastAsia="宋体" w:hint="default"/>
                <w:sz w:val="18"/>
                <w:szCs w:val="18"/>
              </w:rPr>
            </w:pPr>
            <w:r>
              <w:rPr>
                <w:rFonts w:ascii="宋体" w:hAnsi="宋体" w:cs="宋体" w:eastAsia="宋体" w:hint="default"/>
                <w:sz w:val="18"/>
                <w:szCs w:val="18"/>
              </w:rPr>
              <w:t>因</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362"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益的原因</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357"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本集团出于战略</w:t>
            </w:r>
          </w:p>
        </w:tc>
        <w:tc>
          <w:tcPr>
            <w:tcW w:w="1367" w:type="dxa"/>
            <w:vMerge w:val="restart"/>
            <w:tcBorders>
              <w:top w:val="single" w:sz="4" w:space="0" w:color="000000"/>
              <w:left w:val="single" w:sz="4" w:space="0" w:color="000000"/>
              <w:right w:val="single" w:sz="4" w:space="0" w:color="000000"/>
            </w:tcBorders>
          </w:tcPr>
          <w:p>
            <w:pPr/>
          </w:p>
        </w:tc>
      </w:tr>
      <w:tr>
        <w:trPr>
          <w:trHeight w:val="311"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目的而计划长期</w:t>
            </w:r>
          </w:p>
        </w:tc>
        <w:tc>
          <w:tcPr>
            <w:tcW w:w="1367" w:type="dxa"/>
            <w:vMerge/>
            <w:tcBorders>
              <w:left w:val="single" w:sz="4" w:space="0" w:color="000000"/>
              <w:right w:val="single" w:sz="4" w:space="0" w:color="000000"/>
            </w:tcBorders>
          </w:tcPr>
          <w:p>
            <w:pP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持有的投资，因</w:t>
            </w:r>
          </w:p>
        </w:tc>
        <w:tc>
          <w:tcPr>
            <w:tcW w:w="1367" w:type="dxa"/>
            <w:vMerge/>
            <w:tcBorders>
              <w:left w:val="single" w:sz="4" w:space="0" w:color="000000"/>
              <w:right w:val="single" w:sz="4" w:space="0" w:color="000000"/>
            </w:tcBorders>
          </w:tcPr>
          <w:p>
            <w:pPr/>
          </w:p>
        </w:tc>
      </w:tr>
      <w:tr>
        <w:trPr>
          <w:trHeight w:val="625"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2" w:right="74"/>
              <w:jc w:val="left"/>
              <w:rPr>
                <w:rFonts w:ascii="宋体" w:hAnsi="宋体" w:cs="宋体" w:eastAsia="宋体" w:hint="default"/>
                <w:sz w:val="18"/>
                <w:szCs w:val="18"/>
              </w:rPr>
            </w:pPr>
            <w:r>
              <w:rPr>
                <w:rFonts w:ascii="宋体" w:hAnsi="宋体" w:cs="宋体" w:eastAsia="宋体" w:hint="default"/>
                <w:sz w:val="18"/>
                <w:szCs w:val="18"/>
              </w:rPr>
              <w:t>厦门国际银行股 份有限公司</w:t>
            </w: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83" w:right="0"/>
              <w:jc w:val="left"/>
              <w:rPr>
                <w:rFonts w:ascii="Arial" w:hAnsi="Arial" w:cs="Arial" w:eastAsia="Arial" w:hint="default"/>
                <w:sz w:val="18"/>
                <w:szCs w:val="18"/>
              </w:rPr>
            </w:pPr>
            <w:r>
              <w:rPr>
                <w:rFonts w:ascii="Arial"/>
                <w:sz w:val="18"/>
              </w:rPr>
              <w:t>8,409,659.09</w:t>
            </w: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left"/>
              <w:rPr>
                <w:rFonts w:ascii="宋体" w:hAnsi="宋体" w:cs="宋体" w:eastAsia="宋体" w:hint="default"/>
                <w:sz w:val="18"/>
                <w:szCs w:val="18"/>
              </w:rPr>
            </w:pPr>
            <w:r>
              <w:rPr>
                <w:rFonts w:ascii="宋体" w:hAnsi="宋体" w:cs="宋体" w:eastAsia="宋体" w:hint="default"/>
                <w:sz w:val="18"/>
                <w:szCs w:val="18"/>
              </w:rPr>
              <w:t>此本集团将其指 定为以公允价值</w:t>
            </w:r>
          </w:p>
        </w:tc>
        <w:tc>
          <w:tcPr>
            <w:tcW w:w="1367" w:type="dxa"/>
            <w:vMerge/>
            <w:tcBorders>
              <w:left w:val="single" w:sz="4" w:space="0" w:color="000000"/>
              <w:right w:val="single" w:sz="4" w:space="0" w:color="000000"/>
            </w:tcBorders>
          </w:tcPr>
          <w:p>
            <w:pPr/>
          </w:p>
        </w:tc>
      </w:tr>
      <w:tr>
        <w:trPr>
          <w:trHeight w:val="311"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计量且其变动计</w:t>
            </w:r>
          </w:p>
        </w:tc>
        <w:tc>
          <w:tcPr>
            <w:tcW w:w="1367" w:type="dxa"/>
            <w:vMerge/>
            <w:tcBorders>
              <w:left w:val="single" w:sz="4" w:space="0" w:color="000000"/>
              <w:right w:val="single" w:sz="4" w:space="0" w:color="000000"/>
            </w:tcBorders>
          </w:tcPr>
          <w:p>
            <w:pPr/>
          </w:p>
        </w:tc>
      </w:tr>
      <w:tr>
        <w:trPr>
          <w:trHeight w:val="313"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入其他综合收益</w:t>
            </w:r>
          </w:p>
        </w:tc>
        <w:tc>
          <w:tcPr>
            <w:tcW w:w="1367" w:type="dxa"/>
            <w:vMerge/>
            <w:tcBorders>
              <w:left w:val="single" w:sz="4" w:space="0" w:color="000000"/>
              <w:right w:val="single" w:sz="4" w:space="0" w:color="000000"/>
            </w:tcBorders>
          </w:tcPr>
          <w:p>
            <w:pPr/>
          </w:p>
        </w:tc>
      </w:tr>
      <w:tr>
        <w:trPr>
          <w:trHeight w:val="357"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的金融资产。</w:t>
            </w:r>
          </w:p>
        </w:tc>
        <w:tc>
          <w:tcPr>
            <w:tcW w:w="1367" w:type="dxa"/>
            <w:vMerge/>
            <w:tcBorders>
              <w:left w:val="single" w:sz="4" w:space="0" w:color="000000"/>
              <w:bottom w:val="single" w:sz="4" w:space="0" w:color="000000"/>
              <w:right w:val="single" w:sz="4" w:space="0" w:color="000000"/>
            </w:tcBorders>
          </w:tcPr>
          <w:p>
            <w:pPr/>
          </w:p>
        </w:tc>
      </w:tr>
      <w:tr>
        <w:trPr>
          <w:trHeight w:val="357"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本集团出于战略</w:t>
            </w:r>
          </w:p>
        </w:tc>
        <w:tc>
          <w:tcPr>
            <w:tcW w:w="1367" w:type="dxa"/>
            <w:vMerge w:val="restart"/>
            <w:tcBorders>
              <w:top w:val="single" w:sz="4" w:space="0" w:color="000000"/>
              <w:left w:val="single" w:sz="4" w:space="0" w:color="000000"/>
              <w:right w:val="single" w:sz="4" w:space="0" w:color="000000"/>
            </w:tcBorders>
          </w:tcPr>
          <w:p>
            <w:pPr/>
          </w:p>
        </w:tc>
      </w:tr>
      <w:tr>
        <w:trPr>
          <w:trHeight w:val="311"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目的而计划长期</w:t>
            </w:r>
          </w:p>
        </w:tc>
        <w:tc>
          <w:tcPr>
            <w:tcW w:w="1367" w:type="dxa"/>
            <w:vMerge/>
            <w:tcBorders>
              <w:left w:val="single" w:sz="4" w:space="0" w:color="000000"/>
              <w:right w:val="single" w:sz="4" w:space="0" w:color="000000"/>
            </w:tcBorders>
          </w:tcPr>
          <w:p>
            <w:pP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持有的投资，因</w:t>
            </w:r>
          </w:p>
        </w:tc>
        <w:tc>
          <w:tcPr>
            <w:tcW w:w="1367" w:type="dxa"/>
            <w:vMerge/>
            <w:tcBorders>
              <w:left w:val="single" w:sz="4" w:space="0" w:color="000000"/>
              <w:right w:val="single" w:sz="4" w:space="0" w:color="000000"/>
            </w:tcBorders>
          </w:tcPr>
          <w:p>
            <w:pPr/>
          </w:p>
        </w:tc>
      </w:tr>
      <w:tr>
        <w:trPr>
          <w:trHeight w:val="313"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智润科技有限公</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此本集团将其指</w:t>
            </w:r>
          </w:p>
        </w:tc>
        <w:tc>
          <w:tcPr>
            <w:tcW w:w="1367" w:type="dxa"/>
            <w:vMerge/>
            <w:tcBorders>
              <w:left w:val="single" w:sz="4" w:space="0" w:color="000000"/>
              <w:right w:val="single" w:sz="4" w:space="0" w:color="000000"/>
            </w:tcBorders>
          </w:tcPr>
          <w:p>
            <w:pP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司</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定为以公允价值</w:t>
            </w:r>
          </w:p>
        </w:tc>
        <w:tc>
          <w:tcPr>
            <w:tcW w:w="1367" w:type="dxa"/>
            <w:vMerge/>
            <w:tcBorders>
              <w:left w:val="single" w:sz="4" w:space="0" w:color="000000"/>
              <w:right w:val="single" w:sz="4" w:space="0" w:color="000000"/>
            </w:tcBorders>
          </w:tcPr>
          <w:p>
            <w:pPr/>
          </w:p>
        </w:tc>
      </w:tr>
      <w:tr>
        <w:trPr>
          <w:trHeight w:val="311"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计量且其变动计</w:t>
            </w:r>
          </w:p>
        </w:tc>
        <w:tc>
          <w:tcPr>
            <w:tcW w:w="1367" w:type="dxa"/>
            <w:vMerge/>
            <w:tcBorders>
              <w:left w:val="single" w:sz="4" w:space="0" w:color="000000"/>
              <w:right w:val="single" w:sz="4" w:space="0" w:color="000000"/>
            </w:tcBorders>
          </w:tcPr>
          <w:p>
            <w:pPr/>
          </w:p>
        </w:tc>
      </w:tr>
      <w:tr>
        <w:trPr>
          <w:trHeight w:val="313"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入其他综合收益</w:t>
            </w:r>
          </w:p>
        </w:tc>
        <w:tc>
          <w:tcPr>
            <w:tcW w:w="1367" w:type="dxa"/>
            <w:vMerge/>
            <w:tcBorders>
              <w:left w:val="single" w:sz="4" w:space="0" w:color="000000"/>
              <w:right w:val="single" w:sz="4" w:space="0" w:color="000000"/>
            </w:tcBorders>
          </w:tcPr>
          <w:p>
            <w:pPr/>
          </w:p>
        </w:tc>
      </w:tr>
      <w:tr>
        <w:trPr>
          <w:trHeight w:val="357"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的金融资产。</w:t>
            </w:r>
          </w:p>
        </w:tc>
        <w:tc>
          <w:tcPr>
            <w:tcW w:w="1367" w:type="dxa"/>
            <w:vMerge/>
            <w:tcBorders>
              <w:left w:val="single" w:sz="4" w:space="0" w:color="000000"/>
              <w:bottom w:val="single" w:sz="4" w:space="0" w:color="000000"/>
              <w:right w:val="single" w:sz="4" w:space="0" w:color="000000"/>
            </w:tcBorders>
          </w:tcPr>
          <w:p>
            <w:pPr/>
          </w:p>
        </w:tc>
      </w:tr>
      <w:tr>
        <w:trPr>
          <w:trHeight w:val="357"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本集团出于战略</w:t>
            </w:r>
          </w:p>
        </w:tc>
        <w:tc>
          <w:tcPr>
            <w:tcW w:w="1367" w:type="dxa"/>
            <w:vMerge w:val="restart"/>
            <w:tcBorders>
              <w:top w:val="single" w:sz="4" w:space="0" w:color="000000"/>
              <w:left w:val="single" w:sz="4" w:space="0" w:color="000000"/>
              <w:right w:val="single" w:sz="4" w:space="0" w:color="000000"/>
            </w:tcBorders>
          </w:tcPr>
          <w:p>
            <w:pPr/>
          </w:p>
        </w:tc>
      </w:tr>
      <w:tr>
        <w:trPr>
          <w:trHeight w:val="311"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目的而计划长期</w:t>
            </w:r>
          </w:p>
        </w:tc>
        <w:tc>
          <w:tcPr>
            <w:tcW w:w="1367" w:type="dxa"/>
            <w:vMerge/>
            <w:tcBorders>
              <w:left w:val="single" w:sz="4" w:space="0" w:color="000000"/>
              <w:right w:val="single" w:sz="4" w:space="0" w:color="000000"/>
            </w:tcBorders>
          </w:tcPr>
          <w:p>
            <w:pP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持有的投资，因</w:t>
            </w:r>
          </w:p>
        </w:tc>
        <w:tc>
          <w:tcPr>
            <w:tcW w:w="1367" w:type="dxa"/>
            <w:vMerge/>
            <w:tcBorders>
              <w:left w:val="single" w:sz="4" w:space="0" w:color="000000"/>
              <w:right w:val="single" w:sz="4" w:space="0" w:color="000000"/>
            </w:tcBorders>
          </w:tcPr>
          <w:p>
            <w:pPr/>
          </w:p>
        </w:tc>
      </w:tr>
      <w:tr>
        <w:trPr>
          <w:trHeight w:val="313"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福水智联技术有</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此本集团将其指</w:t>
            </w:r>
          </w:p>
        </w:tc>
        <w:tc>
          <w:tcPr>
            <w:tcW w:w="1367" w:type="dxa"/>
            <w:vMerge/>
            <w:tcBorders>
              <w:left w:val="single" w:sz="4" w:space="0" w:color="000000"/>
              <w:right w:val="single" w:sz="4" w:space="0" w:color="000000"/>
            </w:tcBorders>
          </w:tcPr>
          <w:p>
            <w:pPr/>
          </w:p>
        </w:tc>
      </w:tr>
      <w:tr>
        <w:trPr>
          <w:trHeight w:val="312"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定为以公允价值</w:t>
            </w:r>
          </w:p>
        </w:tc>
        <w:tc>
          <w:tcPr>
            <w:tcW w:w="1367" w:type="dxa"/>
            <w:vMerge/>
            <w:tcBorders>
              <w:left w:val="single" w:sz="4" w:space="0" w:color="000000"/>
              <w:right w:val="single" w:sz="4" w:space="0" w:color="000000"/>
            </w:tcBorders>
          </w:tcPr>
          <w:p>
            <w:pPr/>
          </w:p>
        </w:tc>
      </w:tr>
      <w:tr>
        <w:trPr>
          <w:trHeight w:val="311"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计量且其变动计</w:t>
            </w:r>
          </w:p>
        </w:tc>
        <w:tc>
          <w:tcPr>
            <w:tcW w:w="1367" w:type="dxa"/>
            <w:vMerge/>
            <w:tcBorders>
              <w:left w:val="single" w:sz="4" w:space="0" w:color="000000"/>
              <w:right w:val="single" w:sz="4" w:space="0" w:color="000000"/>
            </w:tcBorders>
          </w:tcPr>
          <w:p>
            <w:pPr/>
          </w:p>
        </w:tc>
      </w:tr>
      <w:tr>
        <w:trPr>
          <w:trHeight w:val="313"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入其他综合收益</w:t>
            </w:r>
          </w:p>
        </w:tc>
        <w:tc>
          <w:tcPr>
            <w:tcW w:w="1367" w:type="dxa"/>
            <w:vMerge/>
            <w:tcBorders>
              <w:left w:val="single" w:sz="4" w:space="0" w:color="000000"/>
              <w:right w:val="single" w:sz="4" w:space="0" w:color="000000"/>
            </w:tcBorders>
          </w:tcPr>
          <w:p>
            <w:pPr/>
          </w:p>
        </w:tc>
      </w:tr>
      <w:tr>
        <w:trPr>
          <w:trHeight w:val="357"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的金融资产。</w:t>
            </w:r>
          </w:p>
        </w:tc>
        <w:tc>
          <w:tcPr>
            <w:tcW w:w="1367" w:type="dxa"/>
            <w:vMerge/>
            <w:tcBorders>
              <w:left w:val="single" w:sz="4" w:space="0" w:color="000000"/>
              <w:bottom w:val="single" w:sz="4" w:space="0" w:color="000000"/>
              <w:right w:val="single" w:sz="4" w:space="0" w:color="000000"/>
            </w:tcBorders>
          </w:tcPr>
          <w:p>
            <w:pPr/>
          </w:p>
        </w:tc>
      </w:tr>
      <w:tr>
        <w:trPr>
          <w:trHeight w:val="357" w:hRule="exact"/>
        </w:trPr>
        <w:tc>
          <w:tcPr>
            <w:tcW w:w="1369" w:type="dxa"/>
            <w:tcBorders>
              <w:top w:val="single" w:sz="4" w:space="0" w:color="000000"/>
              <w:left w:val="single" w:sz="4" w:space="0" w:color="000000"/>
              <w:bottom w:val="nil" w:sz="6" w:space="0" w:color="auto"/>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7" w:type="dxa"/>
            <w:vMerge w:val="restart"/>
            <w:tcBorders>
              <w:top w:val="single" w:sz="4" w:space="0" w:color="000000"/>
              <w:left w:val="single" w:sz="4" w:space="0" w:color="000000"/>
              <w:right w:val="single" w:sz="4" w:space="0" w:color="000000"/>
            </w:tcBorders>
          </w:tcPr>
          <w:p>
            <w:pPr/>
          </w:p>
        </w:tc>
        <w:tc>
          <w:tcPr>
            <w:tcW w:w="1368" w:type="dxa"/>
            <w:vMerge w:val="restart"/>
            <w:tcBorders>
              <w:top w:val="single" w:sz="4" w:space="0" w:color="000000"/>
              <w:left w:val="single" w:sz="4" w:space="0" w:color="000000"/>
              <w:right w:val="single" w:sz="4" w:space="0" w:color="000000"/>
            </w:tcBorders>
          </w:tcPr>
          <w:p>
            <w:pPr/>
          </w:p>
        </w:tc>
        <w:tc>
          <w:tcPr>
            <w:tcW w:w="136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本集团出于战略</w:t>
            </w:r>
          </w:p>
        </w:tc>
        <w:tc>
          <w:tcPr>
            <w:tcW w:w="1367" w:type="dxa"/>
            <w:vMerge w:val="restart"/>
            <w:tcBorders>
              <w:top w:val="single" w:sz="4" w:space="0" w:color="000000"/>
              <w:left w:val="single" w:sz="4" w:space="0" w:color="000000"/>
              <w:right w:val="single" w:sz="4" w:space="0" w:color="000000"/>
            </w:tcBorders>
          </w:tcPr>
          <w:p>
            <w:pPr/>
          </w:p>
        </w:tc>
      </w:tr>
      <w:tr>
        <w:trPr>
          <w:trHeight w:val="311"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目的而计划长期</w:t>
            </w:r>
          </w:p>
        </w:tc>
        <w:tc>
          <w:tcPr>
            <w:tcW w:w="1367" w:type="dxa"/>
            <w:vMerge/>
            <w:tcBorders>
              <w:left w:val="single" w:sz="4" w:space="0" w:color="000000"/>
              <w:right w:val="single" w:sz="4" w:space="0" w:color="000000"/>
            </w:tcBorders>
          </w:tcPr>
          <w:p>
            <w:pPr/>
          </w:p>
        </w:tc>
      </w:tr>
      <w:tr>
        <w:trPr>
          <w:trHeight w:val="1248" w:hRule="exact"/>
        </w:trPr>
        <w:tc>
          <w:tcPr>
            <w:tcW w:w="1369"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2"/>
                <w:szCs w:val="12"/>
              </w:rPr>
            </w:pPr>
          </w:p>
          <w:p>
            <w:pPr>
              <w:pStyle w:val="TableParagraph"/>
              <w:spacing w:line="316" w:lineRule="auto"/>
              <w:ind w:left="22" w:right="74"/>
              <w:jc w:val="both"/>
              <w:rPr>
                <w:rFonts w:ascii="宋体" w:hAnsi="宋体" w:cs="宋体" w:eastAsia="宋体" w:hint="default"/>
                <w:sz w:val="18"/>
                <w:szCs w:val="18"/>
              </w:rPr>
            </w:pPr>
            <w:r>
              <w:rPr>
                <w:rFonts w:ascii="宋体" w:hAnsi="宋体" w:cs="宋体" w:eastAsia="宋体" w:hint="default"/>
                <w:sz w:val="18"/>
                <w:szCs w:val="18"/>
              </w:rPr>
              <w:t>深圳易股天下信 息技术服务有限 公司</w:t>
            </w: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72"/>
              <w:jc w:val="both"/>
              <w:rPr>
                <w:rFonts w:ascii="宋体" w:hAnsi="宋体" w:cs="宋体" w:eastAsia="宋体" w:hint="default"/>
                <w:sz w:val="18"/>
                <w:szCs w:val="18"/>
              </w:rPr>
            </w:pPr>
            <w:r>
              <w:rPr>
                <w:rFonts w:ascii="宋体" w:hAnsi="宋体" w:cs="宋体" w:eastAsia="宋体" w:hint="default"/>
                <w:sz w:val="18"/>
                <w:szCs w:val="18"/>
              </w:rPr>
              <w:t>持有的投资，因 此本集团将其指 定为以公允价值 计量且其变动计</w:t>
            </w:r>
          </w:p>
        </w:tc>
        <w:tc>
          <w:tcPr>
            <w:tcW w:w="1367" w:type="dxa"/>
            <w:vMerge/>
            <w:tcBorders>
              <w:left w:val="single" w:sz="4" w:space="0" w:color="000000"/>
              <w:right w:val="single" w:sz="4" w:space="0" w:color="000000"/>
            </w:tcBorders>
          </w:tcPr>
          <w:p>
            <w:pPr/>
          </w:p>
        </w:tc>
      </w:tr>
      <w:tr>
        <w:trPr>
          <w:trHeight w:val="313" w:hRule="exact"/>
        </w:trPr>
        <w:tc>
          <w:tcPr>
            <w:tcW w:w="1369" w:type="dxa"/>
            <w:tcBorders>
              <w:top w:val="nil" w:sz="6" w:space="0" w:color="auto"/>
              <w:left w:val="single" w:sz="4" w:space="0" w:color="000000"/>
              <w:bottom w:val="nil" w:sz="6" w:space="0" w:color="auto"/>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7" w:type="dxa"/>
            <w:vMerge/>
            <w:tcBorders>
              <w:left w:val="single" w:sz="4" w:space="0" w:color="000000"/>
              <w:right w:val="single" w:sz="4" w:space="0" w:color="000000"/>
            </w:tcBorders>
          </w:tcPr>
          <w:p>
            <w:pPr/>
          </w:p>
        </w:tc>
        <w:tc>
          <w:tcPr>
            <w:tcW w:w="1368" w:type="dxa"/>
            <w:vMerge/>
            <w:tcBorders>
              <w:left w:val="single" w:sz="4" w:space="0" w:color="000000"/>
              <w:right w:val="single" w:sz="4" w:space="0" w:color="000000"/>
            </w:tcBorders>
          </w:tcPr>
          <w:p>
            <w:pPr/>
          </w:p>
        </w:tc>
        <w:tc>
          <w:tcPr>
            <w:tcW w:w="136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2" w:right="0"/>
              <w:jc w:val="left"/>
              <w:rPr>
                <w:rFonts w:ascii="宋体" w:hAnsi="宋体" w:cs="宋体" w:eastAsia="宋体" w:hint="default"/>
                <w:sz w:val="18"/>
                <w:szCs w:val="18"/>
              </w:rPr>
            </w:pPr>
            <w:r>
              <w:rPr>
                <w:rFonts w:ascii="宋体" w:hAnsi="宋体" w:cs="宋体" w:eastAsia="宋体" w:hint="default"/>
                <w:sz w:val="18"/>
                <w:szCs w:val="18"/>
              </w:rPr>
              <w:t>入其他综合收益</w:t>
            </w:r>
          </w:p>
        </w:tc>
        <w:tc>
          <w:tcPr>
            <w:tcW w:w="1367" w:type="dxa"/>
            <w:vMerge/>
            <w:tcBorders>
              <w:left w:val="single" w:sz="4" w:space="0" w:color="000000"/>
              <w:right w:val="single" w:sz="4" w:space="0" w:color="000000"/>
            </w:tcBorders>
          </w:tcPr>
          <w:p>
            <w:pPr/>
          </w:p>
        </w:tc>
      </w:tr>
      <w:tr>
        <w:trPr>
          <w:trHeight w:val="357" w:hRule="exact"/>
        </w:trPr>
        <w:tc>
          <w:tcPr>
            <w:tcW w:w="1369" w:type="dxa"/>
            <w:tcBorders>
              <w:top w:val="nil" w:sz="6" w:space="0" w:color="auto"/>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7" w:type="dxa"/>
            <w:vMerge/>
            <w:tcBorders>
              <w:left w:val="single" w:sz="4" w:space="0" w:color="000000"/>
              <w:bottom w:val="single" w:sz="4" w:space="0" w:color="000000"/>
              <w:right w:val="single" w:sz="4" w:space="0" w:color="000000"/>
            </w:tcBorders>
          </w:tcPr>
          <w:p>
            <w:pPr/>
          </w:p>
        </w:tc>
        <w:tc>
          <w:tcPr>
            <w:tcW w:w="1368" w:type="dxa"/>
            <w:vMerge/>
            <w:tcBorders>
              <w:left w:val="single" w:sz="4" w:space="0" w:color="000000"/>
              <w:bottom w:val="single" w:sz="4" w:space="0" w:color="000000"/>
              <w:right w:val="single" w:sz="4" w:space="0" w:color="000000"/>
            </w:tcBorders>
          </w:tcPr>
          <w:p>
            <w:pPr/>
          </w:p>
        </w:tc>
        <w:tc>
          <w:tcPr>
            <w:tcW w:w="136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的金融资产。</w:t>
            </w:r>
          </w:p>
        </w:tc>
        <w:tc>
          <w:tcPr>
            <w:tcW w:w="1367" w:type="dxa"/>
            <w:vMerge/>
            <w:tcBorders>
              <w:left w:val="single" w:sz="4" w:space="0" w:color="000000"/>
              <w:bottom w:val="single" w:sz="4" w:space="0" w:color="000000"/>
              <w:right w:val="single" w:sz="4" w:space="0" w:color="000000"/>
            </w:tcBorders>
          </w:tcPr>
          <w:p>
            <w:pPr/>
          </w:p>
        </w:tc>
      </w:tr>
    </w:tbl>
    <w:p>
      <w:pPr>
        <w:pStyle w:val="BodyText"/>
        <w:spacing w:line="439" w:lineRule="auto" w:before="51"/>
        <w:ind w:right="9850"/>
        <w:jc w:val="left"/>
      </w:pPr>
      <w:r>
        <w:rPr/>
        <w:t>其他说明： 无。</w:t>
      </w:r>
    </w:p>
    <w:p>
      <w:pPr>
        <w:spacing w:line="240" w:lineRule="auto" w:before="5"/>
        <w:rPr>
          <w:rFonts w:ascii="宋体" w:hAnsi="宋体" w:cs="宋体" w:eastAsia="宋体" w:hint="default"/>
          <w:sz w:val="15"/>
          <w:szCs w:val="15"/>
        </w:rPr>
      </w:pPr>
    </w:p>
    <w:p>
      <w:pPr>
        <w:pStyle w:val="Heading4"/>
        <w:spacing w:line="240" w:lineRule="auto"/>
        <w:ind w:right="2239"/>
        <w:jc w:val="left"/>
        <w:rPr>
          <w:b w:val="0"/>
          <w:bCs w:val="0"/>
        </w:rPr>
      </w:pPr>
      <w:r>
        <w:rPr>
          <w:rFonts w:ascii="Arial" w:hAnsi="Arial" w:cs="Arial" w:eastAsia="Arial" w:hint="default"/>
        </w:rPr>
        <w:t>19</w:t>
      </w:r>
      <w:r>
        <w:rPr/>
        <w:t>、其他非流动金融资产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51"/>
        <w:ind w:right="9850"/>
        <w:jc w:val="left"/>
      </w:pPr>
      <w:r>
        <w:rPr/>
        <w:t>其他说明： 无。</w:t>
      </w:r>
    </w:p>
    <w:p>
      <w:pPr>
        <w:spacing w:after="0" w:line="360" w:lineRule="auto"/>
        <w:jc w:val="left"/>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2239"/>
        <w:jc w:val="left"/>
        <w:rPr>
          <w:b w:val="0"/>
          <w:bCs w:val="0"/>
        </w:rPr>
      </w:pPr>
      <w:r>
        <w:rPr>
          <w:rFonts w:ascii="Arial" w:hAnsi="Arial" w:cs="Arial" w:eastAsia="Arial" w:hint="default"/>
        </w:rPr>
        <w:t>20</w:t>
      </w:r>
      <w:r>
        <w:rPr/>
        <w:t>、投资性房地产</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2239"/>
        <w:jc w:val="left"/>
        <w:rPr>
          <w:b w:val="0"/>
          <w:bCs w:val="0"/>
        </w:rPr>
      </w:pPr>
      <w:r>
        <w:rPr/>
        <w:t>（</w:t>
      </w:r>
      <w:r>
        <w:rPr>
          <w:rFonts w:ascii="Arial" w:hAnsi="Arial" w:cs="Arial" w:eastAsia="Arial" w:hint="default"/>
        </w:rPr>
        <w:t>1</w:t>
      </w:r>
      <w:r>
        <w:rPr/>
        <w:t>）采用成本计量模式的投资性房地产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pStyle w:val="BodyText"/>
        <w:spacing w:line="240" w:lineRule="auto" w:before="103"/>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14"/>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4" w:right="0"/>
              <w:jc w:val="left"/>
              <w:rPr>
                <w:rFonts w:ascii="宋体" w:hAnsi="宋体" w:cs="宋体" w:eastAsia="宋体" w:hint="default"/>
                <w:sz w:val="18"/>
                <w:szCs w:val="18"/>
              </w:rPr>
            </w:pPr>
            <w:r>
              <w:rPr>
                <w:rFonts w:ascii="宋体" w:hAnsi="宋体" w:cs="宋体" w:eastAsia="宋体" w:hint="default"/>
                <w:sz w:val="18"/>
                <w:szCs w:val="18"/>
              </w:rPr>
              <w:t>房屋、建筑物</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916"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79,482,253.42</w:t>
            </w:r>
            <w:r>
              <w:rPr>
                <w:rFonts w:ascii="Arial"/>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79,482,253.42</w:t>
            </w:r>
            <w:r>
              <w:rPr>
                <w:rFonts w:ascii="Arial"/>
                <w:sz w:val="18"/>
              </w:rPr>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5,056,356.74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5,056,356.74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）外购</w:t>
            </w:r>
          </w:p>
        </w:tc>
        <w:tc>
          <w:tcPr>
            <w:tcW w:w="1916"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07" w:firstLine="36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w:t>
            </w:r>
            <w:r>
              <w:rPr>
                <w:rFonts w:ascii="宋体" w:hAnsi="宋体" w:cs="宋体" w:eastAsia="宋体" w:hint="default"/>
                <w:sz w:val="18"/>
                <w:szCs w:val="18"/>
              </w:rPr>
              <w:t>）存货</w:t>
            </w:r>
            <w:r>
              <w:rPr>
                <w:rFonts w:ascii="Arial" w:hAnsi="Arial" w:cs="Arial" w:eastAsia="Arial" w:hint="default"/>
                <w:sz w:val="18"/>
                <w:szCs w:val="18"/>
              </w:rPr>
              <w:t>\</w:t>
            </w:r>
            <w:r>
              <w:rPr>
                <w:rFonts w:ascii="宋体" w:hAnsi="宋体" w:cs="宋体" w:eastAsia="宋体" w:hint="default"/>
                <w:sz w:val="18"/>
                <w:szCs w:val="18"/>
              </w:rPr>
              <w:t>固定资 产</w:t>
            </w:r>
            <w:r>
              <w:rPr>
                <w:rFonts w:ascii="Arial" w:hAnsi="Arial" w:cs="Arial" w:eastAsia="Arial" w:hint="default"/>
                <w:sz w:val="18"/>
                <w:szCs w:val="18"/>
              </w:rPr>
              <w:t>\</w:t>
            </w:r>
            <w:r>
              <w:rPr>
                <w:rFonts w:ascii="宋体" w:hAnsi="宋体" w:cs="宋体" w:eastAsia="宋体" w:hint="default"/>
                <w:sz w:val="18"/>
                <w:szCs w:val="18"/>
              </w:rPr>
              <w:t>在建工程转入</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5,056,356.74</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5,056,356.74</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61" w:right="0"/>
              <w:jc w:val="left"/>
              <w:rPr>
                <w:rFonts w:ascii="宋体" w:hAnsi="宋体" w:cs="宋体" w:eastAsia="宋体" w:hint="default"/>
                <w:sz w:val="18"/>
                <w:szCs w:val="18"/>
              </w:rPr>
            </w:pPr>
            <w:r>
              <w:rPr>
                <w:rFonts w:ascii="宋体" w:hAnsi="宋体" w:cs="宋体" w:eastAsia="宋体" w:hint="default"/>
                <w:spacing w:val="-3"/>
                <w:sz w:val="18"/>
                <w:szCs w:val="18"/>
              </w:rPr>
              <w:t>（</w:t>
            </w:r>
            <w:r>
              <w:rPr>
                <w:rFonts w:ascii="Arial" w:hAnsi="Arial" w:cs="Arial" w:eastAsia="Arial" w:hint="default"/>
                <w:spacing w:val="-3"/>
                <w:sz w:val="18"/>
                <w:szCs w:val="18"/>
              </w:rPr>
              <w:t>3</w:t>
            </w:r>
            <w:r>
              <w:rPr>
                <w:rFonts w:ascii="宋体" w:hAnsi="宋体" w:cs="宋体" w:eastAsia="宋体" w:hint="default"/>
                <w:spacing w:val="-3"/>
                <w:sz w:val="18"/>
                <w:szCs w:val="18"/>
              </w:rPr>
              <w:t>）企业合并增加</w:t>
            </w:r>
          </w:p>
        </w:tc>
        <w:tc>
          <w:tcPr>
            <w:tcW w:w="1916"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84,538,610.16</w:t>
            </w:r>
            <w:r>
              <w:rPr>
                <w:rFonts w:ascii="Arial"/>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84,538,610.16</w:t>
            </w:r>
            <w:r>
              <w:rPr>
                <w:rFonts w:ascii="Arial"/>
                <w:sz w:val="18"/>
              </w:rPr>
            </w:r>
          </w:p>
        </w:tc>
      </w:tr>
      <w:tr>
        <w:trPr>
          <w:trHeight w:val="714"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二、累计折旧和累计摊 销</w:t>
            </w:r>
          </w:p>
        </w:tc>
        <w:tc>
          <w:tcPr>
            <w:tcW w:w="1916"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4,666,008.47</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4,666,008.47</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4,057,614.22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4,057,614.22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）计提或摊销</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4,057,614.22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4,057,614.22</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本期减少金额</w:t>
            </w:r>
          </w:p>
        </w:tc>
        <w:tc>
          <w:tcPr>
            <w:tcW w:w="1916"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w:t>
            </w:r>
          </w:p>
        </w:tc>
        <w:tc>
          <w:tcPr>
            <w:tcW w:w="1916"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w:t>
            </w:r>
            <w:r>
              <w:rPr>
                <w:rFonts w:ascii="宋体" w:hAnsi="宋体" w:cs="宋体" w:eastAsia="宋体" w:hint="default"/>
                <w:sz w:val="18"/>
                <w:szCs w:val="18"/>
              </w:rPr>
              <w:t>）其他转出</w:t>
            </w:r>
          </w:p>
        </w:tc>
        <w:tc>
          <w:tcPr>
            <w:tcW w:w="1916"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期末余额</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8,723,622.69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8,723,622.69</w:t>
            </w: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916"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期初余额</w:t>
            </w:r>
          </w:p>
        </w:tc>
        <w:tc>
          <w:tcPr>
            <w:tcW w:w="1916"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本期增加金额</w:t>
            </w:r>
          </w:p>
        </w:tc>
        <w:tc>
          <w:tcPr>
            <w:tcW w:w="1916"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）计提</w:t>
            </w:r>
          </w:p>
        </w:tc>
        <w:tc>
          <w:tcPr>
            <w:tcW w:w="1916"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00"/>
        <w:gridCol w:w="1928"/>
        <w:gridCol w:w="1914"/>
        <w:gridCol w:w="1914"/>
        <w:gridCol w:w="1914"/>
      </w:tblGrid>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、本期减少金额</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w:t>
            </w:r>
            <w:r>
              <w:rPr>
                <w:rFonts w:ascii="宋体" w:hAnsi="宋体" w:cs="宋体" w:eastAsia="宋体" w:hint="default"/>
                <w:sz w:val="18"/>
                <w:szCs w:val="18"/>
              </w:rPr>
              <w:t>）其他转出</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tcPr>
          <w:p>
            <w:pP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期末余额</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期末账面价值</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75,814,987.47</w:t>
            </w:r>
            <w:r>
              <w:rPr>
                <w:rFonts w:ascii="Arial"/>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75,814,987.47</w:t>
            </w:r>
            <w:r>
              <w:rPr>
                <w:rFonts w:ascii="Arial"/>
                <w:sz w:val="18"/>
              </w:rPr>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期初账面价值</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74,816,244.95</w:t>
            </w:r>
            <w:r>
              <w:rPr>
                <w:rFonts w:ascii="Arial"/>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74,816,244.95</w:t>
            </w:r>
            <w:r>
              <w:rPr>
                <w:rFonts w:ascii="Arial"/>
                <w:sz w:val="18"/>
              </w:rPr>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t>（</w:t>
      </w:r>
      <w:r>
        <w:rPr>
          <w:rFonts w:ascii="Arial" w:hAnsi="Arial" w:cs="Arial" w:eastAsia="Arial" w:hint="default"/>
        </w:rPr>
        <w:t>2</w:t>
      </w:r>
      <w:r>
        <w:rPr/>
        <w:t>）采用公允价值计量模式的投资性房地产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11"/>
        <w:rPr>
          <w:rFonts w:ascii="宋体" w:hAnsi="宋体" w:cs="宋体" w:eastAsia="宋体" w:hint="default"/>
          <w:sz w:val="25"/>
          <w:szCs w:val="25"/>
        </w:rPr>
      </w:pPr>
    </w:p>
    <w:p>
      <w:pPr>
        <w:pStyle w:val="Heading4"/>
        <w:spacing w:line="240" w:lineRule="auto"/>
        <w:ind w:right="2239"/>
        <w:jc w:val="left"/>
        <w:rPr>
          <w:b w:val="0"/>
          <w:bCs w:val="0"/>
        </w:rPr>
      </w:pPr>
      <w:r>
        <w:rPr/>
        <w:t>（</w:t>
      </w:r>
      <w:r>
        <w:rPr>
          <w:rFonts w:ascii="Arial" w:hAnsi="Arial" w:cs="Arial" w:eastAsia="Arial" w:hint="default"/>
        </w:rPr>
        <w:t>3</w:t>
      </w:r>
      <w:r>
        <w:rPr/>
        <w:t>）未办妥产权证书的投资性房地产情况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80"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马鞍山智慧园项目一期</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007" w:right="0"/>
              <w:jc w:val="left"/>
              <w:rPr>
                <w:rFonts w:ascii="Arial" w:hAnsi="Arial" w:cs="Arial" w:eastAsia="Arial" w:hint="default"/>
                <w:sz w:val="18"/>
                <w:szCs w:val="18"/>
              </w:rPr>
            </w:pPr>
            <w:r>
              <w:rPr>
                <w:rFonts w:ascii="Arial"/>
                <w:sz w:val="18"/>
              </w:rPr>
              <w:t>75,814,987.47</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尚在办理中</w:t>
            </w:r>
          </w:p>
        </w:tc>
      </w:tr>
    </w:tbl>
    <w:p>
      <w:pPr>
        <w:pStyle w:val="BodyText"/>
        <w:spacing w:line="357" w:lineRule="auto" w:before="51"/>
        <w:ind w:right="10030"/>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2239"/>
        <w:jc w:val="left"/>
        <w:rPr>
          <w:b w:val="0"/>
          <w:bCs w:val="0"/>
        </w:rPr>
      </w:pPr>
      <w:r>
        <w:rPr>
          <w:rFonts w:ascii="Arial" w:hAnsi="Arial" w:cs="Arial" w:eastAsia="Arial" w:hint="default"/>
        </w:rPr>
        <w:t>21</w:t>
      </w:r>
      <w:r>
        <w:rPr/>
        <w:t>、固定资产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21,666,791.10</w:t>
            </w:r>
            <w:r>
              <w:rPr>
                <w:rFonts w:ascii="Arial"/>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23,448,537.09</w:t>
            </w:r>
            <w:r>
              <w:rPr>
                <w:rFonts w:ascii="Arial"/>
                <w:sz w:val="18"/>
              </w:rPr>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21,666,791.10</w:t>
            </w:r>
            <w:r>
              <w:rPr>
                <w:rFonts w:ascii="Arial"/>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23,448,537.09</w:t>
            </w:r>
            <w:r>
              <w:rPr>
                <w:rFonts w:ascii="Arial"/>
                <w:sz w:val="18"/>
              </w:rPr>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t>（</w:t>
      </w:r>
      <w:r>
        <w:rPr>
          <w:rFonts w:ascii="Arial" w:hAnsi="Arial" w:cs="Arial" w:eastAsia="Arial" w:hint="default"/>
        </w:rPr>
        <w:t>1</w:t>
      </w:r>
      <w:r>
        <w:rPr/>
        <w:t>）固定资产情况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83"/>
        <w:gridCol w:w="1594"/>
        <w:gridCol w:w="1594"/>
        <w:gridCol w:w="1594"/>
        <w:gridCol w:w="1595"/>
        <w:gridCol w:w="1594"/>
      </w:tblGrid>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办公设备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594" w:type="dxa"/>
            <w:tcBorders>
              <w:top w:val="single" w:sz="4" w:space="0" w:color="000000"/>
              <w:left w:val="single" w:sz="13" w:space="0" w:color="D3D3D3"/>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1"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期初余额</w:t>
            </w:r>
          </w:p>
        </w:tc>
        <w:tc>
          <w:tcPr>
            <w:tcW w:w="15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499" w:right="0"/>
              <w:jc w:val="left"/>
              <w:rPr>
                <w:rFonts w:ascii="Arial" w:hAnsi="Arial" w:cs="Arial" w:eastAsia="Arial" w:hint="default"/>
                <w:sz w:val="18"/>
                <w:szCs w:val="18"/>
              </w:rPr>
            </w:pPr>
            <w:r>
              <w:rPr>
                <w:rFonts w:ascii="Arial"/>
                <w:sz w:val="18"/>
              </w:rPr>
              <w:t>6,021,598.88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19,326,567.90</w:t>
            </w:r>
            <w:r>
              <w:rPr>
                <w:rFonts w:ascii="Arial"/>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34,946,607.30</w:t>
            </w:r>
            <w:r>
              <w:rPr>
                <w:rFonts w:ascii="Arial"/>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5,524,134.51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65,818,908.59</w:t>
            </w:r>
            <w:r>
              <w:rPr>
                <w:rFonts w:ascii="Arial"/>
                <w:sz w:val="18"/>
              </w:rPr>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91"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本期增加金额</w:t>
            </w:r>
          </w:p>
        </w:tc>
        <w:tc>
          <w:tcPr>
            <w:tcW w:w="1594" w:type="dxa"/>
            <w:tcBorders>
              <w:top w:val="single" w:sz="4" w:space="0" w:color="000000"/>
              <w:left w:val="single" w:sz="13" w:space="0" w:color="D3D3D3"/>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2,008,505.83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3,355,891.21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2"/>
                <w:sz w:val="18"/>
              </w:rPr>
              <w:t>311,305.35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5,675,702.39</w:t>
            </w:r>
          </w:p>
        </w:tc>
      </w:tr>
      <w:tr>
        <w:trPr>
          <w:trHeight w:val="402" w:hRule="exact"/>
        </w:trPr>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1"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）购置</w:t>
            </w:r>
          </w:p>
        </w:tc>
        <w:tc>
          <w:tcPr>
            <w:tcW w:w="1594" w:type="dxa"/>
            <w:tcBorders>
              <w:top w:val="single" w:sz="4" w:space="0" w:color="000000"/>
              <w:left w:val="single" w:sz="13" w:space="0" w:color="D3D3D3"/>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2,008,505.83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3,355,891.21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2"/>
                <w:sz w:val="18"/>
              </w:rPr>
              <w:t>311,305.35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5,675,702.39</w:t>
            </w:r>
          </w:p>
        </w:tc>
      </w:tr>
      <w:tr>
        <w:trPr>
          <w:trHeight w:val="714" w:hRule="exact"/>
        </w:trPr>
        <w:tc>
          <w:tcPr>
            <w:tcW w:w="15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21" w:firstLine="358"/>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2</w:t>
            </w:r>
            <w:r>
              <w:rPr>
                <w:rFonts w:ascii="宋体" w:hAnsi="宋体" w:cs="宋体" w:eastAsia="宋体" w:hint="default"/>
                <w:sz w:val="18"/>
                <w:szCs w:val="18"/>
              </w:rPr>
              <w:t>）在建工程 转入</w:t>
            </w:r>
          </w:p>
        </w:tc>
        <w:tc>
          <w:tcPr>
            <w:tcW w:w="1594" w:type="dxa"/>
            <w:tcBorders>
              <w:top w:val="single" w:sz="4" w:space="0" w:color="000000"/>
              <w:left w:val="single" w:sz="13" w:space="0" w:color="D3D3D3"/>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4"/>
        <w:gridCol w:w="1595"/>
        <w:gridCol w:w="1594"/>
        <w:gridCol w:w="1594"/>
        <w:gridCol w:w="1595"/>
        <w:gridCol w:w="1594"/>
      </w:tblGrid>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20" w:firstLine="358"/>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3</w:t>
            </w:r>
            <w:r>
              <w:rPr>
                <w:rFonts w:ascii="宋体" w:hAnsi="宋体" w:cs="宋体" w:eastAsia="宋体" w:hint="default"/>
                <w:sz w:val="18"/>
                <w:szCs w:val="18"/>
              </w:rPr>
              <w:t>）企业合并 增加</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49"/>
              <w:jc w:val="right"/>
              <w:rPr>
                <w:rFonts w:ascii="宋体" w:hAnsi="宋体" w:cs="宋体" w:eastAsia="宋体" w:hint="default"/>
                <w:sz w:val="18"/>
                <w:szCs w:val="18"/>
              </w:rPr>
            </w:pPr>
            <w:r>
              <w:rPr>
                <w:rFonts w:ascii="Arial" w:hAnsi="Arial" w:cs="Arial" w:eastAsia="Arial" w:hint="default"/>
                <w:spacing w:val="-1"/>
                <w:sz w:val="18"/>
                <w:szCs w:val="18"/>
              </w:rPr>
              <w:t>3.</w:t>
            </w:r>
            <w:r>
              <w:rPr>
                <w:rFonts w:ascii="宋体" w:hAnsi="宋体" w:cs="宋体" w:eastAsia="宋体" w:hint="default"/>
                <w:spacing w:val="-1"/>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2,956,965.38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481,840.46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44,710.25</w:t>
            </w:r>
            <w:r>
              <w:rPr>
                <w:rFonts w:ascii="Arial"/>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3,483,516.09</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）处置或报</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2,956,965.38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481,840.46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44,710.25</w:t>
            </w:r>
            <w:r>
              <w:rPr>
                <w:rFonts w:ascii="Arial"/>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3,483,516.09</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6,021,598.88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18,378,108.35</w:t>
            </w:r>
            <w:r>
              <w:rPr>
                <w:rFonts w:ascii="Arial"/>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37,820,658.05</w:t>
            </w:r>
            <w:r>
              <w:rPr>
                <w:rFonts w:ascii="Arial"/>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5,790,729.61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2"/>
                <w:sz w:val="18"/>
              </w:rPr>
              <w:t>68,011,094.89</w:t>
            </w:r>
            <w:r>
              <w:rPr>
                <w:rFonts w:ascii="Arial"/>
                <w:sz w:val="18"/>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二、累计折旧</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3,015,134.30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10,153,527.24</w:t>
            </w:r>
            <w:r>
              <w:rPr>
                <w:rFonts w:ascii="Arial"/>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26,283,401.44</w:t>
            </w:r>
            <w:r>
              <w:rPr>
                <w:rFonts w:ascii="Arial"/>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2,918,308.52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42,370,371.50</w:t>
            </w:r>
            <w:r>
              <w:rPr>
                <w:rFonts w:ascii="Arial"/>
                <w:sz w:val="18"/>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49"/>
              <w:jc w:val="right"/>
              <w:rPr>
                <w:rFonts w:ascii="宋体" w:hAnsi="宋体" w:cs="宋体" w:eastAsia="宋体" w:hint="default"/>
                <w:sz w:val="18"/>
                <w:szCs w:val="18"/>
              </w:rPr>
            </w:pPr>
            <w:r>
              <w:rPr>
                <w:rFonts w:ascii="Arial" w:hAnsi="Arial" w:cs="Arial" w:eastAsia="Arial" w:hint="default"/>
                <w:spacing w:val="-1"/>
                <w:sz w:val="18"/>
                <w:szCs w:val="18"/>
              </w:rPr>
              <w:t>2.</w:t>
            </w:r>
            <w:r>
              <w:rPr>
                <w:rFonts w:ascii="宋体" w:hAnsi="宋体" w:cs="宋体" w:eastAsia="宋体" w:hint="default"/>
                <w:spacing w:val="-1"/>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286,026.00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1,680,267.90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3,849,838.51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757,108.65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6,573,241.06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286,026.00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1,680,267.90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3,849,838.51</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757,108.65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6,573,241.06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49"/>
              <w:jc w:val="right"/>
              <w:rPr>
                <w:rFonts w:ascii="宋体" w:hAnsi="宋体" w:cs="宋体" w:eastAsia="宋体" w:hint="default"/>
                <w:sz w:val="18"/>
                <w:szCs w:val="18"/>
              </w:rPr>
            </w:pPr>
            <w:r>
              <w:rPr>
                <w:rFonts w:ascii="Arial" w:hAnsi="Arial" w:cs="Arial" w:eastAsia="Arial" w:hint="default"/>
                <w:spacing w:val="-1"/>
                <w:sz w:val="18"/>
                <w:szCs w:val="18"/>
              </w:rPr>
              <w:t>3.</w:t>
            </w:r>
            <w:r>
              <w:rPr>
                <w:rFonts w:ascii="宋体" w:hAnsi="宋体" w:cs="宋体" w:eastAsia="宋体" w:hint="default"/>
                <w:spacing w:val="-1"/>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3"/>
                <w:sz w:val="18"/>
              </w:rPr>
              <w:t>2,115,011.47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457,748.42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26,548.88</w:t>
            </w:r>
            <w:r>
              <w:rPr>
                <w:rFonts w:ascii="Arial"/>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2,599,308.77</w:t>
            </w: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）处置或报</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3"/>
                <w:sz w:val="18"/>
              </w:rPr>
              <w:t>2,115,011.47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457,748.42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26,548.88</w:t>
            </w:r>
            <w:r>
              <w:rPr>
                <w:rFonts w:ascii="Arial"/>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2,599,308.77</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3,301,160.30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9,718,783.67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29,675,491.53</w:t>
            </w:r>
            <w:r>
              <w:rPr>
                <w:rFonts w:ascii="Arial"/>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3,648,868.29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46,344,303.79</w:t>
            </w:r>
            <w:r>
              <w:rPr>
                <w:rFonts w:ascii="Arial"/>
                <w:sz w:val="18"/>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49"/>
              <w:jc w:val="right"/>
              <w:rPr>
                <w:rFonts w:ascii="宋体" w:hAnsi="宋体" w:cs="宋体" w:eastAsia="宋体" w:hint="default"/>
                <w:sz w:val="18"/>
                <w:szCs w:val="18"/>
              </w:rPr>
            </w:pPr>
            <w:r>
              <w:rPr>
                <w:rFonts w:ascii="Arial" w:hAnsi="Arial" w:cs="Arial" w:eastAsia="Arial" w:hint="default"/>
                <w:spacing w:val="-1"/>
                <w:sz w:val="18"/>
                <w:szCs w:val="18"/>
              </w:rPr>
              <w:t>2.</w:t>
            </w:r>
            <w:r>
              <w:rPr>
                <w:rFonts w:ascii="宋体" w:hAnsi="宋体" w:cs="宋体" w:eastAsia="宋体" w:hint="default"/>
                <w:spacing w:val="-1"/>
                <w:sz w:val="18"/>
                <w:szCs w:val="18"/>
              </w:rPr>
              <w:t>本期增加金额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）计提</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49"/>
              <w:jc w:val="right"/>
              <w:rPr>
                <w:rFonts w:ascii="宋体" w:hAnsi="宋体" w:cs="宋体" w:eastAsia="宋体" w:hint="default"/>
                <w:sz w:val="18"/>
                <w:szCs w:val="18"/>
              </w:rPr>
            </w:pPr>
            <w:r>
              <w:rPr>
                <w:rFonts w:ascii="Arial" w:hAnsi="Arial" w:cs="Arial" w:eastAsia="Arial" w:hint="default"/>
                <w:spacing w:val="-1"/>
                <w:sz w:val="18"/>
                <w:szCs w:val="18"/>
              </w:rPr>
              <w:t>3.</w:t>
            </w:r>
            <w:r>
              <w:rPr>
                <w:rFonts w:ascii="宋体" w:hAnsi="宋体" w:cs="宋体" w:eastAsia="宋体" w:hint="default"/>
                <w:spacing w:val="-1"/>
                <w:sz w:val="18"/>
                <w:szCs w:val="18"/>
              </w:rPr>
              <w:t>本期减少金额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1"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）处置或报</w:t>
            </w:r>
          </w:p>
          <w:p>
            <w:pPr>
              <w:pStyle w:val="TableParagraph"/>
              <w:spacing w:line="240" w:lineRule="auto" w:before="65"/>
              <w:ind w:left="22" w:right="0"/>
              <w:jc w:val="left"/>
              <w:rPr>
                <w:rFonts w:ascii="宋体" w:hAnsi="宋体" w:cs="宋体" w:eastAsia="宋体" w:hint="default"/>
                <w:sz w:val="18"/>
                <w:szCs w:val="18"/>
              </w:rPr>
            </w:pPr>
            <w:r>
              <w:rPr>
                <w:rFonts w:ascii="宋体" w:hAnsi="宋体" w:cs="宋体" w:eastAsia="宋体" w:hint="default"/>
                <w:sz w:val="18"/>
                <w:szCs w:val="18"/>
              </w:rPr>
              <w:t>废</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0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49"/>
              <w:jc w:val="right"/>
              <w:rPr>
                <w:rFonts w:ascii="宋体" w:hAnsi="宋体" w:cs="宋体" w:eastAsia="宋体" w:hint="default"/>
                <w:sz w:val="18"/>
                <w:szCs w:val="18"/>
              </w:rPr>
            </w:pPr>
            <w:r>
              <w:rPr>
                <w:rFonts w:ascii="Arial" w:hAnsi="Arial" w:cs="Arial" w:eastAsia="Arial" w:hint="default"/>
                <w:spacing w:val="-1"/>
                <w:sz w:val="18"/>
                <w:szCs w:val="18"/>
              </w:rPr>
              <w:t>1.</w:t>
            </w:r>
            <w:r>
              <w:rPr>
                <w:rFonts w:ascii="宋体" w:hAnsi="宋体" w:cs="宋体" w:eastAsia="宋体" w:hint="default"/>
                <w:spacing w:val="-1"/>
                <w:sz w:val="18"/>
                <w:szCs w:val="18"/>
              </w:rPr>
              <w:t>期末账面价值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2,720,438.58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8,659,324.68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8,145,166.52</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2,141,861.32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21,666,791.10</w:t>
            </w:r>
            <w:r>
              <w:rPr>
                <w:rFonts w:ascii="Arial"/>
                <w:sz w:val="18"/>
              </w:rPr>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49"/>
              <w:jc w:val="right"/>
              <w:rPr>
                <w:rFonts w:ascii="宋体" w:hAnsi="宋体" w:cs="宋体" w:eastAsia="宋体" w:hint="default"/>
                <w:sz w:val="18"/>
                <w:szCs w:val="18"/>
              </w:rPr>
            </w:pPr>
            <w:r>
              <w:rPr>
                <w:rFonts w:ascii="Arial" w:hAnsi="Arial" w:cs="Arial" w:eastAsia="Arial" w:hint="default"/>
                <w:spacing w:val="-1"/>
                <w:sz w:val="18"/>
                <w:szCs w:val="18"/>
              </w:rPr>
              <w:t>2.</w:t>
            </w:r>
            <w:r>
              <w:rPr>
                <w:rFonts w:ascii="宋体" w:hAnsi="宋体" w:cs="宋体" w:eastAsia="宋体" w:hint="default"/>
                <w:spacing w:val="-1"/>
                <w:sz w:val="18"/>
                <w:szCs w:val="18"/>
              </w:rPr>
              <w:t>期初账面价值</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3,006,464.58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9,173,040.66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8,663,205.86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2,605,825.99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23,448,537.09</w:t>
            </w:r>
            <w:r>
              <w:rPr>
                <w:rFonts w:ascii="Arial"/>
                <w:sz w:val="18"/>
              </w:rPr>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t>（</w:t>
      </w:r>
      <w:r>
        <w:rPr>
          <w:rFonts w:ascii="Arial" w:hAnsi="Arial" w:cs="Arial" w:eastAsia="Arial" w:hint="default"/>
        </w:rPr>
        <w:t>2</w:t>
      </w:r>
      <w:r>
        <w:rPr/>
        <w:t>）暂时闲置的固定资产情况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2239"/>
        <w:jc w:val="left"/>
        <w:rPr>
          <w:b w:val="0"/>
          <w:bCs w:val="0"/>
        </w:rPr>
      </w:pPr>
      <w:r>
        <w:rPr/>
        <w:t>（</w:t>
      </w:r>
      <w:r>
        <w:rPr>
          <w:rFonts w:ascii="Arial" w:hAnsi="Arial" w:cs="Arial" w:eastAsia="Arial" w:hint="default"/>
        </w:rPr>
        <w:t>3</w:t>
      </w:r>
      <w:r>
        <w:rPr/>
        <w:t>）通过融资租赁租入的固定资产情况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spacing w:line="240" w:lineRule="auto" w:before="3"/>
        <w:rPr>
          <w:rFonts w:ascii="宋体" w:hAnsi="宋体" w:cs="宋体" w:eastAsia="宋体" w:hint="default"/>
          <w:sz w:val="19"/>
          <w:szCs w:val="19"/>
        </w:rPr>
      </w:pPr>
    </w:p>
    <w:p>
      <w:pPr>
        <w:pStyle w:val="Heading4"/>
        <w:spacing w:line="240" w:lineRule="auto" w:before="35"/>
        <w:ind w:right="2239"/>
        <w:jc w:val="left"/>
        <w:rPr>
          <w:b w:val="0"/>
          <w:bCs w:val="0"/>
        </w:rPr>
      </w:pPr>
      <w:r>
        <w:rPr/>
        <w:t>（</w:t>
      </w:r>
      <w:r>
        <w:rPr>
          <w:rFonts w:ascii="Arial" w:hAnsi="Arial" w:cs="Arial" w:eastAsia="Arial" w:hint="default"/>
        </w:rPr>
        <w:t>4</w:t>
      </w:r>
      <w:r>
        <w:rPr/>
        <w:t>）通过经营租赁租出的固定资产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4773;top:14;width:2;height:393" coordorigin="4773,14" coordsize="2,393">
              <v:shape style="position:absolute;left:4773;top:14;width:2;height:393" coordorigin="4773,14" coordsize="0,393" path="m4773,14l4773,407e" filled="false" stroked="true" strokeweight="1.140pt" strokecolor="#d3d3d3">
                <v:path arrowok="t"/>
              </v:shape>
            </v:group>
            <v:group style="position:absolute;left:37;top:14;width:4725;height:393" coordorigin="37,14" coordsize="4725,393">
              <v:shape style="position:absolute;left:37;top:14;width:4725;height:393" coordorigin="37,14" coordsize="4725,393" path="m37,407l4762,407,4762,14,37,14,37,407xe" filled="true" fillcolor="#d3d3d3" stroked="false">
                <v:path arrowok="t"/>
                <v:fill type="solid"/>
              </v:shape>
            </v:group>
            <v:group style="position:absolute;left:4806;top:14;width:2;height:393" coordorigin="4806,14" coordsize="2,393">
              <v:shape style="position:absolute;left:4806;top:14;width:2;height:393" coordorigin="4806,14" coordsize="0,393" path="m4806,14l4806,407e" filled="false" stroked="true" strokeweight="1.2pt" strokecolor="#d3d3d3">
                <v:path arrowok="t"/>
              </v:shape>
            </v:group>
            <v:group style="position:absolute;left:9561;top:14;width:2;height:393" coordorigin="9561,14" coordsize="2,393">
              <v:shape style="position:absolute;left:9561;top:14;width:2;height:393" coordorigin="9561,14" coordsize="0,393" path="m9561,14l9561,407e" filled="false" stroked="true" strokeweight="1.140pt" strokecolor="#d3d3d3">
                <v:path arrowok="t"/>
              </v:shape>
            </v:group>
            <v:group style="position:absolute;left:4818;top:14;width:4732;height:393" coordorigin="4818,14" coordsize="4732,393">
              <v:shape style="position:absolute;left:4818;top:14;width:4732;height:393" coordorigin="4818,14" coordsize="4732,393" path="m4818,407l9550,407,9550,14,4818,14,4818,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0;height:2" coordorigin="5,412" coordsize="4780,2">
              <v:shape style="position:absolute;left:5;top:412;width:4780;height:2" coordorigin="5,412" coordsize="4780,0" path="m5,412l4784,412e" filled="false" stroked="true" strokeweight=".48004pt" strokecolor="#000000">
                <v:path arrowok="t"/>
              </v:shape>
            </v:group>
            <v:group style="position:absolute;left:4789;top:14;width:2;height:402" coordorigin="4789,14" coordsize="2,402">
              <v:shape style="position:absolute;left:4789;top:14;width:2;height:402" coordorigin="4789,14" coordsize="0,402" path="m4789,14l4789,416e" filled="false" stroked="true" strokeweight=".48001pt" strokecolor="#000000">
                <v:path arrowok="t"/>
              </v:shape>
            </v:group>
            <v:group style="position:absolute;left:4794;top:412;width:4779;height:2" coordorigin="4794,412" coordsize="4779,2">
              <v:shape style="position:absolute;left:4794;top:412;width:4779;height:2" coordorigin="4794,412" coordsize="4779,0" path="m4794,412l9572,412e" filled="false" stroked="true" strokeweight=".48004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19;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89;top:10;width:4788;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期末账面价值</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4"/>
        <w:spacing w:line="240" w:lineRule="auto" w:before="35"/>
        <w:ind w:right="2239"/>
        <w:jc w:val="left"/>
        <w:rPr>
          <w:b w:val="0"/>
          <w:bCs w:val="0"/>
        </w:rPr>
      </w:pPr>
      <w:r>
        <w:rPr/>
        <w:t>（</w:t>
      </w:r>
      <w:r>
        <w:rPr>
          <w:rFonts w:ascii="Arial" w:hAnsi="Arial" w:cs="Arial" w:eastAsia="Arial" w:hint="default"/>
        </w:rPr>
        <w:t>5</w:t>
      </w:r>
      <w:r>
        <w:rPr/>
        <w:t>）未办妥产权证书的固定资产情况</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马鞍山智慧园项目一期</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8" w:right="0"/>
              <w:jc w:val="left"/>
              <w:rPr>
                <w:rFonts w:ascii="Arial" w:hAnsi="Arial" w:cs="Arial" w:eastAsia="Arial" w:hint="default"/>
                <w:sz w:val="18"/>
                <w:szCs w:val="18"/>
              </w:rPr>
            </w:pPr>
            <w:r>
              <w:rPr>
                <w:rFonts w:ascii="Arial"/>
                <w:sz w:val="18"/>
              </w:rPr>
              <w:t>2,014,839.46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尚在办理中</w:t>
            </w:r>
          </w:p>
        </w:tc>
      </w:tr>
    </w:tbl>
    <w:p>
      <w:pPr>
        <w:pStyle w:val="BodyText"/>
        <w:spacing w:line="360" w:lineRule="auto" w:before="51"/>
        <w:ind w:right="10030"/>
        <w:jc w:val="left"/>
      </w:pPr>
      <w:r>
        <w:rPr/>
        <w:t>其他说明 无。</w:t>
      </w:r>
    </w:p>
    <w:p>
      <w:pPr>
        <w:pStyle w:val="BodyText"/>
        <w:spacing w:line="340" w:lineRule="auto" w:before="26"/>
        <w:ind w:left="153" w:right="6311"/>
        <w:jc w:val="left"/>
      </w:pPr>
      <w:r>
        <w:rPr>
          <w:rFonts w:ascii="Arial" w:hAnsi="Arial" w:cs="Arial" w:eastAsia="Arial" w:hint="default"/>
        </w:rPr>
        <w:t>A</w:t>
      </w:r>
      <w:r>
        <w:rPr/>
        <w:t>、期末，本集团无抵押、担保、暂时闲置的固定资产； </w:t>
      </w:r>
      <w:r>
        <w:rPr>
          <w:rFonts w:ascii="Arial" w:hAnsi="Arial" w:cs="Arial" w:eastAsia="Arial" w:hint="default"/>
        </w:rPr>
        <w:t>B</w:t>
      </w:r>
      <w:r>
        <w:rPr/>
        <w:t>、期末，固定资产不存在减值情形。</w:t>
      </w:r>
    </w:p>
    <w:p>
      <w:pPr>
        <w:spacing w:line="240" w:lineRule="auto" w:before="4"/>
        <w:rPr>
          <w:rFonts w:ascii="宋体" w:hAnsi="宋体" w:cs="宋体" w:eastAsia="宋体" w:hint="default"/>
          <w:sz w:val="19"/>
          <w:szCs w:val="19"/>
        </w:rPr>
      </w:pPr>
    </w:p>
    <w:p>
      <w:pPr>
        <w:pStyle w:val="Heading4"/>
        <w:spacing w:line="240" w:lineRule="auto"/>
        <w:ind w:right="2239"/>
        <w:jc w:val="left"/>
        <w:rPr>
          <w:b w:val="0"/>
          <w:bCs w:val="0"/>
        </w:rPr>
      </w:pPr>
      <w:r>
        <w:rPr/>
        <w:t>（</w:t>
      </w:r>
      <w:r>
        <w:rPr>
          <w:rFonts w:ascii="Arial" w:hAnsi="Arial" w:cs="Arial" w:eastAsia="Arial" w:hint="default"/>
        </w:rPr>
        <w:t>6</w:t>
      </w:r>
      <w:r>
        <w:rPr/>
        <w:t>）固定资产清理</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51"/>
        <w:ind w:right="10030"/>
        <w:jc w:val="left"/>
      </w:pPr>
      <w:r>
        <w:rPr/>
        <w:t>其他说明 无。</w:t>
      </w:r>
    </w:p>
    <w:p>
      <w:pPr>
        <w:spacing w:line="240" w:lineRule="auto" w:before="11"/>
        <w:rPr>
          <w:rFonts w:ascii="宋体" w:hAnsi="宋体" w:cs="宋体" w:eastAsia="宋体" w:hint="default"/>
          <w:sz w:val="19"/>
          <w:szCs w:val="19"/>
        </w:rPr>
      </w:pPr>
    </w:p>
    <w:p>
      <w:pPr>
        <w:pStyle w:val="Heading4"/>
        <w:spacing w:line="240" w:lineRule="auto"/>
        <w:ind w:right="2239"/>
        <w:jc w:val="left"/>
        <w:rPr>
          <w:b w:val="0"/>
          <w:bCs w:val="0"/>
        </w:rPr>
      </w:pPr>
      <w:r>
        <w:rPr>
          <w:rFonts w:ascii="Arial" w:hAnsi="Arial" w:cs="Arial" w:eastAsia="Arial" w:hint="default"/>
        </w:rPr>
        <w:t>22</w:t>
      </w:r>
      <w:r>
        <w:rPr/>
        <w:t>、在建工程</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326,713,347.82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206,642,453.30</w:t>
            </w:r>
          </w:p>
        </w:tc>
      </w:tr>
      <w:tr>
        <w:trPr>
          <w:trHeight w:val="403"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326,713,347.82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206,642,453.30</w:t>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t>（</w:t>
      </w:r>
      <w:r>
        <w:rPr>
          <w:rFonts w:ascii="Arial" w:hAnsi="Arial" w:cs="Arial" w:eastAsia="Arial" w:hint="default"/>
        </w:rPr>
        <w:t>1</w:t>
      </w:r>
      <w:r>
        <w:rPr/>
        <w:t>）在建工程情况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368" w:type="dxa"/>
            <w:vMerge/>
            <w:tcBorders>
              <w:left w:val="single" w:sz="4" w:space="0" w:color="000000"/>
              <w:bottom w:val="single" w:sz="4" w:space="0" w:color="000000"/>
              <w:right w:val="single" w:sz="4" w:space="0" w:color="000000"/>
            </w:tcBorders>
            <w:shd w:val="clear" w:color="auto" w:fill="D3D3D3"/>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上海榕基软件园</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Arial" w:hAnsi="Arial" w:cs="Arial" w:eastAsia="Arial" w:hint="default"/>
                <w:sz w:val="18"/>
                <w:szCs w:val="18"/>
              </w:rPr>
            </w:pPr>
            <w:r>
              <w:rPr>
                <w:rFonts w:ascii="Arial"/>
                <w:sz w:val="18"/>
              </w:rPr>
              <w:t>274,287,822.01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Arial" w:hAnsi="Arial" w:cs="Arial" w:eastAsia="Arial" w:hint="default"/>
                <w:sz w:val="18"/>
                <w:szCs w:val="18"/>
              </w:rPr>
            </w:pPr>
            <w:r>
              <w:rPr>
                <w:rFonts w:ascii="Arial"/>
                <w:sz w:val="18"/>
              </w:rPr>
              <w:t>274,287,822.01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Arial" w:hAnsi="Arial" w:cs="Arial" w:eastAsia="Arial" w:hint="default"/>
                <w:sz w:val="18"/>
                <w:szCs w:val="18"/>
              </w:rPr>
            </w:pPr>
            <w:r>
              <w:rPr>
                <w:rFonts w:ascii="Arial"/>
                <w:sz w:val="18"/>
              </w:rPr>
              <w:t>205,032,070.91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Arial" w:hAnsi="Arial" w:cs="Arial" w:eastAsia="Arial" w:hint="default"/>
                <w:sz w:val="18"/>
                <w:szCs w:val="18"/>
              </w:rPr>
            </w:pPr>
            <w:r>
              <w:rPr>
                <w:rFonts w:ascii="Arial"/>
                <w:sz w:val="18"/>
              </w:rPr>
              <w:t>205,032,070.91</w:t>
            </w:r>
          </w:p>
        </w:tc>
      </w:tr>
    </w:tbl>
    <w:p>
      <w:pPr>
        <w:spacing w:after="0" w:line="240" w:lineRule="auto"/>
        <w:jc w:val="center"/>
        <w:rPr>
          <w:rFonts w:ascii="Arial" w:hAnsi="Arial" w:cs="Arial" w:eastAsia="Arial"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73"/>
              <w:jc w:val="left"/>
              <w:rPr>
                <w:rFonts w:ascii="宋体" w:hAnsi="宋体" w:cs="宋体" w:eastAsia="宋体" w:hint="default"/>
                <w:sz w:val="18"/>
                <w:szCs w:val="18"/>
              </w:rPr>
            </w:pPr>
            <w:r>
              <w:rPr>
                <w:rFonts w:ascii="宋体" w:hAnsi="宋体" w:cs="宋体" w:eastAsia="宋体" w:hint="default"/>
                <w:sz w:val="18"/>
                <w:szCs w:val="18"/>
              </w:rPr>
              <w:t>软件及服务外包 产业基地</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sz w:val="18"/>
              </w:rPr>
              <w:t>52,425,525.81</w:t>
            </w:r>
            <w:r>
              <w:rPr>
                <w:rFonts w:ascii="Arial"/>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52,425,525.81</w:t>
            </w:r>
            <w:r>
              <w:rPr>
                <w:rFonts w:ascii="Arial"/>
                <w:sz w:val="18"/>
              </w:rPr>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1,610,382.39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1,610,382.39</w:t>
            </w:r>
          </w:p>
        </w:tc>
      </w:tr>
      <w:tr>
        <w:trPr>
          <w:trHeight w:val="402"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326,713,347.82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326,713,347.82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206,642,453.30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206,642,453.30</w:t>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t>（</w:t>
      </w:r>
      <w:r>
        <w:rPr>
          <w:rFonts w:ascii="Arial" w:hAnsi="Arial" w:cs="Arial" w:eastAsia="Arial" w:hint="default"/>
        </w:rPr>
        <w:t>2</w:t>
      </w:r>
      <w:r>
        <w:rPr/>
        <w:t>）重要在建工程项目本期变动情况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32"/>
        <w:gridCol w:w="736"/>
        <w:gridCol w:w="737"/>
        <w:gridCol w:w="736"/>
        <w:gridCol w:w="736"/>
        <w:gridCol w:w="737"/>
        <w:gridCol w:w="736"/>
        <w:gridCol w:w="736"/>
        <w:gridCol w:w="737"/>
        <w:gridCol w:w="736"/>
        <w:gridCol w:w="736"/>
        <w:gridCol w:w="737"/>
        <w:gridCol w:w="736"/>
      </w:tblGrid>
      <w:tr>
        <w:trPr>
          <w:trHeight w:val="1338"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69" w:right="90" w:hanging="180"/>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92" w:right="91"/>
              <w:jc w:val="left"/>
              <w:rPr>
                <w:rFonts w:ascii="宋体" w:hAnsi="宋体" w:cs="宋体" w:eastAsia="宋体" w:hint="default"/>
                <w:sz w:val="18"/>
                <w:szCs w:val="18"/>
              </w:rPr>
            </w:pPr>
            <w:r>
              <w:rPr>
                <w:rFonts w:ascii="宋体" w:hAnsi="宋体" w:cs="宋体" w:eastAsia="宋体" w:hint="default"/>
                <w:sz w:val="18"/>
                <w:szCs w:val="18"/>
              </w:rPr>
              <w:t>本期增 加金额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 w:right="91"/>
              <w:jc w:val="center"/>
              <w:rPr>
                <w:rFonts w:ascii="宋体" w:hAnsi="宋体" w:cs="宋体" w:eastAsia="宋体" w:hint="default"/>
                <w:sz w:val="18"/>
                <w:szCs w:val="18"/>
              </w:rPr>
            </w:pPr>
            <w:r>
              <w:rPr>
                <w:rFonts w:ascii="宋体" w:hAnsi="宋体" w:cs="宋体" w:eastAsia="宋体" w:hint="default"/>
                <w:sz w:val="18"/>
                <w:szCs w:val="18"/>
              </w:rPr>
              <w:t>本期转 入固定 资产金 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本期其 他减少 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期末余 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 w:right="91"/>
              <w:jc w:val="both"/>
              <w:rPr>
                <w:rFonts w:ascii="宋体" w:hAnsi="宋体" w:cs="宋体" w:eastAsia="宋体" w:hint="default"/>
                <w:sz w:val="18"/>
                <w:szCs w:val="18"/>
              </w:rPr>
            </w:pPr>
            <w:r>
              <w:rPr>
                <w:rFonts w:ascii="宋体" w:hAnsi="宋体" w:cs="宋体" w:eastAsia="宋体" w:hint="default"/>
                <w:sz w:val="18"/>
                <w:szCs w:val="18"/>
              </w:rPr>
              <w:t>工程累 计投入 占预算 比例</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3" w:right="91"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2" w:right="91"/>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20"/>
              <w:jc w:val="center"/>
              <w:rPr>
                <w:rFonts w:ascii="宋体" w:hAnsi="宋体" w:cs="宋体" w:eastAsia="宋体" w:hint="default"/>
                <w:sz w:val="18"/>
                <w:szCs w:val="18"/>
              </w:rPr>
            </w:pPr>
            <w:r>
              <w:rPr>
                <w:rFonts w:ascii="宋体" w:hAnsi="宋体" w:cs="宋体" w:eastAsia="宋体" w:hint="default"/>
                <w:spacing w:val="-10"/>
                <w:sz w:val="18"/>
                <w:szCs w:val="18"/>
              </w:rPr>
              <w:t>其中：本</w:t>
            </w:r>
            <w:r>
              <w:rPr>
                <w:rFonts w:ascii="宋体" w:hAnsi="宋体" w:cs="宋体" w:eastAsia="宋体" w:hint="default"/>
                <w:sz w:val="18"/>
                <w:szCs w:val="18"/>
              </w:rPr>
              <w:t> 期利息 资本化 金额</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本期利 息资本 化率</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r>
      <w:tr>
        <w:trPr>
          <w:trHeight w:val="1026"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7"/>
              <w:jc w:val="both"/>
              <w:rPr>
                <w:rFonts w:ascii="宋体" w:hAnsi="宋体" w:cs="宋体" w:eastAsia="宋体" w:hint="default"/>
                <w:sz w:val="18"/>
                <w:szCs w:val="18"/>
              </w:rPr>
            </w:pPr>
            <w:r>
              <w:rPr>
                <w:rFonts w:ascii="宋体" w:hAnsi="宋体" w:cs="宋体" w:eastAsia="宋体" w:hint="default"/>
                <w:sz w:val="18"/>
                <w:szCs w:val="18"/>
              </w:rPr>
              <w:t>上海榕 基软件 园</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Arial" w:hAnsi="Arial" w:cs="Arial" w:eastAsia="Arial" w:hint="default"/>
                <w:sz w:val="18"/>
                <w:szCs w:val="18"/>
              </w:rPr>
            </w:pPr>
            <w:r>
              <w:rPr>
                <w:rFonts w:ascii="Arial"/>
                <w:sz w:val="18"/>
              </w:rPr>
              <w:t>417,067</w:t>
            </w:r>
          </w:p>
          <w:p>
            <w:pPr>
              <w:pStyle w:val="TableParagraph"/>
              <w:spacing w:line="240" w:lineRule="auto" w:before="105"/>
              <w:ind w:left="103" w:right="0"/>
              <w:jc w:val="left"/>
              <w:rPr>
                <w:rFonts w:ascii="Arial" w:hAnsi="Arial" w:cs="Arial" w:eastAsia="Arial" w:hint="default"/>
                <w:sz w:val="18"/>
                <w:szCs w:val="18"/>
              </w:rPr>
            </w:pPr>
            <w:r>
              <w:rPr>
                <w:rFonts w:ascii="Arial"/>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 w:right="0"/>
              <w:jc w:val="left"/>
              <w:rPr>
                <w:rFonts w:ascii="Arial" w:hAnsi="Arial" w:cs="Arial" w:eastAsia="Arial" w:hint="default"/>
                <w:sz w:val="18"/>
                <w:szCs w:val="18"/>
              </w:rPr>
            </w:pPr>
            <w:r>
              <w:rPr>
                <w:rFonts w:ascii="Arial"/>
                <w:sz w:val="18"/>
              </w:rPr>
              <w:t>205,032</w:t>
            </w:r>
          </w:p>
          <w:p>
            <w:pPr>
              <w:pStyle w:val="TableParagraph"/>
              <w:spacing w:line="240" w:lineRule="auto" w:before="105"/>
              <w:ind w:left="104" w:right="0"/>
              <w:jc w:val="left"/>
              <w:rPr>
                <w:rFonts w:ascii="Arial" w:hAnsi="Arial" w:cs="Arial" w:eastAsia="Arial" w:hint="default"/>
                <w:sz w:val="18"/>
                <w:szCs w:val="18"/>
              </w:rPr>
            </w:pPr>
            <w:r>
              <w:rPr>
                <w:rFonts w:ascii="Arial"/>
                <w:sz w:val="18"/>
              </w:rPr>
              <w:t>,070.91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03" w:right="0"/>
              <w:jc w:val="left"/>
              <w:rPr>
                <w:rFonts w:ascii="Arial" w:hAnsi="Arial" w:cs="Arial" w:eastAsia="Arial" w:hint="default"/>
                <w:sz w:val="18"/>
                <w:szCs w:val="18"/>
              </w:rPr>
            </w:pPr>
            <w:r>
              <w:rPr>
                <w:rFonts w:ascii="Arial"/>
                <w:sz w:val="18"/>
              </w:rPr>
              <w:t>69,255,</w:t>
            </w:r>
          </w:p>
          <w:p>
            <w:pPr>
              <w:pStyle w:val="TableParagraph"/>
              <w:spacing w:line="240" w:lineRule="auto" w:before="105"/>
              <w:ind w:left="152" w:right="0"/>
              <w:jc w:val="left"/>
              <w:rPr>
                <w:rFonts w:ascii="Arial" w:hAnsi="Arial" w:cs="Arial" w:eastAsia="Arial" w:hint="default"/>
                <w:sz w:val="18"/>
                <w:szCs w:val="18"/>
              </w:rPr>
            </w:pPr>
            <w:r>
              <w:rPr>
                <w:rFonts w:ascii="Arial"/>
                <w:sz w:val="18"/>
              </w:rPr>
              <w:t>751.10</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 w:right="0"/>
              <w:jc w:val="left"/>
              <w:rPr>
                <w:rFonts w:ascii="Arial" w:hAnsi="Arial" w:cs="Arial" w:eastAsia="Arial" w:hint="default"/>
                <w:sz w:val="18"/>
                <w:szCs w:val="18"/>
              </w:rPr>
            </w:pPr>
            <w:r>
              <w:rPr>
                <w:rFonts w:ascii="Arial"/>
                <w:sz w:val="18"/>
              </w:rPr>
              <w:t>274,287</w:t>
            </w:r>
          </w:p>
          <w:p>
            <w:pPr>
              <w:pStyle w:val="TableParagraph"/>
              <w:spacing w:line="240" w:lineRule="auto" w:before="105"/>
              <w:ind w:left="103" w:right="0"/>
              <w:jc w:val="left"/>
              <w:rPr>
                <w:rFonts w:ascii="Arial" w:hAnsi="Arial" w:cs="Arial" w:eastAsia="Arial" w:hint="default"/>
                <w:sz w:val="18"/>
                <w:szCs w:val="18"/>
              </w:rPr>
            </w:pPr>
            <w:r>
              <w:rPr>
                <w:rFonts w:ascii="Arial"/>
                <w:sz w:val="18"/>
              </w:rPr>
              <w:t>,822.01</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68" w:right="0"/>
              <w:jc w:val="center"/>
              <w:rPr>
                <w:rFonts w:ascii="Arial" w:hAnsi="Arial" w:cs="Arial" w:eastAsia="Arial" w:hint="default"/>
                <w:sz w:val="18"/>
                <w:szCs w:val="18"/>
              </w:rPr>
            </w:pPr>
            <w:r>
              <w:rPr>
                <w:rFonts w:ascii="Arial"/>
                <w:sz w:val="18"/>
              </w:rPr>
              <w:t>65.77%</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3" w:right="161"/>
              <w:jc w:val="left"/>
              <w:rPr>
                <w:rFonts w:ascii="宋体" w:hAnsi="宋体" w:cs="宋体" w:eastAsia="宋体" w:hint="default"/>
                <w:sz w:val="18"/>
                <w:szCs w:val="18"/>
              </w:rPr>
            </w:pPr>
            <w:r>
              <w:rPr>
                <w:rFonts w:ascii="宋体" w:hAnsi="宋体" w:cs="宋体" w:eastAsia="宋体" w:hint="default"/>
                <w:sz w:val="18"/>
                <w:szCs w:val="18"/>
              </w:rPr>
              <w:t>建设过 程中</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357" w:hRule="exact"/>
        </w:trPr>
        <w:tc>
          <w:tcPr>
            <w:tcW w:w="73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软件及</w:t>
            </w: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c>
          <w:tcPr>
            <w:tcW w:w="737" w:type="dxa"/>
            <w:tcBorders>
              <w:top w:val="single" w:sz="4" w:space="0" w:color="000000"/>
              <w:left w:val="single" w:sz="4" w:space="0" w:color="000000"/>
              <w:bottom w:val="nil" w:sz="6" w:space="0" w:color="auto"/>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6" w:type="dxa"/>
            <w:vMerge w:val="restart"/>
            <w:tcBorders>
              <w:top w:val="single" w:sz="4" w:space="0" w:color="000000"/>
              <w:left w:val="single" w:sz="4" w:space="0" w:color="000000"/>
              <w:right w:val="single" w:sz="4" w:space="0" w:color="000000"/>
            </w:tcBorders>
          </w:tcPr>
          <w:p>
            <w:pPr/>
          </w:p>
        </w:tc>
        <w:tc>
          <w:tcPr>
            <w:tcW w:w="737" w:type="dxa"/>
            <w:vMerge w:val="restart"/>
            <w:tcBorders>
              <w:top w:val="single" w:sz="4" w:space="0" w:color="000000"/>
              <w:left w:val="single" w:sz="4" w:space="0" w:color="000000"/>
              <w:right w:val="single" w:sz="4" w:space="0" w:color="000000"/>
            </w:tcBorders>
          </w:tcPr>
          <w:p>
            <w:pPr/>
          </w:p>
        </w:tc>
        <w:tc>
          <w:tcPr>
            <w:tcW w:w="736" w:type="dxa"/>
            <w:tcBorders>
              <w:top w:val="single" w:sz="4" w:space="0" w:color="000000"/>
              <w:left w:val="single" w:sz="4" w:space="0" w:color="000000"/>
              <w:bottom w:val="nil" w:sz="6" w:space="0" w:color="auto"/>
              <w:right w:val="single" w:sz="4" w:space="0" w:color="000000"/>
            </w:tcBorders>
          </w:tcPr>
          <w:p>
            <w:pPr/>
          </w:p>
        </w:tc>
      </w:tr>
      <w:tr>
        <w:trPr>
          <w:trHeight w:val="628" w:hRule="exact"/>
        </w:trPr>
        <w:tc>
          <w:tcPr>
            <w:tcW w:w="732"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2" w:right="157"/>
              <w:jc w:val="left"/>
              <w:rPr>
                <w:rFonts w:ascii="宋体" w:hAnsi="宋体" w:cs="宋体" w:eastAsia="宋体" w:hint="default"/>
                <w:sz w:val="18"/>
                <w:szCs w:val="18"/>
              </w:rPr>
            </w:pPr>
            <w:r>
              <w:rPr>
                <w:rFonts w:ascii="宋体" w:hAnsi="宋体" w:cs="宋体" w:eastAsia="宋体" w:hint="default"/>
                <w:sz w:val="18"/>
                <w:szCs w:val="18"/>
              </w:rPr>
              <w:t>服务外 包产业</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52" w:right="0"/>
              <w:jc w:val="left"/>
              <w:rPr>
                <w:rFonts w:ascii="Arial" w:hAnsi="Arial" w:cs="Arial" w:eastAsia="Arial" w:hint="default"/>
                <w:sz w:val="18"/>
                <w:szCs w:val="18"/>
              </w:rPr>
            </w:pPr>
            <w:r>
              <w:rPr>
                <w:rFonts w:ascii="Arial"/>
                <w:sz w:val="18"/>
              </w:rPr>
              <w:t>290,000</w:t>
            </w:r>
          </w:p>
          <w:p>
            <w:pPr>
              <w:pStyle w:val="TableParagraph"/>
              <w:spacing w:line="240" w:lineRule="auto" w:before="105"/>
              <w:ind w:left="103" w:right="0"/>
              <w:jc w:val="left"/>
              <w:rPr>
                <w:rFonts w:ascii="Arial" w:hAnsi="Arial" w:cs="Arial" w:eastAsia="Arial" w:hint="default"/>
                <w:sz w:val="18"/>
                <w:szCs w:val="18"/>
              </w:rPr>
            </w:pPr>
            <w:r>
              <w:rPr>
                <w:rFonts w:ascii="Arial"/>
                <w:sz w:val="18"/>
              </w:rPr>
              <w:t>,000.00</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80" w:right="0"/>
              <w:jc w:val="center"/>
              <w:rPr>
                <w:rFonts w:ascii="Arial" w:hAnsi="Arial" w:cs="Arial" w:eastAsia="Arial" w:hint="default"/>
                <w:sz w:val="18"/>
                <w:szCs w:val="18"/>
              </w:rPr>
            </w:pPr>
            <w:r>
              <w:rPr>
                <w:rFonts w:ascii="Arial"/>
                <w:sz w:val="18"/>
              </w:rPr>
              <w:t>1,610,3</w:t>
            </w:r>
          </w:p>
          <w:p>
            <w:pPr>
              <w:pStyle w:val="TableParagraph"/>
              <w:spacing w:line="240" w:lineRule="auto" w:before="105"/>
              <w:ind w:left="230" w:right="0"/>
              <w:jc w:val="center"/>
              <w:rPr>
                <w:rFonts w:ascii="Arial" w:hAnsi="Arial" w:cs="Arial" w:eastAsia="Arial" w:hint="default"/>
                <w:sz w:val="18"/>
                <w:szCs w:val="18"/>
              </w:rPr>
            </w:pPr>
            <w:r>
              <w:rPr>
                <w:rFonts w:ascii="Arial"/>
                <w:sz w:val="18"/>
              </w:rPr>
              <w:t>82.39</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03" w:right="0"/>
              <w:jc w:val="left"/>
              <w:rPr>
                <w:rFonts w:ascii="Arial" w:hAnsi="Arial" w:cs="Arial" w:eastAsia="Arial" w:hint="default"/>
                <w:sz w:val="18"/>
                <w:szCs w:val="18"/>
              </w:rPr>
            </w:pPr>
            <w:r>
              <w:rPr>
                <w:rFonts w:ascii="Arial"/>
                <w:sz w:val="18"/>
              </w:rPr>
              <w:t>50,815,</w:t>
            </w:r>
          </w:p>
          <w:p>
            <w:pPr>
              <w:pStyle w:val="TableParagraph"/>
              <w:spacing w:line="240" w:lineRule="auto" w:before="105"/>
              <w:ind w:left="152" w:right="0"/>
              <w:jc w:val="left"/>
              <w:rPr>
                <w:rFonts w:ascii="Arial" w:hAnsi="Arial" w:cs="Arial" w:eastAsia="Arial" w:hint="default"/>
                <w:sz w:val="18"/>
                <w:szCs w:val="18"/>
              </w:rPr>
            </w:pPr>
            <w:r>
              <w:rPr>
                <w:rFonts w:ascii="Arial"/>
                <w:sz w:val="18"/>
              </w:rPr>
              <w:t>143.42</w:t>
            </w: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03" w:right="0"/>
              <w:jc w:val="left"/>
              <w:rPr>
                <w:rFonts w:ascii="Arial" w:hAnsi="Arial" w:cs="Arial" w:eastAsia="Arial" w:hint="default"/>
                <w:sz w:val="18"/>
                <w:szCs w:val="18"/>
              </w:rPr>
            </w:pPr>
            <w:r>
              <w:rPr>
                <w:rFonts w:ascii="Arial"/>
                <w:sz w:val="18"/>
              </w:rPr>
              <w:t>52,425,</w:t>
            </w:r>
          </w:p>
          <w:p>
            <w:pPr>
              <w:pStyle w:val="TableParagraph"/>
              <w:spacing w:line="240" w:lineRule="auto" w:before="105"/>
              <w:ind w:left="152" w:right="0"/>
              <w:jc w:val="left"/>
              <w:rPr>
                <w:rFonts w:ascii="Arial" w:hAnsi="Arial" w:cs="Arial" w:eastAsia="Arial" w:hint="default"/>
                <w:sz w:val="18"/>
                <w:szCs w:val="18"/>
              </w:rPr>
            </w:pPr>
            <w:r>
              <w:rPr>
                <w:rFonts w:ascii="Arial"/>
                <w:sz w:val="18"/>
              </w:rPr>
              <w:t>525.81</w:t>
            </w: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8" w:right="0"/>
              <w:jc w:val="center"/>
              <w:rPr>
                <w:rFonts w:ascii="Arial" w:hAnsi="Arial" w:cs="Arial" w:eastAsia="Arial" w:hint="default"/>
                <w:sz w:val="18"/>
                <w:szCs w:val="18"/>
              </w:rPr>
            </w:pPr>
            <w:r>
              <w:rPr>
                <w:rFonts w:ascii="Arial"/>
                <w:sz w:val="18"/>
              </w:rPr>
              <w:t>18.08%</w:t>
            </w:r>
          </w:p>
        </w:tc>
        <w:tc>
          <w:tcPr>
            <w:tcW w:w="737" w:type="dxa"/>
            <w:tcBorders>
              <w:top w:val="nil" w:sz="6" w:space="0" w:color="auto"/>
              <w:left w:val="single" w:sz="4" w:space="0" w:color="000000"/>
              <w:bottom w:val="nil" w:sz="6" w:space="0" w:color="auto"/>
              <w:right w:val="single" w:sz="4" w:space="0" w:color="000000"/>
            </w:tcBorders>
          </w:tcPr>
          <w:p>
            <w:pPr>
              <w:pStyle w:val="TableParagraph"/>
              <w:spacing w:line="316" w:lineRule="auto" w:before="11"/>
              <w:ind w:left="23" w:right="161"/>
              <w:jc w:val="left"/>
              <w:rPr>
                <w:rFonts w:ascii="宋体" w:hAnsi="宋体" w:cs="宋体" w:eastAsia="宋体" w:hint="default"/>
                <w:sz w:val="18"/>
                <w:szCs w:val="18"/>
              </w:rPr>
            </w:pPr>
            <w:r>
              <w:rPr>
                <w:rFonts w:ascii="宋体" w:hAnsi="宋体" w:cs="宋体" w:eastAsia="宋体" w:hint="default"/>
                <w:sz w:val="18"/>
                <w:szCs w:val="18"/>
              </w:rPr>
              <w:t>建设过 程中</w:t>
            </w:r>
          </w:p>
        </w:tc>
        <w:tc>
          <w:tcPr>
            <w:tcW w:w="736" w:type="dxa"/>
            <w:vMerge/>
            <w:tcBorders>
              <w:left w:val="single" w:sz="4" w:space="0" w:color="000000"/>
              <w:right w:val="single" w:sz="4" w:space="0" w:color="000000"/>
            </w:tcBorders>
          </w:tcPr>
          <w:p>
            <w:pPr/>
          </w:p>
        </w:tc>
        <w:tc>
          <w:tcPr>
            <w:tcW w:w="736" w:type="dxa"/>
            <w:vMerge/>
            <w:tcBorders>
              <w:left w:val="single" w:sz="4" w:space="0" w:color="000000"/>
              <w:right w:val="single" w:sz="4" w:space="0" w:color="000000"/>
            </w:tcBorders>
          </w:tcPr>
          <w:p>
            <w:pPr/>
          </w:p>
        </w:tc>
        <w:tc>
          <w:tcPr>
            <w:tcW w:w="737" w:type="dxa"/>
            <w:vMerge/>
            <w:tcBorders>
              <w:left w:val="single" w:sz="4" w:space="0" w:color="000000"/>
              <w:right w:val="single" w:sz="4" w:space="0" w:color="000000"/>
            </w:tcBorders>
          </w:tcPr>
          <w:p>
            <w:pPr/>
          </w:p>
        </w:tc>
        <w:tc>
          <w:tcPr>
            <w:tcW w:w="736"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其他</w:t>
            </w:r>
          </w:p>
        </w:tc>
      </w:tr>
      <w:tr>
        <w:trPr>
          <w:trHeight w:val="352" w:hRule="exact"/>
        </w:trPr>
        <w:tc>
          <w:tcPr>
            <w:tcW w:w="73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6"/>
              <w:ind w:left="22" w:right="0"/>
              <w:jc w:val="left"/>
              <w:rPr>
                <w:rFonts w:ascii="宋体" w:hAnsi="宋体" w:cs="宋体" w:eastAsia="宋体" w:hint="default"/>
                <w:sz w:val="18"/>
                <w:szCs w:val="18"/>
              </w:rPr>
            </w:pPr>
            <w:r>
              <w:rPr>
                <w:rFonts w:ascii="宋体" w:hAnsi="宋体" w:cs="宋体" w:eastAsia="宋体" w:hint="default"/>
                <w:sz w:val="18"/>
                <w:szCs w:val="18"/>
              </w:rPr>
              <w:t>基地</w:t>
            </w: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c>
          <w:tcPr>
            <w:tcW w:w="737" w:type="dxa"/>
            <w:tcBorders>
              <w:top w:val="nil" w:sz="6" w:space="0" w:color="auto"/>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6" w:type="dxa"/>
            <w:vMerge/>
            <w:tcBorders>
              <w:left w:val="single" w:sz="4" w:space="0" w:color="000000"/>
              <w:bottom w:val="single" w:sz="4" w:space="0" w:color="000000"/>
              <w:right w:val="single" w:sz="4" w:space="0" w:color="000000"/>
            </w:tcBorders>
          </w:tcPr>
          <w:p>
            <w:pPr/>
          </w:p>
        </w:tc>
        <w:tc>
          <w:tcPr>
            <w:tcW w:w="737" w:type="dxa"/>
            <w:vMerge/>
            <w:tcBorders>
              <w:left w:val="single" w:sz="4" w:space="0" w:color="000000"/>
              <w:bottom w:val="single" w:sz="4" w:space="0" w:color="000000"/>
              <w:right w:val="single" w:sz="4" w:space="0" w:color="000000"/>
            </w:tcBorders>
          </w:tcPr>
          <w:p>
            <w:pPr/>
          </w:p>
        </w:tc>
        <w:tc>
          <w:tcPr>
            <w:tcW w:w="736" w:type="dxa"/>
            <w:tcBorders>
              <w:top w:val="nil" w:sz="6" w:space="0" w:color="auto"/>
              <w:left w:val="single" w:sz="4" w:space="0" w:color="000000"/>
              <w:bottom w:val="single" w:sz="4" w:space="0" w:color="000000"/>
              <w:right w:val="single" w:sz="4" w:space="0" w:color="000000"/>
            </w:tcBorders>
          </w:tcPr>
          <w:p>
            <w:pPr/>
          </w:p>
        </w:tc>
      </w:tr>
      <w:tr>
        <w:trPr>
          <w:trHeight w:val="714" w:hRule="exact"/>
        </w:trPr>
        <w:tc>
          <w:tcPr>
            <w:tcW w:w="7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Arial" w:hAnsi="Arial" w:cs="Arial" w:eastAsia="Arial" w:hint="default"/>
                <w:sz w:val="18"/>
                <w:szCs w:val="18"/>
              </w:rPr>
            </w:pPr>
            <w:r>
              <w:rPr>
                <w:rFonts w:ascii="Arial"/>
                <w:sz w:val="18"/>
              </w:rPr>
              <w:t>707,067</w:t>
            </w:r>
          </w:p>
          <w:p>
            <w:pPr>
              <w:pStyle w:val="TableParagraph"/>
              <w:spacing w:line="240" w:lineRule="auto" w:before="105"/>
              <w:ind w:left="103" w:right="0"/>
              <w:jc w:val="left"/>
              <w:rPr>
                <w:rFonts w:ascii="Arial" w:hAnsi="Arial" w:cs="Arial" w:eastAsia="Arial" w:hint="default"/>
                <w:sz w:val="18"/>
                <w:szCs w:val="18"/>
              </w:rPr>
            </w:pPr>
            <w:r>
              <w:rPr>
                <w:rFonts w:ascii="Arial"/>
                <w:sz w:val="18"/>
              </w:rPr>
              <w:t>,100.00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3" w:right="0"/>
              <w:jc w:val="left"/>
              <w:rPr>
                <w:rFonts w:ascii="Arial" w:hAnsi="Arial" w:cs="Arial" w:eastAsia="Arial" w:hint="default"/>
                <w:sz w:val="18"/>
                <w:szCs w:val="18"/>
              </w:rPr>
            </w:pPr>
            <w:r>
              <w:rPr>
                <w:rFonts w:ascii="Arial"/>
                <w:sz w:val="18"/>
              </w:rPr>
              <w:t>206,642</w:t>
            </w:r>
          </w:p>
          <w:p>
            <w:pPr>
              <w:pStyle w:val="TableParagraph"/>
              <w:spacing w:line="240" w:lineRule="auto" w:before="105"/>
              <w:ind w:left="104" w:right="0"/>
              <w:jc w:val="left"/>
              <w:rPr>
                <w:rFonts w:ascii="Arial" w:hAnsi="Arial" w:cs="Arial" w:eastAsia="Arial" w:hint="default"/>
                <w:sz w:val="18"/>
                <w:szCs w:val="18"/>
              </w:rPr>
            </w:pPr>
            <w:r>
              <w:rPr>
                <w:rFonts w:ascii="Arial"/>
                <w:sz w:val="18"/>
              </w:rPr>
              <w:t>,453.30</w:t>
            </w: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Arial" w:hAnsi="Arial" w:cs="Arial" w:eastAsia="Arial" w:hint="default"/>
                <w:sz w:val="18"/>
                <w:szCs w:val="18"/>
              </w:rPr>
            </w:pPr>
            <w:r>
              <w:rPr>
                <w:rFonts w:ascii="Arial"/>
                <w:sz w:val="18"/>
              </w:rPr>
              <w:t>120,070</w:t>
            </w:r>
          </w:p>
          <w:p>
            <w:pPr>
              <w:pStyle w:val="TableParagraph"/>
              <w:spacing w:line="240" w:lineRule="auto" w:before="105"/>
              <w:ind w:left="103" w:right="0"/>
              <w:jc w:val="left"/>
              <w:rPr>
                <w:rFonts w:ascii="Arial" w:hAnsi="Arial" w:cs="Arial" w:eastAsia="Arial" w:hint="default"/>
                <w:sz w:val="18"/>
                <w:szCs w:val="18"/>
              </w:rPr>
            </w:pPr>
            <w:r>
              <w:rPr>
                <w:rFonts w:ascii="Arial"/>
                <w:sz w:val="18"/>
              </w:rPr>
              <w:t>,894.52</w:t>
            </w: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Arial" w:hAnsi="Arial" w:cs="Arial" w:eastAsia="Arial" w:hint="default"/>
                <w:sz w:val="18"/>
                <w:szCs w:val="18"/>
              </w:rPr>
            </w:pPr>
            <w:r>
              <w:rPr>
                <w:rFonts w:ascii="Arial"/>
                <w:sz w:val="18"/>
              </w:rPr>
              <w:t>326,713</w:t>
            </w:r>
          </w:p>
          <w:p>
            <w:pPr>
              <w:pStyle w:val="TableParagraph"/>
              <w:spacing w:line="240" w:lineRule="auto" w:before="105"/>
              <w:ind w:left="103" w:right="0"/>
              <w:jc w:val="left"/>
              <w:rPr>
                <w:rFonts w:ascii="Arial" w:hAnsi="Arial" w:cs="Arial" w:eastAsia="Arial" w:hint="default"/>
                <w:sz w:val="18"/>
                <w:szCs w:val="18"/>
              </w:rPr>
            </w:pPr>
            <w:r>
              <w:rPr>
                <w:rFonts w:ascii="Arial"/>
                <w:sz w:val="18"/>
              </w:rPr>
              <w:t>,347.82</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Arial" w:hAnsi="Arial" w:cs="Arial" w:eastAsia="Arial" w:hint="default"/>
                <w:sz w:val="18"/>
                <w:szCs w:val="18"/>
              </w:rPr>
            </w:pPr>
            <w:r>
              <w:rPr>
                <w:rFonts w:ascii="Arial"/>
                <w:sz w:val="18"/>
              </w:rPr>
              <w:t>--</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w:t>
            </w:r>
          </w:p>
        </w:tc>
        <w:tc>
          <w:tcPr>
            <w:tcW w:w="736"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01"/>
              <w:jc w:val="right"/>
              <w:rPr>
                <w:rFonts w:ascii="Arial" w:hAnsi="Arial" w:cs="Arial" w:eastAsia="Arial" w:hint="default"/>
                <w:sz w:val="18"/>
                <w:szCs w:val="18"/>
              </w:rPr>
            </w:pPr>
            <w:r>
              <w:rPr>
                <w:rFonts w:ascii="Arial"/>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t>（</w:t>
      </w:r>
      <w:r>
        <w:rPr>
          <w:rFonts w:ascii="Arial" w:hAnsi="Arial" w:cs="Arial" w:eastAsia="Arial" w:hint="default"/>
        </w:rPr>
        <w:t>3</w:t>
      </w:r>
      <w:r>
        <w:rPr/>
        <w:t>）本期计提在建工程减值准备情况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1"/>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50" w:right="0"/>
              <w:jc w:val="left"/>
              <w:rPr>
                <w:rFonts w:ascii="宋体" w:hAnsi="宋体" w:cs="宋体" w:eastAsia="宋体" w:hint="default"/>
                <w:sz w:val="18"/>
                <w:szCs w:val="18"/>
              </w:rPr>
            </w:pPr>
            <w:r>
              <w:rPr>
                <w:rFonts w:ascii="宋体" w:hAnsi="宋体" w:cs="宋体" w:eastAsia="宋体" w:hint="default"/>
                <w:sz w:val="18"/>
                <w:szCs w:val="18"/>
              </w:rPr>
              <w:t>本期计提金额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计提原因</w:t>
            </w:r>
          </w:p>
        </w:tc>
      </w:tr>
    </w:tbl>
    <w:p>
      <w:pPr>
        <w:pStyle w:val="BodyText"/>
        <w:spacing w:line="357" w:lineRule="auto" w:before="52"/>
        <w:ind w:right="8050"/>
        <w:jc w:val="left"/>
      </w:pPr>
      <w:r>
        <w:rPr/>
        <w:t>其他说明 期末，在建工程不存在减值情形。</w:t>
      </w:r>
    </w:p>
    <w:p>
      <w:pPr>
        <w:spacing w:line="240" w:lineRule="auto" w:before="1"/>
        <w:rPr>
          <w:rFonts w:ascii="宋体" w:hAnsi="宋体" w:cs="宋体" w:eastAsia="宋体" w:hint="default"/>
          <w:sz w:val="20"/>
          <w:szCs w:val="20"/>
        </w:rPr>
      </w:pPr>
    </w:p>
    <w:p>
      <w:pPr>
        <w:pStyle w:val="Heading4"/>
        <w:spacing w:line="240" w:lineRule="auto"/>
        <w:ind w:right="2239"/>
        <w:jc w:val="left"/>
        <w:rPr>
          <w:b w:val="0"/>
          <w:bCs w:val="0"/>
        </w:rPr>
      </w:pPr>
      <w:r>
        <w:rPr/>
        <w:t>（</w:t>
      </w:r>
      <w:r>
        <w:rPr>
          <w:rFonts w:ascii="Arial" w:hAnsi="Arial" w:cs="Arial" w:eastAsia="Arial" w:hint="default"/>
        </w:rPr>
        <w:t>4</w:t>
      </w:r>
      <w:r>
        <w:rPr/>
        <w:t>）工程物资</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132"/>
        <w:gridCol w:w="1328"/>
        <w:gridCol w:w="1328"/>
        <w:gridCol w:w="1196"/>
        <w:gridCol w:w="1195"/>
        <w:gridCol w:w="1196"/>
        <w:gridCol w:w="1190"/>
      </w:tblGrid>
      <w:tr>
        <w:trPr>
          <w:trHeight w:val="402" w:hRule="exact"/>
        </w:trPr>
        <w:tc>
          <w:tcPr>
            <w:tcW w:w="213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853"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582"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132" w:type="dxa"/>
            <w:vMerge/>
            <w:tcBorders>
              <w:left w:val="single" w:sz="4" w:space="0" w:color="000000"/>
              <w:bottom w:val="single" w:sz="4" w:space="0" w:color="000000"/>
              <w:right w:val="single" w:sz="4" w:space="0" w:color="000000"/>
            </w:tcBorders>
            <w:shd w:val="clear" w:color="auto" w:fill="D3D3D3"/>
          </w:tcPr>
          <w:p>
            <w:pP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98"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0"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right="9850"/>
        <w:jc w:val="left"/>
      </w:pPr>
      <w:r>
        <w:rPr/>
        <w:t>其他说明： 无。</w:t>
      </w:r>
    </w:p>
    <w:p>
      <w:pPr>
        <w:spacing w:line="240" w:lineRule="auto" w:before="11"/>
        <w:rPr>
          <w:rFonts w:ascii="宋体" w:hAnsi="宋体" w:cs="宋体" w:eastAsia="宋体" w:hint="default"/>
          <w:sz w:val="19"/>
          <w:szCs w:val="19"/>
        </w:rPr>
      </w:pPr>
    </w:p>
    <w:p>
      <w:pPr>
        <w:pStyle w:val="Heading4"/>
        <w:spacing w:line="240" w:lineRule="auto"/>
        <w:ind w:right="2239"/>
        <w:jc w:val="left"/>
        <w:rPr>
          <w:b w:val="0"/>
          <w:bCs w:val="0"/>
        </w:rPr>
      </w:pPr>
      <w:r>
        <w:rPr>
          <w:rFonts w:ascii="Arial" w:hAnsi="Arial" w:cs="Arial" w:eastAsia="Arial" w:hint="default"/>
        </w:rPr>
        <w:t>23</w:t>
      </w:r>
      <w:r>
        <w:rPr/>
        <w:t>、生产性生物资产</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2239"/>
        <w:jc w:val="left"/>
        <w:rPr>
          <w:b w:val="0"/>
          <w:bCs w:val="0"/>
        </w:rPr>
      </w:pPr>
      <w:r>
        <w:rPr/>
        <w:t>（</w:t>
      </w:r>
      <w:r>
        <w:rPr>
          <w:rFonts w:ascii="Arial" w:hAnsi="Arial" w:cs="Arial" w:eastAsia="Arial" w:hint="default"/>
        </w:rPr>
        <w:t>1</w:t>
      </w:r>
      <w:r>
        <w:rPr/>
        <w:t>）采用成本计量模式的生产性生物资产</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after="0" w:line="240" w:lineRule="auto"/>
        <w:jc w:val="left"/>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2239"/>
        <w:jc w:val="left"/>
        <w:rPr>
          <w:b w:val="0"/>
          <w:bCs w:val="0"/>
        </w:rPr>
      </w:pPr>
      <w:r>
        <w:rPr/>
        <w:t>（</w:t>
      </w:r>
      <w:r>
        <w:rPr>
          <w:rFonts w:ascii="Arial" w:hAnsi="Arial" w:cs="Arial" w:eastAsia="Arial" w:hint="default"/>
        </w:rPr>
        <w:t>2</w:t>
      </w:r>
      <w:r>
        <w:rPr/>
        <w:t>）采用公允价值计量模式的生产性生物资产</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2239"/>
        <w:jc w:val="left"/>
        <w:rPr>
          <w:b w:val="0"/>
          <w:bCs w:val="0"/>
        </w:rPr>
      </w:pPr>
      <w:r>
        <w:rPr>
          <w:rFonts w:ascii="Arial" w:hAnsi="Arial" w:cs="Arial" w:eastAsia="Arial" w:hint="default"/>
        </w:rPr>
        <w:t>24</w:t>
      </w:r>
      <w:r>
        <w:rPr/>
        <w:t>、油气资产</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2239"/>
        <w:jc w:val="left"/>
        <w:rPr>
          <w:b w:val="0"/>
          <w:bCs w:val="0"/>
        </w:rPr>
      </w:pPr>
      <w:r>
        <w:rPr>
          <w:rFonts w:ascii="Arial" w:hAnsi="Arial" w:cs="Arial" w:eastAsia="Arial" w:hint="default"/>
        </w:rPr>
        <w:t>25</w:t>
      </w:r>
      <w:r>
        <w:rPr/>
        <w:t>、使用权资产</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7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合计</w:t>
            </w:r>
          </w:p>
        </w:tc>
      </w:tr>
    </w:tbl>
    <w:p>
      <w:pPr>
        <w:pStyle w:val="BodyText"/>
        <w:spacing w:line="360" w:lineRule="auto" w:before="51"/>
        <w:ind w:right="9850"/>
        <w:jc w:val="left"/>
      </w:pPr>
      <w:r>
        <w:rPr/>
        <w:t>其他说明： 无。</w:t>
      </w:r>
    </w:p>
    <w:p>
      <w:pPr>
        <w:spacing w:line="240" w:lineRule="auto" w:before="11"/>
        <w:rPr>
          <w:rFonts w:ascii="宋体" w:hAnsi="宋体" w:cs="宋体" w:eastAsia="宋体" w:hint="default"/>
          <w:sz w:val="19"/>
          <w:szCs w:val="19"/>
        </w:rPr>
      </w:pPr>
    </w:p>
    <w:p>
      <w:pPr>
        <w:pStyle w:val="Heading4"/>
        <w:spacing w:line="240" w:lineRule="auto"/>
        <w:ind w:right="2239"/>
        <w:jc w:val="left"/>
        <w:rPr>
          <w:b w:val="0"/>
          <w:bCs w:val="0"/>
        </w:rPr>
      </w:pPr>
      <w:r>
        <w:rPr>
          <w:rFonts w:ascii="Arial" w:hAnsi="Arial" w:cs="Arial" w:eastAsia="Arial" w:hint="default"/>
        </w:rPr>
        <w:t>26</w:t>
      </w:r>
      <w:r>
        <w:rPr/>
        <w:t>、无形资产</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2239"/>
        <w:jc w:val="left"/>
        <w:rPr>
          <w:b w:val="0"/>
          <w:bCs w:val="0"/>
        </w:rPr>
      </w:pPr>
      <w:r>
        <w:rPr/>
        <w:t>（</w:t>
      </w:r>
      <w:r>
        <w:rPr>
          <w:rFonts w:ascii="Arial" w:hAnsi="Arial" w:cs="Arial" w:eastAsia="Arial" w:hint="default"/>
        </w:rPr>
        <w:t>1</w:t>
      </w:r>
      <w:r>
        <w:rPr/>
        <w:t>）无形资产情况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4"/>
        <w:gridCol w:w="1378"/>
        <w:gridCol w:w="1368"/>
        <w:gridCol w:w="1367"/>
        <w:gridCol w:w="1367"/>
        <w:gridCol w:w="1367"/>
        <w:gridCol w:w="1367"/>
      </w:tblGrid>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3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39"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专利权</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8" w:right="0"/>
              <w:jc w:val="left"/>
              <w:rPr>
                <w:rFonts w:ascii="宋体" w:hAnsi="宋体" w:cs="宋体" w:eastAsia="宋体" w:hint="default"/>
                <w:sz w:val="18"/>
                <w:szCs w:val="18"/>
              </w:rPr>
            </w:pPr>
            <w:r>
              <w:rPr>
                <w:rFonts w:ascii="宋体" w:hAnsi="宋体" w:cs="宋体" w:eastAsia="宋体" w:hint="default"/>
                <w:sz w:val="18"/>
                <w:szCs w:val="18"/>
              </w:rPr>
              <w:t>非专利技术</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7" w:right="0"/>
              <w:jc w:val="left"/>
              <w:rPr>
                <w:rFonts w:ascii="宋体" w:hAnsi="宋体" w:cs="宋体" w:eastAsia="宋体" w:hint="default"/>
                <w:sz w:val="18"/>
                <w:szCs w:val="18"/>
              </w:rPr>
            </w:pPr>
            <w:r>
              <w:rPr>
                <w:rFonts w:ascii="宋体" w:hAnsi="宋体" w:cs="宋体" w:eastAsia="宋体" w:hint="default"/>
                <w:sz w:val="18"/>
                <w:szCs w:val="18"/>
              </w:rPr>
              <w:t>计算机软件</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37" w:right="0"/>
              <w:jc w:val="left"/>
              <w:rPr>
                <w:rFonts w:ascii="宋体" w:hAnsi="宋体" w:cs="宋体" w:eastAsia="宋体" w:hint="default"/>
                <w:sz w:val="18"/>
                <w:szCs w:val="18"/>
              </w:rPr>
            </w:pPr>
            <w:r>
              <w:rPr>
                <w:rFonts w:ascii="宋体" w:hAnsi="宋体" w:cs="宋体" w:eastAsia="宋体" w:hint="default"/>
                <w:sz w:val="18"/>
                <w:szCs w:val="18"/>
              </w:rPr>
              <w:t>自行开发软件</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一、账面原值</w:t>
            </w:r>
          </w:p>
        </w:tc>
        <w:tc>
          <w:tcPr>
            <w:tcW w:w="137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1"/>
              <w:jc w:val="right"/>
              <w:rPr>
                <w:rFonts w:ascii="宋体" w:hAnsi="宋体" w:cs="宋体" w:eastAsia="宋体" w:hint="default"/>
                <w:sz w:val="18"/>
                <w:szCs w:val="18"/>
              </w:rPr>
            </w:pPr>
            <w:r>
              <w:rPr>
                <w:rFonts w:ascii="Arial" w:hAnsi="Arial" w:cs="Arial" w:eastAsia="Arial" w:hint="default"/>
                <w:spacing w:val="-1"/>
                <w:sz w:val="18"/>
                <w:szCs w:val="18"/>
              </w:rPr>
              <w:t>1.</w:t>
            </w:r>
            <w:r>
              <w:rPr>
                <w:rFonts w:ascii="宋体" w:hAnsi="宋体" w:cs="宋体" w:eastAsia="宋体" w:hint="default"/>
                <w:spacing w:val="-1"/>
                <w:sz w:val="18"/>
                <w:szCs w:val="18"/>
              </w:rPr>
              <w:t>期初余额</w:t>
            </w:r>
          </w:p>
        </w:tc>
        <w:tc>
          <w:tcPr>
            <w:tcW w:w="13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83" w:right="0"/>
              <w:jc w:val="left"/>
              <w:rPr>
                <w:rFonts w:ascii="Arial" w:hAnsi="Arial" w:cs="Arial" w:eastAsia="Arial" w:hint="default"/>
                <w:sz w:val="18"/>
                <w:szCs w:val="18"/>
              </w:rPr>
            </w:pPr>
            <w:r>
              <w:rPr>
                <w:rFonts w:ascii="Arial"/>
                <w:sz w:val="18"/>
              </w:rPr>
              <w:t>92,901,720.10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34,939,015.16</w:t>
            </w:r>
            <w:r>
              <w:rPr>
                <w:rFonts w:ascii="Arial"/>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Arial" w:hAnsi="Arial" w:cs="Arial" w:eastAsia="Arial" w:hint="default"/>
                <w:sz w:val="18"/>
                <w:szCs w:val="18"/>
              </w:rPr>
            </w:pPr>
            <w:r>
              <w:rPr>
                <w:rFonts w:ascii="Arial"/>
                <w:sz w:val="18"/>
              </w:rPr>
              <w:t>208,365,945.64</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336,206,680.90</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91" w:firstLine="36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本期增加 金额</w:t>
            </w:r>
          </w:p>
        </w:tc>
        <w:tc>
          <w:tcPr>
            <w:tcW w:w="13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83" w:right="0"/>
              <w:jc w:val="left"/>
              <w:rPr>
                <w:rFonts w:ascii="Arial" w:hAnsi="Arial" w:cs="Arial" w:eastAsia="Arial" w:hint="default"/>
                <w:sz w:val="18"/>
                <w:szCs w:val="18"/>
              </w:rPr>
            </w:pPr>
            <w:r>
              <w:rPr>
                <w:rFonts w:ascii="Arial"/>
                <w:sz w:val="18"/>
              </w:rPr>
              <w:t>1,068,300.00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10,386,421.24</w:t>
            </w:r>
            <w:r>
              <w:rPr>
                <w:rFonts w:ascii="Arial"/>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 w:right="0"/>
              <w:jc w:val="left"/>
              <w:rPr>
                <w:rFonts w:ascii="Arial" w:hAnsi="Arial" w:cs="Arial" w:eastAsia="Arial" w:hint="default"/>
                <w:sz w:val="18"/>
                <w:szCs w:val="18"/>
              </w:rPr>
            </w:pPr>
            <w:r>
              <w:rPr>
                <w:rFonts w:ascii="Arial"/>
                <w:sz w:val="18"/>
              </w:rPr>
              <w:t>53,004,553.21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64,459,274.45</w:t>
            </w:r>
            <w:r>
              <w:rPr>
                <w:rFonts w:ascii="Arial"/>
                <w:sz w:val="18"/>
              </w:rPr>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6"/>
                <w:sz w:val="18"/>
                <w:szCs w:val="18"/>
              </w:rPr>
              <w:t>（</w:t>
            </w:r>
            <w:r>
              <w:rPr>
                <w:rFonts w:ascii="Arial" w:hAnsi="Arial" w:cs="Arial" w:eastAsia="Arial" w:hint="default"/>
                <w:spacing w:val="-6"/>
                <w:sz w:val="18"/>
                <w:szCs w:val="18"/>
              </w:rPr>
              <w:t>1</w:t>
            </w:r>
            <w:r>
              <w:rPr>
                <w:rFonts w:ascii="宋体" w:hAnsi="宋体" w:cs="宋体" w:eastAsia="宋体" w:hint="default"/>
                <w:spacing w:val="-6"/>
                <w:sz w:val="18"/>
                <w:szCs w:val="18"/>
              </w:rPr>
              <w:t>）购置</w:t>
            </w:r>
          </w:p>
        </w:tc>
        <w:tc>
          <w:tcPr>
            <w:tcW w:w="13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83" w:right="0"/>
              <w:jc w:val="left"/>
              <w:rPr>
                <w:rFonts w:ascii="Arial" w:hAnsi="Arial" w:cs="Arial" w:eastAsia="Arial" w:hint="default"/>
                <w:sz w:val="18"/>
                <w:szCs w:val="18"/>
              </w:rPr>
            </w:pPr>
            <w:r>
              <w:rPr>
                <w:rFonts w:ascii="Arial"/>
                <w:sz w:val="18"/>
              </w:rPr>
              <w:t>1,068,300.00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10,386,421.24</w:t>
            </w:r>
            <w:r>
              <w:rPr>
                <w:rFonts w:ascii="Arial"/>
                <w:sz w:val="18"/>
              </w:rPr>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2"/>
                <w:sz w:val="18"/>
              </w:rPr>
              <w:t>11,454,721.24</w:t>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27" w:right="0"/>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Arial" w:hAnsi="Arial" w:cs="Arial" w:eastAsia="Arial" w:hint="default"/>
                <w:spacing w:val="-6"/>
                <w:sz w:val="18"/>
                <w:szCs w:val="18"/>
              </w:rPr>
              <w:t>2</w:t>
            </w:r>
            <w:r>
              <w:rPr>
                <w:rFonts w:ascii="宋体" w:hAnsi="宋体" w:cs="宋体" w:eastAsia="宋体" w:hint="default"/>
                <w:spacing w:val="-6"/>
                <w:sz w:val="18"/>
                <w:szCs w:val="18"/>
              </w:rPr>
              <w:t>）内部</w:t>
            </w:r>
          </w:p>
          <w:p>
            <w:pPr>
              <w:pStyle w:val="TableParagraph"/>
              <w:spacing w:line="240" w:lineRule="auto" w:before="65"/>
              <w:ind w:left="11" w:right="0"/>
              <w:jc w:val="left"/>
              <w:rPr>
                <w:rFonts w:ascii="宋体" w:hAnsi="宋体" w:cs="宋体" w:eastAsia="宋体" w:hint="default"/>
                <w:sz w:val="18"/>
                <w:szCs w:val="18"/>
              </w:rPr>
            </w:pPr>
            <w:r>
              <w:rPr>
                <w:rFonts w:ascii="宋体" w:hAnsi="宋体" w:cs="宋体" w:eastAsia="宋体" w:hint="default"/>
                <w:sz w:val="18"/>
                <w:szCs w:val="18"/>
              </w:rPr>
              <w:t>研发</w:t>
            </w:r>
          </w:p>
        </w:tc>
        <w:tc>
          <w:tcPr>
            <w:tcW w:w="137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83" w:right="0"/>
              <w:jc w:val="left"/>
              <w:rPr>
                <w:rFonts w:ascii="Arial" w:hAnsi="Arial" w:cs="Arial" w:eastAsia="Arial" w:hint="default"/>
                <w:sz w:val="18"/>
                <w:szCs w:val="18"/>
              </w:rPr>
            </w:pPr>
            <w:r>
              <w:rPr>
                <w:rFonts w:ascii="Arial"/>
                <w:sz w:val="18"/>
              </w:rPr>
              <w:t>53,004,553.21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53,004,553.21</w:t>
            </w:r>
            <w:r>
              <w:rPr>
                <w:rFonts w:ascii="Arial"/>
                <w:sz w:val="18"/>
              </w:rPr>
            </w: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10" w:firstLine="516"/>
              <w:jc w:val="left"/>
              <w:rPr>
                <w:rFonts w:ascii="宋体" w:hAnsi="宋体" w:cs="宋体" w:eastAsia="宋体" w:hint="default"/>
                <w:sz w:val="18"/>
                <w:szCs w:val="18"/>
              </w:rPr>
            </w:pPr>
            <w:r>
              <w:rPr>
                <w:rFonts w:ascii="宋体" w:hAnsi="宋体" w:cs="宋体" w:eastAsia="宋体" w:hint="default"/>
                <w:spacing w:val="-6"/>
                <w:sz w:val="18"/>
                <w:szCs w:val="18"/>
              </w:rPr>
              <w:t>（</w:t>
            </w:r>
            <w:r>
              <w:rPr>
                <w:rFonts w:ascii="Arial" w:hAnsi="Arial" w:cs="Arial" w:eastAsia="Arial" w:hint="default"/>
                <w:spacing w:val="-6"/>
                <w:sz w:val="18"/>
                <w:szCs w:val="18"/>
              </w:rPr>
              <w:t>3</w:t>
            </w:r>
            <w:r>
              <w:rPr>
                <w:rFonts w:ascii="宋体" w:hAnsi="宋体" w:cs="宋体" w:eastAsia="宋体" w:hint="default"/>
                <w:spacing w:val="-6"/>
                <w:sz w:val="18"/>
                <w:szCs w:val="18"/>
              </w:rPr>
              <w:t>）企业</w:t>
            </w:r>
            <w:r>
              <w:rPr>
                <w:rFonts w:ascii="宋体" w:hAnsi="宋体" w:cs="宋体" w:eastAsia="宋体" w:hint="default"/>
                <w:sz w:val="18"/>
                <w:szCs w:val="18"/>
              </w:rPr>
              <w:t> 合并增加</w:t>
            </w:r>
          </w:p>
        </w:tc>
        <w:tc>
          <w:tcPr>
            <w:tcW w:w="137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7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91" w:firstLine="18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本期减少金 额</w:t>
            </w:r>
          </w:p>
        </w:tc>
        <w:tc>
          <w:tcPr>
            <w:tcW w:w="137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8,266,819.40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1,188,589.86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9,455,409.26</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right"/>
              <w:rPr>
                <w:rFonts w:ascii="宋体" w:hAnsi="宋体" w:cs="宋体" w:eastAsia="宋体" w:hint="default"/>
                <w:sz w:val="18"/>
                <w:szCs w:val="18"/>
              </w:rPr>
            </w:pPr>
            <w:r>
              <w:rPr>
                <w:rFonts w:ascii="宋体" w:hAnsi="宋体" w:cs="宋体" w:eastAsia="宋体" w:hint="default"/>
                <w:spacing w:val="-6"/>
                <w:sz w:val="18"/>
                <w:szCs w:val="18"/>
              </w:rPr>
              <w:t>（</w:t>
            </w:r>
            <w:r>
              <w:rPr>
                <w:rFonts w:ascii="Arial" w:hAnsi="Arial" w:cs="Arial" w:eastAsia="Arial" w:hint="default"/>
                <w:spacing w:val="-6"/>
                <w:sz w:val="18"/>
                <w:szCs w:val="18"/>
              </w:rPr>
              <w:t>1</w:t>
            </w:r>
            <w:r>
              <w:rPr>
                <w:rFonts w:ascii="宋体" w:hAnsi="宋体" w:cs="宋体" w:eastAsia="宋体" w:hint="default"/>
                <w:spacing w:val="-6"/>
                <w:sz w:val="18"/>
                <w:szCs w:val="18"/>
              </w:rPr>
              <w:t>）处置</w:t>
            </w:r>
          </w:p>
        </w:tc>
        <w:tc>
          <w:tcPr>
            <w:tcW w:w="137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8,266,819.40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1,188,589.86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9,455,409.26</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7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1"/>
              <w:jc w:val="right"/>
              <w:rPr>
                <w:rFonts w:ascii="宋体" w:hAnsi="宋体" w:cs="宋体" w:eastAsia="宋体" w:hint="default"/>
                <w:sz w:val="18"/>
                <w:szCs w:val="18"/>
              </w:rPr>
            </w:pPr>
            <w:r>
              <w:rPr>
                <w:rFonts w:ascii="Arial" w:hAnsi="Arial" w:cs="Arial" w:eastAsia="Arial" w:hint="default"/>
                <w:spacing w:val="-1"/>
                <w:sz w:val="18"/>
                <w:szCs w:val="18"/>
              </w:rPr>
              <w:t>4.</w:t>
            </w:r>
            <w:r>
              <w:rPr>
                <w:rFonts w:ascii="宋体" w:hAnsi="宋体" w:cs="宋体" w:eastAsia="宋体" w:hint="default"/>
                <w:spacing w:val="-1"/>
                <w:sz w:val="18"/>
                <w:szCs w:val="18"/>
              </w:rPr>
              <w:t>期末余额</w:t>
            </w:r>
          </w:p>
        </w:tc>
        <w:tc>
          <w:tcPr>
            <w:tcW w:w="13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183" w:right="0"/>
              <w:jc w:val="left"/>
              <w:rPr>
                <w:rFonts w:ascii="Arial" w:hAnsi="Arial" w:cs="Arial" w:eastAsia="Arial" w:hint="default"/>
                <w:sz w:val="18"/>
                <w:szCs w:val="18"/>
              </w:rPr>
            </w:pPr>
            <w:r>
              <w:rPr>
                <w:rFonts w:ascii="Arial"/>
                <w:sz w:val="18"/>
              </w:rPr>
              <w:t>93,970,020.10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37,058,617.00</w:t>
            </w:r>
            <w:r>
              <w:rPr>
                <w:rFonts w:ascii="Arial"/>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Arial" w:hAnsi="Arial" w:cs="Arial" w:eastAsia="Arial" w:hint="default"/>
                <w:sz w:val="18"/>
                <w:szCs w:val="18"/>
              </w:rPr>
            </w:pPr>
            <w:r>
              <w:rPr>
                <w:rFonts w:ascii="Arial"/>
                <w:sz w:val="18"/>
              </w:rPr>
              <w:t>260,181,908.99</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391,210,546.09</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二、累计摊销</w:t>
            </w:r>
          </w:p>
        </w:tc>
        <w:tc>
          <w:tcPr>
            <w:tcW w:w="1378" w:type="dxa"/>
            <w:tcBorders>
              <w:top w:val="single" w:sz="4" w:space="0" w:color="000000"/>
              <w:left w:val="single" w:sz="13" w:space="0" w:color="D3D3D3"/>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1"/>
              <w:jc w:val="right"/>
              <w:rPr>
                <w:rFonts w:ascii="宋体" w:hAnsi="宋体" w:cs="宋体" w:eastAsia="宋体" w:hint="default"/>
                <w:sz w:val="18"/>
                <w:szCs w:val="18"/>
              </w:rPr>
            </w:pPr>
            <w:r>
              <w:rPr>
                <w:rFonts w:ascii="Arial" w:hAnsi="Arial" w:cs="Arial" w:eastAsia="Arial" w:hint="default"/>
                <w:spacing w:val="-1"/>
                <w:sz w:val="18"/>
                <w:szCs w:val="18"/>
              </w:rPr>
              <w:t>1.</w:t>
            </w:r>
            <w:r>
              <w:rPr>
                <w:rFonts w:ascii="宋体" w:hAnsi="宋体" w:cs="宋体" w:eastAsia="宋体" w:hint="default"/>
                <w:spacing w:val="-1"/>
                <w:sz w:val="18"/>
                <w:szCs w:val="18"/>
              </w:rPr>
              <w:t>期初余额</w:t>
            </w:r>
          </w:p>
        </w:tc>
        <w:tc>
          <w:tcPr>
            <w:tcW w:w="13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83" w:right="0"/>
              <w:jc w:val="left"/>
              <w:rPr>
                <w:rFonts w:ascii="Arial" w:hAnsi="Arial" w:cs="Arial" w:eastAsia="Arial" w:hint="default"/>
                <w:sz w:val="18"/>
                <w:szCs w:val="18"/>
              </w:rPr>
            </w:pPr>
            <w:r>
              <w:rPr>
                <w:rFonts w:ascii="Arial"/>
                <w:sz w:val="18"/>
              </w:rPr>
              <w:t>6,626,334.00</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30,507,358.85</w:t>
            </w:r>
            <w:r>
              <w:rPr>
                <w:rFonts w:ascii="Arial"/>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 w:right="0"/>
              <w:jc w:val="left"/>
              <w:rPr>
                <w:rFonts w:ascii="Arial" w:hAnsi="Arial" w:cs="Arial" w:eastAsia="Arial" w:hint="default"/>
                <w:sz w:val="18"/>
                <w:szCs w:val="18"/>
              </w:rPr>
            </w:pPr>
            <w:r>
              <w:rPr>
                <w:rFonts w:ascii="Arial"/>
                <w:sz w:val="18"/>
              </w:rPr>
              <w:t>158,338,277.92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195,471,970.77</w:t>
            </w: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71"/>
              <w:ind w:right="91"/>
              <w:jc w:val="right"/>
              <w:rPr>
                <w:rFonts w:ascii="宋体" w:hAnsi="宋体" w:cs="宋体" w:eastAsia="宋体" w:hint="default"/>
                <w:sz w:val="18"/>
                <w:szCs w:val="18"/>
              </w:rPr>
            </w:pPr>
            <w:r>
              <w:rPr>
                <w:rFonts w:ascii="Arial" w:hAnsi="Arial" w:cs="Arial" w:eastAsia="Arial" w:hint="default"/>
                <w:spacing w:val="-1"/>
                <w:sz w:val="18"/>
                <w:szCs w:val="18"/>
              </w:rPr>
              <w:t>2.</w:t>
            </w:r>
            <w:r>
              <w:rPr>
                <w:rFonts w:ascii="宋体" w:hAnsi="宋体" w:cs="宋体" w:eastAsia="宋体" w:hint="default"/>
                <w:spacing w:val="-1"/>
                <w:sz w:val="18"/>
                <w:szCs w:val="18"/>
              </w:rPr>
              <w:t>本期增加</w:t>
            </w:r>
          </w:p>
        </w:tc>
        <w:tc>
          <w:tcPr>
            <w:tcW w:w="137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83" w:right="0"/>
              <w:jc w:val="left"/>
              <w:rPr>
                <w:rFonts w:ascii="Arial" w:hAnsi="Arial" w:cs="Arial" w:eastAsia="Arial" w:hint="default"/>
                <w:sz w:val="18"/>
                <w:szCs w:val="18"/>
              </w:rPr>
            </w:pPr>
            <w:r>
              <w:rPr>
                <w:rFonts w:ascii="Arial"/>
                <w:sz w:val="18"/>
              </w:rPr>
              <w:t>1,860,893.56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1,462,394.86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3" w:right="0"/>
              <w:jc w:val="left"/>
              <w:rPr>
                <w:rFonts w:ascii="Arial" w:hAnsi="Arial" w:cs="Arial" w:eastAsia="Arial" w:hint="default"/>
                <w:sz w:val="18"/>
                <w:szCs w:val="18"/>
              </w:rPr>
            </w:pPr>
            <w:r>
              <w:rPr>
                <w:rFonts w:ascii="Arial"/>
                <w:sz w:val="18"/>
              </w:rPr>
              <w:t>31,934,261.97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35,257,550.39</w:t>
            </w:r>
            <w:r>
              <w:rPr>
                <w:rFonts w:ascii="Arial"/>
                <w:sz w:val="18"/>
              </w:rPr>
            </w:r>
          </w:p>
        </w:tc>
      </w:tr>
    </w:tbl>
    <w:p>
      <w:pPr>
        <w:spacing w:after="0" w:line="240" w:lineRule="auto"/>
        <w:jc w:val="right"/>
        <w:rPr>
          <w:rFonts w:ascii="Arial" w:hAnsi="Arial" w:cs="Arial" w:eastAsia="Arial"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367"/>
        <w:gridCol w:w="1367"/>
        <w:gridCol w:w="1368"/>
        <w:gridCol w:w="1367"/>
        <w:gridCol w:w="1367"/>
        <w:gridCol w:w="1367"/>
        <w:gridCol w:w="1367"/>
      </w:tblGrid>
      <w:tr>
        <w:trPr>
          <w:trHeight w:val="36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pacing w:val="-6"/>
                <w:sz w:val="18"/>
                <w:szCs w:val="18"/>
              </w:rPr>
              <w:t>（</w:t>
            </w:r>
            <w:r>
              <w:rPr>
                <w:rFonts w:ascii="Arial" w:hAnsi="Arial" w:cs="Arial" w:eastAsia="Arial" w:hint="default"/>
                <w:spacing w:val="-6"/>
                <w:sz w:val="18"/>
                <w:szCs w:val="18"/>
              </w:rPr>
              <w:t>1</w:t>
            </w:r>
            <w:r>
              <w:rPr>
                <w:rFonts w:ascii="宋体" w:hAnsi="宋体" w:cs="宋体" w:eastAsia="宋体" w:hint="default"/>
                <w:spacing w:val="-6"/>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1,860,893.56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1,462,394.86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center"/>
              <w:rPr>
                <w:rFonts w:ascii="Arial" w:hAnsi="Arial" w:cs="Arial" w:eastAsia="Arial" w:hint="default"/>
                <w:sz w:val="18"/>
                <w:szCs w:val="18"/>
              </w:rPr>
            </w:pPr>
            <w:r>
              <w:rPr>
                <w:rFonts w:ascii="Arial"/>
                <w:sz w:val="18"/>
              </w:rPr>
              <w:t>31,934,261.97</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59" w:right="0"/>
              <w:jc w:val="center"/>
              <w:rPr>
                <w:rFonts w:ascii="Arial" w:hAnsi="Arial" w:cs="Arial" w:eastAsia="Arial" w:hint="default"/>
                <w:sz w:val="18"/>
                <w:szCs w:val="18"/>
              </w:rPr>
            </w:pPr>
            <w:r>
              <w:rPr>
                <w:rFonts w:ascii="Arial"/>
                <w:sz w:val="18"/>
              </w:rPr>
              <w:t>35,257,550.39</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02" w:firstLine="36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8,266,819.40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9" w:right="0"/>
              <w:jc w:val="center"/>
              <w:rPr>
                <w:rFonts w:ascii="Arial" w:hAnsi="Arial" w:cs="Arial" w:eastAsia="Arial" w:hint="default"/>
                <w:sz w:val="18"/>
                <w:szCs w:val="18"/>
              </w:rPr>
            </w:pPr>
            <w:r>
              <w:rPr>
                <w:rFonts w:ascii="Arial"/>
                <w:sz w:val="18"/>
              </w:rPr>
              <w:t>1,188,589.86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9" w:right="0"/>
              <w:jc w:val="center"/>
              <w:rPr>
                <w:rFonts w:ascii="Arial" w:hAnsi="Arial" w:cs="Arial" w:eastAsia="Arial" w:hint="default"/>
                <w:sz w:val="18"/>
                <w:szCs w:val="18"/>
              </w:rPr>
            </w:pPr>
            <w:r>
              <w:rPr>
                <w:rFonts w:ascii="Arial"/>
                <w:sz w:val="18"/>
              </w:rPr>
              <w:t>9,455,409.26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pacing w:val="-6"/>
                <w:sz w:val="18"/>
                <w:szCs w:val="18"/>
              </w:rPr>
              <w:t>（</w:t>
            </w:r>
            <w:r>
              <w:rPr>
                <w:rFonts w:ascii="Arial" w:hAnsi="Arial" w:cs="Arial" w:eastAsia="Arial" w:hint="default"/>
                <w:spacing w:val="-6"/>
                <w:sz w:val="18"/>
                <w:szCs w:val="18"/>
              </w:rPr>
              <w:t>1</w:t>
            </w:r>
            <w:r>
              <w:rPr>
                <w:rFonts w:ascii="宋体" w:hAnsi="宋体" w:cs="宋体" w:eastAsia="宋体" w:hint="default"/>
                <w:spacing w:val="-6"/>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8,266,819.40</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center"/>
              <w:rPr>
                <w:rFonts w:ascii="Arial" w:hAnsi="Arial" w:cs="Arial" w:eastAsia="Arial" w:hint="default"/>
                <w:sz w:val="18"/>
                <w:szCs w:val="18"/>
              </w:rPr>
            </w:pPr>
            <w:r>
              <w:rPr>
                <w:rFonts w:ascii="Arial"/>
                <w:sz w:val="18"/>
              </w:rPr>
              <w:t>1,188,589.86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59" w:right="0"/>
              <w:jc w:val="center"/>
              <w:rPr>
                <w:rFonts w:ascii="Arial" w:hAnsi="Arial" w:cs="Arial" w:eastAsia="Arial" w:hint="default"/>
                <w:sz w:val="18"/>
                <w:szCs w:val="18"/>
              </w:rPr>
            </w:pPr>
            <w:r>
              <w:rPr>
                <w:rFonts w:ascii="Arial"/>
                <w:sz w:val="18"/>
              </w:rPr>
              <w:t>9,455,409.26</w:t>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8,487,227.56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23,702,934.31</w:t>
            </w:r>
            <w:r>
              <w:rPr>
                <w:rFonts w:ascii="Arial"/>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Arial" w:hAnsi="Arial" w:cs="Arial" w:eastAsia="Arial" w:hint="default"/>
                <w:sz w:val="18"/>
                <w:szCs w:val="18"/>
              </w:rPr>
            </w:pPr>
            <w:r>
              <w:rPr>
                <w:rFonts w:ascii="Arial"/>
                <w:sz w:val="18"/>
              </w:rPr>
              <w:t>189,083,950.03</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center"/>
              <w:rPr>
                <w:rFonts w:ascii="Arial" w:hAnsi="Arial" w:cs="Arial" w:eastAsia="Arial" w:hint="default"/>
                <w:sz w:val="18"/>
                <w:szCs w:val="18"/>
              </w:rPr>
            </w:pPr>
            <w:r>
              <w:rPr>
                <w:rFonts w:ascii="Arial"/>
                <w:spacing w:val="-3"/>
                <w:sz w:val="18"/>
              </w:rPr>
              <w:t>221,274,111.90</w:t>
            </w:r>
            <w:r>
              <w:rPr>
                <w:rFonts w:ascii="Arial"/>
                <w:sz w:val="18"/>
              </w:rPr>
            </w: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三、减值准备</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期初余额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02" w:firstLine="36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本期增加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23"/>
              <w:jc w:val="right"/>
              <w:rPr>
                <w:rFonts w:ascii="宋体" w:hAnsi="宋体" w:cs="宋体" w:eastAsia="宋体" w:hint="default"/>
                <w:sz w:val="18"/>
                <w:szCs w:val="18"/>
              </w:rPr>
            </w:pPr>
            <w:r>
              <w:rPr>
                <w:rFonts w:ascii="宋体" w:hAnsi="宋体" w:cs="宋体" w:eastAsia="宋体" w:hint="default"/>
                <w:spacing w:val="-6"/>
                <w:sz w:val="18"/>
                <w:szCs w:val="18"/>
              </w:rPr>
              <w:t>（</w:t>
            </w:r>
            <w:r>
              <w:rPr>
                <w:rFonts w:ascii="Arial" w:hAnsi="Arial" w:cs="Arial" w:eastAsia="Arial" w:hint="default"/>
                <w:spacing w:val="-6"/>
                <w:sz w:val="18"/>
                <w:szCs w:val="18"/>
              </w:rPr>
              <w:t>1</w:t>
            </w:r>
            <w:r>
              <w:rPr>
                <w:rFonts w:ascii="宋体" w:hAnsi="宋体" w:cs="宋体" w:eastAsia="宋体" w:hint="default"/>
                <w:spacing w:val="-6"/>
                <w:sz w:val="18"/>
                <w:szCs w:val="18"/>
              </w:rPr>
              <w:t>）计提</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02" w:firstLine="36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本期减少 金额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宋体" w:hAnsi="宋体" w:cs="宋体" w:eastAsia="宋体" w:hint="default"/>
                <w:sz w:val="18"/>
                <w:szCs w:val="18"/>
              </w:rPr>
              <w:t>（</w:t>
            </w:r>
            <w:r>
              <w:rPr>
                <w:rFonts w:ascii="Arial" w:hAnsi="Arial" w:cs="Arial" w:eastAsia="Arial" w:hint="default"/>
                <w:sz w:val="18"/>
                <w:szCs w:val="18"/>
              </w:rPr>
              <w:t>1</w:t>
            </w:r>
            <w:r>
              <w:rPr>
                <w:rFonts w:ascii="宋体" w:hAnsi="宋体" w:cs="宋体" w:eastAsia="宋体" w:hint="default"/>
                <w:sz w:val="18"/>
                <w:szCs w:val="18"/>
              </w:rPr>
              <w:t>）处置</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82"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四、账面价值</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02" w:firstLine="36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期末账面 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85,482,792.54</w:t>
            </w:r>
            <w:r>
              <w:rPr>
                <w:rFonts w:ascii="Arial"/>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13,355,682.69</w:t>
            </w:r>
            <w:r>
              <w:rPr>
                <w:rFonts w:ascii="Arial"/>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center"/>
              <w:rPr>
                <w:rFonts w:ascii="Arial" w:hAnsi="Arial" w:cs="Arial" w:eastAsia="Arial" w:hint="default"/>
                <w:sz w:val="18"/>
                <w:szCs w:val="18"/>
              </w:rPr>
            </w:pPr>
            <w:r>
              <w:rPr>
                <w:rFonts w:ascii="Arial"/>
                <w:sz w:val="18"/>
              </w:rPr>
              <w:t>71,097,958.96</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Arial" w:hAnsi="Arial" w:cs="Arial" w:eastAsia="Arial" w:hint="default"/>
                <w:sz w:val="18"/>
                <w:szCs w:val="18"/>
              </w:rPr>
            </w:pPr>
            <w:r>
              <w:rPr>
                <w:rFonts w:ascii="Arial"/>
                <w:sz w:val="18"/>
              </w:rPr>
              <w:t>169,936,434.19</w:t>
            </w:r>
          </w:p>
        </w:tc>
      </w:tr>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 w:right="102" w:firstLine="36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期初账面 价值</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86,275,386.10</w:t>
            </w:r>
            <w:r>
              <w:rPr>
                <w:rFonts w:ascii="Arial"/>
                <w:sz w:val="18"/>
              </w:rPr>
            </w: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4,431,656.31</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9" w:right="0"/>
              <w:jc w:val="center"/>
              <w:rPr>
                <w:rFonts w:ascii="Arial" w:hAnsi="Arial" w:cs="Arial" w:eastAsia="Arial" w:hint="default"/>
                <w:sz w:val="18"/>
                <w:szCs w:val="18"/>
              </w:rPr>
            </w:pPr>
            <w:r>
              <w:rPr>
                <w:rFonts w:ascii="Arial"/>
                <w:sz w:val="18"/>
              </w:rPr>
              <w:t>50,027,667.72</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1" w:right="0"/>
              <w:jc w:val="center"/>
              <w:rPr>
                <w:rFonts w:ascii="Arial" w:hAnsi="Arial" w:cs="Arial" w:eastAsia="Arial" w:hint="default"/>
                <w:sz w:val="18"/>
                <w:szCs w:val="18"/>
              </w:rPr>
            </w:pPr>
            <w:r>
              <w:rPr>
                <w:rFonts w:ascii="Arial"/>
                <w:sz w:val="18"/>
              </w:rPr>
              <w:t>140,734,710.13</w:t>
            </w:r>
          </w:p>
        </w:tc>
      </w:tr>
    </w:tbl>
    <w:p>
      <w:pPr>
        <w:pStyle w:val="BodyText"/>
        <w:spacing w:line="240" w:lineRule="auto" w:before="51"/>
        <w:ind w:right="2239"/>
        <w:jc w:val="left"/>
      </w:pPr>
      <w:r>
        <w:rPr/>
        <w:t>本期末通过公司内部研发形成的无形资产占无形资产余额的比例</w:t>
      </w:r>
      <w:r>
        <w:rPr>
          <w:spacing w:val="-50"/>
        </w:rPr>
        <w:t> </w:t>
      </w:r>
      <w:r>
        <w:rPr>
          <w:rFonts w:ascii="Arial" w:hAnsi="Arial" w:cs="Arial" w:eastAsia="Arial" w:hint="default"/>
        </w:rPr>
        <w:t>66.51%</w:t>
      </w:r>
      <w:r>
        <w:rPr/>
        <w:t>。</w:t>
      </w:r>
    </w:p>
    <w:p>
      <w:pPr>
        <w:spacing w:line="240" w:lineRule="auto" w:before="11"/>
        <w:rPr>
          <w:rFonts w:ascii="宋体" w:hAnsi="宋体" w:cs="宋体" w:eastAsia="宋体" w:hint="default"/>
          <w:sz w:val="25"/>
          <w:szCs w:val="25"/>
        </w:rPr>
      </w:pPr>
    </w:p>
    <w:p>
      <w:pPr>
        <w:pStyle w:val="Heading4"/>
        <w:spacing w:line="240" w:lineRule="auto"/>
        <w:ind w:right="2239"/>
        <w:jc w:val="left"/>
        <w:rPr>
          <w:b w:val="0"/>
          <w:bCs w:val="0"/>
        </w:rPr>
      </w:pPr>
      <w:r>
        <w:rPr/>
        <w:t>（</w:t>
      </w:r>
      <w:r>
        <w:rPr>
          <w:rFonts w:ascii="Arial" w:hAnsi="Arial" w:cs="Arial" w:eastAsia="Arial" w:hint="default"/>
        </w:rPr>
        <w:t>2</w:t>
      </w:r>
      <w:r>
        <w:rPr/>
        <w:t>）未办妥产权证书的土地使用权情况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账面价值</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8" w:right="0"/>
              <w:jc w:val="left"/>
              <w:rPr>
                <w:rFonts w:ascii="宋体" w:hAnsi="宋体" w:cs="宋体" w:eastAsia="宋体" w:hint="default"/>
                <w:sz w:val="18"/>
                <w:szCs w:val="18"/>
              </w:rPr>
            </w:pPr>
            <w:r>
              <w:rPr>
                <w:rFonts w:ascii="宋体" w:hAnsi="宋体" w:cs="宋体" w:eastAsia="宋体" w:hint="default"/>
                <w:sz w:val="18"/>
                <w:szCs w:val="18"/>
              </w:rPr>
              <w:t>未办妥产权证书的原因</w:t>
            </w:r>
          </w:p>
        </w:tc>
      </w:tr>
    </w:tbl>
    <w:p>
      <w:pPr>
        <w:pStyle w:val="BodyText"/>
        <w:spacing w:line="360" w:lineRule="auto" w:before="51"/>
        <w:ind w:left="153" w:right="5891"/>
        <w:jc w:val="left"/>
      </w:pPr>
      <w:r>
        <w:rPr/>
        <w:t>其他说明： 期末，本公司无抵押、担保或未办妥产权证书的土地使用权。</w:t>
      </w:r>
    </w:p>
    <w:p>
      <w:pPr>
        <w:pStyle w:val="BodyText"/>
        <w:spacing w:line="290" w:lineRule="exact"/>
        <w:ind w:left="153" w:right="2239"/>
        <w:jc w:val="left"/>
        <w:rPr>
          <w:sz w:val="24"/>
          <w:szCs w:val="24"/>
        </w:rPr>
      </w:pPr>
      <w:r>
        <w:rPr/>
        <w:t>期末无形资产不存在减值情形</w:t>
      </w:r>
      <w:r>
        <w:rPr>
          <w:sz w:val="24"/>
          <w:szCs w:val="24"/>
        </w:rPr>
        <w:t>。</w:t>
      </w:r>
    </w:p>
    <w:p>
      <w:pPr>
        <w:spacing w:line="240" w:lineRule="auto" w:before="7"/>
        <w:rPr>
          <w:rFonts w:ascii="宋体" w:hAnsi="宋体" w:cs="宋体" w:eastAsia="宋体" w:hint="default"/>
          <w:sz w:val="24"/>
          <w:szCs w:val="24"/>
        </w:rPr>
      </w:pPr>
    </w:p>
    <w:p>
      <w:pPr>
        <w:pStyle w:val="Heading4"/>
        <w:spacing w:line="240" w:lineRule="auto"/>
        <w:ind w:right="2239"/>
        <w:jc w:val="left"/>
        <w:rPr>
          <w:b w:val="0"/>
          <w:bCs w:val="0"/>
        </w:rPr>
      </w:pPr>
      <w:r>
        <w:rPr>
          <w:rFonts w:ascii="Arial" w:hAnsi="Arial" w:cs="Arial" w:eastAsia="Arial" w:hint="default"/>
        </w:rPr>
        <w:t>27</w:t>
      </w:r>
      <w:r>
        <w:rPr/>
        <w:t>、开发支出</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02"/>
        <w:gridCol w:w="1276"/>
        <w:gridCol w:w="2268"/>
        <w:gridCol w:w="3259"/>
        <w:gridCol w:w="1277"/>
      </w:tblGrid>
      <w:tr>
        <w:trPr>
          <w:trHeight w:val="402" w:hRule="exact"/>
        </w:trPr>
        <w:tc>
          <w:tcPr>
            <w:tcW w:w="1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2"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2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87"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32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本期减少金额</w:t>
            </w: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678"/>
        <w:gridCol w:w="1288"/>
        <w:gridCol w:w="1276"/>
        <w:gridCol w:w="568"/>
        <w:gridCol w:w="425"/>
        <w:gridCol w:w="1418"/>
        <w:gridCol w:w="1274"/>
        <w:gridCol w:w="566"/>
        <w:gridCol w:w="1277"/>
      </w:tblGrid>
      <w:tr>
        <w:trPr>
          <w:trHeight w:val="402" w:hRule="exact"/>
        </w:trPr>
        <w:tc>
          <w:tcPr>
            <w:tcW w:w="167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7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91"/>
              <w:jc w:val="right"/>
              <w:rPr>
                <w:rFonts w:ascii="宋体" w:hAnsi="宋体" w:cs="宋体" w:eastAsia="宋体" w:hint="default"/>
                <w:sz w:val="18"/>
                <w:szCs w:val="18"/>
              </w:rPr>
            </w:pPr>
            <w:r>
              <w:rPr>
                <w:rFonts w:ascii="宋体" w:hAnsi="宋体" w:cs="宋体" w:eastAsia="宋体" w:hint="default"/>
                <w:sz w:val="18"/>
                <w:szCs w:val="18"/>
              </w:rPr>
              <w:t>内部开发支出</w:t>
            </w:r>
          </w:p>
        </w:tc>
        <w:tc>
          <w:tcPr>
            <w:tcW w:w="5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2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3"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27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2" w:right="0"/>
              <w:jc w:val="left"/>
              <w:rPr>
                <w:rFonts w:ascii="宋体" w:hAnsi="宋体" w:cs="宋体" w:eastAsia="宋体" w:hint="default"/>
                <w:sz w:val="18"/>
                <w:szCs w:val="18"/>
              </w:rPr>
            </w:pPr>
            <w:r>
              <w:rPr>
                <w:rFonts w:ascii="宋体" w:hAnsi="宋体" w:cs="宋体" w:eastAsia="宋体" w:hint="default"/>
                <w:sz w:val="18"/>
                <w:szCs w:val="18"/>
              </w:rPr>
              <w:t>转入当期损益</w:t>
            </w:r>
          </w:p>
        </w:tc>
        <w:tc>
          <w:tcPr>
            <w:tcW w:w="56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4" w:hRule="exact"/>
        </w:trPr>
        <w:tc>
          <w:tcPr>
            <w:tcW w:w="1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jc w:val="left"/>
              <w:rPr>
                <w:rFonts w:ascii="宋体" w:hAnsi="宋体" w:cs="宋体" w:eastAsia="宋体" w:hint="default"/>
                <w:sz w:val="18"/>
                <w:szCs w:val="18"/>
              </w:rPr>
            </w:pPr>
            <w:r>
              <w:rPr>
                <w:rFonts w:ascii="宋体" w:hAnsi="宋体" w:cs="宋体" w:eastAsia="宋体" w:hint="default"/>
                <w:sz w:val="18"/>
                <w:szCs w:val="18"/>
              </w:rPr>
              <w:t>榕基多元化协同纠纷 综合治理平台</w:t>
            </w:r>
          </w:p>
        </w:tc>
        <w:tc>
          <w:tcPr>
            <w:tcW w:w="12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2,178,940.42</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4,240,872.24</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6,419,812.66</w:t>
            </w:r>
          </w:p>
        </w:tc>
      </w:tr>
      <w:tr>
        <w:trPr>
          <w:trHeight w:val="714" w:hRule="exact"/>
        </w:trPr>
        <w:tc>
          <w:tcPr>
            <w:tcW w:w="1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jc w:val="left"/>
              <w:rPr>
                <w:rFonts w:ascii="宋体" w:hAnsi="宋体" w:cs="宋体" w:eastAsia="宋体" w:hint="default"/>
                <w:sz w:val="18"/>
                <w:szCs w:val="18"/>
              </w:rPr>
            </w:pPr>
            <w:r>
              <w:rPr>
                <w:rFonts w:ascii="宋体" w:hAnsi="宋体" w:cs="宋体" w:eastAsia="宋体" w:hint="default"/>
                <w:sz w:val="18"/>
                <w:szCs w:val="18"/>
              </w:rPr>
              <w:t>榕基安全可靠分布式 全文检索系统</w:t>
            </w:r>
          </w:p>
        </w:tc>
        <w:tc>
          <w:tcPr>
            <w:tcW w:w="12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2,026,474.77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4,351,905.98</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6,378,380.75</w:t>
            </w:r>
          </w:p>
        </w:tc>
      </w:tr>
      <w:tr>
        <w:trPr>
          <w:trHeight w:val="402" w:hRule="exact"/>
        </w:trPr>
        <w:tc>
          <w:tcPr>
            <w:tcW w:w="1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榕基易贸商务平台</w:t>
            </w:r>
          </w:p>
        </w:tc>
        <w:tc>
          <w:tcPr>
            <w:tcW w:w="12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22,829,439.25</w:t>
            </w:r>
            <w:r>
              <w:rPr>
                <w:rFonts w:asci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7,047,479.98</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29,876,919.23</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榕基移动视频</w:t>
            </w:r>
          </w:p>
        </w:tc>
        <w:tc>
          <w:tcPr>
            <w:tcW w:w="12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3,877,895.74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67,196.37</w:t>
            </w:r>
            <w:r>
              <w:rPr>
                <w:rFonts w:ascii="Arial"/>
                <w:sz w:val="18"/>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2"/>
                <w:sz w:val="18"/>
              </w:rPr>
              <w:t>3,945,092.11</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jc w:val="left"/>
              <w:rPr>
                <w:rFonts w:ascii="宋体" w:hAnsi="宋体" w:cs="宋体" w:eastAsia="宋体" w:hint="default"/>
                <w:sz w:val="18"/>
                <w:szCs w:val="18"/>
              </w:rPr>
            </w:pPr>
            <w:r>
              <w:rPr>
                <w:rFonts w:ascii="宋体" w:hAnsi="宋体" w:cs="宋体" w:eastAsia="宋体" w:hint="default"/>
                <w:sz w:val="18"/>
                <w:szCs w:val="18"/>
              </w:rPr>
              <w:t>智慧城市便民服务指 挥中心</w:t>
            </w:r>
          </w:p>
        </w:tc>
        <w:tc>
          <w:tcPr>
            <w:tcW w:w="12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2,765,939.67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5,759,192.76</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8,525,132.43</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jc w:val="left"/>
              <w:rPr>
                <w:rFonts w:ascii="宋体" w:hAnsi="宋体" w:cs="宋体" w:eastAsia="宋体" w:hint="default"/>
                <w:sz w:val="18"/>
                <w:szCs w:val="18"/>
              </w:rPr>
            </w:pPr>
            <w:r>
              <w:rPr>
                <w:rFonts w:ascii="宋体" w:hAnsi="宋体" w:cs="宋体" w:eastAsia="宋体" w:hint="default"/>
                <w:sz w:val="18"/>
                <w:szCs w:val="18"/>
              </w:rPr>
              <w:t>榕基减刑假释智能办 案平台</w:t>
            </w:r>
          </w:p>
        </w:tc>
        <w:tc>
          <w:tcPr>
            <w:tcW w:w="12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1,998,184.15</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2,187,192.67</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4,185,376.82</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jc w:val="left"/>
              <w:rPr>
                <w:rFonts w:ascii="Arial" w:hAnsi="Arial" w:cs="Arial" w:eastAsia="Arial" w:hint="default"/>
                <w:sz w:val="18"/>
                <w:szCs w:val="18"/>
              </w:rPr>
            </w:pPr>
            <w:r>
              <w:rPr>
                <w:rFonts w:ascii="宋体" w:hAnsi="宋体" w:cs="宋体" w:eastAsia="宋体" w:hint="default"/>
                <w:sz w:val="18"/>
                <w:szCs w:val="18"/>
              </w:rPr>
              <w:t>星榕基物联网运营支 撑平台</w:t>
            </w:r>
            <w:r>
              <w:rPr>
                <w:rFonts w:ascii="宋体" w:hAnsi="宋体" w:cs="宋体" w:eastAsia="宋体" w:hint="default"/>
                <w:spacing w:val="-46"/>
                <w:sz w:val="18"/>
                <w:szCs w:val="18"/>
              </w:rPr>
              <w:t> </w:t>
            </w:r>
            <w:r>
              <w:rPr>
                <w:rFonts w:ascii="Arial" w:hAnsi="Arial" w:cs="Arial" w:eastAsia="Arial" w:hint="default"/>
                <w:sz w:val="18"/>
                <w:szCs w:val="18"/>
              </w:rPr>
              <w:t>V1.0</w:t>
            </w:r>
          </w:p>
        </w:tc>
        <w:tc>
          <w:tcPr>
            <w:tcW w:w="12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1,043,133.71</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306,304.15</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1,349,437.86</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jc w:val="left"/>
              <w:rPr>
                <w:rFonts w:ascii="Arial" w:hAnsi="Arial" w:cs="Arial" w:eastAsia="Arial" w:hint="default"/>
                <w:sz w:val="18"/>
                <w:szCs w:val="18"/>
              </w:rPr>
            </w:pPr>
            <w:r>
              <w:rPr>
                <w:rFonts w:ascii="宋体" w:hAnsi="宋体" w:cs="宋体" w:eastAsia="宋体" w:hint="default"/>
                <w:sz w:val="18"/>
                <w:szCs w:val="18"/>
              </w:rPr>
              <w:t>星榕基智慧校园移动 应用软件</w:t>
            </w:r>
            <w:r>
              <w:rPr>
                <w:rFonts w:ascii="宋体" w:hAnsi="宋体" w:cs="宋体" w:eastAsia="宋体" w:hint="default"/>
                <w:spacing w:val="-46"/>
                <w:sz w:val="18"/>
                <w:szCs w:val="18"/>
              </w:rPr>
              <w:t> </w:t>
            </w:r>
            <w:r>
              <w:rPr>
                <w:rFonts w:ascii="Arial" w:hAnsi="Arial" w:cs="Arial" w:eastAsia="Arial" w:hint="default"/>
                <w:sz w:val="18"/>
                <w:szCs w:val="18"/>
              </w:rPr>
              <w:t>V1.0</w:t>
            </w:r>
          </w:p>
        </w:tc>
        <w:tc>
          <w:tcPr>
            <w:tcW w:w="12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593,647.97</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198,986.80</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792,634.77</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55"/>
              <w:jc w:val="left"/>
              <w:rPr>
                <w:rFonts w:ascii="宋体" w:hAnsi="宋体" w:cs="宋体" w:eastAsia="宋体" w:hint="default"/>
                <w:sz w:val="18"/>
                <w:szCs w:val="18"/>
              </w:rPr>
            </w:pPr>
            <w:r>
              <w:rPr>
                <w:rFonts w:ascii="宋体" w:hAnsi="宋体" w:cs="宋体" w:eastAsia="宋体" w:hint="default"/>
                <w:sz w:val="18"/>
                <w:szCs w:val="18"/>
              </w:rPr>
              <w:t>一种基于</w:t>
            </w:r>
            <w:r>
              <w:rPr>
                <w:rFonts w:ascii="宋体" w:hAnsi="宋体" w:cs="宋体" w:eastAsia="宋体" w:hint="default"/>
                <w:spacing w:val="-47"/>
                <w:sz w:val="18"/>
                <w:szCs w:val="18"/>
              </w:rPr>
              <w:t> </w:t>
            </w:r>
            <w:r>
              <w:rPr>
                <w:rFonts w:ascii="Arial" w:hAnsi="Arial" w:cs="Arial" w:eastAsia="Arial" w:hint="default"/>
                <w:sz w:val="18"/>
                <w:szCs w:val="18"/>
              </w:rPr>
              <w:t>LoRa</w:t>
            </w:r>
            <w:r>
              <w:rPr>
                <w:rFonts w:ascii="Arial" w:hAnsi="Arial" w:cs="Arial" w:eastAsia="Arial" w:hint="default"/>
                <w:spacing w:val="-8"/>
                <w:sz w:val="18"/>
                <w:szCs w:val="18"/>
              </w:rPr>
              <w:t> </w:t>
            </w:r>
            <w:r>
              <w:rPr>
                <w:rFonts w:ascii="宋体" w:hAnsi="宋体" w:cs="宋体" w:eastAsia="宋体" w:hint="default"/>
                <w:sz w:val="18"/>
                <w:szCs w:val="18"/>
              </w:rPr>
              <w:t>通信 的物联网管理建筑</w:t>
            </w:r>
          </w:p>
        </w:tc>
        <w:tc>
          <w:tcPr>
            <w:tcW w:w="12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245,042.04</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176,645.31</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421,687.35</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榕基政府晾晒台软件</w:t>
            </w:r>
          </w:p>
        </w:tc>
        <w:tc>
          <w:tcPr>
            <w:tcW w:w="1288" w:type="dxa"/>
            <w:tcBorders>
              <w:top w:val="single" w:sz="4" w:space="0" w:color="000000"/>
              <w:left w:val="single" w:sz="13" w:space="0" w:color="D3D3D3"/>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1,706,066.45</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1,706,066.45</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35"/>
              <w:jc w:val="left"/>
              <w:rPr>
                <w:rFonts w:ascii="宋体" w:hAnsi="宋体" w:cs="宋体" w:eastAsia="宋体" w:hint="default"/>
                <w:sz w:val="18"/>
                <w:szCs w:val="18"/>
              </w:rPr>
            </w:pPr>
            <w:r>
              <w:rPr>
                <w:rFonts w:ascii="宋体" w:hAnsi="宋体" w:cs="宋体" w:eastAsia="宋体" w:hint="default"/>
                <w:sz w:val="18"/>
                <w:szCs w:val="18"/>
              </w:rPr>
              <w:t>榕基政府会议管理系 统软件</w:t>
            </w:r>
          </w:p>
        </w:tc>
        <w:tc>
          <w:tcPr>
            <w:tcW w:w="1288" w:type="dxa"/>
            <w:tcBorders>
              <w:top w:val="single" w:sz="4" w:space="0" w:color="000000"/>
              <w:left w:val="single" w:sz="13" w:space="0" w:color="D3D3D3"/>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1,599,765.93</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1,599,765.93</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151"/>
              <w:jc w:val="both"/>
              <w:rPr>
                <w:rFonts w:ascii="宋体" w:hAnsi="宋体" w:cs="宋体" w:eastAsia="宋体" w:hint="default"/>
                <w:sz w:val="18"/>
                <w:szCs w:val="18"/>
              </w:rPr>
            </w:pPr>
            <w:r>
              <w:rPr>
                <w:rFonts w:ascii="宋体" w:hAnsi="宋体" w:cs="宋体" w:eastAsia="宋体" w:hint="default"/>
                <w:sz w:val="18"/>
                <w:szCs w:val="18"/>
              </w:rPr>
              <w:t>榕基机关内部</w:t>
            </w:r>
            <w:r>
              <w:rPr>
                <w:rFonts w:ascii="Arial" w:hAnsi="Arial" w:cs="Arial" w:eastAsia="Arial" w:hint="default"/>
                <w:sz w:val="18"/>
                <w:szCs w:val="18"/>
              </w:rPr>
              <w:t>"</w:t>
            </w:r>
            <w:r>
              <w:rPr>
                <w:rFonts w:ascii="宋体" w:hAnsi="宋体" w:cs="宋体" w:eastAsia="宋体" w:hint="default"/>
                <w:sz w:val="18"/>
                <w:szCs w:val="18"/>
              </w:rPr>
              <w:t>最多 跑一次</w:t>
            </w:r>
            <w:r>
              <w:rPr>
                <w:rFonts w:ascii="Arial" w:hAnsi="Arial" w:cs="Arial" w:eastAsia="Arial" w:hint="default"/>
                <w:sz w:val="18"/>
                <w:szCs w:val="18"/>
              </w:rPr>
              <w:t>"</w:t>
            </w:r>
            <w:r>
              <w:rPr>
                <w:rFonts w:ascii="宋体" w:hAnsi="宋体" w:cs="宋体" w:eastAsia="宋体" w:hint="default"/>
                <w:sz w:val="18"/>
                <w:szCs w:val="18"/>
              </w:rPr>
              <w:t>联办平台软 件</w:t>
            </w:r>
          </w:p>
        </w:tc>
        <w:tc>
          <w:tcPr>
            <w:tcW w:w="1288" w:type="dxa"/>
            <w:tcBorders>
              <w:top w:val="single" w:sz="4" w:space="0" w:color="000000"/>
              <w:left w:val="single" w:sz="13" w:space="0" w:color="D3D3D3"/>
              <w:bottom w:val="single" w:sz="4" w:space="0" w:color="000000"/>
              <w:right w:val="single" w:sz="4" w:space="0" w:color="000000"/>
            </w:tcBorders>
          </w:tcPr>
          <w:p>
            <w:pP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602,440.26</w:t>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sz w:val="18"/>
              </w:rPr>
              <w:t>602,440.26</w:t>
            </w: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6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2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37,558,697.72</w:t>
            </w:r>
            <w:r>
              <w:rPr>
                <w:rFonts w:ascii="Arial"/>
                <w:sz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28,244,048.90</w:t>
            </w:r>
            <w:r>
              <w:rPr>
                <w:rFonts w:ascii="Arial"/>
                <w:sz w:val="18"/>
              </w:rPr>
            </w:r>
          </w:p>
        </w:tc>
        <w:tc>
          <w:tcPr>
            <w:tcW w:w="568"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53,004,553.21</w:t>
            </w:r>
            <w:r>
              <w:rPr>
                <w:rFonts w:ascii="Arial"/>
                <w:sz w:val="18"/>
              </w:rPr>
            </w:r>
          </w:p>
        </w:tc>
        <w:tc>
          <w:tcPr>
            <w:tcW w:w="1274"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12,798,193.41</w:t>
            </w:r>
            <w:r>
              <w:rPr>
                <w:rFonts w:ascii="Arial"/>
                <w:sz w:val="18"/>
              </w:rPr>
            </w:r>
          </w:p>
        </w:tc>
      </w:tr>
    </w:tbl>
    <w:p>
      <w:pPr>
        <w:pStyle w:val="BodyText"/>
        <w:spacing w:line="240" w:lineRule="auto" w:before="51"/>
        <w:ind w:right="2239"/>
        <w:jc w:val="left"/>
      </w:pPr>
      <w:r>
        <w:rPr/>
        <w:t>其他说明</w:t>
      </w:r>
    </w:p>
    <w:p>
      <w:pPr>
        <w:spacing w:line="240" w:lineRule="auto" w:before="1"/>
        <w:rPr>
          <w:rFonts w:ascii="宋体" w:hAnsi="宋体" w:cs="宋体" w:eastAsia="宋体" w:hint="default"/>
          <w:sz w:val="8"/>
          <w:szCs w:val="8"/>
        </w:rPr>
      </w:pPr>
    </w:p>
    <w:tbl>
      <w:tblPr>
        <w:tblW w:w="0" w:type="auto"/>
        <w:jc w:val="left"/>
        <w:tblInd w:w="175" w:type="dxa"/>
        <w:tblLayout w:type="fixed"/>
        <w:tblCellMar>
          <w:top w:w="0" w:type="dxa"/>
          <w:left w:w="0" w:type="dxa"/>
          <w:bottom w:w="0" w:type="dxa"/>
          <w:right w:w="0" w:type="dxa"/>
        </w:tblCellMar>
        <w:tblLook w:val="01E0"/>
      </w:tblPr>
      <w:tblGrid>
        <w:gridCol w:w="3545"/>
        <w:gridCol w:w="1500"/>
        <w:gridCol w:w="2268"/>
        <w:gridCol w:w="2267"/>
      </w:tblGrid>
      <w:tr>
        <w:trPr>
          <w:trHeight w:val="346" w:hRule="exact"/>
        </w:trPr>
        <w:tc>
          <w:tcPr>
            <w:tcW w:w="354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0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111" w:right="0"/>
              <w:jc w:val="left"/>
              <w:rPr>
                <w:rFonts w:ascii="宋体" w:hAnsi="宋体" w:cs="宋体" w:eastAsia="宋体" w:hint="default"/>
                <w:sz w:val="18"/>
                <w:szCs w:val="18"/>
              </w:rPr>
            </w:pPr>
            <w:r>
              <w:rPr>
                <w:rFonts w:ascii="宋体" w:hAnsi="宋体" w:cs="宋体" w:eastAsia="宋体" w:hint="default"/>
                <w:sz w:val="18"/>
                <w:szCs w:val="18"/>
              </w:rPr>
              <w:t>资本化开始时点</w:t>
            </w:r>
          </w:p>
        </w:tc>
        <w:tc>
          <w:tcPr>
            <w:tcW w:w="22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406" w:right="0"/>
              <w:jc w:val="left"/>
              <w:rPr>
                <w:rFonts w:ascii="宋体" w:hAnsi="宋体" w:cs="宋体" w:eastAsia="宋体" w:hint="default"/>
                <w:sz w:val="18"/>
                <w:szCs w:val="18"/>
              </w:rPr>
            </w:pPr>
            <w:r>
              <w:rPr>
                <w:rFonts w:ascii="宋体" w:hAnsi="宋体" w:cs="宋体" w:eastAsia="宋体" w:hint="default"/>
                <w:sz w:val="18"/>
                <w:szCs w:val="18"/>
              </w:rPr>
              <w:t>资本化的具体依据</w:t>
            </w:r>
          </w:p>
        </w:tc>
        <w:tc>
          <w:tcPr>
            <w:tcW w:w="226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316" w:right="0"/>
              <w:jc w:val="left"/>
              <w:rPr>
                <w:rFonts w:ascii="宋体" w:hAnsi="宋体" w:cs="宋体" w:eastAsia="宋体" w:hint="default"/>
                <w:sz w:val="18"/>
                <w:szCs w:val="18"/>
              </w:rPr>
            </w:pPr>
            <w:r>
              <w:rPr>
                <w:rFonts w:ascii="宋体" w:hAnsi="宋体" w:cs="宋体" w:eastAsia="宋体" w:hint="default"/>
                <w:sz w:val="18"/>
                <w:szCs w:val="18"/>
              </w:rPr>
              <w:t>截至期末的研发进度</w:t>
            </w:r>
          </w:p>
        </w:tc>
      </w:tr>
      <w:tr>
        <w:trPr>
          <w:trHeight w:val="347"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榕基多元化协同纠纷综合治理平台</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2018年7月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研发节点报告</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在研</w:t>
            </w:r>
          </w:p>
        </w:tc>
      </w:tr>
      <w:tr>
        <w:trPr>
          <w:trHeight w:val="347"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榕基安全可靠分布式全文检索系统</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2018年7月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研发节点报告</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在研</w:t>
            </w:r>
          </w:p>
        </w:tc>
      </w:tr>
      <w:tr>
        <w:trPr>
          <w:trHeight w:val="348"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榕基易贸商务平台</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2016年12月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研发节点报告</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已完工</w:t>
            </w:r>
          </w:p>
        </w:tc>
      </w:tr>
      <w:tr>
        <w:trPr>
          <w:trHeight w:val="347"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榕基移动视频</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2017年1月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研发节点报告</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已完工</w:t>
            </w:r>
          </w:p>
        </w:tc>
      </w:tr>
      <w:tr>
        <w:trPr>
          <w:trHeight w:val="347"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智慧城市便民服务指挥中心</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2018年7月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研发节点报告</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已完工</w:t>
            </w:r>
          </w:p>
        </w:tc>
      </w:tr>
      <w:tr>
        <w:trPr>
          <w:trHeight w:val="347"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榕基减刑假释智能办案平台</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2018年4月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研发节点报告</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已完工</w:t>
            </w:r>
          </w:p>
        </w:tc>
      </w:tr>
      <w:tr>
        <w:trPr>
          <w:trHeight w:val="347"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星榕基物联网运营支撑平台V1.0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2018年5月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研发节点报告</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已完工</w:t>
            </w:r>
          </w:p>
        </w:tc>
      </w:tr>
      <w:tr>
        <w:trPr>
          <w:trHeight w:val="347"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星榕基智慧校园移动应用软件V1.0</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2018年5月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研发节点报告</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已完工</w:t>
            </w:r>
          </w:p>
        </w:tc>
      </w:tr>
      <w:tr>
        <w:trPr>
          <w:trHeight w:val="348"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一种基于LoRa通信的物联网管理建筑</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2018年10月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研发节点报告</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已完工</w:t>
            </w:r>
          </w:p>
        </w:tc>
      </w:tr>
      <w:tr>
        <w:trPr>
          <w:trHeight w:val="347"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榕基政府晾晒台软件</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hAnsi="宋体" w:cs="宋体" w:eastAsia="宋体" w:hint="default"/>
                <w:sz w:val="18"/>
                <w:szCs w:val="18"/>
              </w:rPr>
              <w:t>2019年1月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研发节点报告</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hAnsi="宋体" w:cs="宋体" w:eastAsia="宋体" w:hint="default"/>
                <w:sz w:val="18"/>
                <w:szCs w:val="18"/>
              </w:rPr>
              <w:t>已完工</w:t>
            </w:r>
          </w:p>
        </w:tc>
      </w:tr>
      <w:tr>
        <w:trPr>
          <w:trHeight w:val="347"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榕基政府会议管理系统软件</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2019年1月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研发节点报告</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已完工</w:t>
            </w:r>
          </w:p>
        </w:tc>
      </w:tr>
      <w:tr>
        <w:trPr>
          <w:trHeight w:val="348" w:hRule="exact"/>
        </w:trPr>
        <w:tc>
          <w:tcPr>
            <w:tcW w:w="35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榕基机关内部“最多跑一次”联办平台软件</w:t>
            </w:r>
          </w:p>
        </w:tc>
        <w:tc>
          <w:tcPr>
            <w:tcW w:w="15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hAnsi="宋体" w:cs="宋体" w:eastAsia="宋体" w:hint="default"/>
                <w:sz w:val="18"/>
                <w:szCs w:val="18"/>
              </w:rPr>
              <w:t>2019年1月</w:t>
            </w:r>
          </w:p>
        </w:tc>
        <w:tc>
          <w:tcPr>
            <w:tcW w:w="22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研发节点报告</w:t>
            </w:r>
          </w:p>
        </w:tc>
        <w:tc>
          <w:tcPr>
            <w:tcW w:w="22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hAnsi="宋体" w:cs="宋体" w:eastAsia="宋体" w:hint="default"/>
                <w:sz w:val="18"/>
                <w:szCs w:val="18"/>
              </w:rPr>
              <w:t>已完工</w:t>
            </w:r>
          </w:p>
        </w:tc>
      </w:tr>
    </w:tbl>
    <w:p>
      <w:pPr>
        <w:pStyle w:val="BodyText"/>
        <w:spacing w:line="240" w:lineRule="auto" w:before="10"/>
        <w:ind w:right="2239"/>
        <w:jc w:val="left"/>
      </w:pPr>
      <w:r>
        <w:rPr/>
        <w:t>期末，开发支出不存在减值情形。</w:t>
      </w:r>
    </w:p>
    <w:p>
      <w:pPr>
        <w:spacing w:after="0" w:line="240" w:lineRule="auto"/>
        <w:jc w:val="left"/>
        <w:sectPr>
          <w:pgSz w:w="11910" w:h="16840"/>
          <w:pgMar w:header="747" w:footer="982" w:top="1060" w:bottom="118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2239"/>
        <w:jc w:val="left"/>
        <w:rPr>
          <w:b w:val="0"/>
          <w:bCs w:val="0"/>
        </w:rPr>
      </w:pPr>
      <w:r>
        <w:rPr>
          <w:rFonts w:ascii="Arial" w:hAnsi="Arial" w:cs="Arial" w:eastAsia="Arial" w:hint="default"/>
        </w:rPr>
        <w:t>28</w:t>
      </w:r>
      <w:r>
        <w:rPr/>
        <w:t>、商誉</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t>（</w:t>
      </w:r>
      <w:r>
        <w:rPr>
          <w:rFonts w:ascii="Arial" w:hAnsi="Arial" w:cs="Arial" w:eastAsia="Arial" w:hint="default"/>
        </w:rPr>
        <w:t>1</w:t>
      </w:r>
      <w:r>
        <w:rPr/>
        <w:t>）商誉账面原值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4"/>
        <w:gridCol w:w="1379"/>
        <w:gridCol w:w="1367"/>
        <w:gridCol w:w="1379"/>
        <w:gridCol w:w="1355"/>
        <w:gridCol w:w="1367"/>
        <w:gridCol w:w="1367"/>
      </w:tblGrid>
      <w:tr>
        <w:trPr>
          <w:trHeight w:val="318" w:hRule="exact"/>
        </w:trPr>
        <w:tc>
          <w:tcPr>
            <w:tcW w:w="134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6" w:right="35"/>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79" w:type="dxa"/>
            <w:tcBorders>
              <w:top w:val="single" w:sz="4" w:space="0" w:color="000000"/>
              <w:left w:val="single" w:sz="4" w:space="0" w:color="000000"/>
              <w:bottom w:val="nil" w:sz="6" w:space="0" w:color="auto"/>
              <w:right w:val="single" w:sz="4" w:space="0" w:color="000000"/>
            </w:tcBorders>
            <w:shd w:val="clear" w:color="auto" w:fill="D3D3D3"/>
          </w:tcPr>
          <w:p>
            <w:pPr/>
          </w:p>
        </w:tc>
        <w:tc>
          <w:tcPr>
            <w:tcW w:w="274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8"/>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2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41" w:hRule="exact"/>
        </w:trPr>
        <w:tc>
          <w:tcPr>
            <w:tcW w:w="1344" w:type="dxa"/>
            <w:vMerge/>
            <w:tcBorders>
              <w:left w:val="single" w:sz="4" w:space="0" w:color="000000"/>
              <w:right w:val="single" w:sz="4" w:space="0" w:color="000000"/>
            </w:tcBorders>
            <w:shd w:val="clear" w:color="auto" w:fill="D3D3D3"/>
          </w:tcPr>
          <w:p>
            <w:pPr/>
          </w:p>
        </w:tc>
        <w:tc>
          <w:tcPr>
            <w:tcW w:w="137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46" w:type="dxa"/>
            <w:gridSpan w:val="2"/>
            <w:vMerge/>
            <w:tcBorders>
              <w:left w:val="single" w:sz="4" w:space="0" w:color="000000"/>
              <w:bottom w:val="single" w:sz="4" w:space="0" w:color="000000"/>
              <w:right w:val="single" w:sz="4" w:space="0" w:color="000000"/>
            </w:tcBorders>
            <w:shd w:val="clear" w:color="auto" w:fill="D3D3D3"/>
          </w:tcPr>
          <w:p>
            <w:pPr/>
          </w:p>
        </w:tc>
        <w:tc>
          <w:tcPr>
            <w:tcW w:w="2722" w:type="dxa"/>
            <w:gridSpan w:val="2"/>
            <w:vMerge/>
            <w:tcBorders>
              <w:left w:val="single" w:sz="4" w:space="0" w:color="000000"/>
              <w:bottom w:val="single" w:sz="4" w:space="0" w:color="000000"/>
              <w:right w:val="single" w:sz="4" w:space="0" w:color="000000"/>
            </w:tcBorders>
            <w:shd w:val="clear" w:color="auto" w:fill="D3D3D3"/>
          </w:tcPr>
          <w:p>
            <w:pPr/>
          </w:p>
        </w:tc>
        <w:tc>
          <w:tcPr>
            <w:tcW w:w="136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1" w:hRule="exact"/>
        </w:trPr>
        <w:tc>
          <w:tcPr>
            <w:tcW w:w="1344" w:type="dxa"/>
            <w:vMerge/>
            <w:tcBorders>
              <w:left w:val="single" w:sz="4" w:space="0" w:color="000000"/>
              <w:right w:val="single" w:sz="4" w:space="0" w:color="000000"/>
            </w:tcBorders>
            <w:shd w:val="clear" w:color="auto" w:fill="D3D3D3"/>
          </w:tcPr>
          <w:p>
            <w:pPr/>
          </w:p>
        </w:tc>
        <w:tc>
          <w:tcPr>
            <w:tcW w:w="1379" w:type="dxa"/>
            <w:vMerge/>
            <w:tcBorders>
              <w:left w:val="single" w:sz="4" w:space="0" w:color="000000"/>
              <w:bottom w:val="nil" w:sz="6" w:space="0" w:color="auto"/>
              <w:right w:val="single" w:sz="4" w:space="0" w:color="000000"/>
            </w:tcBorders>
            <w:shd w:val="clear" w:color="auto" w:fill="D3D3D3"/>
          </w:tcPr>
          <w:p>
            <w:pP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6"/>
              <w:ind w:left="48" w:right="0"/>
              <w:jc w:val="left"/>
              <w:rPr>
                <w:rFonts w:ascii="宋体" w:hAnsi="宋体" w:cs="宋体" w:eastAsia="宋体" w:hint="default"/>
                <w:sz w:val="18"/>
                <w:szCs w:val="18"/>
              </w:rPr>
            </w:pPr>
            <w:r>
              <w:rPr>
                <w:rFonts w:ascii="宋体" w:hAnsi="宋体" w:cs="宋体" w:eastAsia="宋体" w:hint="default"/>
                <w:sz w:val="18"/>
                <w:szCs w:val="18"/>
              </w:rPr>
              <w:t>企业合并形成的</w:t>
            </w:r>
          </w:p>
        </w:tc>
        <w:tc>
          <w:tcPr>
            <w:tcW w:w="1379" w:type="dxa"/>
            <w:vMerge w:val="restart"/>
            <w:tcBorders>
              <w:top w:val="single" w:sz="4" w:space="0" w:color="000000"/>
              <w:left w:val="single" w:sz="4" w:space="0" w:color="000000"/>
              <w:right w:val="single" w:sz="4" w:space="0" w:color="000000"/>
            </w:tcBorders>
            <w:shd w:val="clear" w:color="auto" w:fill="D3D3D3"/>
          </w:tcPr>
          <w:p>
            <w:pPr/>
          </w:p>
        </w:tc>
        <w:tc>
          <w:tcPr>
            <w:tcW w:w="13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6"/>
              <w:ind w:right="11"/>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val="restart"/>
            <w:tcBorders>
              <w:top w:val="single" w:sz="4" w:space="0" w:color="000000"/>
              <w:left w:val="single" w:sz="4" w:space="0" w:color="000000"/>
              <w:right w:val="single" w:sz="4" w:space="0" w:color="000000"/>
            </w:tcBorders>
            <w:shd w:val="clear" w:color="auto" w:fill="D3D3D3"/>
          </w:tcPr>
          <w:p>
            <w:pPr/>
          </w:p>
        </w:tc>
        <w:tc>
          <w:tcPr>
            <w:tcW w:w="1367" w:type="dxa"/>
            <w:vMerge/>
            <w:tcBorders>
              <w:left w:val="single" w:sz="4" w:space="0" w:color="000000"/>
              <w:bottom w:val="nil" w:sz="6" w:space="0" w:color="auto"/>
              <w:right w:val="single" w:sz="4" w:space="0" w:color="000000"/>
            </w:tcBorders>
            <w:shd w:val="clear" w:color="auto" w:fill="D3D3D3"/>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3D3D3"/>
          </w:tcPr>
          <w:p>
            <w:pPr/>
          </w:p>
        </w:tc>
        <w:tc>
          <w:tcPr>
            <w:tcW w:w="1379"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79" w:type="dxa"/>
            <w:vMerge/>
            <w:tcBorders>
              <w:left w:val="single" w:sz="4" w:space="0" w:color="000000"/>
              <w:bottom w:val="single" w:sz="4" w:space="0" w:color="000000"/>
              <w:right w:val="single" w:sz="4" w:space="0" w:color="000000"/>
            </w:tcBorders>
            <w:shd w:val="clear" w:color="auto" w:fill="D3D3D3"/>
          </w:tcPr>
          <w:p>
            <w:pPr/>
          </w:p>
        </w:tc>
        <w:tc>
          <w:tcPr>
            <w:tcW w:w="1355"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79" w:type="dxa"/>
            <w:tcBorders>
              <w:top w:val="single" w:sz="4" w:space="0" w:color="000000"/>
              <w:left w:val="single" w:sz="13" w:space="0" w:color="D3D3D3"/>
              <w:bottom w:val="single" w:sz="4" w:space="0" w:color="000000"/>
              <w:right w:val="single" w:sz="4" w:space="0" w:color="000000"/>
            </w:tcBorders>
          </w:tcPr>
          <w:p>
            <w:pPr/>
          </w:p>
        </w:tc>
        <w:tc>
          <w:tcPr>
            <w:tcW w:w="1367" w:type="dxa"/>
            <w:tcBorders>
              <w:top w:val="single" w:sz="48" w:space="0" w:color="D3D3D3"/>
              <w:left w:val="single" w:sz="4" w:space="0" w:color="000000"/>
              <w:bottom w:val="single" w:sz="4" w:space="0" w:color="000000"/>
              <w:right w:val="single" w:sz="4" w:space="0" w:color="000000"/>
            </w:tcBorders>
          </w:tcPr>
          <w:p>
            <w:pPr/>
          </w:p>
        </w:tc>
        <w:tc>
          <w:tcPr>
            <w:tcW w:w="1379" w:type="dxa"/>
            <w:tcBorders>
              <w:top w:val="single" w:sz="48" w:space="0" w:color="D3D3D3"/>
              <w:left w:val="single" w:sz="4" w:space="0" w:color="000000"/>
              <w:bottom w:val="single" w:sz="4" w:space="0" w:color="000000"/>
              <w:right w:val="single" w:sz="4" w:space="0" w:color="000000"/>
            </w:tcBorders>
          </w:tcPr>
          <w:p>
            <w:pPr/>
          </w:p>
        </w:tc>
        <w:tc>
          <w:tcPr>
            <w:tcW w:w="1355" w:type="dxa"/>
            <w:tcBorders>
              <w:top w:val="single" w:sz="48" w:space="0" w:color="D3D3D3"/>
              <w:left w:val="single" w:sz="4" w:space="0" w:color="000000"/>
              <w:bottom w:val="single" w:sz="4" w:space="0" w:color="000000"/>
              <w:right w:val="single" w:sz="4" w:space="0" w:color="000000"/>
            </w:tcBorders>
          </w:tcPr>
          <w:p>
            <w:pPr/>
          </w:p>
        </w:tc>
        <w:tc>
          <w:tcPr>
            <w:tcW w:w="1367" w:type="dxa"/>
            <w:tcBorders>
              <w:top w:val="single" w:sz="48" w:space="0" w:color="D3D3D3"/>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3D3D3"/>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t>（</w:t>
      </w:r>
      <w:r>
        <w:rPr>
          <w:rFonts w:ascii="Arial" w:hAnsi="Arial" w:cs="Arial" w:eastAsia="Arial" w:hint="default"/>
        </w:rPr>
        <w:t>2</w:t>
      </w:r>
      <w:r>
        <w:rPr/>
        <w:t>）商誉减值准备</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344"/>
        <w:gridCol w:w="1390"/>
        <w:gridCol w:w="1355"/>
        <w:gridCol w:w="1379"/>
        <w:gridCol w:w="1355"/>
        <w:gridCol w:w="1367"/>
        <w:gridCol w:w="1367"/>
      </w:tblGrid>
      <w:tr>
        <w:trPr>
          <w:trHeight w:val="318" w:hRule="exact"/>
        </w:trPr>
        <w:tc>
          <w:tcPr>
            <w:tcW w:w="134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6" w:right="35"/>
              <w:jc w:val="center"/>
              <w:rPr>
                <w:rFonts w:ascii="宋体" w:hAnsi="宋体" w:cs="宋体" w:eastAsia="宋体" w:hint="default"/>
                <w:sz w:val="18"/>
                <w:szCs w:val="18"/>
              </w:rPr>
            </w:pPr>
            <w:r>
              <w:rPr>
                <w:rFonts w:ascii="宋体" w:hAnsi="宋体" w:cs="宋体" w:eastAsia="宋体" w:hint="default"/>
                <w:sz w:val="18"/>
                <w:szCs w:val="18"/>
              </w:rPr>
              <w:t>被投资单位名称 或形成商誉的事 项</w:t>
            </w:r>
          </w:p>
        </w:tc>
        <w:tc>
          <w:tcPr>
            <w:tcW w:w="1390" w:type="dxa"/>
            <w:tcBorders>
              <w:top w:val="single" w:sz="4" w:space="0" w:color="000000"/>
              <w:left w:val="single" w:sz="4" w:space="0" w:color="000000"/>
              <w:bottom w:val="nil" w:sz="6" w:space="0" w:color="auto"/>
              <w:right w:val="single" w:sz="4" w:space="0" w:color="000000"/>
            </w:tcBorders>
            <w:shd w:val="clear" w:color="auto" w:fill="D3D3D3"/>
          </w:tcPr>
          <w:p>
            <w:pPr/>
          </w:p>
        </w:tc>
        <w:tc>
          <w:tcPr>
            <w:tcW w:w="273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2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72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9"/>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40" w:hRule="exact"/>
        </w:trPr>
        <w:tc>
          <w:tcPr>
            <w:tcW w:w="1344" w:type="dxa"/>
            <w:vMerge/>
            <w:tcBorders>
              <w:left w:val="single" w:sz="4" w:space="0" w:color="000000"/>
              <w:right w:val="single" w:sz="4" w:space="0" w:color="000000"/>
            </w:tcBorders>
            <w:shd w:val="clear" w:color="auto" w:fill="D3D3D3"/>
          </w:tcPr>
          <w:p>
            <w:pPr/>
          </w:p>
        </w:tc>
        <w:tc>
          <w:tcPr>
            <w:tcW w:w="139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2734" w:type="dxa"/>
            <w:gridSpan w:val="2"/>
            <w:vMerge/>
            <w:tcBorders>
              <w:left w:val="single" w:sz="4" w:space="0" w:color="000000"/>
              <w:bottom w:val="single" w:sz="4" w:space="0" w:color="000000"/>
              <w:right w:val="single" w:sz="4" w:space="0" w:color="000000"/>
            </w:tcBorders>
            <w:shd w:val="clear" w:color="auto" w:fill="D3D3D3"/>
          </w:tcPr>
          <w:p>
            <w:pPr/>
          </w:p>
        </w:tc>
        <w:tc>
          <w:tcPr>
            <w:tcW w:w="2722" w:type="dxa"/>
            <w:gridSpan w:val="2"/>
            <w:vMerge/>
            <w:tcBorders>
              <w:left w:val="single" w:sz="4" w:space="0" w:color="000000"/>
              <w:bottom w:val="single" w:sz="4" w:space="0" w:color="000000"/>
              <w:right w:val="single" w:sz="4" w:space="0" w:color="000000"/>
            </w:tcBorders>
            <w:shd w:val="clear" w:color="auto" w:fill="D3D3D3"/>
          </w:tcPr>
          <w:p>
            <w:pPr/>
          </w:p>
        </w:tc>
        <w:tc>
          <w:tcPr>
            <w:tcW w:w="136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52" w:hRule="exact"/>
        </w:trPr>
        <w:tc>
          <w:tcPr>
            <w:tcW w:w="1344" w:type="dxa"/>
            <w:vMerge/>
            <w:tcBorders>
              <w:left w:val="single" w:sz="4" w:space="0" w:color="000000"/>
              <w:right w:val="single" w:sz="4" w:space="0" w:color="000000"/>
            </w:tcBorders>
            <w:shd w:val="clear" w:color="auto" w:fill="D3D3D3"/>
          </w:tcPr>
          <w:p>
            <w:pPr/>
          </w:p>
        </w:tc>
        <w:tc>
          <w:tcPr>
            <w:tcW w:w="1390" w:type="dxa"/>
            <w:vMerge/>
            <w:tcBorders>
              <w:left w:val="single" w:sz="4" w:space="0" w:color="000000"/>
              <w:bottom w:val="nil" w:sz="6" w:space="0" w:color="auto"/>
              <w:right w:val="single" w:sz="4" w:space="0" w:color="000000"/>
            </w:tcBorders>
            <w:shd w:val="clear" w:color="auto" w:fill="D3D3D3"/>
          </w:tcPr>
          <w:p>
            <w:pPr/>
          </w:p>
        </w:tc>
        <w:tc>
          <w:tcPr>
            <w:tcW w:w="13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7"/>
              <w:ind w:right="9"/>
              <w:jc w:val="center"/>
              <w:rPr>
                <w:rFonts w:ascii="宋体" w:hAnsi="宋体" w:cs="宋体" w:eastAsia="宋体" w:hint="default"/>
                <w:sz w:val="18"/>
                <w:szCs w:val="18"/>
              </w:rPr>
            </w:pPr>
            <w:r>
              <w:rPr>
                <w:rFonts w:ascii="宋体" w:hAnsi="宋体" w:cs="宋体" w:eastAsia="宋体" w:hint="default"/>
                <w:sz w:val="18"/>
                <w:szCs w:val="18"/>
              </w:rPr>
              <w:t>计提</w:t>
            </w:r>
          </w:p>
        </w:tc>
        <w:tc>
          <w:tcPr>
            <w:tcW w:w="1379" w:type="dxa"/>
            <w:vMerge w:val="restart"/>
            <w:tcBorders>
              <w:top w:val="single" w:sz="4" w:space="0" w:color="000000"/>
              <w:left w:val="single" w:sz="4" w:space="0" w:color="000000"/>
              <w:right w:val="single" w:sz="4" w:space="0" w:color="000000"/>
            </w:tcBorders>
            <w:shd w:val="clear" w:color="auto" w:fill="D3D3D3"/>
          </w:tcPr>
          <w:p>
            <w:pPr/>
          </w:p>
        </w:tc>
        <w:tc>
          <w:tcPr>
            <w:tcW w:w="135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07"/>
              <w:ind w:right="11"/>
              <w:jc w:val="center"/>
              <w:rPr>
                <w:rFonts w:ascii="宋体" w:hAnsi="宋体" w:cs="宋体" w:eastAsia="宋体" w:hint="default"/>
                <w:sz w:val="18"/>
                <w:szCs w:val="18"/>
              </w:rPr>
            </w:pPr>
            <w:r>
              <w:rPr>
                <w:rFonts w:ascii="宋体" w:hAnsi="宋体" w:cs="宋体" w:eastAsia="宋体" w:hint="default"/>
                <w:sz w:val="18"/>
                <w:szCs w:val="18"/>
              </w:rPr>
              <w:t>处置</w:t>
            </w:r>
          </w:p>
        </w:tc>
        <w:tc>
          <w:tcPr>
            <w:tcW w:w="1367" w:type="dxa"/>
            <w:vMerge w:val="restart"/>
            <w:tcBorders>
              <w:top w:val="single" w:sz="4" w:space="0" w:color="000000"/>
              <w:left w:val="single" w:sz="4" w:space="0" w:color="000000"/>
              <w:right w:val="single" w:sz="4" w:space="0" w:color="000000"/>
            </w:tcBorders>
            <w:shd w:val="clear" w:color="auto" w:fill="D3D3D3"/>
          </w:tcPr>
          <w:p>
            <w:pPr/>
          </w:p>
        </w:tc>
        <w:tc>
          <w:tcPr>
            <w:tcW w:w="1367" w:type="dxa"/>
            <w:vMerge/>
            <w:tcBorders>
              <w:left w:val="single" w:sz="4" w:space="0" w:color="000000"/>
              <w:bottom w:val="nil" w:sz="6" w:space="0" w:color="auto"/>
              <w:right w:val="single" w:sz="4" w:space="0" w:color="000000"/>
            </w:tcBorders>
            <w:shd w:val="clear" w:color="auto" w:fill="D3D3D3"/>
          </w:tcPr>
          <w:p>
            <w:pPr/>
          </w:p>
        </w:tc>
      </w:tr>
      <w:tr>
        <w:trPr>
          <w:trHeight w:val="317" w:hRule="exact"/>
        </w:trPr>
        <w:tc>
          <w:tcPr>
            <w:tcW w:w="1344" w:type="dxa"/>
            <w:vMerge/>
            <w:tcBorders>
              <w:left w:val="single" w:sz="4" w:space="0" w:color="000000"/>
              <w:bottom w:val="single" w:sz="4" w:space="0" w:color="000000"/>
              <w:right w:val="single" w:sz="4" w:space="0" w:color="000000"/>
            </w:tcBorders>
            <w:shd w:val="clear" w:color="auto" w:fill="D3D3D3"/>
          </w:tcPr>
          <w:p>
            <w:pPr/>
          </w:p>
        </w:tc>
        <w:tc>
          <w:tcPr>
            <w:tcW w:w="1390" w:type="dxa"/>
            <w:tcBorders>
              <w:top w:val="nil" w:sz="6" w:space="0" w:color="auto"/>
              <w:left w:val="single" w:sz="4" w:space="0" w:color="000000"/>
              <w:bottom w:val="single" w:sz="4" w:space="0" w:color="000000"/>
              <w:right w:val="single" w:sz="4" w:space="0" w:color="000000"/>
            </w:tcBorders>
            <w:shd w:val="clear" w:color="auto" w:fill="D3D3D3"/>
          </w:tcPr>
          <w:p>
            <w:pPr/>
          </w:p>
        </w:tc>
        <w:tc>
          <w:tcPr>
            <w:tcW w:w="1355" w:type="dxa"/>
            <w:vMerge/>
            <w:tcBorders>
              <w:left w:val="single" w:sz="4" w:space="0" w:color="000000"/>
              <w:bottom w:val="single" w:sz="4" w:space="0" w:color="000000"/>
              <w:right w:val="single" w:sz="4" w:space="0" w:color="000000"/>
            </w:tcBorders>
            <w:shd w:val="clear" w:color="auto" w:fill="D3D3D3"/>
          </w:tcPr>
          <w:p>
            <w:pPr/>
          </w:p>
        </w:tc>
        <w:tc>
          <w:tcPr>
            <w:tcW w:w="1379" w:type="dxa"/>
            <w:vMerge/>
            <w:tcBorders>
              <w:left w:val="single" w:sz="4" w:space="0" w:color="000000"/>
              <w:bottom w:val="single" w:sz="4" w:space="0" w:color="000000"/>
              <w:right w:val="single" w:sz="4" w:space="0" w:color="000000"/>
            </w:tcBorders>
            <w:shd w:val="clear" w:color="auto" w:fill="D3D3D3"/>
          </w:tcPr>
          <w:p>
            <w:pPr/>
          </w:p>
        </w:tc>
        <w:tc>
          <w:tcPr>
            <w:tcW w:w="1355"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34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1390" w:type="dxa"/>
            <w:tcBorders>
              <w:top w:val="single" w:sz="4" w:space="0" w:color="000000"/>
              <w:left w:val="single" w:sz="13" w:space="0" w:color="D3D3D3"/>
              <w:bottom w:val="single" w:sz="4" w:space="0" w:color="000000"/>
              <w:right w:val="single" w:sz="4" w:space="0" w:color="000000"/>
            </w:tcBorders>
          </w:tcPr>
          <w:p>
            <w:pPr/>
          </w:p>
        </w:tc>
        <w:tc>
          <w:tcPr>
            <w:tcW w:w="1355" w:type="dxa"/>
            <w:tcBorders>
              <w:top w:val="single" w:sz="44" w:space="0" w:color="D3D3D3"/>
              <w:left w:val="single" w:sz="4" w:space="0" w:color="000000"/>
              <w:bottom w:val="single" w:sz="4" w:space="0" w:color="000000"/>
              <w:right w:val="single" w:sz="4" w:space="0" w:color="000000"/>
            </w:tcBorders>
          </w:tcPr>
          <w:p>
            <w:pPr/>
          </w:p>
        </w:tc>
        <w:tc>
          <w:tcPr>
            <w:tcW w:w="1379" w:type="dxa"/>
            <w:tcBorders>
              <w:top w:val="single" w:sz="44" w:space="0" w:color="D3D3D3"/>
              <w:left w:val="single" w:sz="4" w:space="0" w:color="000000"/>
              <w:bottom w:val="single" w:sz="4" w:space="0" w:color="000000"/>
              <w:right w:val="single" w:sz="4" w:space="0" w:color="000000"/>
            </w:tcBorders>
          </w:tcPr>
          <w:p>
            <w:pPr/>
          </w:p>
        </w:tc>
        <w:tc>
          <w:tcPr>
            <w:tcW w:w="1355" w:type="dxa"/>
            <w:tcBorders>
              <w:top w:val="single" w:sz="44" w:space="0" w:color="D3D3D3"/>
              <w:left w:val="single" w:sz="4" w:space="0" w:color="000000"/>
              <w:bottom w:val="single" w:sz="4" w:space="0" w:color="000000"/>
              <w:right w:val="single" w:sz="4" w:space="0" w:color="000000"/>
            </w:tcBorders>
          </w:tcPr>
          <w:p>
            <w:pPr/>
          </w:p>
        </w:tc>
        <w:tc>
          <w:tcPr>
            <w:tcW w:w="1367" w:type="dxa"/>
            <w:tcBorders>
              <w:top w:val="single" w:sz="44" w:space="0" w:color="D3D3D3"/>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90" w:type="dxa"/>
            <w:tcBorders>
              <w:top w:val="single" w:sz="4" w:space="0" w:color="000000"/>
              <w:left w:val="single" w:sz="13" w:space="0" w:color="D3D3D3"/>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1379" w:type="dxa"/>
            <w:tcBorders>
              <w:top w:val="single" w:sz="4" w:space="0" w:color="000000"/>
              <w:left w:val="single" w:sz="4" w:space="0" w:color="000000"/>
              <w:bottom w:val="single" w:sz="4" w:space="0" w:color="000000"/>
              <w:right w:val="single" w:sz="4" w:space="0" w:color="000000"/>
            </w:tcBorders>
          </w:tcPr>
          <w:p>
            <w:pPr/>
          </w:p>
        </w:tc>
        <w:tc>
          <w:tcPr>
            <w:tcW w:w="1355"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38" w:lineRule="auto" w:before="51"/>
        <w:ind w:left="153" w:right="0"/>
        <w:jc w:val="left"/>
      </w:pPr>
      <w:r>
        <w:rPr/>
        <w:t>商誉所在资产组或资产组组合的相关信息 </w:t>
      </w:r>
      <w:r>
        <w:rPr>
          <w:spacing w:val="-2"/>
        </w:rPr>
        <w:t>说明商誉减值测试过程、关键参数（如预计未来现金流量现值时的预测期增长率、稳定期增长率、利润率、折现率、预测期</w:t>
      </w:r>
      <w:r>
        <w:rPr>
          <w:spacing w:val="-68"/>
        </w:rPr>
        <w:t> </w:t>
      </w:r>
      <w:r>
        <w:rPr>
          <w:spacing w:val="-68"/>
        </w:rPr>
      </w:r>
      <w:r>
        <w:rPr/>
        <w:t>等）及商誉减值损失的确认方法：</w:t>
      </w:r>
    </w:p>
    <w:p>
      <w:pPr>
        <w:pStyle w:val="BodyText"/>
        <w:spacing w:line="357" w:lineRule="auto" w:before="43"/>
        <w:ind w:left="153" w:right="9131"/>
        <w:jc w:val="left"/>
      </w:pPr>
      <w:r>
        <w:rPr/>
        <w:t>商誉减值测试的影响 其他说明</w:t>
      </w:r>
    </w:p>
    <w:p>
      <w:pPr>
        <w:pStyle w:val="BodyText"/>
        <w:spacing w:line="240" w:lineRule="auto" w:before="28"/>
        <w:ind w:left="153" w:right="2239"/>
        <w:jc w:val="left"/>
      </w:pPr>
      <w:r>
        <w:rPr/>
        <w:t>无。</w:t>
      </w:r>
    </w:p>
    <w:p>
      <w:pPr>
        <w:spacing w:line="240" w:lineRule="auto" w:before="11"/>
        <w:rPr>
          <w:rFonts w:ascii="宋体" w:hAnsi="宋体" w:cs="宋体" w:eastAsia="宋体" w:hint="default"/>
          <w:sz w:val="26"/>
          <w:szCs w:val="26"/>
        </w:rPr>
      </w:pPr>
    </w:p>
    <w:p>
      <w:pPr>
        <w:pStyle w:val="Heading4"/>
        <w:spacing w:line="240" w:lineRule="auto"/>
        <w:ind w:right="2239"/>
        <w:jc w:val="left"/>
        <w:rPr>
          <w:b w:val="0"/>
          <w:bCs w:val="0"/>
        </w:rPr>
      </w:pPr>
      <w:r>
        <w:rPr>
          <w:rFonts w:ascii="Arial" w:hAnsi="Arial" w:cs="Arial" w:eastAsia="Arial" w:hint="default"/>
        </w:rPr>
        <w:t>29</w:t>
      </w:r>
      <w:r>
        <w:rPr/>
        <w:t>、长期待摊费用</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3" w:right="0"/>
              <w:jc w:val="left"/>
              <w:rPr>
                <w:rFonts w:ascii="宋体" w:hAnsi="宋体" w:cs="宋体" w:eastAsia="宋体" w:hint="default"/>
                <w:sz w:val="18"/>
                <w:szCs w:val="18"/>
              </w:rPr>
            </w:pPr>
            <w:r>
              <w:rPr>
                <w:rFonts w:ascii="宋体" w:hAnsi="宋体" w:cs="宋体" w:eastAsia="宋体" w:hint="default"/>
                <w:sz w:val="18"/>
                <w:szCs w:val="18"/>
              </w:rPr>
              <w:t>本期增加金额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1" w:right="0"/>
              <w:jc w:val="left"/>
              <w:rPr>
                <w:rFonts w:ascii="宋体" w:hAnsi="宋体" w:cs="宋体" w:eastAsia="宋体" w:hint="default"/>
                <w:sz w:val="18"/>
                <w:szCs w:val="18"/>
              </w:rPr>
            </w:pPr>
            <w:r>
              <w:rPr>
                <w:rFonts w:ascii="宋体" w:hAnsi="宋体" w:cs="宋体" w:eastAsia="宋体" w:hint="default"/>
                <w:sz w:val="18"/>
                <w:szCs w:val="18"/>
              </w:rPr>
              <w:t>本期摊销金额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52" w:right="0"/>
              <w:jc w:val="left"/>
              <w:rPr>
                <w:rFonts w:ascii="宋体" w:hAnsi="宋体" w:cs="宋体" w:eastAsia="宋体" w:hint="default"/>
                <w:sz w:val="18"/>
                <w:szCs w:val="18"/>
              </w:rPr>
            </w:pPr>
            <w:r>
              <w:rPr>
                <w:rFonts w:ascii="宋体" w:hAnsi="宋体" w:cs="宋体" w:eastAsia="宋体" w:hint="default"/>
                <w:sz w:val="18"/>
                <w:szCs w:val="18"/>
              </w:rPr>
              <w:t>其他减少金额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装修支出</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4,268,278.06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458,207.78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1,276,923.98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3,449,561.86</w:t>
            </w:r>
          </w:p>
        </w:tc>
      </w:tr>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4,268,278.06</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458,207.78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1,276,923.98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3,449,561.86</w:t>
            </w:r>
          </w:p>
        </w:tc>
      </w:tr>
    </w:tbl>
    <w:p>
      <w:pPr>
        <w:pStyle w:val="BodyText"/>
        <w:spacing w:line="357" w:lineRule="auto" w:before="51"/>
        <w:ind w:right="10030"/>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2239"/>
        <w:jc w:val="left"/>
        <w:rPr>
          <w:b w:val="0"/>
          <w:bCs w:val="0"/>
        </w:rPr>
      </w:pPr>
      <w:r>
        <w:rPr>
          <w:rFonts w:ascii="Arial" w:hAnsi="Arial" w:cs="Arial" w:eastAsia="Arial" w:hint="default"/>
        </w:rPr>
        <w:t>30</w:t>
      </w:r>
      <w:r>
        <w:rPr/>
        <w:t>、递延所得税资产</w:t>
      </w:r>
      <w:r>
        <w:rPr>
          <w:rFonts w:ascii="Arial" w:hAnsi="Arial" w:cs="Arial" w:eastAsia="Arial" w:hint="default"/>
        </w:rPr>
        <w:t>/</w:t>
      </w:r>
      <w:r>
        <w:rPr/>
        <w:t>递延所得税负债</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t>（</w:t>
      </w:r>
      <w:r>
        <w:rPr>
          <w:rFonts w:ascii="Arial" w:hAnsi="Arial" w:cs="Arial" w:eastAsia="Arial" w:hint="default"/>
        </w:rPr>
        <w:t>1</w:t>
      </w:r>
      <w:r>
        <w:rPr/>
        <w:t>）未经抵销的递延所得税资产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00"/>
        <w:gridCol w:w="1928"/>
        <w:gridCol w:w="1914"/>
        <w:gridCol w:w="1914"/>
        <w:gridCol w:w="1914"/>
      </w:tblGrid>
      <w:tr>
        <w:trPr>
          <w:trHeight w:val="207" w:hRule="exact"/>
        </w:trPr>
        <w:tc>
          <w:tcPr>
            <w:tcW w:w="1900" w:type="dxa"/>
            <w:tcBorders>
              <w:top w:val="single" w:sz="4" w:space="0" w:color="000000"/>
              <w:left w:val="single" w:sz="4" w:space="0" w:color="000000"/>
              <w:bottom w:val="nil" w:sz="6" w:space="0" w:color="auto"/>
              <w:right w:val="single" w:sz="4" w:space="0" w:color="000000"/>
            </w:tcBorders>
            <w:shd w:val="clear" w:color="auto" w:fill="D3D3D3"/>
          </w:tcPr>
          <w:p>
            <w:pPr/>
          </w:p>
        </w:tc>
        <w:tc>
          <w:tcPr>
            <w:tcW w:w="384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5" w:hRule="exact"/>
        </w:trPr>
        <w:tc>
          <w:tcPr>
            <w:tcW w:w="190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42" w:type="dxa"/>
            <w:gridSpan w:val="2"/>
            <w:vMerge/>
            <w:tcBorders>
              <w:left w:val="single" w:sz="4" w:space="0" w:color="000000"/>
              <w:bottom w:val="single" w:sz="4" w:space="0" w:color="000000"/>
              <w:right w:val="single" w:sz="4" w:space="0" w:color="000000"/>
            </w:tcBorders>
            <w:shd w:val="clear" w:color="auto" w:fill="D3D3D3"/>
          </w:tcPr>
          <w:p>
            <w:pPr/>
          </w:p>
        </w:tc>
        <w:tc>
          <w:tcPr>
            <w:tcW w:w="3828" w:type="dxa"/>
            <w:gridSpan w:val="2"/>
            <w:vMerge/>
            <w:tcBorders>
              <w:left w:val="single" w:sz="4" w:space="0" w:color="000000"/>
              <w:bottom w:val="single" w:sz="4" w:space="0" w:color="000000"/>
              <w:right w:val="single" w:sz="4" w:space="0" w:color="000000"/>
            </w:tcBorders>
            <w:shd w:val="clear" w:color="auto" w:fill="D3D3D3"/>
          </w:tcPr>
          <w:p>
            <w:pPr/>
          </w:p>
        </w:tc>
      </w:tr>
      <w:tr>
        <w:trPr>
          <w:trHeight w:val="195" w:hRule="exact"/>
        </w:trPr>
        <w:tc>
          <w:tcPr>
            <w:tcW w:w="1900" w:type="dxa"/>
            <w:vMerge/>
            <w:tcBorders>
              <w:left w:val="single" w:sz="4" w:space="0" w:color="000000"/>
              <w:bottom w:val="nil" w:sz="6" w:space="0" w:color="auto"/>
              <w:right w:val="single" w:sz="4" w:space="0" w:color="000000"/>
            </w:tcBorders>
            <w:shd w:val="clear" w:color="auto" w:fill="D3D3D3"/>
          </w:tcPr>
          <w:p>
            <w:pPr/>
          </w:p>
        </w:tc>
        <w:tc>
          <w:tcPr>
            <w:tcW w:w="192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45"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207" w:hRule="exact"/>
        </w:trPr>
        <w:tc>
          <w:tcPr>
            <w:tcW w:w="190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28"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45,204,543.38</w:t>
            </w:r>
            <w:r>
              <w:rPr>
                <w:rFonts w:ascii="Arial"/>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5,577,782.89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35,816,257.42</w:t>
            </w:r>
            <w:r>
              <w:rPr>
                <w:rFonts w:ascii="Arial"/>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4,667,181.01</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内部交易未实现利润</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7,509,405.74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1,863,483.36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13,037,838.28</w:t>
            </w:r>
            <w:r>
              <w:rPr>
                <w:rFonts w:ascii="Arial"/>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2,500,172.72</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64,363,480.24</w:t>
            </w:r>
            <w:r>
              <w:rPr>
                <w:rFonts w:ascii="Arial"/>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15,261,553.50</w:t>
            </w:r>
            <w:r>
              <w:rPr>
                <w:rFonts w:ascii="Arial"/>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65,063,156.16</w:t>
            </w:r>
            <w:r>
              <w:rPr>
                <w:rFonts w:ascii="Arial"/>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15,633,082.49</w:t>
            </w:r>
            <w:r>
              <w:rPr>
                <w:rFonts w:ascii="Arial"/>
                <w:sz w:val="18"/>
              </w:rPr>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19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548,333.33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54,833.33</w:t>
            </w:r>
            <w:r>
              <w:rPr>
                <w:rFonts w:ascii="Arial"/>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888,333.33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88,833.33</w:t>
            </w:r>
            <w:r>
              <w:rPr>
                <w:rFonts w:ascii="Arial"/>
                <w:sz w:val="18"/>
              </w:rPr>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2"/>
                <w:sz w:val="18"/>
              </w:rPr>
              <w:t>117,625,762.69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22,757,653.08</w:t>
            </w:r>
            <w:r>
              <w:rPr>
                <w:rFonts w:ascii="Arial"/>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2"/>
                <w:sz w:val="18"/>
              </w:rPr>
              <w:t>114,805,585.19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22,889,269.55</w:t>
            </w:r>
            <w:r>
              <w:rPr>
                <w:rFonts w:ascii="Arial"/>
                <w:sz w:val="18"/>
              </w:rPr>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t>（</w:t>
      </w:r>
      <w:r>
        <w:rPr>
          <w:rFonts w:ascii="Arial" w:hAnsi="Arial" w:cs="Arial" w:eastAsia="Arial" w:hint="default"/>
        </w:rPr>
        <w:t>2</w:t>
      </w:r>
      <w:r>
        <w:rPr/>
        <w:t>）未经抵销的递延所得税负债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0"/>
        <w:gridCol w:w="1916"/>
        <w:gridCol w:w="1914"/>
        <w:gridCol w:w="1914"/>
        <w:gridCol w:w="1914"/>
      </w:tblGrid>
      <w:tr>
        <w:trPr>
          <w:trHeight w:val="206" w:hRule="exact"/>
        </w:trPr>
        <w:tc>
          <w:tcPr>
            <w:tcW w:w="1900" w:type="dxa"/>
            <w:tcBorders>
              <w:top w:val="single" w:sz="4" w:space="0" w:color="000000"/>
              <w:left w:val="single" w:sz="4" w:space="0" w:color="000000"/>
              <w:bottom w:val="nil" w:sz="6" w:space="0" w:color="auto"/>
              <w:right w:val="single" w:sz="4" w:space="0" w:color="000000"/>
            </w:tcBorders>
            <w:shd w:val="clear" w:color="auto" w:fill="D3D3D3"/>
          </w:tcPr>
          <w:p>
            <w:pPr/>
          </w:p>
        </w:tc>
        <w:tc>
          <w:tcPr>
            <w:tcW w:w="383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8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6" w:hRule="exact"/>
        </w:trPr>
        <w:tc>
          <w:tcPr>
            <w:tcW w:w="190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3D3D3"/>
          </w:tcPr>
          <w:p>
            <w:pPr/>
          </w:p>
        </w:tc>
        <w:tc>
          <w:tcPr>
            <w:tcW w:w="3828"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1900" w:type="dxa"/>
            <w:vMerge/>
            <w:tcBorders>
              <w:left w:val="single" w:sz="4" w:space="0" w:color="000000"/>
              <w:bottom w:val="nil" w:sz="6" w:space="0" w:color="auto"/>
              <w:right w:val="single" w:sz="4" w:space="0" w:color="000000"/>
            </w:tcBorders>
            <w:shd w:val="clear" w:color="auto" w:fill="D3D3D3"/>
          </w:tcPr>
          <w:p>
            <w:pPr/>
          </w:p>
        </w:tc>
        <w:tc>
          <w:tcPr>
            <w:tcW w:w="19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4"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31" w:right="0"/>
              <w:jc w:val="left"/>
              <w:rPr>
                <w:rFonts w:ascii="宋体" w:hAnsi="宋体" w:cs="宋体" w:eastAsia="宋体" w:hint="default"/>
                <w:sz w:val="18"/>
                <w:szCs w:val="18"/>
              </w:rPr>
            </w:pPr>
            <w:r>
              <w:rPr>
                <w:rFonts w:ascii="宋体" w:hAnsi="宋体" w:cs="宋体" w:eastAsia="宋体" w:hint="default"/>
                <w:sz w:val="18"/>
                <w:szCs w:val="18"/>
              </w:rPr>
              <w:t>应纳税暂时性差异</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206" w:hRule="exact"/>
        </w:trPr>
        <w:tc>
          <w:tcPr>
            <w:tcW w:w="190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6"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77"/>
              <w:jc w:val="left"/>
              <w:rPr>
                <w:rFonts w:ascii="宋体" w:hAnsi="宋体" w:cs="宋体" w:eastAsia="宋体" w:hint="default"/>
                <w:sz w:val="18"/>
                <w:szCs w:val="18"/>
              </w:rPr>
            </w:pPr>
            <w:r>
              <w:rPr>
                <w:rFonts w:ascii="宋体" w:hAnsi="宋体" w:cs="宋体" w:eastAsia="宋体" w:hint="default"/>
                <w:sz w:val="18"/>
                <w:szCs w:val="18"/>
              </w:rPr>
              <w:t>其他权益工具投资公允 价值变动</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40,506,363.50</w:t>
            </w:r>
            <w:r>
              <w:rPr>
                <w:rFonts w:ascii="Arial"/>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4,050,636.35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sz w:val="18"/>
              </w:rPr>
              <w:t>30,822,530.36</w:t>
            </w:r>
            <w:r>
              <w:rPr>
                <w:rFonts w:ascii="Arial"/>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3,082,253.09</w:t>
            </w:r>
          </w:p>
        </w:tc>
      </w:tr>
      <w:tr>
        <w:trPr>
          <w:trHeight w:val="402" w:hRule="exact"/>
        </w:trPr>
        <w:tc>
          <w:tcPr>
            <w:tcW w:w="19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40,506,363.50</w:t>
            </w:r>
            <w:r>
              <w:rPr>
                <w:rFonts w:ascii="Arial"/>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4,050,636.35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30,822,530.36</w:t>
            </w:r>
            <w:r>
              <w:rPr>
                <w:rFonts w:ascii="Arial"/>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3,082,253.09</w:t>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t>（</w:t>
      </w:r>
      <w:r>
        <w:rPr>
          <w:rFonts w:ascii="Arial" w:hAnsi="Arial" w:cs="Arial" w:eastAsia="Arial" w:hint="default"/>
        </w:rPr>
        <w:t>3</w:t>
      </w:r>
      <w:r>
        <w:rPr/>
        <w:t>）以抵销后净额列示的递延所得税资产或负债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12"/>
        <w:gridCol w:w="1904"/>
        <w:gridCol w:w="1925"/>
        <w:gridCol w:w="1903"/>
        <w:gridCol w:w="1903"/>
      </w:tblGrid>
      <w:tr>
        <w:trPr>
          <w:trHeight w:val="162" w:hRule="exact"/>
        </w:trPr>
        <w:tc>
          <w:tcPr>
            <w:tcW w:w="1912" w:type="dxa"/>
            <w:tcBorders>
              <w:top w:val="single" w:sz="4" w:space="0" w:color="000000"/>
              <w:left w:val="single" w:sz="4" w:space="0" w:color="000000"/>
              <w:bottom w:val="nil" w:sz="6" w:space="0" w:color="auto"/>
              <w:right w:val="single" w:sz="4" w:space="0" w:color="000000"/>
            </w:tcBorders>
            <w:shd w:val="clear" w:color="auto" w:fill="D3D3D3"/>
          </w:tcPr>
          <w:p>
            <w:pPr/>
          </w:p>
        </w:tc>
        <w:tc>
          <w:tcPr>
            <w:tcW w:w="1904"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401"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期末互抵金额</w:t>
            </w:r>
          </w:p>
        </w:tc>
        <w:tc>
          <w:tcPr>
            <w:tcW w:w="1925"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21" w:right="62"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或负债期末余额</w:t>
            </w:r>
          </w:p>
        </w:tc>
        <w:tc>
          <w:tcPr>
            <w:tcW w:w="190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400" w:right="50" w:hanging="360"/>
              <w:jc w:val="left"/>
              <w:rPr>
                <w:rFonts w:ascii="宋体" w:hAnsi="宋体" w:cs="宋体" w:eastAsia="宋体" w:hint="default"/>
                <w:sz w:val="18"/>
                <w:szCs w:val="18"/>
              </w:rPr>
            </w:pPr>
            <w:r>
              <w:rPr>
                <w:rFonts w:ascii="宋体" w:hAnsi="宋体" w:cs="宋体" w:eastAsia="宋体" w:hint="default"/>
                <w:sz w:val="18"/>
                <w:szCs w:val="18"/>
              </w:rPr>
              <w:t>递延所得税资产和负债 期初互抵金额</w:t>
            </w:r>
          </w:p>
        </w:tc>
        <w:tc>
          <w:tcPr>
            <w:tcW w:w="190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21" w:right="39" w:hanging="270"/>
              <w:jc w:val="left"/>
              <w:rPr>
                <w:rFonts w:ascii="宋体" w:hAnsi="宋体" w:cs="宋体" w:eastAsia="宋体" w:hint="default"/>
                <w:sz w:val="18"/>
                <w:szCs w:val="18"/>
              </w:rPr>
            </w:pPr>
            <w:r>
              <w:rPr>
                <w:rFonts w:ascii="宋体" w:hAnsi="宋体" w:cs="宋体" w:eastAsia="宋体" w:hint="default"/>
                <w:sz w:val="18"/>
                <w:szCs w:val="18"/>
              </w:rPr>
              <w:t>抵销后递延所得税资产 或负债期初余额</w:t>
            </w:r>
          </w:p>
        </w:tc>
      </w:tr>
      <w:tr>
        <w:trPr>
          <w:trHeight w:val="392" w:hRule="exact"/>
        </w:trPr>
        <w:tc>
          <w:tcPr>
            <w:tcW w:w="191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22"/>
              <w:jc w:val="center"/>
              <w:rPr>
                <w:rFonts w:ascii="宋体" w:hAnsi="宋体" w:cs="宋体" w:eastAsia="宋体" w:hint="default"/>
                <w:sz w:val="18"/>
                <w:szCs w:val="18"/>
              </w:rPr>
            </w:pPr>
            <w:r>
              <w:rPr>
                <w:rFonts w:ascii="宋体" w:hAnsi="宋体" w:cs="宋体" w:eastAsia="宋体" w:hint="default"/>
                <w:sz w:val="18"/>
                <w:szCs w:val="18"/>
              </w:rPr>
              <w:t>项目</w:t>
            </w:r>
          </w:p>
        </w:tc>
        <w:tc>
          <w:tcPr>
            <w:tcW w:w="1904" w:type="dxa"/>
            <w:vMerge/>
            <w:tcBorders>
              <w:left w:val="single" w:sz="4" w:space="0" w:color="000000"/>
              <w:right w:val="single" w:sz="4" w:space="0" w:color="000000"/>
            </w:tcBorders>
            <w:shd w:val="clear" w:color="auto" w:fill="D3D3D3"/>
          </w:tcPr>
          <w:p>
            <w:pPr/>
          </w:p>
        </w:tc>
        <w:tc>
          <w:tcPr>
            <w:tcW w:w="1925" w:type="dxa"/>
            <w:vMerge/>
            <w:tcBorders>
              <w:left w:val="single" w:sz="4" w:space="0" w:color="000000"/>
              <w:right w:val="single" w:sz="4" w:space="0" w:color="000000"/>
            </w:tcBorders>
            <w:shd w:val="clear" w:color="auto" w:fill="D3D3D3"/>
          </w:tcPr>
          <w:p>
            <w:pPr/>
          </w:p>
        </w:tc>
        <w:tc>
          <w:tcPr>
            <w:tcW w:w="1903" w:type="dxa"/>
            <w:vMerge/>
            <w:tcBorders>
              <w:left w:val="single" w:sz="4" w:space="0" w:color="000000"/>
              <w:right w:val="single" w:sz="4" w:space="0" w:color="000000"/>
            </w:tcBorders>
            <w:shd w:val="clear" w:color="auto" w:fill="D3D3D3"/>
          </w:tcPr>
          <w:p>
            <w:pPr/>
          </w:p>
        </w:tc>
        <w:tc>
          <w:tcPr>
            <w:tcW w:w="1903" w:type="dxa"/>
            <w:vMerge/>
            <w:tcBorders>
              <w:left w:val="single" w:sz="4" w:space="0" w:color="000000"/>
              <w:right w:val="single" w:sz="4" w:space="0" w:color="000000"/>
            </w:tcBorders>
            <w:shd w:val="clear" w:color="auto" w:fill="D3D3D3"/>
          </w:tcPr>
          <w:p>
            <w:pPr/>
          </w:p>
        </w:tc>
      </w:tr>
      <w:tr>
        <w:trPr>
          <w:trHeight w:val="161" w:hRule="exact"/>
        </w:trPr>
        <w:tc>
          <w:tcPr>
            <w:tcW w:w="1912" w:type="dxa"/>
            <w:tcBorders>
              <w:top w:val="nil" w:sz="6" w:space="0" w:color="auto"/>
              <w:left w:val="single" w:sz="4" w:space="0" w:color="000000"/>
              <w:bottom w:val="single" w:sz="4" w:space="0" w:color="000000"/>
              <w:right w:val="single" w:sz="4" w:space="0" w:color="000000"/>
            </w:tcBorders>
            <w:shd w:val="clear" w:color="auto" w:fill="D3D3D3"/>
          </w:tcPr>
          <w:p>
            <w:pPr/>
          </w:p>
        </w:tc>
        <w:tc>
          <w:tcPr>
            <w:tcW w:w="1904" w:type="dxa"/>
            <w:vMerge/>
            <w:tcBorders>
              <w:left w:val="single" w:sz="4" w:space="0" w:color="000000"/>
              <w:bottom w:val="single" w:sz="4" w:space="0" w:color="000000"/>
              <w:right w:val="single" w:sz="4" w:space="0" w:color="000000"/>
            </w:tcBorders>
            <w:shd w:val="clear" w:color="auto" w:fill="D3D3D3"/>
          </w:tcPr>
          <w:p>
            <w:pPr/>
          </w:p>
        </w:tc>
        <w:tc>
          <w:tcPr>
            <w:tcW w:w="1925" w:type="dxa"/>
            <w:vMerge/>
            <w:tcBorders>
              <w:left w:val="single" w:sz="4" w:space="0" w:color="000000"/>
              <w:bottom w:val="single" w:sz="4" w:space="0" w:color="000000"/>
              <w:right w:val="single" w:sz="4" w:space="0" w:color="000000"/>
            </w:tcBorders>
            <w:shd w:val="clear" w:color="auto" w:fill="D3D3D3"/>
          </w:tcPr>
          <w:p>
            <w:pPr/>
          </w:p>
        </w:tc>
        <w:tc>
          <w:tcPr>
            <w:tcW w:w="1903" w:type="dxa"/>
            <w:vMerge/>
            <w:tcBorders>
              <w:left w:val="single" w:sz="4" w:space="0" w:color="000000"/>
              <w:bottom w:val="single" w:sz="4" w:space="0" w:color="000000"/>
              <w:right w:val="single" w:sz="4" w:space="0" w:color="000000"/>
            </w:tcBorders>
            <w:shd w:val="clear" w:color="auto" w:fill="D3D3D3"/>
          </w:tcPr>
          <w:p>
            <w:pPr/>
          </w:p>
        </w:tc>
        <w:tc>
          <w:tcPr>
            <w:tcW w:w="190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904" w:type="dxa"/>
            <w:tcBorders>
              <w:top w:val="single" w:sz="4" w:space="0" w:color="000000"/>
              <w:left w:val="single" w:sz="9" w:space="0" w:color="D3D3D3"/>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5"/>
              <w:jc w:val="right"/>
              <w:rPr>
                <w:rFonts w:ascii="Arial" w:hAnsi="Arial" w:cs="Arial" w:eastAsia="Arial" w:hint="default"/>
                <w:sz w:val="18"/>
                <w:szCs w:val="18"/>
              </w:rPr>
            </w:pPr>
            <w:r>
              <w:rPr>
                <w:rFonts w:ascii="Arial"/>
                <w:spacing w:val="-1"/>
                <w:sz w:val="18"/>
              </w:rPr>
              <w:t>22,757,653.08</w:t>
            </w:r>
            <w:r>
              <w:rPr>
                <w:rFonts w:ascii="Arial"/>
                <w:sz w:val="18"/>
              </w:rPr>
            </w:r>
          </w:p>
        </w:tc>
        <w:tc>
          <w:tcPr>
            <w:tcW w:w="1903"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2"/>
              <w:jc w:val="right"/>
              <w:rPr>
                <w:rFonts w:ascii="Arial" w:hAnsi="Arial" w:cs="Arial" w:eastAsia="Arial" w:hint="default"/>
                <w:sz w:val="18"/>
                <w:szCs w:val="18"/>
              </w:rPr>
            </w:pPr>
            <w:r>
              <w:rPr>
                <w:rFonts w:ascii="Arial"/>
                <w:spacing w:val="-1"/>
                <w:sz w:val="18"/>
              </w:rPr>
              <w:t>22,889,269.55</w:t>
            </w:r>
            <w:r>
              <w:rPr>
                <w:rFonts w:ascii="Arial"/>
                <w:sz w:val="18"/>
              </w:rPr>
            </w:r>
          </w:p>
        </w:tc>
      </w:tr>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904" w:type="dxa"/>
            <w:tcBorders>
              <w:top w:val="single" w:sz="4" w:space="0" w:color="000000"/>
              <w:left w:val="single" w:sz="9" w:space="0" w:color="D3D3D3"/>
              <w:bottom w:val="single" w:sz="4" w:space="0" w:color="000000"/>
              <w:right w:val="single" w:sz="4" w:space="0" w:color="000000"/>
            </w:tcBorders>
          </w:tcPr>
          <w:p>
            <w:pPr/>
          </w:p>
        </w:tc>
        <w:tc>
          <w:tcPr>
            <w:tcW w:w="19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4"/>
              <w:jc w:val="right"/>
              <w:rPr>
                <w:rFonts w:ascii="Arial" w:hAnsi="Arial" w:cs="Arial" w:eastAsia="Arial" w:hint="default"/>
                <w:sz w:val="18"/>
                <w:szCs w:val="18"/>
              </w:rPr>
            </w:pPr>
            <w:r>
              <w:rPr>
                <w:rFonts w:ascii="Arial"/>
                <w:spacing w:val="-1"/>
                <w:sz w:val="18"/>
              </w:rPr>
              <w:t>4,050,636.35</w:t>
            </w:r>
          </w:p>
        </w:tc>
        <w:tc>
          <w:tcPr>
            <w:tcW w:w="1903" w:type="dxa"/>
            <w:tcBorders>
              <w:top w:val="single" w:sz="4" w:space="0" w:color="000000"/>
              <w:left w:val="single" w:sz="4" w:space="0" w:color="000000"/>
              <w:bottom w:val="single" w:sz="4" w:space="0" w:color="000000"/>
              <w:right w:val="single" w:sz="4" w:space="0" w:color="000000"/>
            </w:tcBorders>
          </w:tcPr>
          <w:p>
            <w:pP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1"/>
              <w:jc w:val="right"/>
              <w:rPr>
                <w:rFonts w:ascii="Arial" w:hAnsi="Arial" w:cs="Arial" w:eastAsia="Arial" w:hint="default"/>
                <w:sz w:val="18"/>
                <w:szCs w:val="18"/>
              </w:rPr>
            </w:pPr>
            <w:r>
              <w:rPr>
                <w:rFonts w:ascii="Arial"/>
                <w:spacing w:val="-1"/>
                <w:sz w:val="18"/>
              </w:rPr>
              <w:t>3,082,253.09</w:t>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t>（</w:t>
      </w:r>
      <w:r>
        <w:rPr>
          <w:rFonts w:ascii="Arial" w:hAnsi="Arial" w:cs="Arial" w:eastAsia="Arial" w:hint="default"/>
        </w:rPr>
        <w:t>4</w:t>
      </w:r>
      <w:r>
        <w:rPr/>
        <w:t>）未确认递延所得税资产明细</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可抵扣暂时性差异</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590,984.90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1,954,947.67</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sz w:val="18"/>
              </w:rPr>
              <w:t>86,982,520.72</w:t>
            </w:r>
            <w:r>
              <w:rPr>
                <w:rFonts w:ascii="Arial"/>
                <w:sz w:val="18"/>
              </w:rPr>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79,414,781.84</w:t>
            </w:r>
            <w:r>
              <w:rPr>
                <w:rFonts w:ascii="Arial"/>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sz w:val="18"/>
              </w:rPr>
              <w:t>87,573,505.62</w:t>
            </w:r>
            <w:r>
              <w:rPr>
                <w:rFonts w:ascii="Arial"/>
                <w:sz w:val="18"/>
              </w:rPr>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81,369,729.51</w:t>
            </w:r>
            <w:r>
              <w:rPr>
                <w:rFonts w:ascii="Arial"/>
                <w:sz w:val="18"/>
              </w:rPr>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t>（</w:t>
      </w:r>
      <w:r>
        <w:rPr>
          <w:rFonts w:ascii="Arial" w:hAnsi="Arial" w:cs="Arial" w:eastAsia="Arial" w:hint="default"/>
        </w:rPr>
        <w:t>5</w:t>
      </w:r>
      <w:r>
        <w:rPr/>
        <w:t>）未确认递延所得税资产的可抵扣亏损将于以下年度到期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年份</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期初金额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08" w:right="0"/>
              <w:jc w:val="left"/>
              <w:rPr>
                <w:rFonts w:ascii="Arial" w:hAnsi="Arial" w:cs="Arial" w:eastAsia="Arial" w:hint="default"/>
                <w:sz w:val="18"/>
                <w:szCs w:val="18"/>
              </w:rPr>
            </w:pPr>
            <w:r>
              <w:rPr>
                <w:rFonts w:ascii="Arial"/>
                <w:sz w:val="18"/>
              </w:rPr>
              <w:t>22,890,860.70</w:t>
            </w:r>
          </w:p>
        </w:tc>
        <w:tc>
          <w:tcPr>
            <w:tcW w:w="239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2020</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19,726,699.86</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17,502,548.58</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2021</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14,550,438.28</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13,875,460.45</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2022</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13,450,488.29</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9,741,601.03</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2023</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16,154,370.37</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2"/>
                <w:sz w:val="18"/>
              </w:rPr>
              <w:t>15,404,311.08</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2024</w:t>
            </w:r>
            <w:r>
              <w:rPr>
                <w:rFonts w:ascii="Arial" w:hAnsi="Arial" w:cs="Arial" w:eastAsia="Arial" w:hint="default"/>
                <w:spacing w:val="-9"/>
                <w:sz w:val="18"/>
                <w:szCs w:val="18"/>
              </w:rPr>
              <w:t> </w:t>
            </w:r>
            <w:r>
              <w:rPr>
                <w:rFonts w:ascii="宋体" w:hAnsi="宋体" w:cs="宋体" w:eastAsia="宋体" w:hint="default"/>
                <w:sz w:val="18"/>
                <w:szCs w:val="18"/>
              </w:rPr>
              <w:t>年</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23,100,523.92</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86,982,520.72</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79,414,781.84</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Arial" w:hAnsi="Arial" w:cs="Arial" w:eastAsia="Arial" w:hint="default"/>
                <w:sz w:val="18"/>
                <w:szCs w:val="18"/>
              </w:rPr>
            </w:pPr>
            <w:r>
              <w:rPr>
                <w:rFonts w:ascii="Arial"/>
                <w:sz w:val="18"/>
              </w:rPr>
              <w:t>--</w:t>
            </w:r>
          </w:p>
        </w:tc>
      </w:tr>
    </w:tbl>
    <w:p>
      <w:pPr>
        <w:pStyle w:val="BodyText"/>
        <w:spacing w:line="357" w:lineRule="auto" w:before="51"/>
        <w:ind w:right="9850"/>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2239"/>
        <w:jc w:val="left"/>
        <w:rPr>
          <w:b w:val="0"/>
          <w:bCs w:val="0"/>
        </w:rPr>
      </w:pPr>
      <w:r>
        <w:rPr>
          <w:rFonts w:ascii="Arial" w:hAnsi="Arial" w:cs="Arial" w:eastAsia="Arial" w:hint="default"/>
        </w:rPr>
        <w:t>31</w:t>
      </w:r>
      <w:r>
        <w:rPr/>
        <w:t>、其他非流动资产</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0"/>
        </w:sectPr>
      </w:pPr>
    </w:p>
    <w:p>
      <w:pPr>
        <w:pStyle w:val="BodyText"/>
        <w:spacing w:line="240" w:lineRule="auto" w:before="44"/>
        <w:ind w:right="-20"/>
        <w:jc w:val="left"/>
      </w:pPr>
      <w:r>
        <w:rPr/>
        <w:t>是否已执行新收入准则</w:t>
      </w:r>
    </w:p>
    <w:p>
      <w:pPr>
        <w:pStyle w:val="BodyText"/>
        <w:spacing w:line="240" w:lineRule="auto" w:before="116"/>
        <w:ind w:left="153" w:right="-20"/>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29"/>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0"/>
          <w:cols w:num="2" w:equalWidth="0">
            <w:col w:w="1955" w:space="6874"/>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预付工程款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227,559.63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2,756,000.00</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227,559.63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2,756,000.00</w:t>
            </w:r>
          </w:p>
        </w:tc>
      </w:tr>
    </w:tbl>
    <w:p>
      <w:pPr>
        <w:pStyle w:val="BodyText"/>
        <w:spacing w:line="357" w:lineRule="auto" w:before="51"/>
        <w:ind w:right="9850"/>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2239"/>
        <w:jc w:val="left"/>
        <w:rPr>
          <w:b w:val="0"/>
          <w:bCs w:val="0"/>
        </w:rPr>
      </w:pPr>
      <w:r>
        <w:rPr>
          <w:rFonts w:ascii="Arial" w:hAnsi="Arial" w:cs="Arial" w:eastAsia="Arial" w:hint="default"/>
        </w:rPr>
        <w:t>32</w:t>
      </w:r>
      <w:r>
        <w:rPr/>
        <w:t>、短期借款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t>（</w:t>
      </w:r>
      <w:r>
        <w:rPr>
          <w:rFonts w:ascii="Arial" w:hAnsi="Arial" w:cs="Arial" w:eastAsia="Arial" w:hint="default"/>
        </w:rPr>
        <w:t>1</w:t>
      </w:r>
      <w:r>
        <w:rPr/>
        <w:t>）短期借款分类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501,557,343.75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430,502,012.50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501,557,343.75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430,502,012.50</w:t>
            </w:r>
          </w:p>
        </w:tc>
      </w:tr>
    </w:tbl>
    <w:p>
      <w:pPr>
        <w:pStyle w:val="BodyText"/>
        <w:spacing w:line="357" w:lineRule="auto" w:before="51"/>
        <w:ind w:left="153" w:right="8951"/>
        <w:jc w:val="left"/>
      </w:pPr>
      <w:r>
        <w:rPr/>
        <w:t>短期借款分类的说明： 无。</w:t>
      </w:r>
    </w:p>
    <w:p>
      <w:pPr>
        <w:spacing w:line="240" w:lineRule="auto" w:before="2"/>
        <w:rPr>
          <w:rFonts w:ascii="宋体" w:hAnsi="宋体" w:cs="宋体" w:eastAsia="宋体" w:hint="default"/>
          <w:sz w:val="20"/>
          <w:szCs w:val="20"/>
        </w:rPr>
      </w:pPr>
    </w:p>
    <w:p>
      <w:pPr>
        <w:pStyle w:val="Heading4"/>
        <w:spacing w:line="240" w:lineRule="auto"/>
        <w:ind w:right="2239"/>
        <w:jc w:val="left"/>
        <w:rPr>
          <w:b w:val="0"/>
          <w:bCs w:val="0"/>
        </w:rPr>
      </w:pPr>
      <w:r>
        <w:rPr/>
        <w:t>（</w:t>
      </w:r>
      <w:r>
        <w:rPr>
          <w:rFonts w:ascii="Arial" w:hAnsi="Arial" w:cs="Arial" w:eastAsia="Arial" w:hint="default"/>
        </w:rPr>
        <w:t>2</w:t>
      </w:r>
      <w:r>
        <w:rPr/>
        <w:t>）已逾期未偿还的短期借款情况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2239"/>
        <w:jc w:val="left"/>
      </w:pPr>
      <w:r>
        <w:rPr/>
        <w:t>本期末已逾期未偿还的短期借款总额为元，其中重要的已逾期未偿还的短期借款情况如下：</w:t>
      </w:r>
    </w:p>
    <w:p>
      <w:pPr>
        <w:pStyle w:val="BodyText"/>
        <w:spacing w:line="240" w:lineRule="auto" w:before="116"/>
        <w:ind w:left="0" w:right="113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0"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借款利率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逾期利率</w:t>
            </w:r>
          </w:p>
        </w:tc>
      </w:tr>
    </w:tbl>
    <w:p>
      <w:pPr>
        <w:pStyle w:val="BodyText"/>
        <w:spacing w:line="357" w:lineRule="auto" w:before="52"/>
        <w:ind w:right="9850"/>
        <w:jc w:val="left"/>
      </w:pPr>
      <w:r>
        <w:rPr/>
        <w:t>其他说明： 无。</w:t>
      </w:r>
    </w:p>
    <w:p>
      <w:pPr>
        <w:spacing w:after="0" w:line="357" w:lineRule="auto"/>
        <w:jc w:val="left"/>
        <w:sectPr>
          <w:type w:val="continuous"/>
          <w:pgSz w:w="11910" w:h="16840"/>
          <w:pgMar w:top="1060" w:bottom="118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2239"/>
        <w:jc w:val="left"/>
        <w:rPr>
          <w:b w:val="0"/>
          <w:bCs w:val="0"/>
        </w:rPr>
      </w:pPr>
      <w:r>
        <w:rPr>
          <w:rFonts w:ascii="Arial" w:hAnsi="Arial" w:cs="Arial" w:eastAsia="Arial" w:hint="default"/>
        </w:rPr>
        <w:t>33</w:t>
      </w:r>
      <w:r>
        <w:rPr/>
        <w:t>、交易性金融负债</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pStyle w:val="BodyText"/>
        <w:spacing w:line="357" w:lineRule="auto" w:before="52"/>
        <w:ind w:right="9850"/>
        <w:jc w:val="left"/>
      </w:pPr>
      <w:r>
        <w:rPr/>
        <w:t>其他说明： 无。</w:t>
      </w:r>
    </w:p>
    <w:p>
      <w:pPr>
        <w:spacing w:line="240" w:lineRule="auto" w:before="1"/>
        <w:rPr>
          <w:rFonts w:ascii="宋体" w:hAnsi="宋体" w:cs="宋体" w:eastAsia="宋体" w:hint="default"/>
          <w:sz w:val="20"/>
          <w:szCs w:val="20"/>
        </w:rPr>
      </w:pPr>
    </w:p>
    <w:p>
      <w:pPr>
        <w:pStyle w:val="Heading4"/>
        <w:spacing w:line="240" w:lineRule="auto"/>
        <w:ind w:right="2239"/>
        <w:jc w:val="left"/>
        <w:rPr>
          <w:b w:val="0"/>
          <w:bCs w:val="0"/>
        </w:rPr>
      </w:pPr>
      <w:r>
        <w:rPr>
          <w:rFonts w:ascii="Arial" w:hAnsi="Arial" w:cs="Arial" w:eastAsia="Arial" w:hint="default"/>
        </w:rPr>
        <w:t>34</w:t>
      </w:r>
      <w:r>
        <w:rPr/>
        <w:t>、衍生金融负债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51"/>
        <w:ind w:right="9850"/>
        <w:jc w:val="left"/>
      </w:pPr>
      <w:r>
        <w:rPr/>
        <w:t>其他说明： 无。</w:t>
      </w:r>
    </w:p>
    <w:p>
      <w:pPr>
        <w:spacing w:line="240" w:lineRule="auto" w:before="11"/>
        <w:rPr>
          <w:rFonts w:ascii="宋体" w:hAnsi="宋体" w:cs="宋体" w:eastAsia="宋体" w:hint="default"/>
          <w:sz w:val="19"/>
          <w:szCs w:val="19"/>
        </w:rPr>
      </w:pPr>
    </w:p>
    <w:p>
      <w:pPr>
        <w:pStyle w:val="Heading4"/>
        <w:spacing w:line="240" w:lineRule="auto"/>
        <w:ind w:right="2239"/>
        <w:jc w:val="left"/>
        <w:rPr>
          <w:b w:val="0"/>
          <w:bCs w:val="0"/>
        </w:rPr>
      </w:pPr>
      <w:r>
        <w:rPr>
          <w:rFonts w:ascii="Arial" w:hAnsi="Arial" w:cs="Arial" w:eastAsia="Arial" w:hint="default"/>
        </w:rPr>
        <w:t>35</w:t>
      </w:r>
      <w:r>
        <w:rPr/>
        <w:t>、应付票据</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商业承兑汇票</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sz w:val="18"/>
              </w:rPr>
              <w:t>51,448,276.10</w:t>
            </w:r>
            <w:r>
              <w:rPr>
                <w:rFonts w:ascii="Arial"/>
                <w:sz w:val="18"/>
              </w:rPr>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1,200,000.00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4,042,312.00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7,989,850.00</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sz w:val="18"/>
              </w:rPr>
              <w:t>55,490,588.10</w:t>
            </w:r>
            <w:r>
              <w:rPr>
                <w:rFonts w:ascii="Arial"/>
                <w:sz w:val="18"/>
              </w:rPr>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9,189,850.00</w:t>
            </w:r>
          </w:p>
        </w:tc>
      </w:tr>
    </w:tbl>
    <w:p>
      <w:pPr>
        <w:pStyle w:val="BodyText"/>
        <w:spacing w:line="240" w:lineRule="auto" w:before="51"/>
        <w:ind w:right="2239"/>
        <w:jc w:val="left"/>
      </w:pPr>
      <w:r>
        <w:rPr/>
        <w:t>本期末已到期未支付的应付票据总额为</w:t>
      </w:r>
      <w:r>
        <w:rPr>
          <w:spacing w:val="-47"/>
        </w:rPr>
        <w:t> </w:t>
      </w:r>
      <w:r>
        <w:rPr>
          <w:rFonts w:ascii="Arial" w:hAnsi="Arial" w:cs="Arial" w:eastAsia="Arial" w:hint="default"/>
        </w:rPr>
        <w:t>0.00</w:t>
      </w:r>
      <w:r>
        <w:rPr>
          <w:rFonts w:ascii="Arial" w:hAnsi="Arial" w:cs="Arial" w:eastAsia="Arial" w:hint="default"/>
          <w:spacing w:val="-8"/>
        </w:rPr>
        <w:t> </w:t>
      </w:r>
      <w:r>
        <w:rPr/>
        <w:t>元。</w:t>
      </w:r>
    </w:p>
    <w:p>
      <w:pPr>
        <w:spacing w:line="240" w:lineRule="auto" w:before="10"/>
        <w:rPr>
          <w:rFonts w:ascii="宋体" w:hAnsi="宋体" w:cs="宋体" w:eastAsia="宋体" w:hint="default"/>
          <w:sz w:val="25"/>
          <w:szCs w:val="25"/>
        </w:rPr>
      </w:pPr>
    </w:p>
    <w:p>
      <w:pPr>
        <w:pStyle w:val="Heading4"/>
        <w:spacing w:line="240" w:lineRule="auto"/>
        <w:ind w:right="2239"/>
        <w:jc w:val="left"/>
        <w:rPr>
          <w:b w:val="0"/>
          <w:bCs w:val="0"/>
        </w:rPr>
      </w:pPr>
      <w:r>
        <w:rPr>
          <w:rFonts w:ascii="Arial" w:hAnsi="Arial" w:cs="Arial" w:eastAsia="Arial" w:hint="default"/>
        </w:rPr>
        <w:t>36</w:t>
      </w:r>
      <w:r>
        <w:rPr/>
        <w:t>、应付账款</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2239"/>
        <w:jc w:val="left"/>
        <w:rPr>
          <w:b w:val="0"/>
          <w:bCs w:val="0"/>
        </w:rPr>
      </w:pPr>
      <w:r>
        <w:rPr/>
        <w:t>（</w:t>
      </w:r>
      <w:r>
        <w:rPr>
          <w:rFonts w:ascii="Arial" w:hAnsi="Arial" w:cs="Arial" w:eastAsia="Arial" w:hint="default"/>
        </w:rPr>
        <w:t>1</w:t>
      </w:r>
      <w:r>
        <w:rPr/>
        <w:t>）应付账款列示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170,414,172.74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177,553,014.84</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工程款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sz w:val="18"/>
              </w:rPr>
              <w:t>48,641,446.04</w:t>
            </w:r>
            <w:r>
              <w:rPr>
                <w:rFonts w:ascii="Arial"/>
                <w:sz w:val="18"/>
              </w:rPr>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81,695,826.35</w:t>
            </w:r>
            <w:r>
              <w:rPr>
                <w:rFonts w:ascii="Arial"/>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219,055,618.78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259,248,841.19</w:t>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t>（</w:t>
      </w:r>
      <w:r>
        <w:rPr>
          <w:rFonts w:ascii="Arial" w:hAnsi="Arial" w:cs="Arial" w:eastAsia="Arial" w:hint="default"/>
        </w:rPr>
        <w:t>2</w:t>
      </w:r>
      <w:r>
        <w:rPr/>
        <w:t>）账龄超过</w:t>
      </w:r>
      <w:r>
        <w:rPr>
          <w:spacing w:val="-54"/>
        </w:rPr>
        <w:t> </w:t>
      </w:r>
      <w:r>
        <w:rPr>
          <w:rFonts w:ascii="Arial" w:hAnsi="Arial" w:cs="Arial" w:eastAsia="Arial" w:hint="default"/>
        </w:rPr>
        <w:t>1</w:t>
      </w:r>
      <w:r>
        <w:rPr>
          <w:rFonts w:ascii="Arial" w:hAnsi="Arial" w:cs="Arial" w:eastAsia="Arial" w:hint="default"/>
          <w:spacing w:val="-8"/>
        </w:rPr>
        <w:t> </w:t>
      </w:r>
      <w:r>
        <w:rPr/>
        <w:t>年的重要应付账款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北京睿至大数据有限公司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14,836,400.00</w:t>
            </w:r>
            <w:r>
              <w:rPr>
                <w:rFonts w:ascii="Arial"/>
                <w:sz w:val="18"/>
              </w:rPr>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未达结算条件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辽宁共盈科技有限公司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1,794,700.51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未达结算条件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安徽慈湖建设集团有限公司第五分公司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1,663,094.82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未达结算条件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美林数据技术股份有限公司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1,524,000.00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未达结算条件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北京点聚信息技术有限公司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2"/>
                <w:sz w:val="18"/>
              </w:rPr>
              <w:t>1,387,115.13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未达结算条件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21,205,310.46</w:t>
            </w:r>
            <w:r>
              <w:rPr>
                <w:rFonts w:ascii="Arial"/>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Arial" w:hAnsi="Arial" w:cs="Arial" w:eastAsia="Arial" w:hint="default"/>
                <w:sz w:val="18"/>
                <w:szCs w:val="18"/>
              </w:rPr>
            </w:pPr>
            <w:r>
              <w:rPr>
                <w:rFonts w:ascii="Arial"/>
                <w:sz w:val="18"/>
              </w:rPr>
              <w:t>--</w:t>
            </w:r>
          </w:p>
        </w:tc>
      </w:tr>
    </w:tbl>
    <w:p>
      <w:pPr>
        <w:pStyle w:val="BodyText"/>
        <w:spacing w:line="357" w:lineRule="auto" w:before="51"/>
        <w:ind w:right="9850"/>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2239"/>
        <w:jc w:val="left"/>
        <w:rPr>
          <w:b w:val="0"/>
          <w:bCs w:val="0"/>
        </w:rPr>
      </w:pPr>
      <w:r>
        <w:rPr>
          <w:rFonts w:ascii="Arial" w:hAnsi="Arial" w:cs="Arial" w:eastAsia="Arial" w:hint="default"/>
        </w:rPr>
        <w:t>37</w:t>
      </w:r>
      <w:r>
        <w:rPr/>
        <w:t>、预收款项</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2239"/>
        <w:jc w:val="left"/>
      </w:pPr>
      <w:r>
        <w:rPr/>
        <w:t>是否已执行新收入准则</w:t>
      </w:r>
    </w:p>
    <w:p>
      <w:pPr>
        <w:pStyle w:val="BodyText"/>
        <w:spacing w:line="240" w:lineRule="auto" w:before="116"/>
        <w:ind w:left="153" w:right="2239"/>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29"/>
        </w:rPr>
        <w:t> </w:t>
      </w:r>
      <w:r>
        <w:rPr/>
        <w:t>否</w:t>
      </w:r>
    </w:p>
    <w:p>
      <w:pPr>
        <w:spacing w:line="240" w:lineRule="auto" w:before="11"/>
        <w:rPr>
          <w:rFonts w:ascii="宋体" w:hAnsi="宋体" w:cs="宋体" w:eastAsia="宋体" w:hint="default"/>
          <w:sz w:val="25"/>
          <w:szCs w:val="25"/>
        </w:rPr>
      </w:pPr>
    </w:p>
    <w:p>
      <w:pPr>
        <w:pStyle w:val="Heading4"/>
        <w:spacing w:line="240" w:lineRule="auto"/>
        <w:ind w:right="2239"/>
        <w:jc w:val="left"/>
        <w:rPr>
          <w:b w:val="0"/>
          <w:bCs w:val="0"/>
        </w:rPr>
      </w:pPr>
      <w:r>
        <w:rPr/>
        <w:t>（</w:t>
      </w:r>
      <w:r>
        <w:rPr>
          <w:rFonts w:ascii="Arial" w:hAnsi="Arial" w:cs="Arial" w:eastAsia="Arial" w:hint="default"/>
        </w:rPr>
        <w:t>1</w:t>
      </w:r>
      <w:r>
        <w:rPr/>
        <w:t>）预收款项列示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2"/>
                <w:sz w:val="18"/>
              </w:rPr>
              <w:t>164,196,135.11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151,235,748.51</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2"/>
                <w:sz w:val="18"/>
              </w:rPr>
              <w:t>164,196,135.11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151,235,748.51</w:t>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t>（</w:t>
      </w:r>
      <w:r>
        <w:rPr>
          <w:rFonts w:ascii="Arial" w:hAnsi="Arial" w:cs="Arial" w:eastAsia="Arial" w:hint="default"/>
        </w:rPr>
        <w:t>2</w:t>
      </w:r>
      <w:r>
        <w:rPr/>
        <w:t>）账龄超过</w:t>
      </w:r>
      <w:r>
        <w:rPr>
          <w:spacing w:val="-54"/>
        </w:rPr>
        <w:t> </w:t>
      </w:r>
      <w:r>
        <w:rPr>
          <w:rFonts w:ascii="Arial" w:hAnsi="Arial" w:cs="Arial" w:eastAsia="Arial" w:hint="default"/>
        </w:rPr>
        <w:t>1</w:t>
      </w:r>
      <w:r>
        <w:rPr>
          <w:rFonts w:ascii="Arial" w:hAnsi="Arial" w:cs="Arial" w:eastAsia="Arial" w:hint="default"/>
          <w:spacing w:val="-8"/>
        </w:rPr>
        <w:t> </w:t>
      </w:r>
      <w:r>
        <w:rPr/>
        <w:t>年的重要预收款项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上海格蒂电力科技有限公司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10,540,440.00</w:t>
            </w:r>
            <w:r>
              <w:rPr>
                <w:rFonts w:ascii="Arial"/>
                <w:sz w:val="18"/>
              </w:rPr>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未达到收入确认条件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信阳职业技术学院附属医院</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5,876,304.00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未达到收入确认条件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河南省档案局</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2,070,640.00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未达到收入确认条件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德诚珠宝集团有限公司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1,537,984.00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未达到收入确认条件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中共福州市纪律检查委员会</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1,179,000.00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未达到收入确认条件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21,204,368.00</w:t>
            </w:r>
            <w:r>
              <w:rPr>
                <w:rFonts w:ascii="Arial"/>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Arial" w:hAnsi="Arial" w:cs="Arial" w:eastAsia="Arial" w:hint="default"/>
                <w:sz w:val="18"/>
                <w:szCs w:val="18"/>
              </w:rPr>
            </w:pPr>
            <w:r>
              <w:rPr>
                <w:rFonts w:ascii="Arial"/>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t>（</w:t>
      </w:r>
      <w:r>
        <w:rPr>
          <w:rFonts w:ascii="Arial" w:hAnsi="Arial" w:cs="Arial" w:eastAsia="Arial" w:hint="default"/>
        </w:rPr>
        <w:t>3</w:t>
      </w:r>
      <w:r>
        <w:rPr/>
        <w:t>）期末建造合同形成的已结算未完工项目情况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2"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26;top:16;width:2;height:392" coordorigin="26,16" coordsize="2,392">
              <v:shape style="position:absolute;left:26;top:16;width:2;height:392" coordorigin="26,16" coordsize="0,392" path="m26,16l26,407e" filled="false" stroked="true" strokeweight="1.140pt" strokecolor="#d3d3d3">
                <v:path arrowok="t"/>
              </v:shape>
            </v:group>
            <v:group style="position:absolute;left:4772;top:16;width:2;height:392" coordorigin="4772,16" coordsize="2,392">
              <v:shape style="position:absolute;left:4772;top:16;width:2;height:392" coordorigin="4772,16" coordsize="0,392" path="m4772,16l4772,407e" filled="false" stroked="true" strokeweight="1.140pt" strokecolor="#d3d3d3">
                <v:path arrowok="t"/>
              </v:shape>
            </v:group>
            <v:group style="position:absolute;left:37;top:16;width:4724;height:392" coordorigin="37,16" coordsize="4724,392">
              <v:shape style="position:absolute;left:37;top:16;width:4724;height:392" coordorigin="37,16" coordsize="4724,392" path="m37,407l4760,407,4760,16,37,16,37,407xe" filled="true" fillcolor="#d3d3d3" stroked="false">
                <v:path arrowok="t"/>
                <v:fill type="solid"/>
              </v:shape>
            </v:group>
            <v:group style="position:absolute;left:4805;top:16;width:2;height:392" coordorigin="4805,16" coordsize="2,392">
              <v:shape style="position:absolute;left:4805;top:16;width:2;height:392" coordorigin="4805,16" coordsize="0,392" path="m4805,16l4805,407e" filled="false" stroked="true" strokeweight="1.140pt" strokecolor="#d3d3d3">
                <v:path arrowok="t"/>
              </v:shape>
            </v:group>
            <v:group style="position:absolute;left:9561;top:16;width:2;height:392" coordorigin="9561,16" coordsize="2,392">
              <v:shape style="position:absolute;left:9561;top:16;width:2;height:392" coordorigin="9561,16" coordsize="0,392" path="m9561,16l9561,407e" filled="false" stroked="true" strokeweight="1.140pt" strokecolor="#d3d3d3">
                <v:path arrowok="t"/>
              </v:shape>
            </v:group>
            <v:group style="position:absolute;left:4817;top:16;width:4733;height:392" coordorigin="4817,16" coordsize="4733,392">
              <v:shape style="position:absolute;left:4817;top:16;width:4733;height:392" coordorigin="4817,16" coordsize="4733,392" path="m4817,407l9550,407,9550,16,4817,16,4817,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4780;height:2" coordorigin="5,413" coordsize="4780,2">
              <v:shape style="position:absolute;left:5;top:413;width:4780;height:2" coordorigin="5,413" coordsize="4780,0" path="m5,413l4784,413e" filled="false" stroked="true" strokeweight=".47998pt" strokecolor="#000000">
                <v:path arrowok="t"/>
              </v:shape>
            </v:group>
            <v:group style="position:absolute;left:4789;top:14;width:2;height:404" coordorigin="4789,14" coordsize="2,404">
              <v:shape style="position:absolute;left:4789;top:14;width:2;height:404" coordorigin="4789,14" coordsize="0,404" path="m4789,14l4789,418e" filled="false" stroked="true" strokeweight=".48001pt" strokecolor="#000000">
                <v:path arrowok="t"/>
              </v:shape>
            </v:group>
            <v:group style="position:absolute;left:4794;top:413;width:4779;height:2" coordorigin="4794,413" coordsize="4779,2">
              <v:shape style="position:absolute;left:4794;top:413;width:4779;height:2" coordorigin="4794,413" coordsize="4779,0" path="m4794,413l9572,413e" filled="false" stroked="true" strokeweight=".47998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7998pt" strokecolor="#000000">
                <v:path arrowok="t"/>
              </v:shape>
              <v:shape style="position:absolute;left:2219;top:1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7003;top:1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金额</w:t>
                      </w:r>
                    </w:p>
                  </w:txbxContent>
                </v:textbox>
                <w10:wrap type="none"/>
              </v:shape>
            </v:group>
          </v:group>
        </w:pict>
      </w:r>
      <w:r>
        <w:rPr>
          <w:rFonts w:ascii="宋体" w:hAnsi="宋体" w:cs="宋体" w:eastAsia="宋体" w:hint="default"/>
          <w:position w:val="-7"/>
          <w:sz w:val="20"/>
          <w:szCs w:val="20"/>
        </w:rPr>
      </w:r>
    </w:p>
    <w:p>
      <w:pPr>
        <w:pStyle w:val="BodyText"/>
        <w:spacing w:line="357" w:lineRule="auto" w:before="47"/>
        <w:ind w:right="9850"/>
        <w:jc w:val="left"/>
      </w:pPr>
      <w:r>
        <w:rPr/>
        <w:t>其他说明： 无。</w:t>
      </w:r>
    </w:p>
    <w:p>
      <w:pPr>
        <w:spacing w:after="0" w:line="357" w:lineRule="auto"/>
        <w:jc w:val="left"/>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2239"/>
        <w:jc w:val="left"/>
        <w:rPr>
          <w:b w:val="0"/>
          <w:bCs w:val="0"/>
        </w:rPr>
      </w:pPr>
      <w:r>
        <w:rPr>
          <w:rFonts w:ascii="Arial" w:hAnsi="Arial" w:cs="Arial" w:eastAsia="Arial" w:hint="default"/>
        </w:rPr>
        <w:t>38</w:t>
      </w:r>
      <w:r>
        <w:rPr/>
        <w:t>、合同负债</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2"/>
        <w:ind w:right="2239"/>
        <w:jc w:val="left"/>
      </w:pPr>
      <w:r>
        <w:rPr/>
        <w:t>报告期内账面价值发生重大变动的金额和原因</w:t>
      </w:r>
    </w:p>
    <w:p>
      <w:pPr>
        <w:pStyle w:val="BodyText"/>
        <w:spacing w:line="240" w:lineRule="auto" w:before="116"/>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06"/>
        <w:gridCol w:w="2418"/>
        <w:gridCol w:w="4944"/>
      </w:tblGrid>
      <w:tr>
        <w:trPr>
          <w:trHeight w:val="402" w:hRule="exact"/>
        </w:trPr>
        <w:tc>
          <w:tcPr>
            <w:tcW w:w="22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变动金额</w:t>
            </w:r>
          </w:p>
        </w:tc>
        <w:tc>
          <w:tcPr>
            <w:tcW w:w="4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rFonts w:ascii="Arial" w:hAnsi="Arial" w:cs="Arial" w:eastAsia="Arial" w:hint="default"/>
        </w:rPr>
        <w:t>39</w:t>
      </w:r>
      <w:r>
        <w:rPr/>
        <w:t>、应付职工薪酬</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t>（</w:t>
      </w:r>
      <w:r>
        <w:rPr>
          <w:rFonts w:ascii="Arial" w:hAnsi="Arial" w:cs="Arial" w:eastAsia="Arial" w:hint="default"/>
        </w:rPr>
        <w:t>1</w:t>
      </w:r>
      <w:r>
        <w:rPr/>
        <w:t>）应付职工薪酬列示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一、短期薪酬</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23,694,529.94</w:t>
            </w:r>
            <w:r>
              <w:rPr>
                <w:rFonts w:ascii="Arial"/>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147,505,025.42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148,401,872.09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22,797,683.27</w:t>
            </w:r>
            <w:r>
              <w:rPr>
                <w:rFonts w:ascii="Arial"/>
                <w:sz w:val="18"/>
              </w:rPr>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11" w:right="9"/>
              <w:jc w:val="left"/>
              <w:rPr>
                <w:rFonts w:ascii="宋体" w:hAnsi="宋体" w:cs="宋体" w:eastAsia="宋体" w:hint="default"/>
                <w:sz w:val="18"/>
                <w:szCs w:val="18"/>
              </w:rPr>
            </w:pPr>
            <w:r>
              <w:rPr>
                <w:rFonts w:ascii="宋体" w:hAnsi="宋体" w:cs="宋体" w:eastAsia="宋体" w:hint="default"/>
                <w:sz w:val="18"/>
                <w:szCs w:val="18"/>
              </w:rPr>
              <w:t>二、离职后福利</w:t>
            </w:r>
            <w:r>
              <w:rPr>
                <w:rFonts w:ascii="Arial" w:hAnsi="Arial" w:cs="Arial" w:eastAsia="Arial" w:hint="default"/>
                <w:sz w:val="18"/>
                <w:szCs w:val="18"/>
              </w:rPr>
              <w:t>-</w:t>
            </w:r>
            <w:r>
              <w:rPr>
                <w:rFonts w:ascii="宋体" w:hAnsi="宋体" w:cs="宋体" w:eastAsia="宋体" w:hint="default"/>
                <w:sz w:val="18"/>
                <w:szCs w:val="18"/>
              </w:rPr>
              <w:t>设定提 存计划</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614.10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7,284,140.54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7,284,753.84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w w:val="95"/>
                <w:sz w:val="18"/>
              </w:rPr>
              <w:t>0.80</w:t>
            </w:r>
            <w:r>
              <w:rPr>
                <w:rFonts w:ascii="Arial"/>
                <w:w w:val="95"/>
                <w:sz w:val="18"/>
              </w:rPr>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三、辞退福利</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591,650.00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591,650.00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23,695,144.04</w:t>
            </w:r>
            <w:r>
              <w:rPr>
                <w:rFonts w:ascii="Arial"/>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155,380,815.96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156,278,275.93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22,797,684.07</w:t>
            </w:r>
            <w:r>
              <w:rPr>
                <w:rFonts w:ascii="Arial"/>
                <w:sz w:val="18"/>
              </w:rPr>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t>（</w:t>
      </w:r>
      <w:r>
        <w:rPr>
          <w:rFonts w:ascii="Arial" w:hAnsi="Arial" w:cs="Arial" w:eastAsia="Arial" w:hint="default"/>
        </w:rPr>
        <w:t>2</w:t>
      </w:r>
      <w:r>
        <w:rPr/>
        <w:t>）短期薪酬列示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2"/>
              <w:ind w:left="11" w:right="9"/>
              <w:jc w:val="left"/>
              <w:rPr>
                <w:rFonts w:ascii="宋体" w:hAnsi="宋体" w:cs="宋体" w:eastAsia="宋体" w:hint="default"/>
                <w:sz w:val="18"/>
                <w:szCs w:val="18"/>
              </w:rPr>
            </w:pPr>
            <w:r>
              <w:rPr>
                <w:rFonts w:ascii="Arial" w:hAnsi="Arial" w:cs="Arial" w:eastAsia="Arial" w:hint="default"/>
                <w:spacing w:val="-5"/>
                <w:sz w:val="18"/>
                <w:szCs w:val="18"/>
              </w:rPr>
              <w:t>1</w:t>
            </w:r>
            <w:r>
              <w:rPr>
                <w:rFonts w:ascii="宋体" w:hAnsi="宋体" w:cs="宋体" w:eastAsia="宋体" w:hint="default"/>
                <w:spacing w:val="-5"/>
                <w:sz w:val="18"/>
                <w:szCs w:val="18"/>
              </w:rPr>
              <w:t>、工资、奖金、津贴和</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补贴</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18"/>
                <w:szCs w:val="18"/>
              </w:rPr>
            </w:pPr>
            <w:r>
              <w:rPr>
                <w:rFonts w:ascii="Arial"/>
                <w:spacing w:val="-1"/>
                <w:sz w:val="18"/>
              </w:rPr>
              <w:t>22,882,630.19</w:t>
            </w:r>
            <w:r>
              <w:rPr>
                <w:rFonts w:ascii="Arial"/>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131,286,643.45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132,071,753.41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3"/>
              <w:jc w:val="right"/>
              <w:rPr>
                <w:rFonts w:ascii="Arial" w:hAnsi="Arial" w:cs="Arial" w:eastAsia="Arial" w:hint="default"/>
                <w:sz w:val="18"/>
                <w:szCs w:val="18"/>
              </w:rPr>
            </w:pPr>
            <w:r>
              <w:rPr>
                <w:rFonts w:ascii="Arial"/>
                <w:spacing w:val="-1"/>
                <w:sz w:val="18"/>
              </w:rPr>
              <w:t>22,097,520.23</w:t>
            </w:r>
            <w:r>
              <w:rPr>
                <w:rFonts w:ascii="Arial"/>
                <w:sz w:val="18"/>
              </w:rPr>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、职工福利费</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4,574,571.56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4,574,571.56</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、社会保险费</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5,053,306.41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5,053,292.93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w w:val="95"/>
                <w:sz w:val="18"/>
              </w:rPr>
              <w:t>13.48</w:t>
            </w:r>
            <w:r>
              <w:rPr>
                <w:rFonts w:ascii="Arial"/>
                <w:w w:val="95"/>
                <w:sz w:val="18"/>
              </w:rPr>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其中：医疗保险费</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4,543,814.54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4,543,814.54</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工伤保险费</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2"/>
                <w:sz w:val="18"/>
              </w:rPr>
              <w:t>116,430.58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2"/>
                <w:sz w:val="18"/>
              </w:rPr>
              <w:t>116,417.10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w w:val="95"/>
                <w:sz w:val="18"/>
              </w:rPr>
              <w:t>13.48</w:t>
            </w:r>
            <w:r>
              <w:rPr>
                <w:rFonts w:ascii="Arial"/>
                <w:w w:val="95"/>
                <w:sz w:val="18"/>
              </w:rPr>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65"/>
              <w:jc w:val="right"/>
              <w:rPr>
                <w:rFonts w:ascii="宋体" w:hAnsi="宋体" w:cs="宋体" w:eastAsia="宋体" w:hint="default"/>
                <w:sz w:val="18"/>
                <w:szCs w:val="18"/>
              </w:rPr>
            </w:pPr>
            <w:r>
              <w:rPr>
                <w:rFonts w:ascii="宋体" w:hAnsi="宋体" w:cs="宋体" w:eastAsia="宋体" w:hint="default"/>
                <w:sz w:val="18"/>
                <w:szCs w:val="18"/>
              </w:rPr>
              <w:t>生育保险费</w:t>
            </w:r>
          </w:p>
        </w:tc>
        <w:tc>
          <w:tcPr>
            <w:tcW w:w="1928"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393,061.29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393,061.29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、住房公积金</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140.00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5,892,905.65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5,892,905.65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140.00</w:t>
            </w:r>
          </w:p>
        </w:tc>
      </w:tr>
      <w:tr>
        <w:trPr>
          <w:trHeight w:val="714"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2"/>
              <w:ind w:left="11" w:right="9"/>
              <w:jc w:val="left"/>
              <w:rPr>
                <w:rFonts w:ascii="宋体" w:hAnsi="宋体" w:cs="宋体" w:eastAsia="宋体" w:hint="default"/>
                <w:sz w:val="18"/>
                <w:szCs w:val="18"/>
              </w:rPr>
            </w:pPr>
            <w:r>
              <w:rPr>
                <w:rFonts w:ascii="Arial" w:hAnsi="Arial" w:cs="Arial" w:eastAsia="Arial" w:hint="default"/>
                <w:spacing w:val="-5"/>
                <w:sz w:val="18"/>
                <w:szCs w:val="18"/>
              </w:rPr>
              <w:t>5</w:t>
            </w:r>
            <w:r>
              <w:rPr>
                <w:rFonts w:ascii="宋体" w:hAnsi="宋体" w:cs="宋体" w:eastAsia="宋体" w:hint="default"/>
                <w:spacing w:val="-5"/>
                <w:sz w:val="18"/>
                <w:szCs w:val="18"/>
              </w:rPr>
              <w:t>、工会经费和职工教育</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经费</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2"/>
                <w:sz w:val="18"/>
              </w:rPr>
              <w:t>811,759.75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18"/>
                <w:szCs w:val="18"/>
              </w:rPr>
            </w:pPr>
            <w:r>
              <w:rPr>
                <w:rFonts w:ascii="Arial"/>
                <w:spacing w:val="-1"/>
                <w:sz w:val="18"/>
              </w:rPr>
              <w:t>568,958.95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18"/>
                <w:szCs w:val="18"/>
              </w:rPr>
            </w:pPr>
            <w:r>
              <w:rPr>
                <w:rFonts w:ascii="Arial"/>
                <w:spacing w:val="-1"/>
                <w:sz w:val="18"/>
              </w:rPr>
              <w:t>680,709.14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18"/>
                <w:szCs w:val="18"/>
              </w:rPr>
            </w:pPr>
            <w:r>
              <w:rPr>
                <w:rFonts w:ascii="Arial"/>
                <w:spacing w:val="-1"/>
                <w:sz w:val="18"/>
              </w:rPr>
              <w:t>700,009.56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非货币性福利</w:t>
            </w:r>
          </w:p>
        </w:tc>
        <w:tc>
          <w:tcPr>
            <w:tcW w:w="1928"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128,639.40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128,639.40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23,694,529.94</w:t>
            </w:r>
            <w:r>
              <w:rPr>
                <w:rFonts w:ascii="Arial"/>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147,505,025.42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148,401,872.09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sz w:val="18"/>
              </w:rPr>
              <w:t>22,797,683.27</w:t>
            </w:r>
            <w:r>
              <w:rPr>
                <w:rFonts w:ascii="Arial"/>
                <w:sz w:val="18"/>
              </w:rPr>
            </w:r>
          </w:p>
        </w:tc>
      </w:tr>
    </w:tbl>
    <w:p>
      <w:pPr>
        <w:spacing w:after="0" w:line="240" w:lineRule="auto"/>
        <w:jc w:val="right"/>
        <w:rPr>
          <w:rFonts w:ascii="Arial" w:hAnsi="Arial" w:cs="Arial" w:eastAsia="Arial" w:hint="default"/>
          <w:sz w:val="18"/>
          <w:szCs w:val="18"/>
        </w:rPr>
        <w:sectPr>
          <w:pgSz w:w="11910" w:h="16840"/>
          <w:pgMar w:header="747" w:footer="982" w:top="1060" w:bottom="118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2239"/>
        <w:jc w:val="left"/>
        <w:rPr>
          <w:b w:val="0"/>
          <w:bCs w:val="0"/>
        </w:rPr>
      </w:pPr>
      <w:r>
        <w:rPr/>
        <w:t>（</w:t>
      </w:r>
      <w:r>
        <w:rPr>
          <w:rFonts w:ascii="Arial" w:hAnsi="Arial" w:cs="Arial" w:eastAsia="Arial" w:hint="default"/>
        </w:rPr>
        <w:t>3</w:t>
      </w:r>
      <w:r>
        <w:rPr/>
        <w:t>）设定提存计划列示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、基本养老保险</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613.30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7,043,380.49</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7,043,993.79</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、失业保险费</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0.80</w:t>
            </w:r>
            <w:r>
              <w:rPr>
                <w:rFonts w:ascii="Arial"/>
                <w:w w:val="95"/>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240,760.05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240,760.05</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w w:val="95"/>
                <w:sz w:val="18"/>
              </w:rPr>
              <w:t>0.80</w:t>
            </w:r>
            <w:r>
              <w:rPr>
                <w:rFonts w:ascii="Arial"/>
                <w:w w:val="95"/>
                <w:sz w:val="18"/>
              </w:rPr>
            </w:r>
          </w:p>
        </w:tc>
      </w:tr>
      <w:tr>
        <w:trPr>
          <w:trHeight w:val="403"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614.10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4"/>
              <w:jc w:val="right"/>
              <w:rPr>
                <w:rFonts w:ascii="Arial" w:hAnsi="Arial" w:cs="Arial" w:eastAsia="Arial" w:hint="default"/>
                <w:sz w:val="18"/>
                <w:szCs w:val="18"/>
              </w:rPr>
            </w:pPr>
            <w:r>
              <w:rPr>
                <w:rFonts w:ascii="Arial"/>
                <w:spacing w:val="-1"/>
                <w:sz w:val="18"/>
              </w:rPr>
              <w:t>7,284,140.54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sz w:val="18"/>
              </w:rPr>
              <w:t>7,284,753.84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w w:val="95"/>
                <w:sz w:val="18"/>
              </w:rPr>
              <w:t>0.80</w:t>
            </w:r>
            <w:r>
              <w:rPr>
                <w:rFonts w:ascii="Arial"/>
                <w:w w:val="95"/>
                <w:sz w:val="18"/>
              </w:rPr>
            </w:r>
          </w:p>
        </w:tc>
      </w:tr>
    </w:tbl>
    <w:p>
      <w:pPr>
        <w:pStyle w:val="BodyText"/>
        <w:spacing w:line="357" w:lineRule="auto" w:before="51"/>
        <w:ind w:right="9850"/>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2239"/>
        <w:jc w:val="left"/>
        <w:rPr>
          <w:b w:val="0"/>
          <w:bCs w:val="0"/>
        </w:rPr>
      </w:pPr>
      <w:r>
        <w:rPr>
          <w:rFonts w:ascii="Arial" w:hAnsi="Arial" w:cs="Arial" w:eastAsia="Arial" w:hint="default"/>
        </w:rPr>
        <w:t>40</w:t>
      </w:r>
      <w:r>
        <w:rPr/>
        <w:t>、应交税费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5"/>
        <w:gridCol w:w="3194"/>
        <w:gridCol w:w="3188"/>
      </w:tblGrid>
      <w:tr>
        <w:trPr>
          <w:trHeight w:val="402" w:hRule="exact"/>
        </w:trPr>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1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9,495,649.86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5,028,998.41</w:t>
            </w:r>
          </w:p>
        </w:tc>
      </w:tr>
      <w:tr>
        <w:trPr>
          <w:trHeight w:val="402" w:hRule="exact"/>
        </w:trPr>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1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2,884,520.88</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3,472,712.41</w:t>
            </w:r>
          </w:p>
        </w:tc>
      </w:tr>
      <w:tr>
        <w:trPr>
          <w:trHeight w:val="402" w:hRule="exact"/>
        </w:trPr>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31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316,555.53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263,593.42</w:t>
            </w:r>
          </w:p>
        </w:tc>
      </w:tr>
      <w:tr>
        <w:trPr>
          <w:trHeight w:val="402" w:hRule="exact"/>
        </w:trPr>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194"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223,143.86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257,803.02</w:t>
            </w:r>
          </w:p>
        </w:tc>
      </w:tr>
      <w:tr>
        <w:trPr>
          <w:trHeight w:val="402" w:hRule="exact"/>
        </w:trPr>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166,228.64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196,592.78</w:t>
            </w:r>
          </w:p>
        </w:tc>
      </w:tr>
      <w:tr>
        <w:trPr>
          <w:trHeight w:val="402" w:hRule="exact"/>
        </w:trPr>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505,913.24</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593,762.93</w:t>
            </w:r>
          </w:p>
        </w:tc>
      </w:tr>
      <w:tr>
        <w:trPr>
          <w:trHeight w:val="402" w:hRule="exact"/>
        </w:trPr>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355,810.71</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396,654.54</w:t>
            </w:r>
          </w:p>
        </w:tc>
      </w:tr>
      <w:tr>
        <w:trPr>
          <w:trHeight w:val="402" w:hRule="exact"/>
        </w:trPr>
        <w:tc>
          <w:tcPr>
            <w:tcW w:w="31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其他税种</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245,502.76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208,238.36</w:t>
            </w:r>
          </w:p>
        </w:tc>
      </w:tr>
      <w:tr>
        <w:trPr>
          <w:trHeight w:val="402" w:hRule="exact"/>
        </w:trPr>
        <w:tc>
          <w:tcPr>
            <w:tcW w:w="31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14,193,325.48</w:t>
            </w:r>
            <w:r>
              <w:rPr>
                <w:rFonts w:ascii="Arial"/>
                <w:sz w:val="18"/>
              </w:rPr>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10,418,355.87</w:t>
            </w:r>
            <w:r>
              <w:rPr>
                <w:rFonts w:ascii="Arial"/>
                <w:sz w:val="18"/>
              </w:rPr>
            </w:r>
          </w:p>
        </w:tc>
      </w:tr>
    </w:tbl>
    <w:p>
      <w:pPr>
        <w:pStyle w:val="BodyText"/>
        <w:spacing w:line="357" w:lineRule="auto" w:before="51"/>
        <w:ind w:right="9850"/>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2239"/>
        <w:jc w:val="left"/>
        <w:rPr>
          <w:b w:val="0"/>
          <w:bCs w:val="0"/>
        </w:rPr>
      </w:pPr>
      <w:r>
        <w:rPr>
          <w:rFonts w:ascii="Arial" w:hAnsi="Arial" w:cs="Arial" w:eastAsia="Arial" w:hint="default"/>
        </w:rPr>
        <w:t>41</w:t>
      </w:r>
      <w:r>
        <w:rPr/>
        <w:t>、其他应付款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135,893,708.19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91,073,088.92</w:t>
            </w:r>
            <w:r>
              <w:rPr>
                <w:rFonts w:ascii="Arial"/>
                <w:sz w:val="18"/>
              </w:rPr>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135,893,708.19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91,073,088.92</w:t>
            </w:r>
            <w:r>
              <w:rPr>
                <w:rFonts w:ascii="Arial"/>
                <w:sz w:val="18"/>
              </w:rPr>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t>（</w:t>
      </w:r>
      <w:r>
        <w:rPr>
          <w:rFonts w:ascii="Arial" w:hAnsi="Arial" w:cs="Arial" w:eastAsia="Arial" w:hint="default"/>
        </w:rPr>
        <w:t>1</w:t>
      </w:r>
      <w:r>
        <w:rPr/>
        <w:t>）应付利息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2239"/>
        <w:jc w:val="left"/>
      </w:pPr>
      <w:r>
        <w:rPr/>
        <w:t>重要的已逾期未支付的利息情况：</w:t>
      </w:r>
    </w:p>
    <w:p>
      <w:pPr>
        <w:spacing w:after="0" w:line="240" w:lineRule="auto"/>
        <w:jc w:val="left"/>
        <w:sectPr>
          <w:pgSz w:w="11910" w:h="16840"/>
          <w:pgMar w:header="747" w:footer="982" w:top="1060" w:bottom="118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借款单位</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逾期金额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逾期原因</w:t>
            </w:r>
          </w:p>
        </w:tc>
      </w:tr>
    </w:tbl>
    <w:p>
      <w:pPr>
        <w:pStyle w:val="BodyText"/>
        <w:spacing w:line="357" w:lineRule="auto" w:before="52"/>
        <w:ind w:right="9850"/>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2239"/>
        <w:jc w:val="left"/>
        <w:rPr>
          <w:b w:val="0"/>
          <w:bCs w:val="0"/>
        </w:rPr>
      </w:pPr>
      <w:r>
        <w:rPr/>
        <w:t>（</w:t>
      </w:r>
      <w:r>
        <w:rPr>
          <w:rFonts w:ascii="Arial" w:hAnsi="Arial" w:cs="Arial" w:eastAsia="Arial" w:hint="default"/>
        </w:rPr>
        <w:t>2</w:t>
      </w:r>
      <w:r>
        <w:rPr/>
        <w:t>）应付股利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2239"/>
        <w:jc w:val="left"/>
      </w:pPr>
      <w:r>
        <w:rPr/>
        <w:t>其他说明，包括重要的超过</w:t>
      </w:r>
      <w:r>
        <w:rPr>
          <w:spacing w:val="-46"/>
        </w:rPr>
        <w:t> </w:t>
      </w:r>
      <w:r>
        <w:rPr>
          <w:rFonts w:ascii="Arial" w:hAnsi="Arial" w:cs="Arial" w:eastAsia="Arial" w:hint="default"/>
        </w:rPr>
        <w:t>1</w:t>
      </w:r>
      <w:r>
        <w:rPr>
          <w:rFonts w:ascii="Arial" w:hAnsi="Arial" w:cs="Arial" w:eastAsia="Arial" w:hint="default"/>
          <w:spacing w:val="-7"/>
        </w:rPr>
        <w:t> </w:t>
      </w:r>
      <w:r>
        <w:rPr/>
        <w:t>年未支付的应付股利，应披露未支付原因：</w:t>
      </w:r>
    </w:p>
    <w:p>
      <w:pPr>
        <w:spacing w:line="240" w:lineRule="auto" w:before="11"/>
        <w:rPr>
          <w:rFonts w:ascii="宋体" w:hAnsi="宋体" w:cs="宋体" w:eastAsia="宋体" w:hint="default"/>
          <w:sz w:val="25"/>
          <w:szCs w:val="25"/>
        </w:rPr>
      </w:pPr>
    </w:p>
    <w:p>
      <w:pPr>
        <w:pStyle w:val="Heading4"/>
        <w:spacing w:line="240" w:lineRule="auto"/>
        <w:ind w:right="2239"/>
        <w:jc w:val="left"/>
        <w:rPr>
          <w:b w:val="0"/>
          <w:bCs w:val="0"/>
        </w:rPr>
      </w:pPr>
      <w:r>
        <w:rPr/>
        <w:t>（</w:t>
      </w:r>
      <w:r>
        <w:rPr>
          <w:rFonts w:ascii="Arial" w:hAnsi="Arial" w:cs="Arial" w:eastAsia="Arial" w:hint="default"/>
        </w:rPr>
        <w:t>3</w:t>
      </w:r>
      <w:r>
        <w:rPr/>
        <w:t>）其他应付款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2239"/>
        <w:jc w:val="left"/>
        <w:rPr>
          <w:b w:val="0"/>
          <w:bCs w:val="0"/>
        </w:rPr>
      </w:pPr>
      <w:r>
        <w:rPr>
          <w:rFonts w:ascii="Arial" w:hAnsi="Arial" w:cs="Arial" w:eastAsia="Arial" w:hint="default"/>
        </w:rPr>
        <w:t>1</w:t>
      </w:r>
      <w:r>
        <w:rPr/>
        <w:t>）按款项性质列示其他应付款</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股权转让款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74,500,000.00</w:t>
            </w:r>
            <w:r>
              <w:rPr>
                <w:rFonts w:ascii="Arial"/>
                <w:sz w:val="18"/>
              </w:rPr>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43,000,000.00</w:t>
            </w:r>
            <w:r>
              <w:rPr>
                <w:rFonts w:ascii="Arial"/>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保证金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21,122,075.56</w:t>
            </w:r>
            <w:r>
              <w:rPr>
                <w:rFonts w:ascii="Arial"/>
                <w:sz w:val="18"/>
              </w:rPr>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19,526,972.58</w:t>
            </w:r>
            <w:r>
              <w:rPr>
                <w:rFonts w:ascii="Arial"/>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28,000,000.00</w:t>
            </w:r>
            <w:r>
              <w:rPr>
                <w:rFonts w:ascii="Arial"/>
                <w:sz w:val="18"/>
              </w:rPr>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17,000,000.00</w:t>
            </w:r>
            <w:r>
              <w:rPr>
                <w:rFonts w:ascii="Arial"/>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12,271,632.63</w:t>
            </w:r>
            <w:r>
              <w:rPr>
                <w:rFonts w:ascii="Arial"/>
                <w:sz w:val="18"/>
              </w:rPr>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3"/>
                <w:sz w:val="18"/>
              </w:rPr>
              <w:t>11,546,116.34</w:t>
            </w:r>
            <w:r>
              <w:rPr>
                <w:rFonts w:ascii="Arial"/>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135,893,708.19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91,073,088.92</w:t>
            </w:r>
            <w:r>
              <w:rPr>
                <w:rFonts w:ascii="Arial"/>
                <w:sz w:val="18"/>
              </w:rPr>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rFonts w:ascii="Arial" w:hAnsi="Arial" w:cs="Arial" w:eastAsia="Arial" w:hint="default"/>
        </w:rPr>
        <w:t>2</w:t>
      </w:r>
      <w:r>
        <w:rPr/>
        <w:t>）账龄超过</w:t>
      </w:r>
      <w:r>
        <w:rPr>
          <w:spacing w:val="-54"/>
        </w:rPr>
        <w:t> </w:t>
      </w:r>
      <w:r>
        <w:rPr>
          <w:rFonts w:ascii="Arial" w:hAnsi="Arial" w:cs="Arial" w:eastAsia="Arial" w:hint="default"/>
        </w:rPr>
        <w:t>1</w:t>
      </w:r>
      <w:r>
        <w:rPr>
          <w:rFonts w:ascii="Arial" w:hAnsi="Arial" w:cs="Arial" w:eastAsia="Arial" w:hint="default"/>
          <w:spacing w:val="-7"/>
        </w:rPr>
        <w:t> </w:t>
      </w:r>
      <w:r>
        <w:rPr/>
        <w:t>年的重要其他应付款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未偿还或结转的原因</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江南智慧产业发展私募基金</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37,000,000.00</w:t>
            </w:r>
            <w:r>
              <w:rPr>
                <w:rFonts w:ascii="Arial"/>
                <w:sz w:val="18"/>
              </w:rPr>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未达结算条件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上海金洹工程建设有限公司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9,078,876.53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未达结算条件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圣大控股有限公司</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1,378,000.00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未达结算条件</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47,456,876.53</w:t>
            </w:r>
            <w:r>
              <w:rPr>
                <w:rFonts w:ascii="Arial"/>
                <w:sz w:val="18"/>
              </w:rPr>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Arial" w:hAnsi="Arial" w:cs="Arial" w:eastAsia="Arial" w:hint="default"/>
                <w:sz w:val="18"/>
                <w:szCs w:val="18"/>
              </w:rPr>
            </w:pPr>
            <w:r>
              <w:rPr>
                <w:rFonts w:ascii="Arial"/>
                <w:sz w:val="18"/>
              </w:rPr>
              <w:t>--</w:t>
            </w:r>
          </w:p>
        </w:tc>
      </w:tr>
    </w:tbl>
    <w:p>
      <w:pPr>
        <w:pStyle w:val="BodyText"/>
        <w:spacing w:line="357" w:lineRule="auto" w:before="51"/>
        <w:ind w:right="10030"/>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2239"/>
        <w:jc w:val="left"/>
        <w:rPr>
          <w:b w:val="0"/>
          <w:bCs w:val="0"/>
        </w:rPr>
      </w:pPr>
      <w:r>
        <w:rPr>
          <w:rFonts w:ascii="Arial" w:hAnsi="Arial" w:cs="Arial" w:eastAsia="Arial" w:hint="default"/>
        </w:rPr>
        <w:t>42</w:t>
      </w:r>
      <w:r>
        <w:rPr/>
        <w:t>、持有待售负债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240" w:lineRule="auto" w:before="51"/>
        <w:ind w:right="2239"/>
        <w:jc w:val="left"/>
      </w:pPr>
      <w:r>
        <w:rPr/>
        <w:t>其他说明：</w:t>
      </w:r>
    </w:p>
    <w:p>
      <w:pPr>
        <w:spacing w:after="0" w:line="240" w:lineRule="auto"/>
        <w:jc w:val="left"/>
        <w:sectPr>
          <w:pgSz w:w="11910" w:h="16840"/>
          <w:pgMar w:header="747" w:footer="982" w:top="1060" w:bottom="118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153" w:right="2239"/>
        <w:jc w:val="left"/>
      </w:pPr>
      <w:r>
        <w:rPr/>
        <w:t>无。</w:t>
      </w:r>
    </w:p>
    <w:p>
      <w:pPr>
        <w:spacing w:line="240" w:lineRule="auto" w:before="10"/>
        <w:rPr>
          <w:rFonts w:ascii="宋体" w:hAnsi="宋体" w:cs="宋体" w:eastAsia="宋体" w:hint="default"/>
          <w:sz w:val="26"/>
          <w:szCs w:val="26"/>
        </w:rPr>
      </w:pPr>
    </w:p>
    <w:p>
      <w:pPr>
        <w:pStyle w:val="Heading4"/>
        <w:spacing w:line="240" w:lineRule="auto"/>
        <w:ind w:right="2239"/>
        <w:jc w:val="left"/>
        <w:rPr>
          <w:b w:val="0"/>
          <w:bCs w:val="0"/>
        </w:rPr>
      </w:pPr>
      <w:r>
        <w:rPr>
          <w:rFonts w:ascii="Arial" w:hAnsi="Arial" w:cs="Arial" w:eastAsia="Arial" w:hint="default"/>
        </w:rPr>
        <w:t>43</w:t>
      </w:r>
      <w:r>
        <w:rPr/>
        <w:t>、一年内到期的非流动负债</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2"/>
        <w:ind w:right="9850"/>
        <w:jc w:val="left"/>
      </w:pPr>
      <w:r>
        <w:rPr/>
        <w:t>其他说明： 无。</w:t>
      </w:r>
    </w:p>
    <w:p>
      <w:pPr>
        <w:spacing w:line="240" w:lineRule="auto" w:before="1"/>
        <w:rPr>
          <w:rFonts w:ascii="宋体" w:hAnsi="宋体" w:cs="宋体" w:eastAsia="宋体" w:hint="default"/>
          <w:sz w:val="20"/>
          <w:szCs w:val="20"/>
        </w:rPr>
      </w:pPr>
    </w:p>
    <w:p>
      <w:pPr>
        <w:pStyle w:val="Heading4"/>
        <w:spacing w:line="240" w:lineRule="auto"/>
        <w:ind w:right="2239"/>
        <w:jc w:val="left"/>
        <w:rPr>
          <w:b w:val="0"/>
          <w:bCs w:val="0"/>
        </w:rPr>
      </w:pPr>
      <w:r>
        <w:rPr>
          <w:rFonts w:ascii="Arial" w:hAnsi="Arial" w:cs="Arial" w:eastAsia="Arial" w:hint="default"/>
        </w:rPr>
        <w:t>44</w:t>
      </w:r>
      <w:r>
        <w:rPr/>
        <w:t>、其他流动负债</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0"/>
        </w:sectPr>
      </w:pPr>
    </w:p>
    <w:p>
      <w:pPr>
        <w:pStyle w:val="BodyText"/>
        <w:spacing w:line="240" w:lineRule="auto" w:before="44"/>
        <w:ind w:right="-20"/>
        <w:jc w:val="left"/>
      </w:pPr>
      <w:r>
        <w:rPr/>
        <w:t>是否已执行新收入准则</w:t>
      </w:r>
    </w:p>
    <w:p>
      <w:pPr>
        <w:pStyle w:val="BodyText"/>
        <w:spacing w:line="240" w:lineRule="auto" w:before="117"/>
        <w:ind w:left="153" w:right="-20"/>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29"/>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0"/>
          <w:cols w:num="2" w:equalWidth="0">
            <w:col w:w="1955" w:space="6874"/>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待转销项税额</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sz w:val="18"/>
              </w:rPr>
              <w:t>15,791,464.35</w:t>
            </w:r>
            <w:r>
              <w:rPr>
                <w:rFonts w:ascii="Arial"/>
                <w:sz w:val="18"/>
              </w:rPr>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19,903,840.08</w:t>
            </w:r>
            <w:r>
              <w:rPr>
                <w:rFonts w:ascii="Arial"/>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未终止确认的银行承兑汇票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500,000.00</w:t>
            </w:r>
          </w:p>
        </w:tc>
        <w:tc>
          <w:tcPr>
            <w:tcW w:w="318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sz w:val="18"/>
              </w:rPr>
              <w:t>16,291,464.35</w:t>
            </w:r>
            <w:r>
              <w:rPr>
                <w:rFonts w:ascii="Arial"/>
                <w:sz w:val="18"/>
              </w:rPr>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19,903,840.08</w:t>
            </w:r>
            <w:r>
              <w:rPr>
                <w:rFonts w:ascii="Arial"/>
                <w:sz w:val="18"/>
              </w:rPr>
            </w:r>
          </w:p>
        </w:tc>
      </w:tr>
    </w:tbl>
    <w:p>
      <w:pPr>
        <w:pStyle w:val="BodyText"/>
        <w:spacing w:line="240" w:lineRule="auto" w:before="51"/>
        <w:ind w:right="2239"/>
        <w:jc w:val="left"/>
      </w:pPr>
      <w:r>
        <w:rPr/>
        <w:t>短期应付债券的增减变动：</w:t>
      </w:r>
    </w:p>
    <w:p>
      <w:pPr>
        <w:pStyle w:val="BodyText"/>
        <w:spacing w:line="240" w:lineRule="auto" w:before="116"/>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8"/>
        <w:gridCol w:w="798"/>
        <w:gridCol w:w="798"/>
        <w:gridCol w:w="798"/>
        <w:gridCol w:w="798"/>
        <w:gridCol w:w="798"/>
        <w:gridCol w:w="798"/>
        <w:gridCol w:w="798"/>
        <w:gridCol w:w="798"/>
        <w:gridCol w:w="798"/>
        <w:gridCol w:w="798"/>
        <w:gridCol w:w="798"/>
      </w:tblGrid>
      <w:tr>
        <w:trPr>
          <w:trHeight w:val="714" w:hRule="exact"/>
        </w:trPr>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13"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23"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03" w:right="32"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60" w:lineRule="auto" w:before="51"/>
        <w:ind w:right="9850"/>
        <w:jc w:val="left"/>
      </w:pPr>
      <w:r>
        <w:rPr/>
        <w:t>其他说明： 无。</w:t>
      </w:r>
    </w:p>
    <w:p>
      <w:pPr>
        <w:spacing w:line="240" w:lineRule="auto" w:before="11"/>
        <w:rPr>
          <w:rFonts w:ascii="宋体" w:hAnsi="宋体" w:cs="宋体" w:eastAsia="宋体" w:hint="default"/>
          <w:sz w:val="19"/>
          <w:szCs w:val="19"/>
        </w:rPr>
      </w:pPr>
    </w:p>
    <w:p>
      <w:pPr>
        <w:pStyle w:val="Heading4"/>
        <w:spacing w:line="240" w:lineRule="auto"/>
        <w:ind w:right="2239"/>
        <w:jc w:val="left"/>
        <w:rPr>
          <w:b w:val="0"/>
          <w:bCs w:val="0"/>
        </w:rPr>
      </w:pPr>
      <w:r>
        <w:rPr>
          <w:rFonts w:ascii="Arial" w:hAnsi="Arial" w:cs="Arial" w:eastAsia="Arial" w:hint="default"/>
        </w:rPr>
        <w:t>45</w:t>
      </w:r>
      <w:r>
        <w:rPr/>
        <w:t>、长期借款</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2239"/>
        <w:jc w:val="left"/>
        <w:rPr>
          <w:b w:val="0"/>
          <w:bCs w:val="0"/>
        </w:rPr>
      </w:pPr>
      <w:r>
        <w:rPr/>
        <w:t>（</w:t>
      </w:r>
      <w:r>
        <w:rPr>
          <w:rFonts w:ascii="Arial" w:hAnsi="Arial" w:cs="Arial" w:eastAsia="Arial" w:hint="default"/>
        </w:rPr>
        <w:t>1</w:t>
      </w:r>
      <w:r>
        <w:rPr/>
        <w:t>）长期借款分类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57" w:lineRule="auto" w:before="52"/>
        <w:ind w:left="153" w:right="8591"/>
        <w:jc w:val="left"/>
      </w:pPr>
      <w:r>
        <w:rPr/>
        <w:t>长期借款分类的说明： 其他说明，包括利率区间：</w:t>
      </w:r>
    </w:p>
    <w:p>
      <w:pPr>
        <w:spacing w:line="240" w:lineRule="auto" w:before="1"/>
        <w:rPr>
          <w:rFonts w:ascii="宋体" w:hAnsi="宋体" w:cs="宋体" w:eastAsia="宋体" w:hint="default"/>
          <w:sz w:val="20"/>
          <w:szCs w:val="20"/>
        </w:rPr>
      </w:pPr>
    </w:p>
    <w:p>
      <w:pPr>
        <w:pStyle w:val="Heading4"/>
        <w:spacing w:line="240" w:lineRule="auto"/>
        <w:ind w:right="2239"/>
        <w:jc w:val="left"/>
        <w:rPr>
          <w:b w:val="0"/>
          <w:bCs w:val="0"/>
        </w:rPr>
      </w:pPr>
      <w:r>
        <w:rPr>
          <w:rFonts w:ascii="Arial" w:hAnsi="Arial" w:cs="Arial" w:eastAsia="Arial" w:hint="default"/>
        </w:rPr>
        <w:t>46</w:t>
      </w:r>
      <w:r>
        <w:rPr/>
        <w:t>、应付债券</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t>（</w:t>
      </w:r>
      <w:r>
        <w:rPr>
          <w:rFonts w:ascii="Arial" w:hAnsi="Arial" w:cs="Arial" w:eastAsia="Arial" w:hint="default"/>
        </w:rPr>
        <w:t>1</w:t>
      </w:r>
      <w:r>
        <w:rPr/>
        <w:t>）应付债券</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type w:val="continuous"/>
          <w:pgSz w:w="11910" w:h="16840"/>
          <w:pgMar w:top="1060" w:bottom="118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2239"/>
        <w:jc w:val="left"/>
        <w:rPr>
          <w:b w:val="0"/>
          <w:bCs w:val="0"/>
        </w:rPr>
      </w:pPr>
      <w:r>
        <w:rPr/>
        <w:t>（</w:t>
      </w:r>
      <w:r>
        <w:rPr>
          <w:rFonts w:ascii="Arial" w:hAnsi="Arial" w:cs="Arial" w:eastAsia="Arial" w:hint="default"/>
        </w:rPr>
        <w:t>2</w:t>
      </w:r>
      <w:r>
        <w:rPr/>
        <w:t>）应付债券的增减变动（不包括划分为金融负债的优先股、永续债等其他金融工具）</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5"/>
        <w:gridCol w:w="809"/>
        <w:gridCol w:w="798"/>
        <w:gridCol w:w="798"/>
        <w:gridCol w:w="798"/>
        <w:gridCol w:w="798"/>
        <w:gridCol w:w="809"/>
        <w:gridCol w:w="787"/>
        <w:gridCol w:w="787"/>
        <w:gridCol w:w="809"/>
        <w:gridCol w:w="798"/>
        <w:gridCol w:w="798"/>
      </w:tblGrid>
      <w:tr>
        <w:trPr>
          <w:trHeight w:val="162" w:hRule="exact"/>
        </w:trPr>
        <w:tc>
          <w:tcPr>
            <w:tcW w:w="775" w:type="dxa"/>
            <w:tcBorders>
              <w:top w:val="single" w:sz="4" w:space="0" w:color="000000"/>
              <w:left w:val="single" w:sz="4" w:space="0" w:color="000000"/>
              <w:bottom w:val="nil" w:sz="6" w:space="0" w:color="auto"/>
              <w:right w:val="single" w:sz="4" w:space="0" w:color="000000"/>
            </w:tcBorders>
            <w:shd w:val="clear" w:color="auto" w:fill="D3D3D3"/>
          </w:tcPr>
          <w:p>
            <w:pPr/>
          </w:p>
        </w:tc>
        <w:tc>
          <w:tcPr>
            <w:tcW w:w="809"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809" w:type="dxa"/>
            <w:tcBorders>
              <w:top w:val="single" w:sz="4" w:space="0" w:color="000000"/>
              <w:left w:val="single" w:sz="4" w:space="0" w:color="000000"/>
              <w:bottom w:val="nil" w:sz="6" w:space="0" w:color="auto"/>
              <w:right w:val="single" w:sz="4" w:space="0" w:color="000000"/>
            </w:tcBorders>
            <w:shd w:val="clear" w:color="auto" w:fill="D3D3D3"/>
          </w:tcPr>
          <w:p>
            <w:pPr/>
          </w:p>
        </w:tc>
        <w:tc>
          <w:tcPr>
            <w:tcW w:w="78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112" w:right="32" w:hanging="90"/>
              <w:jc w:val="left"/>
              <w:rPr>
                <w:rFonts w:ascii="宋体" w:hAnsi="宋体" w:cs="宋体" w:eastAsia="宋体" w:hint="default"/>
                <w:sz w:val="18"/>
                <w:szCs w:val="18"/>
              </w:rPr>
            </w:pPr>
            <w:r>
              <w:rPr>
                <w:rFonts w:ascii="宋体" w:hAnsi="宋体" w:cs="宋体" w:eastAsia="宋体" w:hint="default"/>
                <w:sz w:val="18"/>
                <w:szCs w:val="18"/>
              </w:rPr>
              <w:t>按面值计 提利息</w:t>
            </w:r>
          </w:p>
        </w:tc>
        <w:tc>
          <w:tcPr>
            <w:tcW w:w="787"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2"/>
              <w:ind w:left="303" w:right="21" w:hanging="270"/>
              <w:jc w:val="left"/>
              <w:rPr>
                <w:rFonts w:ascii="宋体" w:hAnsi="宋体" w:cs="宋体" w:eastAsia="宋体" w:hint="default"/>
                <w:sz w:val="18"/>
                <w:szCs w:val="18"/>
              </w:rPr>
            </w:pPr>
            <w:r>
              <w:rPr>
                <w:rFonts w:ascii="宋体" w:hAnsi="宋体" w:cs="宋体" w:eastAsia="宋体" w:hint="default"/>
                <w:sz w:val="18"/>
                <w:szCs w:val="18"/>
              </w:rPr>
              <w:t>溢折价摊 销</w:t>
            </w:r>
          </w:p>
        </w:tc>
        <w:tc>
          <w:tcPr>
            <w:tcW w:w="809"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0" w:hRule="exact"/>
        </w:trPr>
        <w:tc>
          <w:tcPr>
            <w:tcW w:w="775"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债券名称</w:t>
            </w:r>
          </w:p>
        </w:tc>
        <w:tc>
          <w:tcPr>
            <w:tcW w:w="80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发行日期</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债券期限</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0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本期发行</w:t>
            </w:r>
          </w:p>
        </w:tc>
        <w:tc>
          <w:tcPr>
            <w:tcW w:w="787" w:type="dxa"/>
            <w:vMerge/>
            <w:tcBorders>
              <w:left w:val="single" w:sz="4" w:space="0" w:color="000000"/>
              <w:right w:val="single" w:sz="4" w:space="0" w:color="000000"/>
            </w:tcBorders>
            <w:shd w:val="clear" w:color="auto" w:fill="D3D3D3"/>
          </w:tcPr>
          <w:p>
            <w:pPr/>
          </w:p>
        </w:tc>
        <w:tc>
          <w:tcPr>
            <w:tcW w:w="787" w:type="dxa"/>
            <w:vMerge/>
            <w:tcBorders>
              <w:left w:val="single" w:sz="4" w:space="0" w:color="000000"/>
              <w:right w:val="single" w:sz="4" w:space="0" w:color="000000"/>
            </w:tcBorders>
            <w:shd w:val="clear" w:color="auto" w:fill="D3D3D3"/>
          </w:tcPr>
          <w:p>
            <w:pPr/>
          </w:p>
        </w:tc>
        <w:tc>
          <w:tcPr>
            <w:tcW w:w="80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45" w:right="0"/>
              <w:jc w:val="left"/>
              <w:rPr>
                <w:rFonts w:ascii="宋体" w:hAnsi="宋体" w:cs="宋体" w:eastAsia="宋体" w:hint="default"/>
                <w:sz w:val="18"/>
                <w:szCs w:val="18"/>
              </w:rPr>
            </w:pPr>
            <w:r>
              <w:rPr>
                <w:rFonts w:ascii="宋体" w:hAnsi="宋体" w:cs="宋体" w:eastAsia="宋体" w:hint="default"/>
                <w:sz w:val="18"/>
                <w:szCs w:val="18"/>
              </w:rPr>
              <w:t>本期偿还</w:t>
            </w:r>
          </w:p>
        </w:tc>
        <w:tc>
          <w:tcPr>
            <w:tcW w:w="798" w:type="dxa"/>
            <w:tcBorders>
              <w:top w:val="nil" w:sz="6" w:space="0" w:color="auto"/>
              <w:left w:val="single" w:sz="4" w:space="0" w:color="000000"/>
              <w:bottom w:val="nil" w:sz="6" w:space="0" w:color="auto"/>
              <w:right w:val="single" w:sz="4" w:space="0" w:color="000000"/>
            </w:tcBorders>
            <w:shd w:val="clear" w:color="auto" w:fill="D3D3D3"/>
          </w:tcPr>
          <w:p>
            <w:pPr/>
          </w:p>
        </w:tc>
        <w:tc>
          <w:tcPr>
            <w:tcW w:w="79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62" w:hRule="exact"/>
        </w:trPr>
        <w:tc>
          <w:tcPr>
            <w:tcW w:w="775" w:type="dxa"/>
            <w:tcBorders>
              <w:top w:val="nil" w:sz="6" w:space="0" w:color="auto"/>
              <w:left w:val="single" w:sz="4" w:space="0" w:color="000000"/>
              <w:bottom w:val="single" w:sz="4" w:space="0" w:color="000000"/>
              <w:right w:val="single" w:sz="4" w:space="0" w:color="000000"/>
            </w:tcBorders>
            <w:shd w:val="clear" w:color="auto" w:fill="D3D3D3"/>
          </w:tcPr>
          <w:p>
            <w:pPr/>
          </w:p>
        </w:tc>
        <w:tc>
          <w:tcPr>
            <w:tcW w:w="809"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809" w:type="dxa"/>
            <w:tcBorders>
              <w:top w:val="nil" w:sz="6" w:space="0" w:color="auto"/>
              <w:left w:val="single" w:sz="4" w:space="0" w:color="000000"/>
              <w:bottom w:val="single" w:sz="4" w:space="0" w:color="000000"/>
              <w:right w:val="single" w:sz="4" w:space="0" w:color="000000"/>
            </w:tcBorders>
            <w:shd w:val="clear" w:color="auto" w:fill="D3D3D3"/>
          </w:tcPr>
          <w:p>
            <w:pPr/>
          </w:p>
        </w:tc>
        <w:tc>
          <w:tcPr>
            <w:tcW w:w="787" w:type="dxa"/>
            <w:vMerge/>
            <w:tcBorders>
              <w:left w:val="single" w:sz="4" w:space="0" w:color="000000"/>
              <w:bottom w:val="single" w:sz="4" w:space="0" w:color="000000"/>
              <w:right w:val="single" w:sz="4" w:space="0" w:color="000000"/>
            </w:tcBorders>
            <w:shd w:val="clear" w:color="auto" w:fill="D3D3D3"/>
          </w:tcPr>
          <w:p>
            <w:pPr/>
          </w:p>
        </w:tc>
        <w:tc>
          <w:tcPr>
            <w:tcW w:w="787" w:type="dxa"/>
            <w:vMerge/>
            <w:tcBorders>
              <w:left w:val="single" w:sz="4" w:space="0" w:color="000000"/>
              <w:bottom w:val="single" w:sz="4" w:space="0" w:color="000000"/>
              <w:right w:val="single" w:sz="4" w:space="0" w:color="000000"/>
            </w:tcBorders>
            <w:shd w:val="clear" w:color="auto" w:fill="D3D3D3"/>
          </w:tcPr>
          <w:p>
            <w:pPr/>
          </w:p>
        </w:tc>
        <w:tc>
          <w:tcPr>
            <w:tcW w:w="809"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09" w:type="dxa"/>
            <w:tcBorders>
              <w:top w:val="single" w:sz="4" w:space="0" w:color="000000"/>
              <w:left w:val="single" w:sz="13" w:space="0" w:color="D3D3D3"/>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77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8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0" w:right="0"/>
              <w:jc w:val="center"/>
              <w:rPr>
                <w:rFonts w:ascii="Arial" w:hAnsi="Arial" w:cs="Arial" w:eastAsia="Arial" w:hint="default"/>
                <w:sz w:val="18"/>
                <w:szCs w:val="18"/>
              </w:rPr>
            </w:pPr>
            <w:r>
              <w:rPr>
                <w:rFonts w:ascii="Arial"/>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Arial" w:hAnsi="Arial" w:cs="Arial" w:eastAsia="Arial" w:hint="default"/>
                <w:sz w:val="18"/>
                <w:szCs w:val="18"/>
              </w:rPr>
            </w:pPr>
            <w:r>
              <w:rPr>
                <w:rFonts w:ascii="Arial"/>
                <w:sz w:val="18"/>
              </w:rPr>
              <w:t>--</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Arial" w:hAnsi="Arial" w:cs="Arial" w:eastAsia="Arial" w:hint="default"/>
                <w:sz w:val="18"/>
                <w:szCs w:val="18"/>
              </w:rPr>
            </w:pPr>
            <w:r>
              <w:rPr>
                <w:rFonts w:ascii="Arial"/>
                <w:sz w:val="18"/>
              </w:rPr>
              <w:t>--</w:t>
            </w:r>
          </w:p>
        </w:tc>
        <w:tc>
          <w:tcPr>
            <w:tcW w:w="798" w:type="dxa"/>
            <w:tcBorders>
              <w:top w:val="single" w:sz="4" w:space="0" w:color="000000"/>
              <w:left w:val="single" w:sz="13" w:space="0" w:color="D3D3D3"/>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787" w:type="dxa"/>
            <w:tcBorders>
              <w:top w:val="single" w:sz="4" w:space="0" w:color="000000"/>
              <w:left w:val="single" w:sz="4" w:space="0" w:color="000000"/>
              <w:bottom w:val="single" w:sz="4" w:space="0" w:color="000000"/>
              <w:right w:val="single" w:sz="4" w:space="0" w:color="000000"/>
            </w:tcBorders>
          </w:tcPr>
          <w:p>
            <w:pPr/>
          </w:p>
        </w:tc>
        <w:tc>
          <w:tcPr>
            <w:tcW w:w="809"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t>（</w:t>
      </w:r>
      <w:r>
        <w:rPr>
          <w:rFonts w:ascii="Arial" w:hAnsi="Arial" w:cs="Arial" w:eastAsia="Arial" w:hint="default"/>
        </w:rPr>
        <w:t>3</w:t>
      </w:r>
      <w:r>
        <w:rPr/>
        <w:t>）可转换公司债券的转股条件、转股时间说明</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t>（</w:t>
      </w:r>
      <w:r>
        <w:rPr>
          <w:rFonts w:ascii="Arial" w:hAnsi="Arial" w:cs="Arial" w:eastAsia="Arial" w:hint="default"/>
        </w:rPr>
        <w:t>4</w:t>
      </w:r>
      <w:r>
        <w:rPr/>
        <w:t>）划分为金融负债的其他金融工具说明</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0"/>
        </w:sectPr>
      </w:pPr>
    </w:p>
    <w:p>
      <w:pPr>
        <w:pStyle w:val="BodyText"/>
        <w:spacing w:line="357" w:lineRule="auto" w:before="44"/>
        <w:ind w:left="153" w:right="-19"/>
        <w:jc w:val="left"/>
      </w:pPr>
      <w:r>
        <w:rPr/>
        <w:t>期末发行在外的优先股、永续债等其他金融工具基本情况 期末发行在外的优先股、永续债等金融工具变动情况表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0"/>
          <w:cols w:num="2" w:equalWidth="0">
            <w:col w:w="4655" w:space="4174"/>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62"/>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3D3D3"/>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left="153" w:right="7511"/>
        <w:jc w:val="left"/>
      </w:pPr>
      <w:r>
        <w:rPr/>
        <w:t>其他金融工具划分为金融负债的依据说明 其他说明</w:t>
      </w:r>
    </w:p>
    <w:p>
      <w:pPr>
        <w:pStyle w:val="BodyText"/>
        <w:spacing w:line="240" w:lineRule="auto" w:before="26"/>
        <w:ind w:left="153" w:right="2239"/>
        <w:jc w:val="left"/>
      </w:pPr>
      <w:r>
        <w:rPr/>
        <w:t>无。</w:t>
      </w:r>
    </w:p>
    <w:p>
      <w:pPr>
        <w:spacing w:line="240" w:lineRule="auto" w:before="11"/>
        <w:rPr>
          <w:rFonts w:ascii="宋体" w:hAnsi="宋体" w:cs="宋体" w:eastAsia="宋体" w:hint="default"/>
          <w:sz w:val="26"/>
          <w:szCs w:val="26"/>
        </w:rPr>
      </w:pPr>
    </w:p>
    <w:p>
      <w:pPr>
        <w:pStyle w:val="Heading4"/>
        <w:spacing w:line="240" w:lineRule="auto"/>
        <w:ind w:right="2239"/>
        <w:jc w:val="left"/>
        <w:rPr>
          <w:b w:val="0"/>
          <w:bCs w:val="0"/>
        </w:rPr>
      </w:pPr>
      <w:r>
        <w:rPr>
          <w:rFonts w:ascii="Arial" w:hAnsi="Arial" w:cs="Arial" w:eastAsia="Arial" w:hint="default"/>
        </w:rPr>
        <w:t>47</w:t>
      </w:r>
      <w:r>
        <w:rPr/>
        <w:t>、租赁负债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51"/>
        <w:ind w:right="10030"/>
        <w:jc w:val="left"/>
      </w:pPr>
      <w:r>
        <w:rPr/>
        <w:t>其他说明 无。</w:t>
      </w:r>
    </w:p>
    <w:p>
      <w:pPr>
        <w:spacing w:line="240" w:lineRule="auto" w:before="11"/>
        <w:rPr>
          <w:rFonts w:ascii="宋体" w:hAnsi="宋体" w:cs="宋体" w:eastAsia="宋体" w:hint="default"/>
          <w:sz w:val="19"/>
          <w:szCs w:val="19"/>
        </w:rPr>
      </w:pPr>
    </w:p>
    <w:p>
      <w:pPr>
        <w:pStyle w:val="Heading4"/>
        <w:spacing w:line="240" w:lineRule="auto"/>
        <w:ind w:right="2239"/>
        <w:jc w:val="left"/>
        <w:rPr>
          <w:b w:val="0"/>
          <w:bCs w:val="0"/>
        </w:rPr>
      </w:pPr>
      <w:r>
        <w:rPr>
          <w:rFonts w:ascii="Arial" w:hAnsi="Arial" w:cs="Arial" w:eastAsia="Arial" w:hint="default"/>
        </w:rPr>
        <w:t>48</w:t>
      </w:r>
      <w:r>
        <w:rPr/>
        <w:t>、长期应付款</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t>（</w:t>
      </w:r>
      <w:r>
        <w:rPr>
          <w:rFonts w:ascii="Arial" w:hAnsi="Arial" w:cs="Arial" w:eastAsia="Arial" w:hint="default"/>
        </w:rPr>
        <w:t>1</w:t>
      </w:r>
      <w:r>
        <w:rPr/>
        <w:t>）按款项性质列示长期应付款</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51"/>
        <w:ind w:right="9850"/>
        <w:jc w:val="left"/>
      </w:pPr>
      <w:r>
        <w:rPr/>
        <w:t>其他说明： 无。</w:t>
      </w:r>
    </w:p>
    <w:p>
      <w:pPr>
        <w:spacing w:after="0" w:line="360" w:lineRule="auto"/>
        <w:jc w:val="left"/>
        <w:sectPr>
          <w:type w:val="continuous"/>
          <w:pgSz w:w="11910" w:h="16840"/>
          <w:pgMar w:top="1060" w:bottom="118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2239"/>
        <w:jc w:val="left"/>
        <w:rPr>
          <w:b w:val="0"/>
          <w:bCs w:val="0"/>
        </w:rPr>
      </w:pPr>
      <w:r>
        <w:rPr/>
        <w:t>（</w:t>
      </w:r>
      <w:r>
        <w:rPr>
          <w:rFonts w:ascii="Arial" w:hAnsi="Arial" w:cs="Arial" w:eastAsia="Arial" w:hint="default"/>
        </w:rPr>
        <w:t>2</w:t>
      </w:r>
      <w:r>
        <w:rPr/>
        <w:t>）专项应付款</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4"/>
        <w:gridCol w:w="1596"/>
        <w:gridCol w:w="1595"/>
        <w:gridCol w:w="1594"/>
        <w:gridCol w:w="1594"/>
        <w:gridCol w:w="1595"/>
      </w:tblGrid>
      <w:tr>
        <w:trPr>
          <w:trHeight w:val="402" w:hRule="exact"/>
        </w:trPr>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357" w:lineRule="auto" w:before="52"/>
        <w:ind w:right="9850"/>
        <w:jc w:val="left"/>
      </w:pPr>
      <w:r>
        <w:rPr/>
        <w:t>其他说明： 无。</w:t>
      </w:r>
    </w:p>
    <w:p>
      <w:pPr>
        <w:spacing w:line="240" w:lineRule="auto" w:before="1"/>
        <w:rPr>
          <w:rFonts w:ascii="宋体" w:hAnsi="宋体" w:cs="宋体" w:eastAsia="宋体" w:hint="default"/>
          <w:sz w:val="20"/>
          <w:szCs w:val="20"/>
        </w:rPr>
      </w:pPr>
    </w:p>
    <w:p>
      <w:pPr>
        <w:pStyle w:val="Heading4"/>
        <w:spacing w:line="240" w:lineRule="auto"/>
        <w:ind w:right="2239"/>
        <w:jc w:val="left"/>
        <w:rPr>
          <w:b w:val="0"/>
          <w:bCs w:val="0"/>
        </w:rPr>
      </w:pPr>
      <w:r>
        <w:rPr>
          <w:rFonts w:ascii="Arial" w:hAnsi="Arial" w:cs="Arial" w:eastAsia="Arial" w:hint="default"/>
        </w:rPr>
        <w:t>49</w:t>
      </w:r>
      <w:r>
        <w:rPr/>
        <w:t>、长期应付职工薪酬</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t>（</w:t>
      </w:r>
      <w:r>
        <w:rPr>
          <w:rFonts w:ascii="Arial" w:hAnsi="Arial" w:cs="Arial" w:eastAsia="Arial" w:hint="default"/>
        </w:rPr>
        <w:t>1</w:t>
      </w:r>
      <w:r>
        <w:rPr/>
        <w:t>）长期应付职工薪酬表</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t>（</w:t>
      </w:r>
      <w:r>
        <w:rPr>
          <w:rFonts w:ascii="Arial" w:hAnsi="Arial" w:cs="Arial" w:eastAsia="Arial" w:hint="default"/>
        </w:rPr>
        <w:t>2</w:t>
      </w:r>
      <w:r>
        <w:rPr/>
        <w:t>）设定受益计划变动情况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2239"/>
        <w:jc w:val="left"/>
      </w:pPr>
      <w:r>
        <w:rPr/>
        <w:t>设定受益计划义务现值：</w:t>
      </w:r>
    </w:p>
    <w:p>
      <w:pPr>
        <w:pStyle w:val="BodyText"/>
        <w:spacing w:line="240" w:lineRule="auto" w:before="117"/>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1"/>
        <w:ind w:right="2239"/>
        <w:jc w:val="left"/>
      </w:pPr>
      <w:r>
        <w:rPr/>
        <w:t>计划资产：</w:t>
      </w:r>
    </w:p>
    <w:p>
      <w:pPr>
        <w:pStyle w:val="BodyText"/>
        <w:spacing w:line="240" w:lineRule="auto" w:before="117"/>
        <w:ind w:left="0" w:right="113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240" w:lineRule="auto" w:before="52"/>
        <w:ind w:right="2239"/>
        <w:jc w:val="left"/>
      </w:pPr>
      <w:r>
        <w:rPr/>
        <w:t>设定受益计划净负债（净资产）</w:t>
      </w:r>
    </w:p>
    <w:p>
      <w:pPr>
        <w:pStyle w:val="BodyText"/>
        <w:spacing w:line="240" w:lineRule="auto" w:before="116"/>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51"/>
        <w:ind w:left="153" w:right="3551"/>
        <w:jc w:val="left"/>
      </w:pPr>
      <w:r>
        <w:rPr/>
        <w:t>设定受益计划的内容及与之相关风险、对公司未来现金流量、时间和不确定性的影响说明： 设定受益计划重大精算假设及敏感性分析结果说明：</w:t>
      </w:r>
    </w:p>
    <w:p>
      <w:pPr>
        <w:pStyle w:val="BodyText"/>
        <w:spacing w:line="357" w:lineRule="auto" w:before="26"/>
        <w:ind w:left="153" w:right="9851"/>
        <w:jc w:val="left"/>
      </w:pPr>
      <w:r>
        <w:rPr/>
        <w:t>其他说明： 无。</w:t>
      </w:r>
    </w:p>
    <w:p>
      <w:pPr>
        <w:spacing w:line="240" w:lineRule="auto" w:before="1"/>
        <w:rPr>
          <w:rFonts w:ascii="宋体" w:hAnsi="宋体" w:cs="宋体" w:eastAsia="宋体" w:hint="default"/>
          <w:sz w:val="20"/>
          <w:szCs w:val="20"/>
        </w:rPr>
      </w:pPr>
    </w:p>
    <w:p>
      <w:pPr>
        <w:pStyle w:val="Heading4"/>
        <w:spacing w:line="240" w:lineRule="auto"/>
        <w:ind w:right="2239"/>
        <w:jc w:val="left"/>
        <w:rPr>
          <w:b w:val="0"/>
          <w:bCs w:val="0"/>
        </w:rPr>
      </w:pPr>
      <w:r>
        <w:rPr>
          <w:rFonts w:ascii="Arial" w:hAnsi="Arial" w:cs="Arial" w:eastAsia="Arial" w:hint="default"/>
        </w:rPr>
        <w:t>50</w:t>
      </w:r>
      <w:r>
        <w:rPr/>
        <w:t>、预计负债</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0"/>
        </w:sectPr>
      </w:pPr>
    </w:p>
    <w:p>
      <w:pPr>
        <w:pStyle w:val="BodyText"/>
        <w:spacing w:line="240" w:lineRule="auto" w:before="44"/>
        <w:ind w:right="-20"/>
        <w:jc w:val="left"/>
      </w:pPr>
      <w:r>
        <w:rPr/>
        <w:t>是否已执行新收入准则</w:t>
      </w:r>
    </w:p>
    <w:p>
      <w:pPr>
        <w:pStyle w:val="BodyText"/>
        <w:spacing w:line="240" w:lineRule="auto" w:before="117"/>
        <w:ind w:left="153" w:right="-20"/>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29"/>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0"/>
          <w:cols w:num="2" w:equalWidth="0">
            <w:col w:w="1955" w:space="6874"/>
            <w:col w:w="2101"/>
          </w:cols>
        </w:sectPr>
      </w:pP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形成原因</w:t>
            </w:r>
          </w:p>
        </w:tc>
      </w:tr>
    </w:tbl>
    <w:p>
      <w:pPr>
        <w:pStyle w:val="BodyText"/>
        <w:spacing w:line="240" w:lineRule="auto" w:before="52"/>
        <w:ind w:right="2239"/>
        <w:jc w:val="left"/>
      </w:pPr>
      <w:r>
        <w:rPr/>
        <w:t>其他说明，包括重要预计负债的相关重要假设、估计说明：</w:t>
      </w:r>
    </w:p>
    <w:p>
      <w:pPr>
        <w:spacing w:after="0" w:line="240" w:lineRule="auto"/>
        <w:jc w:val="left"/>
        <w:sectPr>
          <w:type w:val="continuous"/>
          <w:pgSz w:w="11910" w:h="16840"/>
          <w:pgMar w:top="1060" w:bottom="118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2239"/>
        <w:jc w:val="left"/>
        <w:rPr>
          <w:b w:val="0"/>
          <w:bCs w:val="0"/>
        </w:rPr>
      </w:pPr>
      <w:r>
        <w:rPr>
          <w:rFonts w:ascii="Arial" w:hAnsi="Arial" w:cs="Arial" w:eastAsia="Arial" w:hint="default"/>
        </w:rPr>
        <w:t>51</w:t>
      </w:r>
      <w:r>
        <w:rPr/>
        <w:t>、递延收益</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571"/>
        <w:gridCol w:w="1607"/>
        <w:gridCol w:w="1595"/>
        <w:gridCol w:w="1594"/>
        <w:gridCol w:w="1594"/>
        <w:gridCol w:w="1595"/>
      </w:tblGrid>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4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3"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32"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形成原因</w:t>
            </w:r>
          </w:p>
        </w:tc>
      </w:tr>
      <w:tr>
        <w:trPr>
          <w:trHeight w:val="402" w:hRule="exact"/>
        </w:trPr>
        <w:tc>
          <w:tcPr>
            <w:tcW w:w="1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412" w:right="0"/>
              <w:jc w:val="left"/>
              <w:rPr>
                <w:rFonts w:ascii="Arial" w:hAnsi="Arial" w:cs="Arial" w:eastAsia="Arial" w:hint="default"/>
                <w:sz w:val="18"/>
                <w:szCs w:val="18"/>
              </w:rPr>
            </w:pPr>
            <w:r>
              <w:rPr>
                <w:rFonts w:ascii="Arial"/>
                <w:sz w:val="18"/>
              </w:rPr>
              <w:t>68,467,959.69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11" w:right="0"/>
              <w:jc w:val="left"/>
              <w:rPr>
                <w:rFonts w:ascii="Arial" w:hAnsi="Arial" w:cs="Arial" w:eastAsia="Arial" w:hint="default"/>
                <w:sz w:val="18"/>
                <w:szCs w:val="18"/>
              </w:rPr>
            </w:pPr>
            <w:r>
              <w:rPr>
                <w:rFonts w:ascii="Arial"/>
                <w:sz w:val="18"/>
              </w:rPr>
              <w:t>15,623,594.00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7,048,763.86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10" w:right="0"/>
              <w:jc w:val="left"/>
              <w:rPr>
                <w:rFonts w:ascii="Arial" w:hAnsi="Arial" w:cs="Arial" w:eastAsia="Arial" w:hint="default"/>
                <w:sz w:val="18"/>
                <w:szCs w:val="18"/>
              </w:rPr>
            </w:pPr>
            <w:r>
              <w:rPr>
                <w:rFonts w:ascii="Arial"/>
                <w:sz w:val="18"/>
              </w:rPr>
              <w:t>77,042,789.83</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left="412" w:right="0"/>
              <w:jc w:val="left"/>
              <w:rPr>
                <w:rFonts w:ascii="Arial" w:hAnsi="Arial" w:cs="Arial" w:eastAsia="Arial" w:hint="default"/>
                <w:sz w:val="18"/>
                <w:szCs w:val="18"/>
              </w:rPr>
            </w:pPr>
            <w:r>
              <w:rPr>
                <w:rFonts w:ascii="Arial"/>
                <w:sz w:val="18"/>
              </w:rPr>
              <w:t>68,467,959.69</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411" w:right="0"/>
              <w:jc w:val="left"/>
              <w:rPr>
                <w:rFonts w:ascii="Arial" w:hAnsi="Arial" w:cs="Arial" w:eastAsia="Arial" w:hint="default"/>
                <w:sz w:val="18"/>
                <w:szCs w:val="18"/>
              </w:rPr>
            </w:pPr>
            <w:r>
              <w:rPr>
                <w:rFonts w:ascii="Arial"/>
                <w:sz w:val="18"/>
              </w:rPr>
              <w:t>15,623,594.00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7,048,763.86</w:t>
            </w:r>
          </w:p>
        </w:tc>
        <w:tc>
          <w:tcPr>
            <w:tcW w:w="1594" w:type="dxa"/>
            <w:tcBorders>
              <w:top w:val="single" w:sz="4" w:space="0" w:color="000000"/>
              <w:left w:val="single" w:sz="4" w:space="0" w:color="000000"/>
              <w:bottom w:val="single" w:sz="4" w:space="0" w:color="000000"/>
              <w:right w:val="single" w:sz="13" w:space="0" w:color="D3D3D3"/>
            </w:tcBorders>
          </w:tcPr>
          <w:p>
            <w:pPr>
              <w:pStyle w:val="TableParagraph"/>
              <w:spacing w:line="240" w:lineRule="auto" w:before="92"/>
              <w:ind w:left="409" w:right="0"/>
              <w:jc w:val="left"/>
              <w:rPr>
                <w:rFonts w:ascii="Arial" w:hAnsi="Arial" w:cs="Arial" w:eastAsia="Arial" w:hint="default"/>
                <w:sz w:val="18"/>
                <w:szCs w:val="18"/>
              </w:rPr>
            </w:pPr>
            <w:r>
              <w:rPr>
                <w:rFonts w:ascii="Arial"/>
                <w:sz w:val="18"/>
              </w:rPr>
              <w:t>77,042,789.83</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Arial" w:hAnsi="Arial" w:cs="Arial" w:eastAsia="Arial" w:hint="default"/>
                <w:sz w:val="18"/>
                <w:szCs w:val="18"/>
              </w:rPr>
            </w:pPr>
            <w:r>
              <w:rPr>
                <w:rFonts w:ascii="Arial"/>
                <w:sz w:val="18"/>
              </w:rPr>
              <w:t>--</w:t>
            </w:r>
          </w:p>
        </w:tc>
      </w:tr>
    </w:tbl>
    <w:p>
      <w:pPr>
        <w:pStyle w:val="BodyText"/>
        <w:spacing w:line="240" w:lineRule="auto" w:before="51"/>
        <w:ind w:right="2239"/>
        <w:jc w:val="left"/>
      </w:pPr>
      <w:r>
        <w:rPr/>
        <w:t>涉及政府补助的项目：</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12"/>
        <w:gridCol w:w="1249"/>
        <w:gridCol w:w="1010"/>
        <w:gridCol w:w="1010"/>
        <w:gridCol w:w="1009"/>
        <w:gridCol w:w="1010"/>
        <w:gridCol w:w="1010"/>
        <w:gridCol w:w="1248"/>
        <w:gridCol w:w="1009"/>
      </w:tblGrid>
      <w:tr>
        <w:trPr>
          <w:trHeight w:val="1026" w:hRule="exact"/>
        </w:trPr>
        <w:tc>
          <w:tcPr>
            <w:tcW w:w="10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40" w:right="0"/>
              <w:jc w:val="left"/>
              <w:rPr>
                <w:rFonts w:ascii="宋体" w:hAnsi="宋体" w:cs="宋体" w:eastAsia="宋体" w:hint="default"/>
                <w:sz w:val="18"/>
                <w:szCs w:val="18"/>
              </w:rPr>
            </w:pPr>
            <w:r>
              <w:rPr>
                <w:rFonts w:ascii="宋体" w:hAnsi="宋体" w:cs="宋体" w:eastAsia="宋体" w:hint="default"/>
                <w:sz w:val="18"/>
                <w:szCs w:val="18"/>
              </w:rPr>
              <w:t>负债项目</w:t>
            </w:r>
          </w:p>
        </w:tc>
        <w:tc>
          <w:tcPr>
            <w:tcW w:w="12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60"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229" w:right="49" w:hanging="180"/>
              <w:jc w:val="left"/>
              <w:rPr>
                <w:rFonts w:ascii="宋体" w:hAnsi="宋体" w:cs="宋体" w:eastAsia="宋体" w:hint="default"/>
                <w:sz w:val="18"/>
                <w:szCs w:val="18"/>
              </w:rPr>
            </w:pPr>
            <w:r>
              <w:rPr>
                <w:rFonts w:ascii="宋体" w:hAnsi="宋体" w:cs="宋体" w:eastAsia="宋体" w:hint="default"/>
                <w:sz w:val="18"/>
                <w:szCs w:val="18"/>
              </w:rPr>
              <w:t>本期新增补 助金额</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9" w:right="49"/>
              <w:jc w:val="center"/>
              <w:rPr>
                <w:rFonts w:ascii="宋体" w:hAnsi="宋体" w:cs="宋体" w:eastAsia="宋体" w:hint="default"/>
                <w:sz w:val="18"/>
                <w:szCs w:val="18"/>
              </w:rPr>
            </w:pPr>
            <w:r>
              <w:rPr>
                <w:rFonts w:ascii="宋体" w:hAnsi="宋体" w:cs="宋体" w:eastAsia="宋体" w:hint="default"/>
                <w:sz w:val="18"/>
                <w:szCs w:val="18"/>
              </w:rPr>
              <w:t>本期计入营 业外收入金 额</w:t>
            </w:r>
          </w:p>
        </w:tc>
        <w:tc>
          <w:tcPr>
            <w:tcW w:w="10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9" w:right="48"/>
              <w:jc w:val="left"/>
              <w:rPr>
                <w:rFonts w:ascii="宋体" w:hAnsi="宋体" w:cs="宋体" w:eastAsia="宋体" w:hint="default"/>
                <w:sz w:val="18"/>
                <w:szCs w:val="18"/>
              </w:rPr>
            </w:pPr>
            <w:r>
              <w:rPr>
                <w:rFonts w:ascii="宋体" w:hAnsi="宋体" w:cs="宋体" w:eastAsia="宋体" w:hint="default"/>
                <w:sz w:val="18"/>
                <w:szCs w:val="18"/>
              </w:rPr>
              <w:t>本期计入其 他收益金额</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9" w:lineRule="auto"/>
              <w:ind w:left="49" w:right="49"/>
              <w:jc w:val="left"/>
              <w:rPr>
                <w:rFonts w:ascii="宋体" w:hAnsi="宋体" w:cs="宋体" w:eastAsia="宋体" w:hint="default"/>
                <w:sz w:val="18"/>
                <w:szCs w:val="18"/>
              </w:rPr>
            </w:pPr>
            <w:r>
              <w:rPr>
                <w:rFonts w:ascii="宋体" w:hAnsi="宋体" w:cs="宋体" w:eastAsia="宋体" w:hint="default"/>
                <w:sz w:val="18"/>
                <w:szCs w:val="18"/>
              </w:rPr>
              <w:t>本期冲减成 本费用金额</w:t>
            </w:r>
          </w:p>
        </w:tc>
        <w:tc>
          <w:tcPr>
            <w:tcW w:w="101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139" w:right="0"/>
              <w:jc w:val="left"/>
              <w:rPr>
                <w:rFonts w:ascii="宋体" w:hAnsi="宋体" w:cs="宋体" w:eastAsia="宋体" w:hint="default"/>
                <w:sz w:val="18"/>
                <w:szCs w:val="18"/>
              </w:rPr>
            </w:pPr>
            <w:r>
              <w:rPr>
                <w:rFonts w:ascii="宋体" w:hAnsi="宋体" w:cs="宋体" w:eastAsia="宋体" w:hint="default"/>
                <w:sz w:val="18"/>
                <w:szCs w:val="18"/>
              </w:rPr>
              <w:t>其他变动</w:t>
            </w:r>
          </w:p>
        </w:tc>
        <w:tc>
          <w:tcPr>
            <w:tcW w:w="124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00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02" w:lineRule="auto"/>
              <w:ind w:left="49" w:right="23"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Arial" w:hAnsi="Arial" w:cs="Arial" w:eastAsia="Arial" w:hint="default"/>
                <w:sz w:val="18"/>
                <w:szCs w:val="18"/>
              </w:rPr>
              <w:t>/ </w:t>
            </w:r>
            <w:r>
              <w:rPr>
                <w:rFonts w:ascii="宋体" w:hAnsi="宋体" w:cs="宋体" w:eastAsia="宋体" w:hint="default"/>
                <w:sz w:val="18"/>
                <w:szCs w:val="18"/>
              </w:rPr>
              <w:t>与收益相关</w:t>
            </w:r>
          </w:p>
        </w:tc>
      </w:tr>
    </w:tbl>
    <w:p>
      <w:pPr>
        <w:pStyle w:val="BodyText"/>
        <w:spacing w:line="357" w:lineRule="auto" w:before="51"/>
        <w:ind w:right="6330"/>
        <w:jc w:val="left"/>
      </w:pPr>
      <w:r>
        <w:rPr/>
        <w:t>其他说明： 计入递延收益的政府补助详见附注十三、</w:t>
      </w:r>
      <w:r>
        <w:rPr>
          <w:rFonts w:ascii="Arial" w:hAnsi="Arial" w:cs="Arial" w:eastAsia="Arial" w:hint="default"/>
        </w:rPr>
        <w:t>3</w:t>
      </w:r>
      <w:r>
        <w:rPr/>
        <w:t>、政府补助。</w:t>
      </w:r>
    </w:p>
    <w:p>
      <w:pPr>
        <w:spacing w:line="240" w:lineRule="auto" w:before="5"/>
        <w:rPr>
          <w:rFonts w:ascii="宋体" w:hAnsi="宋体" w:cs="宋体" w:eastAsia="宋体" w:hint="default"/>
          <w:sz w:val="18"/>
          <w:szCs w:val="18"/>
        </w:rPr>
      </w:pPr>
    </w:p>
    <w:p>
      <w:pPr>
        <w:pStyle w:val="Heading4"/>
        <w:spacing w:line="240" w:lineRule="auto"/>
        <w:ind w:right="2239"/>
        <w:jc w:val="left"/>
        <w:rPr>
          <w:b w:val="0"/>
          <w:bCs w:val="0"/>
        </w:rPr>
      </w:pPr>
      <w:r>
        <w:rPr>
          <w:rFonts w:ascii="Arial" w:hAnsi="Arial" w:cs="Arial" w:eastAsia="Arial" w:hint="default"/>
        </w:rPr>
        <w:t>52</w:t>
      </w:r>
      <w:r>
        <w:rPr/>
        <w:t>、其他非流动负债</w:t>
      </w:r>
      <w:r>
        <w:rPr>
          <w:b w:val="0"/>
          <w:bCs w:val="0"/>
        </w:rPr>
      </w:r>
    </w:p>
    <w:p>
      <w:pPr>
        <w:spacing w:line="240" w:lineRule="auto" w:before="3"/>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747" w:footer="982" w:top="1060" w:bottom="1180" w:left="980" w:right="0"/>
        </w:sectPr>
      </w:pPr>
    </w:p>
    <w:p>
      <w:pPr>
        <w:pStyle w:val="BodyText"/>
        <w:spacing w:line="240" w:lineRule="auto" w:before="44"/>
        <w:ind w:right="-20"/>
        <w:jc w:val="left"/>
      </w:pPr>
      <w:r>
        <w:rPr/>
        <w:t>是否已执行新收入准则</w:t>
      </w:r>
    </w:p>
    <w:p>
      <w:pPr>
        <w:pStyle w:val="BodyText"/>
        <w:spacing w:line="240" w:lineRule="auto" w:before="116"/>
        <w:ind w:left="153" w:right="-20"/>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29"/>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0"/>
          <w:cols w:num="2" w:equalWidth="0">
            <w:col w:w="1955" w:space="6874"/>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pStyle w:val="BodyText"/>
        <w:spacing w:line="360" w:lineRule="auto" w:before="51"/>
        <w:ind w:right="9850"/>
        <w:jc w:val="left"/>
      </w:pPr>
      <w:r>
        <w:rPr/>
        <w:t>其他说明： 无。</w:t>
      </w:r>
    </w:p>
    <w:p>
      <w:pPr>
        <w:spacing w:line="240" w:lineRule="auto" w:before="11"/>
        <w:rPr>
          <w:rFonts w:ascii="宋体" w:hAnsi="宋体" w:cs="宋体" w:eastAsia="宋体" w:hint="default"/>
          <w:sz w:val="19"/>
          <w:szCs w:val="19"/>
        </w:rPr>
      </w:pPr>
    </w:p>
    <w:p>
      <w:pPr>
        <w:pStyle w:val="Heading4"/>
        <w:spacing w:line="240" w:lineRule="auto"/>
        <w:ind w:right="2239"/>
        <w:jc w:val="left"/>
        <w:rPr>
          <w:b w:val="0"/>
          <w:bCs w:val="0"/>
        </w:rPr>
      </w:pPr>
      <w:r>
        <w:rPr>
          <w:rFonts w:ascii="Arial" w:hAnsi="Arial" w:cs="Arial" w:eastAsia="Arial" w:hint="default"/>
        </w:rPr>
        <w:t>53</w:t>
      </w:r>
      <w:r>
        <w:rPr/>
        <w:t>、股本</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357"/>
        <w:gridCol w:w="1036"/>
        <w:gridCol w:w="1196"/>
        <w:gridCol w:w="1195"/>
        <w:gridCol w:w="1196"/>
        <w:gridCol w:w="1034"/>
        <w:gridCol w:w="1357"/>
      </w:tblGrid>
      <w:tr>
        <w:trPr>
          <w:trHeight w:val="205" w:hRule="exact"/>
        </w:trPr>
        <w:tc>
          <w:tcPr>
            <w:tcW w:w="1184" w:type="dxa"/>
            <w:tcBorders>
              <w:top w:val="single" w:sz="4" w:space="0" w:color="000000"/>
              <w:left w:val="single" w:sz="4" w:space="0" w:color="000000"/>
              <w:bottom w:val="nil" w:sz="6" w:space="0" w:color="auto"/>
              <w:right w:val="single" w:sz="4" w:space="0" w:color="000000"/>
            </w:tcBorders>
            <w:shd w:val="clear" w:color="auto" w:fill="D3D3D3"/>
          </w:tcPr>
          <w:p>
            <w:pPr/>
          </w:p>
        </w:tc>
        <w:tc>
          <w:tcPr>
            <w:tcW w:w="1357" w:type="dxa"/>
            <w:tcBorders>
              <w:top w:val="single" w:sz="4" w:space="0" w:color="000000"/>
              <w:left w:val="single" w:sz="4" w:space="0" w:color="000000"/>
              <w:bottom w:val="nil" w:sz="6" w:space="0" w:color="auto"/>
              <w:right w:val="single" w:sz="4" w:space="0" w:color="000000"/>
            </w:tcBorders>
            <w:shd w:val="clear" w:color="auto" w:fill="D3D3D3"/>
          </w:tcPr>
          <w:p>
            <w:pPr/>
          </w:p>
        </w:tc>
        <w:tc>
          <w:tcPr>
            <w:tcW w:w="5659" w:type="dxa"/>
            <w:gridSpan w:val="5"/>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本次变动增减（</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w:t>
            </w:r>
          </w:p>
        </w:tc>
        <w:tc>
          <w:tcPr>
            <w:tcW w:w="1357"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7" w:hRule="exact"/>
        </w:trPr>
        <w:tc>
          <w:tcPr>
            <w:tcW w:w="1184" w:type="dxa"/>
            <w:vMerge w:val="restart"/>
            <w:tcBorders>
              <w:top w:val="nil" w:sz="6" w:space="0" w:color="auto"/>
              <w:left w:val="single" w:sz="4" w:space="0" w:color="000000"/>
              <w:right w:val="single" w:sz="4" w:space="0" w:color="000000"/>
            </w:tcBorders>
            <w:shd w:val="clear" w:color="auto" w:fill="D3D3D3"/>
          </w:tcPr>
          <w:p>
            <w:pPr/>
          </w:p>
        </w:tc>
        <w:tc>
          <w:tcPr>
            <w:tcW w:w="135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1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659" w:type="dxa"/>
            <w:gridSpan w:val="5"/>
            <w:vMerge/>
            <w:tcBorders>
              <w:left w:val="single" w:sz="4" w:space="0" w:color="000000"/>
              <w:bottom w:val="single" w:sz="4" w:space="0" w:color="000000"/>
              <w:right w:val="single" w:sz="4" w:space="0" w:color="000000"/>
            </w:tcBorders>
            <w:shd w:val="clear" w:color="auto" w:fill="D3D3D3"/>
          </w:tcPr>
          <w:p>
            <w:pPr/>
          </w:p>
        </w:tc>
        <w:tc>
          <w:tcPr>
            <w:tcW w:w="1357"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95" w:hRule="exact"/>
        </w:trPr>
        <w:tc>
          <w:tcPr>
            <w:tcW w:w="1184" w:type="dxa"/>
            <w:vMerge/>
            <w:tcBorders>
              <w:left w:val="single" w:sz="4" w:space="0" w:color="000000"/>
              <w:bottom w:val="nil" w:sz="6" w:space="0" w:color="auto"/>
              <w:right w:val="single" w:sz="4" w:space="0" w:color="000000"/>
            </w:tcBorders>
            <w:shd w:val="clear" w:color="auto" w:fill="D3D3D3"/>
          </w:tcPr>
          <w:p>
            <w:pPr/>
          </w:p>
        </w:tc>
        <w:tc>
          <w:tcPr>
            <w:tcW w:w="1357" w:type="dxa"/>
            <w:vMerge/>
            <w:tcBorders>
              <w:left w:val="single" w:sz="4" w:space="0" w:color="000000"/>
              <w:bottom w:val="nil" w:sz="6" w:space="0" w:color="auto"/>
              <w:right w:val="single" w:sz="4" w:space="0" w:color="000000"/>
            </w:tcBorders>
            <w:shd w:val="clear" w:color="auto" w:fill="D3D3D3"/>
          </w:tcPr>
          <w:p>
            <w:pPr/>
          </w:p>
        </w:tc>
        <w:tc>
          <w:tcPr>
            <w:tcW w:w="10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52"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送股</w:t>
            </w:r>
          </w:p>
        </w:tc>
        <w:tc>
          <w:tcPr>
            <w:tcW w:w="11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42"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03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37"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357" w:type="dxa"/>
            <w:vMerge/>
            <w:tcBorders>
              <w:left w:val="single" w:sz="4" w:space="0" w:color="000000"/>
              <w:bottom w:val="nil" w:sz="6" w:space="0" w:color="auto"/>
              <w:right w:val="single" w:sz="4" w:space="0" w:color="000000"/>
            </w:tcBorders>
            <w:shd w:val="clear" w:color="auto" w:fill="D3D3D3"/>
          </w:tcPr>
          <w:p>
            <w:pPr/>
          </w:p>
        </w:tc>
      </w:tr>
      <w:tr>
        <w:trPr>
          <w:trHeight w:val="207" w:hRule="exact"/>
        </w:trPr>
        <w:tc>
          <w:tcPr>
            <w:tcW w:w="1184" w:type="dxa"/>
            <w:tcBorders>
              <w:top w:val="nil" w:sz="6" w:space="0" w:color="auto"/>
              <w:left w:val="single" w:sz="4" w:space="0" w:color="000000"/>
              <w:bottom w:val="single" w:sz="4" w:space="0" w:color="000000"/>
              <w:right w:val="single" w:sz="4" w:space="0" w:color="000000"/>
            </w:tcBorders>
            <w:shd w:val="clear" w:color="auto" w:fill="D3D3D3"/>
          </w:tcPr>
          <w:p>
            <w:pPr/>
          </w:p>
        </w:tc>
        <w:tc>
          <w:tcPr>
            <w:tcW w:w="1357" w:type="dxa"/>
            <w:tcBorders>
              <w:top w:val="nil" w:sz="6" w:space="0" w:color="auto"/>
              <w:left w:val="single" w:sz="4" w:space="0" w:color="000000"/>
              <w:bottom w:val="single" w:sz="4" w:space="0" w:color="000000"/>
              <w:right w:val="single" w:sz="4" w:space="0" w:color="000000"/>
            </w:tcBorders>
            <w:shd w:val="clear" w:color="auto" w:fill="D3D3D3"/>
          </w:tcPr>
          <w:p>
            <w:pPr/>
          </w:p>
        </w:tc>
        <w:tc>
          <w:tcPr>
            <w:tcW w:w="1036"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195" w:type="dxa"/>
            <w:vMerge/>
            <w:tcBorders>
              <w:left w:val="single" w:sz="4" w:space="0" w:color="000000"/>
              <w:bottom w:val="single" w:sz="4" w:space="0" w:color="000000"/>
              <w:right w:val="single" w:sz="4" w:space="0" w:color="000000"/>
            </w:tcBorders>
            <w:shd w:val="clear" w:color="auto" w:fill="D3D3D3"/>
          </w:tcPr>
          <w:p>
            <w:pPr/>
          </w:p>
        </w:tc>
        <w:tc>
          <w:tcPr>
            <w:tcW w:w="1196" w:type="dxa"/>
            <w:vMerge/>
            <w:tcBorders>
              <w:left w:val="single" w:sz="4" w:space="0" w:color="000000"/>
              <w:bottom w:val="single" w:sz="4" w:space="0" w:color="000000"/>
              <w:right w:val="single" w:sz="4" w:space="0" w:color="000000"/>
            </w:tcBorders>
            <w:shd w:val="clear" w:color="auto" w:fill="D3D3D3"/>
          </w:tcPr>
          <w:p>
            <w:pPr/>
          </w:p>
        </w:tc>
        <w:tc>
          <w:tcPr>
            <w:tcW w:w="1034" w:type="dxa"/>
            <w:vMerge/>
            <w:tcBorders>
              <w:left w:val="single" w:sz="4" w:space="0" w:color="000000"/>
              <w:bottom w:val="single" w:sz="4" w:space="0" w:color="000000"/>
              <w:right w:val="single" w:sz="4" w:space="0" w:color="000000"/>
            </w:tcBorders>
            <w:shd w:val="clear" w:color="auto" w:fill="D3D3D3"/>
          </w:tcPr>
          <w:p>
            <w:pPr/>
          </w:p>
        </w:tc>
        <w:tc>
          <w:tcPr>
            <w:tcW w:w="1357"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35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61" w:right="0"/>
              <w:jc w:val="left"/>
              <w:rPr>
                <w:rFonts w:ascii="Arial" w:hAnsi="Arial" w:cs="Arial" w:eastAsia="Arial" w:hint="default"/>
                <w:sz w:val="18"/>
                <w:szCs w:val="18"/>
              </w:rPr>
            </w:pPr>
            <w:r>
              <w:rPr>
                <w:rFonts w:ascii="Arial"/>
                <w:sz w:val="18"/>
              </w:rPr>
              <w:t>622,200,000.00</w:t>
            </w:r>
          </w:p>
        </w:tc>
        <w:tc>
          <w:tcPr>
            <w:tcW w:w="1036"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
        </w:tc>
        <w:tc>
          <w:tcPr>
            <w:tcW w:w="1034" w:type="dxa"/>
            <w:tcBorders>
              <w:top w:val="single" w:sz="4" w:space="0" w:color="000000"/>
              <w:left w:val="single" w:sz="4" w:space="0" w:color="000000"/>
              <w:bottom w:val="single" w:sz="4" w:space="0" w:color="000000"/>
              <w:right w:val="single" w:sz="4" w:space="0" w:color="000000"/>
            </w:tcBorders>
          </w:tcPr>
          <w:p>
            <w:pPr/>
          </w:p>
        </w:tc>
        <w:tc>
          <w:tcPr>
            <w:tcW w:w="13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4" w:right="0"/>
              <w:jc w:val="left"/>
              <w:rPr>
                <w:rFonts w:ascii="Arial" w:hAnsi="Arial" w:cs="Arial" w:eastAsia="Arial" w:hint="default"/>
                <w:sz w:val="18"/>
                <w:szCs w:val="18"/>
              </w:rPr>
            </w:pPr>
            <w:r>
              <w:rPr>
                <w:rFonts w:ascii="Arial"/>
                <w:sz w:val="18"/>
              </w:rPr>
              <w:t>622,200,000.00</w:t>
            </w:r>
          </w:p>
        </w:tc>
      </w:tr>
    </w:tbl>
    <w:p>
      <w:pPr>
        <w:pStyle w:val="BodyText"/>
        <w:spacing w:line="360" w:lineRule="auto" w:before="51"/>
        <w:ind w:right="9850"/>
        <w:jc w:val="left"/>
      </w:pPr>
      <w:r>
        <w:rPr/>
        <w:t>其他说明： 无。</w:t>
      </w:r>
    </w:p>
    <w:p>
      <w:pPr>
        <w:spacing w:line="240" w:lineRule="auto" w:before="11"/>
        <w:rPr>
          <w:rFonts w:ascii="宋体" w:hAnsi="宋体" w:cs="宋体" w:eastAsia="宋体" w:hint="default"/>
          <w:sz w:val="19"/>
          <w:szCs w:val="19"/>
        </w:rPr>
      </w:pPr>
    </w:p>
    <w:p>
      <w:pPr>
        <w:pStyle w:val="Heading4"/>
        <w:spacing w:line="240" w:lineRule="auto"/>
        <w:ind w:right="2239"/>
        <w:jc w:val="left"/>
        <w:rPr>
          <w:b w:val="0"/>
          <w:bCs w:val="0"/>
        </w:rPr>
      </w:pPr>
      <w:r>
        <w:rPr>
          <w:rFonts w:ascii="Arial" w:hAnsi="Arial" w:cs="Arial" w:eastAsia="Arial" w:hint="default"/>
        </w:rPr>
        <w:t>54</w:t>
      </w:r>
      <w:r>
        <w:rPr/>
        <w:t>、其他权益工具</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2239"/>
        <w:jc w:val="left"/>
        <w:rPr>
          <w:b w:val="0"/>
          <w:bCs w:val="0"/>
        </w:rPr>
      </w:pPr>
      <w:r>
        <w:rPr/>
        <w:t>（</w:t>
      </w:r>
      <w:r>
        <w:rPr>
          <w:rFonts w:ascii="Arial" w:hAnsi="Arial" w:cs="Arial" w:eastAsia="Arial" w:hint="default"/>
        </w:rPr>
        <w:t>1</w:t>
      </w:r>
      <w:r>
        <w:rPr/>
        <w:t>）期末发行在外的优先股、永续债等其他金融工具基本情况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t>（</w:t>
      </w:r>
      <w:r>
        <w:rPr>
          <w:rFonts w:ascii="Arial" w:hAnsi="Arial" w:cs="Arial" w:eastAsia="Arial" w:hint="default"/>
        </w:rPr>
        <w:t>2</w:t>
      </w:r>
      <w:r>
        <w:rPr/>
        <w:t>）期末发行在外的优先股、永续债等金融工具变动情况表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type w:val="continuous"/>
          <w:pgSz w:w="11910" w:h="16840"/>
          <w:pgMar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066"/>
        <w:gridCol w:w="1067"/>
        <w:gridCol w:w="1063"/>
        <w:gridCol w:w="1062"/>
        <w:gridCol w:w="1063"/>
        <w:gridCol w:w="1062"/>
        <w:gridCol w:w="1062"/>
        <w:gridCol w:w="1062"/>
        <w:gridCol w:w="1062"/>
      </w:tblGrid>
      <w:tr>
        <w:trPr>
          <w:trHeight w:val="402" w:hRule="exact"/>
        </w:trPr>
        <w:tc>
          <w:tcPr>
            <w:tcW w:w="10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166" w:right="77" w:hanging="90"/>
              <w:jc w:val="left"/>
              <w:rPr>
                <w:rFonts w:ascii="宋体" w:hAnsi="宋体" w:cs="宋体" w:eastAsia="宋体" w:hint="default"/>
                <w:sz w:val="18"/>
                <w:szCs w:val="18"/>
              </w:rPr>
            </w:pPr>
            <w:r>
              <w:rPr>
                <w:rFonts w:ascii="宋体" w:hAnsi="宋体" w:cs="宋体" w:eastAsia="宋体" w:hint="default"/>
                <w:sz w:val="18"/>
                <w:szCs w:val="18"/>
              </w:rPr>
              <w:t>发行在外的 金融工具</w:t>
            </w:r>
          </w:p>
        </w:tc>
        <w:tc>
          <w:tcPr>
            <w:tcW w:w="2130"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w:t>
            </w:r>
          </w:p>
        </w:tc>
        <w:tc>
          <w:tcPr>
            <w:tcW w:w="212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7"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95"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402" w:hRule="exact"/>
        </w:trPr>
        <w:tc>
          <w:tcPr>
            <w:tcW w:w="1066" w:type="dxa"/>
            <w:vMerge/>
            <w:tcBorders>
              <w:left w:val="single" w:sz="4" w:space="0" w:color="000000"/>
              <w:bottom w:val="single" w:sz="4" w:space="0" w:color="000000"/>
              <w:right w:val="single" w:sz="4" w:space="0" w:color="000000"/>
            </w:tcBorders>
            <w:shd w:val="clear" w:color="auto" w:fill="D3D3D3"/>
          </w:tcPr>
          <w:p>
            <w:pPr/>
          </w:p>
        </w:tc>
        <w:tc>
          <w:tcPr>
            <w:tcW w:w="10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8"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6"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65" w:right="0"/>
              <w:jc w:val="left"/>
              <w:rPr>
                <w:rFonts w:ascii="宋体" w:hAnsi="宋体" w:cs="宋体" w:eastAsia="宋体" w:hint="default"/>
                <w:sz w:val="18"/>
                <w:szCs w:val="18"/>
              </w:rPr>
            </w:pPr>
            <w:r>
              <w:rPr>
                <w:rFonts w:ascii="宋体" w:hAnsi="宋体" w:cs="宋体" w:eastAsia="宋体" w:hint="default"/>
                <w:sz w:val="18"/>
                <w:szCs w:val="18"/>
              </w:rPr>
              <w:t>账面价值</w:t>
            </w:r>
          </w:p>
        </w:tc>
      </w:tr>
    </w:tbl>
    <w:p>
      <w:pPr>
        <w:pStyle w:val="BodyText"/>
        <w:spacing w:line="360" w:lineRule="auto" w:before="51"/>
        <w:ind w:left="153" w:right="4631"/>
        <w:jc w:val="left"/>
      </w:pPr>
      <w:r>
        <w:rPr/>
        <w:t>其他权益工具本期增减变动情况、变动原因说明，以及相关会计处理的依据： 其他说明：</w:t>
      </w:r>
    </w:p>
    <w:p>
      <w:pPr>
        <w:pStyle w:val="BodyText"/>
        <w:spacing w:line="240" w:lineRule="auto" w:before="26"/>
        <w:ind w:left="153" w:right="2239"/>
        <w:jc w:val="left"/>
      </w:pPr>
      <w:r>
        <w:rPr/>
        <w:t>无。</w:t>
      </w:r>
    </w:p>
    <w:p>
      <w:pPr>
        <w:spacing w:line="240" w:lineRule="auto" w:before="11"/>
        <w:rPr>
          <w:rFonts w:ascii="宋体" w:hAnsi="宋体" w:cs="宋体" w:eastAsia="宋体" w:hint="default"/>
          <w:sz w:val="26"/>
          <w:szCs w:val="26"/>
        </w:rPr>
      </w:pPr>
    </w:p>
    <w:p>
      <w:pPr>
        <w:pStyle w:val="Heading4"/>
        <w:spacing w:line="240" w:lineRule="auto"/>
        <w:ind w:right="2239"/>
        <w:jc w:val="left"/>
        <w:rPr>
          <w:b w:val="0"/>
          <w:bCs w:val="0"/>
        </w:rPr>
      </w:pPr>
      <w:r>
        <w:rPr>
          <w:rFonts w:ascii="Arial" w:hAnsi="Arial" w:cs="Arial" w:eastAsia="Arial" w:hint="default"/>
        </w:rPr>
        <w:t>55</w:t>
      </w:r>
      <w:r>
        <w:rPr/>
        <w:t>、资本公积</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3"/>
          <w:szCs w:val="13"/>
        </w:rPr>
      </w:pPr>
    </w:p>
    <w:p>
      <w:pPr>
        <w:pStyle w:val="BodyText"/>
        <w:spacing w:line="240" w:lineRule="auto"/>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362,926,508.93</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362,926,508.93</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6,432,103.36</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6,432,103.36</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369,358,612.29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369,358,612.29</w:t>
            </w:r>
          </w:p>
        </w:tc>
      </w:tr>
    </w:tbl>
    <w:p>
      <w:pPr>
        <w:pStyle w:val="BodyText"/>
        <w:spacing w:line="360" w:lineRule="auto" w:before="51"/>
        <w:ind w:left="153" w:right="6611"/>
        <w:jc w:val="left"/>
      </w:pPr>
      <w:r>
        <w:rPr/>
        <w:t>其他说明，包括本期增减变动情况、变动原因说明： 无。</w:t>
      </w:r>
    </w:p>
    <w:p>
      <w:pPr>
        <w:spacing w:line="240" w:lineRule="auto" w:before="11"/>
        <w:rPr>
          <w:rFonts w:ascii="宋体" w:hAnsi="宋体" w:cs="宋体" w:eastAsia="宋体" w:hint="default"/>
          <w:sz w:val="19"/>
          <w:szCs w:val="19"/>
        </w:rPr>
      </w:pPr>
    </w:p>
    <w:p>
      <w:pPr>
        <w:pStyle w:val="Heading4"/>
        <w:spacing w:line="240" w:lineRule="auto"/>
        <w:ind w:right="2239"/>
        <w:jc w:val="left"/>
        <w:rPr>
          <w:b w:val="0"/>
          <w:bCs w:val="0"/>
        </w:rPr>
      </w:pPr>
      <w:r>
        <w:rPr>
          <w:rFonts w:ascii="Arial" w:hAnsi="Arial" w:cs="Arial" w:eastAsia="Arial" w:hint="default"/>
        </w:rPr>
        <w:t>56</w:t>
      </w:r>
      <w:r>
        <w:rPr/>
        <w:t>、库存股</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57" w:lineRule="auto" w:before="52"/>
        <w:ind w:left="153" w:right="6611"/>
        <w:jc w:val="left"/>
      </w:pPr>
      <w:r>
        <w:rPr/>
        <w:t>其他说明，包括本期增减变动情况、变动原因说明： 无。</w:t>
      </w:r>
    </w:p>
    <w:p>
      <w:pPr>
        <w:spacing w:line="240" w:lineRule="auto" w:before="1"/>
        <w:rPr>
          <w:rFonts w:ascii="宋体" w:hAnsi="宋体" w:cs="宋体" w:eastAsia="宋体" w:hint="default"/>
          <w:sz w:val="20"/>
          <w:szCs w:val="20"/>
        </w:rPr>
      </w:pPr>
    </w:p>
    <w:p>
      <w:pPr>
        <w:pStyle w:val="Heading4"/>
        <w:spacing w:line="240" w:lineRule="auto"/>
        <w:ind w:right="2239"/>
        <w:jc w:val="left"/>
        <w:rPr>
          <w:b w:val="0"/>
          <w:bCs w:val="0"/>
        </w:rPr>
      </w:pPr>
      <w:r>
        <w:rPr>
          <w:rFonts w:ascii="Arial" w:hAnsi="Arial" w:cs="Arial" w:eastAsia="Arial" w:hint="default"/>
        </w:rPr>
        <w:t>57</w:t>
      </w:r>
      <w:r>
        <w:rPr/>
        <w:t>、其他综合收益</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546"/>
        <w:gridCol w:w="986"/>
        <w:gridCol w:w="840"/>
        <w:gridCol w:w="1050"/>
        <w:gridCol w:w="841"/>
        <w:gridCol w:w="864"/>
        <w:gridCol w:w="864"/>
        <w:gridCol w:w="840"/>
        <w:gridCol w:w="726"/>
      </w:tblGrid>
      <w:tr>
        <w:trPr>
          <w:trHeight w:val="397" w:hRule="exact"/>
        </w:trPr>
        <w:tc>
          <w:tcPr>
            <w:tcW w:w="2546" w:type="dxa"/>
            <w:vMerge w:val="restart"/>
            <w:tcBorders>
              <w:top w:val="single" w:sz="4" w:space="0" w:color="000000"/>
              <w:left w:val="single" w:sz="4" w:space="0" w:color="000000"/>
              <w:right w:val="single" w:sz="4" w:space="0" w:color="000000"/>
            </w:tcBorders>
            <w:shd w:val="clear" w:color="auto" w:fill="D3D3D3"/>
          </w:tcPr>
          <w:p>
            <w:pPr/>
          </w:p>
        </w:tc>
        <w:tc>
          <w:tcPr>
            <w:tcW w:w="986" w:type="dxa"/>
            <w:vMerge w:val="restart"/>
            <w:tcBorders>
              <w:top w:val="single" w:sz="4" w:space="0" w:color="000000"/>
              <w:left w:val="single" w:sz="4" w:space="0" w:color="000000"/>
              <w:right w:val="single" w:sz="4" w:space="0" w:color="000000"/>
            </w:tcBorders>
            <w:shd w:val="clear" w:color="auto" w:fill="D3D3D3"/>
          </w:tcPr>
          <w:p>
            <w:pPr/>
          </w:p>
        </w:tc>
        <w:tc>
          <w:tcPr>
            <w:tcW w:w="5299"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726" w:type="dxa"/>
            <w:vMerge w:val="restart"/>
            <w:tcBorders>
              <w:top w:val="single" w:sz="4" w:space="0" w:color="000000"/>
              <w:left w:val="single" w:sz="4" w:space="0" w:color="000000"/>
              <w:right w:val="single" w:sz="4" w:space="0" w:color="000000"/>
            </w:tcBorders>
            <w:shd w:val="clear" w:color="auto" w:fill="D3D3D3"/>
          </w:tcPr>
          <w:p>
            <w:pPr/>
          </w:p>
        </w:tc>
      </w:tr>
      <w:tr>
        <w:trPr>
          <w:trHeight w:val="166" w:hRule="exact"/>
        </w:trPr>
        <w:tc>
          <w:tcPr>
            <w:tcW w:w="2546" w:type="dxa"/>
            <w:vMerge/>
            <w:tcBorders>
              <w:left w:val="single" w:sz="4" w:space="0" w:color="000000"/>
              <w:right w:val="single" w:sz="4" w:space="0" w:color="000000"/>
            </w:tcBorders>
            <w:shd w:val="clear" w:color="auto" w:fill="D3D3D3"/>
          </w:tcPr>
          <w:p>
            <w:pPr/>
          </w:p>
        </w:tc>
        <w:tc>
          <w:tcPr>
            <w:tcW w:w="986" w:type="dxa"/>
            <w:vMerge/>
            <w:tcBorders>
              <w:left w:val="single" w:sz="4" w:space="0" w:color="000000"/>
              <w:right w:val="single" w:sz="4" w:space="0" w:color="000000"/>
            </w:tcBorders>
            <w:shd w:val="clear" w:color="auto" w:fill="D3D3D3"/>
          </w:tcPr>
          <w:p>
            <w:pPr/>
          </w:p>
        </w:tc>
        <w:tc>
          <w:tcPr>
            <w:tcW w:w="840" w:type="dxa"/>
            <w:vMerge w:val="restart"/>
            <w:tcBorders>
              <w:top w:val="single" w:sz="4" w:space="0" w:color="000000"/>
              <w:left w:val="single" w:sz="4" w:space="0" w:color="000000"/>
              <w:right w:val="single" w:sz="4" w:space="0" w:color="000000"/>
            </w:tcBorders>
            <w:shd w:val="clear" w:color="auto" w:fill="D3D3D3"/>
          </w:tcPr>
          <w:p>
            <w:pPr/>
          </w:p>
        </w:tc>
        <w:tc>
          <w:tcPr>
            <w:tcW w:w="1050" w:type="dxa"/>
            <w:tcBorders>
              <w:top w:val="single" w:sz="4" w:space="0" w:color="000000"/>
              <w:left w:val="single" w:sz="4" w:space="0" w:color="000000"/>
              <w:bottom w:val="nil" w:sz="6" w:space="0" w:color="auto"/>
              <w:right w:val="single" w:sz="4" w:space="0" w:color="000000"/>
            </w:tcBorders>
            <w:shd w:val="clear" w:color="auto" w:fill="D3D3D3"/>
          </w:tcPr>
          <w:p>
            <w:pPr/>
          </w:p>
        </w:tc>
        <w:tc>
          <w:tcPr>
            <w:tcW w:w="841"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6"/>
              <w:ind w:left="60" w:right="48"/>
              <w:jc w:val="both"/>
              <w:rPr>
                <w:rFonts w:ascii="宋体" w:hAnsi="宋体" w:cs="宋体" w:eastAsia="宋体" w:hint="default"/>
                <w:sz w:val="18"/>
                <w:szCs w:val="18"/>
              </w:rPr>
            </w:pPr>
            <w:r>
              <w:rPr>
                <w:rFonts w:ascii="宋体" w:hAnsi="宋体" w:cs="宋体" w:eastAsia="宋体" w:hint="default"/>
                <w:sz w:val="18"/>
                <w:szCs w:val="18"/>
              </w:rPr>
              <w:t>减：前期 计入其他 综合收益 当期转入 留存收益</w:t>
            </w:r>
          </w:p>
        </w:tc>
        <w:tc>
          <w:tcPr>
            <w:tcW w:w="864" w:type="dxa"/>
            <w:vMerge w:val="restart"/>
            <w:tcBorders>
              <w:top w:val="single" w:sz="4" w:space="0" w:color="000000"/>
              <w:left w:val="single" w:sz="4" w:space="0" w:color="000000"/>
              <w:right w:val="single" w:sz="4" w:space="0" w:color="000000"/>
            </w:tcBorders>
            <w:shd w:val="clear" w:color="auto" w:fill="D3D3D3"/>
          </w:tcPr>
          <w:p>
            <w:pPr/>
          </w:p>
        </w:tc>
        <w:tc>
          <w:tcPr>
            <w:tcW w:w="864" w:type="dxa"/>
            <w:vMerge w:val="restart"/>
            <w:tcBorders>
              <w:top w:val="single" w:sz="4" w:space="0" w:color="000000"/>
              <w:left w:val="single" w:sz="4" w:space="0" w:color="000000"/>
              <w:right w:val="single" w:sz="4" w:space="0" w:color="000000"/>
            </w:tcBorders>
            <w:shd w:val="clear" w:color="auto" w:fill="D3D3D3"/>
          </w:tcPr>
          <w:p>
            <w:pPr/>
          </w:p>
        </w:tc>
        <w:tc>
          <w:tcPr>
            <w:tcW w:w="840" w:type="dxa"/>
            <w:vMerge w:val="restart"/>
            <w:tcBorders>
              <w:top w:val="single" w:sz="4" w:space="0" w:color="000000"/>
              <w:left w:val="single" w:sz="4" w:space="0" w:color="000000"/>
              <w:right w:val="single" w:sz="4" w:space="0" w:color="000000"/>
            </w:tcBorders>
            <w:shd w:val="clear" w:color="auto" w:fill="D3D3D3"/>
          </w:tcPr>
          <w:p>
            <w:pPr/>
          </w:p>
        </w:tc>
        <w:tc>
          <w:tcPr>
            <w:tcW w:w="726" w:type="dxa"/>
            <w:vMerge/>
            <w:tcBorders>
              <w:left w:val="single" w:sz="4" w:space="0" w:color="000000"/>
              <w:right w:val="single" w:sz="4" w:space="0" w:color="000000"/>
            </w:tcBorders>
            <w:shd w:val="clear" w:color="auto" w:fill="D3D3D3"/>
          </w:tcPr>
          <w:p>
            <w:pPr/>
          </w:p>
        </w:tc>
      </w:tr>
      <w:tr>
        <w:trPr>
          <w:trHeight w:val="145" w:hRule="exact"/>
        </w:trPr>
        <w:tc>
          <w:tcPr>
            <w:tcW w:w="2546" w:type="dxa"/>
            <w:vMerge/>
            <w:tcBorders>
              <w:left w:val="single" w:sz="4" w:space="0" w:color="000000"/>
              <w:right w:val="single" w:sz="4" w:space="0" w:color="000000"/>
            </w:tcBorders>
            <w:shd w:val="clear" w:color="auto" w:fill="D3D3D3"/>
          </w:tcPr>
          <w:p>
            <w:pPr/>
          </w:p>
        </w:tc>
        <w:tc>
          <w:tcPr>
            <w:tcW w:w="986" w:type="dxa"/>
            <w:vMerge/>
            <w:tcBorders>
              <w:left w:val="single" w:sz="4" w:space="0" w:color="000000"/>
              <w:right w:val="single" w:sz="4" w:space="0" w:color="000000"/>
            </w:tcBorders>
            <w:shd w:val="clear" w:color="auto" w:fill="D3D3D3"/>
          </w:tcPr>
          <w:p>
            <w:pPr/>
          </w:p>
        </w:tc>
        <w:tc>
          <w:tcPr>
            <w:tcW w:w="840" w:type="dxa"/>
            <w:vMerge/>
            <w:tcBorders>
              <w:left w:val="single" w:sz="4" w:space="0" w:color="000000"/>
              <w:bottom w:val="nil" w:sz="6" w:space="0" w:color="auto"/>
              <w:right w:val="single" w:sz="4" w:space="0" w:color="000000"/>
            </w:tcBorders>
            <w:shd w:val="clear" w:color="auto" w:fill="D3D3D3"/>
          </w:tcPr>
          <w:p>
            <w:pPr/>
          </w:p>
        </w:tc>
        <w:tc>
          <w:tcPr>
            <w:tcW w:w="1050"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51"/>
              <w:ind w:left="23" w:right="21"/>
              <w:jc w:val="center"/>
              <w:rPr>
                <w:rFonts w:ascii="宋体" w:hAnsi="宋体" w:cs="宋体" w:eastAsia="宋体" w:hint="default"/>
                <w:sz w:val="18"/>
                <w:szCs w:val="18"/>
              </w:rPr>
            </w:pPr>
            <w:r>
              <w:rPr>
                <w:rFonts w:ascii="宋体" w:hAnsi="宋体" w:cs="宋体" w:eastAsia="宋体" w:hint="default"/>
                <w:spacing w:val="-15"/>
                <w:sz w:val="18"/>
                <w:szCs w:val="18"/>
              </w:rPr>
              <w:t>减：前期计入</w:t>
            </w:r>
            <w:r>
              <w:rPr>
                <w:rFonts w:ascii="宋体" w:hAnsi="宋体" w:cs="宋体" w:eastAsia="宋体" w:hint="default"/>
                <w:sz w:val="18"/>
                <w:szCs w:val="18"/>
              </w:rPr>
              <w:t> 其他综合收 益当期转入 损益</w:t>
            </w:r>
          </w:p>
        </w:tc>
        <w:tc>
          <w:tcPr>
            <w:tcW w:w="841" w:type="dxa"/>
            <w:vMerge/>
            <w:tcBorders>
              <w:left w:val="single" w:sz="4" w:space="0" w:color="000000"/>
              <w:right w:val="single" w:sz="4" w:space="0" w:color="000000"/>
            </w:tcBorders>
            <w:shd w:val="clear" w:color="auto" w:fill="D3D3D3"/>
          </w:tcPr>
          <w:p>
            <w:pPr/>
          </w:p>
        </w:tc>
        <w:tc>
          <w:tcPr>
            <w:tcW w:w="864" w:type="dxa"/>
            <w:vMerge/>
            <w:tcBorders>
              <w:left w:val="single" w:sz="4" w:space="0" w:color="000000"/>
              <w:right w:val="single" w:sz="4" w:space="0" w:color="000000"/>
            </w:tcBorders>
            <w:shd w:val="clear" w:color="auto" w:fill="D3D3D3"/>
          </w:tcPr>
          <w:p>
            <w:pPr/>
          </w:p>
        </w:tc>
        <w:tc>
          <w:tcPr>
            <w:tcW w:w="864" w:type="dxa"/>
            <w:vMerge/>
            <w:tcBorders>
              <w:left w:val="single" w:sz="4" w:space="0" w:color="000000"/>
              <w:right w:val="single" w:sz="4" w:space="0" w:color="000000"/>
            </w:tcBorders>
            <w:shd w:val="clear" w:color="auto" w:fill="D3D3D3"/>
          </w:tcPr>
          <w:p>
            <w:pPr/>
          </w:p>
        </w:tc>
        <w:tc>
          <w:tcPr>
            <w:tcW w:w="840" w:type="dxa"/>
            <w:vMerge/>
            <w:tcBorders>
              <w:left w:val="single" w:sz="4" w:space="0" w:color="000000"/>
              <w:bottom w:val="single" w:sz="18" w:space="0" w:color="FFFFFF"/>
              <w:right w:val="single" w:sz="4" w:space="0" w:color="000000"/>
            </w:tcBorders>
            <w:shd w:val="clear" w:color="auto" w:fill="D3D3D3"/>
          </w:tcPr>
          <w:p>
            <w:pPr/>
          </w:p>
        </w:tc>
        <w:tc>
          <w:tcPr>
            <w:tcW w:w="726" w:type="dxa"/>
            <w:vMerge/>
            <w:tcBorders>
              <w:left w:val="single" w:sz="4" w:space="0" w:color="000000"/>
              <w:bottom w:val="single" w:sz="18" w:space="0" w:color="FFFFFF"/>
              <w:right w:val="single" w:sz="4" w:space="0" w:color="000000"/>
            </w:tcBorders>
            <w:shd w:val="clear" w:color="auto" w:fill="D3D3D3"/>
          </w:tcPr>
          <w:p>
            <w:pPr/>
          </w:p>
        </w:tc>
      </w:tr>
      <w:tr>
        <w:trPr>
          <w:trHeight w:val="145" w:hRule="exact"/>
        </w:trPr>
        <w:tc>
          <w:tcPr>
            <w:tcW w:w="2546" w:type="dxa"/>
            <w:vMerge/>
            <w:tcBorders>
              <w:left w:val="single" w:sz="4" w:space="0" w:color="000000"/>
              <w:bottom w:val="nil" w:sz="6" w:space="0" w:color="auto"/>
              <w:right w:val="single" w:sz="4" w:space="0" w:color="000000"/>
            </w:tcBorders>
            <w:shd w:val="clear" w:color="auto" w:fill="D3D3D3"/>
          </w:tcPr>
          <w:p>
            <w:pPr/>
          </w:p>
        </w:tc>
        <w:tc>
          <w:tcPr>
            <w:tcW w:w="986" w:type="dxa"/>
            <w:vMerge/>
            <w:tcBorders>
              <w:left w:val="single" w:sz="4" w:space="0" w:color="000000"/>
              <w:bottom w:val="nil" w:sz="6" w:space="0" w:color="auto"/>
              <w:right w:val="single" w:sz="4" w:space="0" w:color="000000"/>
            </w:tcBorders>
            <w:shd w:val="clear" w:color="auto" w:fill="D3D3D3"/>
          </w:tcPr>
          <w:p>
            <w:pPr/>
          </w:p>
        </w:tc>
        <w:tc>
          <w:tcPr>
            <w:tcW w:w="840"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62"/>
              <w:ind w:left="48" w:right="59"/>
              <w:jc w:val="center"/>
              <w:rPr>
                <w:rFonts w:ascii="宋体" w:hAnsi="宋体" w:cs="宋体" w:eastAsia="宋体" w:hint="default"/>
                <w:sz w:val="18"/>
                <w:szCs w:val="18"/>
              </w:rPr>
            </w:pPr>
            <w:r>
              <w:rPr>
                <w:rFonts w:ascii="宋体" w:hAnsi="宋体" w:cs="宋体" w:eastAsia="宋体" w:hint="default"/>
                <w:sz w:val="18"/>
                <w:szCs w:val="18"/>
              </w:rPr>
              <w:t>本期所得 税前发生 额</w:t>
            </w:r>
          </w:p>
        </w:tc>
        <w:tc>
          <w:tcPr>
            <w:tcW w:w="1050" w:type="dxa"/>
            <w:vMerge/>
            <w:tcBorders>
              <w:left w:val="single" w:sz="4" w:space="0" w:color="000000"/>
              <w:right w:val="single" w:sz="4" w:space="0" w:color="000000"/>
            </w:tcBorders>
            <w:shd w:val="clear" w:color="auto" w:fill="D3D3D3"/>
          </w:tcPr>
          <w:p>
            <w:pPr/>
          </w:p>
        </w:tc>
        <w:tc>
          <w:tcPr>
            <w:tcW w:w="841" w:type="dxa"/>
            <w:vMerge/>
            <w:tcBorders>
              <w:left w:val="single" w:sz="4" w:space="0" w:color="000000"/>
              <w:right w:val="single" w:sz="4" w:space="0" w:color="000000"/>
            </w:tcBorders>
            <w:shd w:val="clear" w:color="auto" w:fill="D3D3D3"/>
          </w:tcPr>
          <w:p>
            <w:pPr/>
          </w:p>
        </w:tc>
        <w:tc>
          <w:tcPr>
            <w:tcW w:w="864" w:type="dxa"/>
            <w:vMerge/>
            <w:tcBorders>
              <w:left w:val="single" w:sz="4" w:space="0" w:color="000000"/>
              <w:bottom w:val="nil" w:sz="6" w:space="0" w:color="auto"/>
              <w:right w:val="single" w:sz="4" w:space="0" w:color="000000"/>
            </w:tcBorders>
            <w:shd w:val="clear" w:color="auto" w:fill="D3D3D3"/>
          </w:tcPr>
          <w:p>
            <w:pPr/>
          </w:p>
        </w:tc>
        <w:tc>
          <w:tcPr>
            <w:tcW w:w="864" w:type="dxa"/>
            <w:vMerge/>
            <w:tcBorders>
              <w:left w:val="single" w:sz="4" w:space="0" w:color="000000"/>
              <w:bottom w:val="nil" w:sz="6" w:space="0" w:color="auto"/>
              <w:right w:val="single" w:sz="4" w:space="0" w:color="000000"/>
            </w:tcBorders>
            <w:shd w:val="clear" w:color="auto" w:fill="D3D3D3"/>
          </w:tcPr>
          <w:p>
            <w:pPr/>
          </w:p>
        </w:tc>
        <w:tc>
          <w:tcPr>
            <w:tcW w:w="840" w:type="dxa"/>
            <w:vMerge w:val="restart"/>
            <w:tcBorders>
              <w:top w:val="single" w:sz="18" w:space="0" w:color="FFFFFF"/>
              <w:left w:val="single" w:sz="4" w:space="0" w:color="000000"/>
              <w:right w:val="single" w:sz="4" w:space="0" w:color="000000"/>
            </w:tcBorders>
            <w:shd w:val="clear" w:color="auto" w:fill="D3D3D3"/>
          </w:tcPr>
          <w:p>
            <w:pPr>
              <w:pStyle w:val="TableParagraph"/>
              <w:spacing w:line="319" w:lineRule="auto" w:before="40"/>
              <w:ind w:left="49" w:right="59"/>
              <w:jc w:val="center"/>
              <w:rPr>
                <w:rFonts w:ascii="宋体" w:hAnsi="宋体" w:cs="宋体" w:eastAsia="宋体" w:hint="default"/>
                <w:sz w:val="18"/>
                <w:szCs w:val="18"/>
              </w:rPr>
            </w:pPr>
            <w:r>
              <w:rPr>
                <w:rFonts w:ascii="宋体" w:hAnsi="宋体" w:cs="宋体" w:eastAsia="宋体" w:hint="default"/>
                <w:sz w:val="18"/>
                <w:szCs w:val="18"/>
              </w:rPr>
              <w:t>税后归属 于少数股 东</w:t>
            </w:r>
          </w:p>
        </w:tc>
        <w:tc>
          <w:tcPr>
            <w:tcW w:w="726" w:type="dxa"/>
            <w:vMerge w:val="restart"/>
            <w:tcBorders>
              <w:top w:val="single" w:sz="18" w:space="0" w:color="FFFFFF"/>
              <w:left w:val="single" w:sz="4" w:space="0" w:color="000000"/>
              <w:right w:val="single" w:sz="4" w:space="0" w:color="000000"/>
            </w:tcBorders>
            <w:shd w:val="clear" w:color="auto" w:fill="D3D3D3"/>
          </w:tcPr>
          <w:p>
            <w:pPr>
              <w:pStyle w:val="TableParagraph"/>
              <w:spacing w:line="316" w:lineRule="auto"/>
              <w:ind w:left="268" w:right="85" w:hanging="180"/>
              <w:jc w:val="left"/>
              <w:rPr>
                <w:rFonts w:ascii="宋体" w:hAnsi="宋体" w:cs="宋体" w:eastAsia="宋体" w:hint="default"/>
                <w:sz w:val="18"/>
                <w:szCs w:val="18"/>
              </w:rPr>
            </w:pPr>
            <w:r>
              <w:rPr>
                <w:rFonts w:ascii="宋体" w:hAnsi="宋体" w:cs="宋体" w:eastAsia="宋体" w:hint="default"/>
                <w:sz w:val="18"/>
                <w:szCs w:val="18"/>
              </w:rPr>
              <w:t>期末余 额</w:t>
            </w:r>
          </w:p>
        </w:tc>
      </w:tr>
      <w:tr>
        <w:trPr>
          <w:trHeight w:val="368" w:hRule="exact"/>
        </w:trPr>
        <w:tc>
          <w:tcPr>
            <w:tcW w:w="254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8"/>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98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28"/>
              <w:ind w:left="12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840" w:type="dxa"/>
            <w:vMerge/>
            <w:tcBorders>
              <w:left w:val="single" w:sz="4" w:space="0" w:color="000000"/>
              <w:right w:val="single" w:sz="4" w:space="0" w:color="000000"/>
            </w:tcBorders>
            <w:shd w:val="clear" w:color="auto" w:fill="D3D3D3"/>
          </w:tcPr>
          <w:p>
            <w:pPr/>
          </w:p>
        </w:tc>
        <w:tc>
          <w:tcPr>
            <w:tcW w:w="1050" w:type="dxa"/>
            <w:vMerge/>
            <w:tcBorders>
              <w:left w:val="single" w:sz="4" w:space="0" w:color="000000"/>
              <w:right w:val="single" w:sz="4" w:space="0" w:color="000000"/>
            </w:tcBorders>
            <w:shd w:val="clear" w:color="auto" w:fill="D3D3D3"/>
          </w:tcPr>
          <w:p>
            <w:pPr/>
          </w:p>
        </w:tc>
        <w:tc>
          <w:tcPr>
            <w:tcW w:w="841" w:type="dxa"/>
            <w:vMerge/>
            <w:tcBorders>
              <w:left w:val="single" w:sz="4" w:space="0" w:color="000000"/>
              <w:right w:val="single" w:sz="4" w:space="0" w:color="000000"/>
            </w:tcBorders>
            <w:shd w:val="clear" w:color="auto" w:fill="D3D3D3"/>
          </w:tcPr>
          <w:p>
            <w:pPr/>
          </w:p>
        </w:tc>
        <w:tc>
          <w:tcPr>
            <w:tcW w:w="86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73"/>
              <w:ind w:left="162" w:right="60" w:hanging="90"/>
              <w:jc w:val="left"/>
              <w:rPr>
                <w:rFonts w:ascii="宋体" w:hAnsi="宋体" w:cs="宋体" w:eastAsia="宋体" w:hint="default"/>
                <w:sz w:val="18"/>
                <w:szCs w:val="18"/>
              </w:rPr>
            </w:pPr>
            <w:r>
              <w:rPr>
                <w:rFonts w:ascii="宋体" w:hAnsi="宋体" w:cs="宋体" w:eastAsia="宋体" w:hint="default"/>
                <w:sz w:val="18"/>
                <w:szCs w:val="18"/>
              </w:rPr>
              <w:t>减：所得 税费用</w:t>
            </w:r>
          </w:p>
        </w:tc>
        <w:tc>
          <w:tcPr>
            <w:tcW w:w="864" w:type="dxa"/>
            <w:vMerge w:val="restart"/>
            <w:tcBorders>
              <w:top w:val="nil" w:sz="6" w:space="0" w:color="auto"/>
              <w:left w:val="single" w:sz="4" w:space="0" w:color="000000"/>
              <w:right w:val="single" w:sz="4" w:space="0" w:color="000000"/>
            </w:tcBorders>
            <w:shd w:val="clear" w:color="auto" w:fill="D3D3D3"/>
          </w:tcPr>
          <w:p>
            <w:pPr>
              <w:pStyle w:val="TableParagraph"/>
              <w:spacing w:line="319" w:lineRule="auto" w:before="73"/>
              <w:ind w:left="61" w:right="71"/>
              <w:jc w:val="left"/>
              <w:rPr>
                <w:rFonts w:ascii="宋体" w:hAnsi="宋体" w:cs="宋体" w:eastAsia="宋体" w:hint="default"/>
                <w:sz w:val="18"/>
                <w:szCs w:val="18"/>
              </w:rPr>
            </w:pPr>
            <w:r>
              <w:rPr>
                <w:rFonts w:ascii="宋体" w:hAnsi="宋体" w:cs="宋体" w:eastAsia="宋体" w:hint="default"/>
                <w:sz w:val="18"/>
                <w:szCs w:val="18"/>
              </w:rPr>
              <w:t>税后归属 于母公司</w:t>
            </w:r>
          </w:p>
        </w:tc>
        <w:tc>
          <w:tcPr>
            <w:tcW w:w="840" w:type="dxa"/>
            <w:vMerge/>
            <w:tcBorders>
              <w:left w:val="single" w:sz="4" w:space="0" w:color="000000"/>
              <w:right w:val="single" w:sz="4" w:space="0" w:color="000000"/>
            </w:tcBorders>
            <w:shd w:val="clear" w:color="auto" w:fill="D3D3D3"/>
          </w:tcPr>
          <w:p>
            <w:pPr/>
          </w:p>
        </w:tc>
        <w:tc>
          <w:tcPr>
            <w:tcW w:w="726" w:type="dxa"/>
            <w:vMerge/>
            <w:tcBorders>
              <w:left w:val="single" w:sz="4" w:space="0" w:color="000000"/>
              <w:right w:val="single" w:sz="4" w:space="0" w:color="000000"/>
            </w:tcBorders>
            <w:shd w:val="clear" w:color="auto" w:fill="D3D3D3"/>
          </w:tcPr>
          <w:p>
            <w:pPr/>
          </w:p>
        </w:tc>
      </w:tr>
      <w:tr>
        <w:trPr>
          <w:trHeight w:val="156" w:hRule="exact"/>
        </w:trPr>
        <w:tc>
          <w:tcPr>
            <w:tcW w:w="2546" w:type="dxa"/>
            <w:vMerge w:val="restart"/>
            <w:tcBorders>
              <w:top w:val="nil" w:sz="6" w:space="0" w:color="auto"/>
              <w:left w:val="single" w:sz="4" w:space="0" w:color="000000"/>
              <w:right w:val="single" w:sz="4" w:space="0" w:color="000000"/>
            </w:tcBorders>
            <w:shd w:val="clear" w:color="auto" w:fill="D3D3D3"/>
          </w:tcPr>
          <w:p>
            <w:pPr/>
          </w:p>
        </w:tc>
        <w:tc>
          <w:tcPr>
            <w:tcW w:w="986" w:type="dxa"/>
            <w:vMerge w:val="restart"/>
            <w:tcBorders>
              <w:top w:val="nil" w:sz="6" w:space="0" w:color="auto"/>
              <w:left w:val="single" w:sz="4" w:space="0" w:color="000000"/>
              <w:right w:val="single" w:sz="4" w:space="0" w:color="000000"/>
            </w:tcBorders>
            <w:shd w:val="clear" w:color="auto" w:fill="D3D3D3"/>
          </w:tcPr>
          <w:p>
            <w:pPr/>
          </w:p>
        </w:tc>
        <w:tc>
          <w:tcPr>
            <w:tcW w:w="840" w:type="dxa"/>
            <w:vMerge/>
            <w:tcBorders>
              <w:left w:val="single" w:sz="4" w:space="0" w:color="000000"/>
              <w:right w:val="single" w:sz="4" w:space="0" w:color="000000"/>
            </w:tcBorders>
            <w:shd w:val="clear" w:color="auto" w:fill="D3D3D3"/>
          </w:tcPr>
          <w:p>
            <w:pPr/>
          </w:p>
        </w:tc>
        <w:tc>
          <w:tcPr>
            <w:tcW w:w="1050" w:type="dxa"/>
            <w:vMerge/>
            <w:tcBorders>
              <w:left w:val="single" w:sz="4" w:space="0" w:color="000000"/>
              <w:right w:val="single" w:sz="4" w:space="0" w:color="000000"/>
            </w:tcBorders>
            <w:shd w:val="clear" w:color="auto" w:fill="D3D3D3"/>
          </w:tcPr>
          <w:p>
            <w:pPr/>
          </w:p>
        </w:tc>
        <w:tc>
          <w:tcPr>
            <w:tcW w:w="841" w:type="dxa"/>
            <w:vMerge/>
            <w:tcBorders>
              <w:left w:val="single" w:sz="4" w:space="0" w:color="000000"/>
              <w:right w:val="single" w:sz="4" w:space="0" w:color="000000"/>
            </w:tcBorders>
            <w:shd w:val="clear" w:color="auto" w:fill="D3D3D3"/>
          </w:tcPr>
          <w:p>
            <w:pPr/>
          </w:p>
        </w:tc>
        <w:tc>
          <w:tcPr>
            <w:tcW w:w="864" w:type="dxa"/>
            <w:vMerge/>
            <w:tcBorders>
              <w:left w:val="single" w:sz="4" w:space="0" w:color="000000"/>
              <w:right w:val="single" w:sz="4" w:space="0" w:color="000000"/>
            </w:tcBorders>
            <w:shd w:val="clear" w:color="auto" w:fill="D3D3D3"/>
          </w:tcPr>
          <w:p>
            <w:pPr/>
          </w:p>
        </w:tc>
        <w:tc>
          <w:tcPr>
            <w:tcW w:w="864" w:type="dxa"/>
            <w:vMerge/>
            <w:tcBorders>
              <w:left w:val="single" w:sz="4" w:space="0" w:color="000000"/>
              <w:right w:val="single" w:sz="4" w:space="0" w:color="000000"/>
            </w:tcBorders>
            <w:shd w:val="clear" w:color="auto" w:fill="D3D3D3"/>
          </w:tcPr>
          <w:p>
            <w:pPr/>
          </w:p>
        </w:tc>
        <w:tc>
          <w:tcPr>
            <w:tcW w:w="840" w:type="dxa"/>
            <w:vMerge/>
            <w:tcBorders>
              <w:left w:val="single" w:sz="4" w:space="0" w:color="000000"/>
              <w:right w:val="single" w:sz="4" w:space="0" w:color="000000"/>
            </w:tcBorders>
            <w:shd w:val="clear" w:color="auto" w:fill="D3D3D3"/>
          </w:tcPr>
          <w:p>
            <w:pPr/>
          </w:p>
        </w:tc>
        <w:tc>
          <w:tcPr>
            <w:tcW w:w="726" w:type="dxa"/>
            <w:vMerge/>
            <w:tcBorders>
              <w:left w:val="single" w:sz="4" w:space="0" w:color="000000"/>
              <w:bottom w:val="nil" w:sz="6" w:space="0" w:color="auto"/>
              <w:right w:val="single" w:sz="4" w:space="0" w:color="000000"/>
            </w:tcBorders>
            <w:shd w:val="clear" w:color="auto" w:fill="D3D3D3"/>
          </w:tcPr>
          <w:p>
            <w:pPr/>
          </w:p>
        </w:tc>
      </w:tr>
      <w:tr>
        <w:trPr>
          <w:trHeight w:val="202" w:hRule="exact"/>
        </w:trPr>
        <w:tc>
          <w:tcPr>
            <w:tcW w:w="2546" w:type="dxa"/>
            <w:vMerge/>
            <w:tcBorders>
              <w:left w:val="single" w:sz="4" w:space="0" w:color="000000"/>
              <w:right w:val="single" w:sz="4" w:space="0" w:color="000000"/>
            </w:tcBorders>
            <w:shd w:val="clear" w:color="auto" w:fill="D3D3D3"/>
          </w:tcPr>
          <w:p>
            <w:pPr/>
          </w:p>
        </w:tc>
        <w:tc>
          <w:tcPr>
            <w:tcW w:w="986" w:type="dxa"/>
            <w:vMerge/>
            <w:tcBorders>
              <w:left w:val="single" w:sz="4" w:space="0" w:color="000000"/>
              <w:right w:val="single" w:sz="4" w:space="0" w:color="000000"/>
            </w:tcBorders>
            <w:shd w:val="clear" w:color="auto" w:fill="D3D3D3"/>
          </w:tcPr>
          <w:p>
            <w:pPr/>
          </w:p>
        </w:tc>
        <w:tc>
          <w:tcPr>
            <w:tcW w:w="840" w:type="dxa"/>
            <w:vMerge/>
            <w:tcBorders>
              <w:left w:val="single" w:sz="4" w:space="0" w:color="000000"/>
              <w:right w:val="single" w:sz="4" w:space="0" w:color="000000"/>
            </w:tcBorders>
            <w:shd w:val="clear" w:color="auto" w:fill="D3D3D3"/>
          </w:tcPr>
          <w:p>
            <w:pPr/>
          </w:p>
        </w:tc>
        <w:tc>
          <w:tcPr>
            <w:tcW w:w="1050" w:type="dxa"/>
            <w:vMerge/>
            <w:tcBorders>
              <w:left w:val="single" w:sz="4" w:space="0" w:color="000000"/>
              <w:right w:val="single" w:sz="4" w:space="0" w:color="000000"/>
            </w:tcBorders>
            <w:shd w:val="clear" w:color="auto" w:fill="D3D3D3"/>
          </w:tcPr>
          <w:p>
            <w:pPr/>
          </w:p>
        </w:tc>
        <w:tc>
          <w:tcPr>
            <w:tcW w:w="841" w:type="dxa"/>
            <w:vMerge/>
            <w:tcBorders>
              <w:left w:val="single" w:sz="4" w:space="0" w:color="000000"/>
              <w:right w:val="single" w:sz="4" w:space="0" w:color="000000"/>
            </w:tcBorders>
            <w:shd w:val="clear" w:color="auto" w:fill="D3D3D3"/>
          </w:tcPr>
          <w:p>
            <w:pPr/>
          </w:p>
        </w:tc>
        <w:tc>
          <w:tcPr>
            <w:tcW w:w="864" w:type="dxa"/>
            <w:vMerge/>
            <w:tcBorders>
              <w:left w:val="single" w:sz="4" w:space="0" w:color="000000"/>
              <w:bottom w:val="nil" w:sz="6" w:space="0" w:color="auto"/>
              <w:right w:val="single" w:sz="4" w:space="0" w:color="000000"/>
            </w:tcBorders>
            <w:shd w:val="clear" w:color="auto" w:fill="D3D3D3"/>
          </w:tcPr>
          <w:p>
            <w:pPr/>
          </w:p>
        </w:tc>
        <w:tc>
          <w:tcPr>
            <w:tcW w:w="864" w:type="dxa"/>
            <w:vMerge/>
            <w:tcBorders>
              <w:left w:val="single" w:sz="4" w:space="0" w:color="000000"/>
              <w:bottom w:val="nil" w:sz="6" w:space="0" w:color="auto"/>
              <w:right w:val="single" w:sz="4" w:space="0" w:color="000000"/>
            </w:tcBorders>
            <w:shd w:val="clear" w:color="auto" w:fill="D3D3D3"/>
          </w:tcPr>
          <w:p>
            <w:pPr/>
          </w:p>
        </w:tc>
        <w:tc>
          <w:tcPr>
            <w:tcW w:w="840" w:type="dxa"/>
            <w:vMerge/>
            <w:tcBorders>
              <w:left w:val="single" w:sz="4" w:space="0" w:color="000000"/>
              <w:right w:val="single" w:sz="4" w:space="0" w:color="000000"/>
            </w:tcBorders>
            <w:shd w:val="clear" w:color="auto" w:fill="D3D3D3"/>
          </w:tcPr>
          <w:p>
            <w:pPr/>
          </w:p>
        </w:tc>
        <w:tc>
          <w:tcPr>
            <w:tcW w:w="726" w:type="dxa"/>
            <w:vMerge w:val="restart"/>
            <w:tcBorders>
              <w:top w:val="nil" w:sz="6" w:space="0" w:color="auto"/>
              <w:left w:val="single" w:sz="4" w:space="0" w:color="000000"/>
              <w:right w:val="single" w:sz="4" w:space="0" w:color="000000"/>
            </w:tcBorders>
            <w:shd w:val="clear" w:color="auto" w:fill="D3D3D3"/>
          </w:tcPr>
          <w:p>
            <w:pPr/>
          </w:p>
        </w:tc>
      </w:tr>
      <w:tr>
        <w:trPr>
          <w:trHeight w:val="156" w:hRule="exact"/>
        </w:trPr>
        <w:tc>
          <w:tcPr>
            <w:tcW w:w="2546" w:type="dxa"/>
            <w:vMerge/>
            <w:tcBorders>
              <w:left w:val="single" w:sz="4" w:space="0" w:color="000000"/>
              <w:right w:val="single" w:sz="4" w:space="0" w:color="000000"/>
            </w:tcBorders>
            <w:shd w:val="clear" w:color="auto" w:fill="D3D3D3"/>
          </w:tcPr>
          <w:p>
            <w:pPr/>
          </w:p>
        </w:tc>
        <w:tc>
          <w:tcPr>
            <w:tcW w:w="986" w:type="dxa"/>
            <w:vMerge/>
            <w:tcBorders>
              <w:left w:val="single" w:sz="4" w:space="0" w:color="000000"/>
              <w:right w:val="single" w:sz="4" w:space="0" w:color="000000"/>
            </w:tcBorders>
            <w:shd w:val="clear" w:color="auto" w:fill="D3D3D3"/>
          </w:tcPr>
          <w:p>
            <w:pPr/>
          </w:p>
        </w:tc>
        <w:tc>
          <w:tcPr>
            <w:tcW w:w="840" w:type="dxa"/>
            <w:vMerge/>
            <w:tcBorders>
              <w:left w:val="single" w:sz="4" w:space="0" w:color="000000"/>
              <w:bottom w:val="nil" w:sz="6" w:space="0" w:color="auto"/>
              <w:right w:val="single" w:sz="4" w:space="0" w:color="000000"/>
            </w:tcBorders>
            <w:shd w:val="clear" w:color="auto" w:fill="D3D3D3"/>
          </w:tcPr>
          <w:p>
            <w:pPr/>
          </w:p>
        </w:tc>
        <w:tc>
          <w:tcPr>
            <w:tcW w:w="1050" w:type="dxa"/>
            <w:vMerge/>
            <w:tcBorders>
              <w:left w:val="single" w:sz="4" w:space="0" w:color="000000"/>
              <w:right w:val="single" w:sz="4" w:space="0" w:color="000000"/>
            </w:tcBorders>
            <w:shd w:val="clear" w:color="auto" w:fill="D3D3D3"/>
          </w:tcPr>
          <w:p>
            <w:pPr/>
          </w:p>
        </w:tc>
        <w:tc>
          <w:tcPr>
            <w:tcW w:w="841" w:type="dxa"/>
            <w:vMerge/>
            <w:tcBorders>
              <w:left w:val="single" w:sz="4" w:space="0" w:color="000000"/>
              <w:right w:val="single" w:sz="4" w:space="0" w:color="000000"/>
            </w:tcBorders>
            <w:shd w:val="clear" w:color="auto" w:fill="D3D3D3"/>
          </w:tcPr>
          <w:p>
            <w:pPr/>
          </w:p>
        </w:tc>
        <w:tc>
          <w:tcPr>
            <w:tcW w:w="864" w:type="dxa"/>
            <w:vMerge w:val="restart"/>
            <w:tcBorders>
              <w:top w:val="nil" w:sz="6" w:space="0" w:color="auto"/>
              <w:left w:val="single" w:sz="4" w:space="0" w:color="000000"/>
              <w:right w:val="single" w:sz="4" w:space="0" w:color="000000"/>
            </w:tcBorders>
            <w:shd w:val="clear" w:color="auto" w:fill="D3D3D3"/>
          </w:tcPr>
          <w:p>
            <w:pPr/>
          </w:p>
        </w:tc>
        <w:tc>
          <w:tcPr>
            <w:tcW w:w="864" w:type="dxa"/>
            <w:vMerge w:val="restart"/>
            <w:tcBorders>
              <w:top w:val="nil" w:sz="6" w:space="0" w:color="auto"/>
              <w:left w:val="single" w:sz="4" w:space="0" w:color="000000"/>
              <w:right w:val="single" w:sz="4" w:space="0" w:color="000000"/>
            </w:tcBorders>
            <w:shd w:val="clear" w:color="auto" w:fill="D3D3D3"/>
          </w:tcPr>
          <w:p>
            <w:pPr/>
          </w:p>
        </w:tc>
        <w:tc>
          <w:tcPr>
            <w:tcW w:w="840" w:type="dxa"/>
            <w:vMerge/>
            <w:tcBorders>
              <w:left w:val="single" w:sz="4" w:space="0" w:color="000000"/>
              <w:bottom w:val="nil" w:sz="6" w:space="0" w:color="auto"/>
              <w:right w:val="single" w:sz="4" w:space="0" w:color="000000"/>
            </w:tcBorders>
            <w:shd w:val="clear" w:color="auto" w:fill="D3D3D3"/>
          </w:tcPr>
          <w:p>
            <w:pPr/>
          </w:p>
        </w:tc>
        <w:tc>
          <w:tcPr>
            <w:tcW w:w="726" w:type="dxa"/>
            <w:vMerge/>
            <w:tcBorders>
              <w:left w:val="single" w:sz="4" w:space="0" w:color="000000"/>
              <w:right w:val="single" w:sz="4" w:space="0" w:color="000000"/>
            </w:tcBorders>
            <w:shd w:val="clear" w:color="auto" w:fill="D3D3D3"/>
          </w:tcPr>
          <w:p>
            <w:pPr/>
          </w:p>
        </w:tc>
      </w:tr>
      <w:tr>
        <w:trPr>
          <w:trHeight w:val="156" w:hRule="exact"/>
        </w:trPr>
        <w:tc>
          <w:tcPr>
            <w:tcW w:w="2546" w:type="dxa"/>
            <w:vMerge/>
            <w:tcBorders>
              <w:left w:val="single" w:sz="4" w:space="0" w:color="000000"/>
              <w:right w:val="single" w:sz="4" w:space="0" w:color="000000"/>
            </w:tcBorders>
            <w:shd w:val="clear" w:color="auto" w:fill="D3D3D3"/>
          </w:tcPr>
          <w:p>
            <w:pPr/>
          </w:p>
        </w:tc>
        <w:tc>
          <w:tcPr>
            <w:tcW w:w="986" w:type="dxa"/>
            <w:vMerge/>
            <w:tcBorders>
              <w:left w:val="single" w:sz="4" w:space="0" w:color="000000"/>
              <w:right w:val="single" w:sz="4" w:space="0" w:color="000000"/>
            </w:tcBorders>
            <w:shd w:val="clear" w:color="auto" w:fill="D3D3D3"/>
          </w:tcPr>
          <w:p>
            <w:pPr/>
          </w:p>
        </w:tc>
        <w:tc>
          <w:tcPr>
            <w:tcW w:w="840" w:type="dxa"/>
            <w:vMerge w:val="restart"/>
            <w:tcBorders>
              <w:top w:val="nil" w:sz="6" w:space="0" w:color="auto"/>
              <w:left w:val="single" w:sz="4" w:space="0" w:color="000000"/>
              <w:right w:val="single" w:sz="4" w:space="0" w:color="000000"/>
            </w:tcBorders>
            <w:shd w:val="clear" w:color="auto" w:fill="D3D3D3"/>
          </w:tcPr>
          <w:p>
            <w:pPr/>
          </w:p>
        </w:tc>
        <w:tc>
          <w:tcPr>
            <w:tcW w:w="1050" w:type="dxa"/>
            <w:vMerge/>
            <w:tcBorders>
              <w:left w:val="single" w:sz="4" w:space="0" w:color="000000"/>
              <w:bottom w:val="nil" w:sz="6" w:space="0" w:color="auto"/>
              <w:right w:val="single" w:sz="4" w:space="0" w:color="000000"/>
            </w:tcBorders>
            <w:shd w:val="clear" w:color="auto" w:fill="D3D3D3"/>
          </w:tcPr>
          <w:p>
            <w:pPr/>
          </w:p>
        </w:tc>
        <w:tc>
          <w:tcPr>
            <w:tcW w:w="841" w:type="dxa"/>
            <w:vMerge/>
            <w:tcBorders>
              <w:left w:val="single" w:sz="4" w:space="0" w:color="000000"/>
              <w:right w:val="single" w:sz="4" w:space="0" w:color="000000"/>
            </w:tcBorders>
            <w:shd w:val="clear" w:color="auto" w:fill="D3D3D3"/>
          </w:tcPr>
          <w:p>
            <w:pPr/>
          </w:p>
        </w:tc>
        <w:tc>
          <w:tcPr>
            <w:tcW w:w="864" w:type="dxa"/>
            <w:vMerge/>
            <w:tcBorders>
              <w:left w:val="single" w:sz="4" w:space="0" w:color="000000"/>
              <w:right w:val="single" w:sz="4" w:space="0" w:color="000000"/>
            </w:tcBorders>
            <w:shd w:val="clear" w:color="auto" w:fill="D3D3D3"/>
          </w:tcPr>
          <w:p>
            <w:pPr/>
          </w:p>
        </w:tc>
        <w:tc>
          <w:tcPr>
            <w:tcW w:w="864" w:type="dxa"/>
            <w:vMerge/>
            <w:tcBorders>
              <w:left w:val="single" w:sz="4" w:space="0" w:color="000000"/>
              <w:right w:val="single" w:sz="4" w:space="0" w:color="000000"/>
            </w:tcBorders>
            <w:shd w:val="clear" w:color="auto" w:fill="D3D3D3"/>
          </w:tcPr>
          <w:p>
            <w:pPr/>
          </w:p>
        </w:tc>
        <w:tc>
          <w:tcPr>
            <w:tcW w:w="840" w:type="dxa"/>
            <w:vMerge w:val="restart"/>
            <w:tcBorders>
              <w:top w:val="nil" w:sz="6" w:space="0" w:color="auto"/>
              <w:left w:val="single" w:sz="4" w:space="0" w:color="000000"/>
              <w:right w:val="single" w:sz="4" w:space="0" w:color="000000"/>
            </w:tcBorders>
            <w:shd w:val="clear" w:color="auto" w:fill="D3D3D3"/>
          </w:tcPr>
          <w:p>
            <w:pPr/>
          </w:p>
        </w:tc>
        <w:tc>
          <w:tcPr>
            <w:tcW w:w="726" w:type="dxa"/>
            <w:vMerge/>
            <w:tcBorders>
              <w:left w:val="single" w:sz="4" w:space="0" w:color="000000"/>
              <w:right w:val="single" w:sz="4" w:space="0" w:color="000000"/>
            </w:tcBorders>
            <w:shd w:val="clear" w:color="auto" w:fill="D3D3D3"/>
          </w:tcPr>
          <w:p>
            <w:pPr/>
          </w:p>
        </w:tc>
      </w:tr>
      <w:tr>
        <w:trPr>
          <w:trHeight w:val="161" w:hRule="exact"/>
        </w:trPr>
        <w:tc>
          <w:tcPr>
            <w:tcW w:w="2546" w:type="dxa"/>
            <w:vMerge/>
            <w:tcBorders>
              <w:left w:val="single" w:sz="4" w:space="0" w:color="000000"/>
              <w:bottom w:val="single" w:sz="4" w:space="0" w:color="000000"/>
              <w:right w:val="single" w:sz="4" w:space="0" w:color="000000"/>
            </w:tcBorders>
            <w:shd w:val="clear" w:color="auto" w:fill="D3D3D3"/>
          </w:tcPr>
          <w:p>
            <w:pPr/>
          </w:p>
        </w:tc>
        <w:tc>
          <w:tcPr>
            <w:tcW w:w="986" w:type="dxa"/>
            <w:vMerge/>
            <w:tcBorders>
              <w:left w:val="single" w:sz="4" w:space="0" w:color="000000"/>
              <w:bottom w:val="single" w:sz="4" w:space="0" w:color="000000"/>
              <w:right w:val="single" w:sz="4" w:space="0" w:color="000000"/>
            </w:tcBorders>
            <w:shd w:val="clear" w:color="auto" w:fill="D3D3D3"/>
          </w:tcPr>
          <w:p>
            <w:pPr/>
          </w:p>
        </w:tc>
        <w:tc>
          <w:tcPr>
            <w:tcW w:w="840" w:type="dxa"/>
            <w:vMerge/>
            <w:tcBorders>
              <w:left w:val="single" w:sz="4" w:space="0" w:color="000000"/>
              <w:bottom w:val="single" w:sz="4" w:space="0" w:color="000000"/>
              <w:right w:val="single" w:sz="4" w:space="0" w:color="000000"/>
            </w:tcBorders>
            <w:shd w:val="clear" w:color="auto" w:fill="D3D3D3"/>
          </w:tcPr>
          <w:p>
            <w:pPr/>
          </w:p>
        </w:tc>
        <w:tc>
          <w:tcPr>
            <w:tcW w:w="1050" w:type="dxa"/>
            <w:tcBorders>
              <w:top w:val="nil" w:sz="6" w:space="0" w:color="auto"/>
              <w:left w:val="single" w:sz="4" w:space="0" w:color="000000"/>
              <w:bottom w:val="single" w:sz="4" w:space="0" w:color="000000"/>
              <w:right w:val="single" w:sz="4" w:space="0" w:color="000000"/>
            </w:tcBorders>
            <w:shd w:val="clear" w:color="auto" w:fill="D3D3D3"/>
          </w:tcPr>
          <w:p>
            <w:pPr/>
          </w:p>
        </w:tc>
        <w:tc>
          <w:tcPr>
            <w:tcW w:w="841" w:type="dxa"/>
            <w:vMerge/>
            <w:tcBorders>
              <w:left w:val="single" w:sz="4" w:space="0" w:color="000000"/>
              <w:bottom w:val="single" w:sz="4" w:space="0" w:color="000000"/>
              <w:right w:val="single" w:sz="4" w:space="0" w:color="000000"/>
            </w:tcBorders>
            <w:shd w:val="clear" w:color="auto" w:fill="D3D3D3"/>
          </w:tcPr>
          <w:p>
            <w:pPr/>
          </w:p>
        </w:tc>
        <w:tc>
          <w:tcPr>
            <w:tcW w:w="864" w:type="dxa"/>
            <w:vMerge/>
            <w:tcBorders>
              <w:left w:val="single" w:sz="4" w:space="0" w:color="000000"/>
              <w:bottom w:val="single" w:sz="4" w:space="0" w:color="000000"/>
              <w:right w:val="single" w:sz="4" w:space="0" w:color="000000"/>
            </w:tcBorders>
            <w:shd w:val="clear" w:color="auto" w:fill="D3D3D3"/>
          </w:tcPr>
          <w:p>
            <w:pPr/>
          </w:p>
        </w:tc>
        <w:tc>
          <w:tcPr>
            <w:tcW w:w="864" w:type="dxa"/>
            <w:vMerge/>
            <w:tcBorders>
              <w:left w:val="single" w:sz="4" w:space="0" w:color="000000"/>
              <w:bottom w:val="single" w:sz="4" w:space="0" w:color="000000"/>
              <w:right w:val="single" w:sz="4" w:space="0" w:color="000000"/>
            </w:tcBorders>
            <w:shd w:val="clear" w:color="auto" w:fill="D3D3D3"/>
          </w:tcPr>
          <w:p>
            <w:pPr/>
          </w:p>
        </w:tc>
        <w:tc>
          <w:tcPr>
            <w:tcW w:w="840" w:type="dxa"/>
            <w:vMerge/>
            <w:tcBorders>
              <w:left w:val="single" w:sz="4" w:space="0" w:color="000000"/>
              <w:bottom w:val="single" w:sz="4" w:space="0" w:color="000000"/>
              <w:right w:val="single" w:sz="4" w:space="0" w:color="000000"/>
            </w:tcBorders>
            <w:shd w:val="clear" w:color="auto" w:fill="D3D3D3"/>
          </w:tcPr>
          <w:p>
            <w:pPr/>
          </w:p>
        </w:tc>
        <w:tc>
          <w:tcPr>
            <w:tcW w:w="726"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25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2"/>
                <w:sz w:val="18"/>
                <w:szCs w:val="18"/>
              </w:rPr>
              <w:t>一、不能重分类进损益的其他综</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合收益</w:t>
            </w:r>
          </w:p>
        </w:tc>
        <w:tc>
          <w:tcPr>
            <w:tcW w:w="98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4"/>
              <w:jc w:val="right"/>
              <w:rPr>
                <w:rFonts w:ascii="Arial" w:hAnsi="Arial" w:cs="Arial" w:eastAsia="Arial" w:hint="default"/>
                <w:sz w:val="18"/>
                <w:szCs w:val="18"/>
              </w:rPr>
            </w:pPr>
            <w:r>
              <w:rPr>
                <w:rFonts w:ascii="Arial"/>
                <w:spacing w:val="-1"/>
                <w:sz w:val="18"/>
              </w:rPr>
              <w:t>27,740,277</w:t>
            </w:r>
          </w:p>
          <w:p>
            <w:pPr>
              <w:pStyle w:val="TableParagraph"/>
              <w:spacing w:line="240" w:lineRule="auto" w:before="106"/>
              <w:ind w:right="32"/>
              <w:jc w:val="right"/>
              <w:rPr>
                <w:rFonts w:ascii="Arial" w:hAnsi="Arial" w:cs="Arial" w:eastAsia="Arial" w:hint="default"/>
                <w:sz w:val="18"/>
                <w:szCs w:val="18"/>
              </w:rPr>
            </w:pPr>
            <w:r>
              <w:rPr>
                <w:rFonts w:ascii="Arial"/>
                <w:sz w:val="18"/>
              </w:rPr>
              <w:t>.77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Arial" w:hAnsi="Arial" w:cs="Arial" w:eastAsia="Arial" w:hint="default"/>
                <w:sz w:val="18"/>
                <w:szCs w:val="18"/>
              </w:rPr>
            </w:pPr>
            <w:r>
              <w:rPr>
                <w:rFonts w:ascii="Arial"/>
                <w:sz w:val="18"/>
              </w:rPr>
              <w:t>9,683,83</w:t>
            </w:r>
          </w:p>
          <w:p>
            <w:pPr>
              <w:pStyle w:val="TableParagraph"/>
              <w:spacing w:line="240" w:lineRule="auto" w:before="106"/>
              <w:ind w:left="456" w:right="0"/>
              <w:jc w:val="left"/>
              <w:rPr>
                <w:rFonts w:ascii="Arial" w:hAnsi="Arial" w:cs="Arial" w:eastAsia="Arial" w:hint="default"/>
                <w:sz w:val="18"/>
                <w:szCs w:val="18"/>
              </w:rPr>
            </w:pPr>
            <w:r>
              <w:rPr>
                <w:rFonts w:ascii="Arial"/>
                <w:sz w:val="18"/>
              </w:rPr>
              <w:t>2.64</w:t>
            </w:r>
          </w:p>
        </w:tc>
        <w:tc>
          <w:tcPr>
            <w:tcW w:w="1050"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Arial" w:hAnsi="Arial" w:cs="Arial" w:eastAsia="Arial" w:hint="default"/>
                <w:sz w:val="18"/>
                <w:szCs w:val="18"/>
              </w:rPr>
            </w:pPr>
            <w:r>
              <w:rPr>
                <w:rFonts w:ascii="Arial"/>
                <w:spacing w:val="-1"/>
                <w:sz w:val="18"/>
              </w:rPr>
              <w:t>968,383.</w:t>
            </w:r>
            <w:r>
              <w:rPr>
                <w:rFonts w:ascii="Arial"/>
                <w:sz w:val="18"/>
              </w:rPr>
            </w:r>
          </w:p>
          <w:p>
            <w:pPr>
              <w:pStyle w:val="TableParagraph"/>
              <w:spacing w:line="240" w:lineRule="auto" w:before="106"/>
              <w:ind w:right="23"/>
              <w:jc w:val="right"/>
              <w:rPr>
                <w:rFonts w:ascii="Arial" w:hAnsi="Arial" w:cs="Arial" w:eastAsia="Arial" w:hint="default"/>
                <w:sz w:val="18"/>
                <w:szCs w:val="18"/>
              </w:rPr>
            </w:pPr>
            <w:r>
              <w:rPr>
                <w:rFonts w:ascii="Arial"/>
                <w:spacing w:val="-1"/>
                <w:w w:val="95"/>
                <w:sz w:val="18"/>
              </w:rPr>
              <w:t>26</w:t>
            </w:r>
            <w:r>
              <w:rPr>
                <w:rFonts w:ascii="Arial"/>
                <w:w w:val="95"/>
                <w:sz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left"/>
              <w:rPr>
                <w:rFonts w:ascii="Arial" w:hAnsi="Arial" w:cs="Arial" w:eastAsia="Arial" w:hint="default"/>
                <w:sz w:val="18"/>
                <w:szCs w:val="18"/>
              </w:rPr>
            </w:pPr>
            <w:r>
              <w:rPr>
                <w:rFonts w:ascii="Arial"/>
                <w:sz w:val="18"/>
              </w:rPr>
              <w:t>8,715,44</w:t>
            </w:r>
          </w:p>
          <w:p>
            <w:pPr>
              <w:pStyle w:val="TableParagraph"/>
              <w:spacing w:line="240" w:lineRule="auto" w:before="106"/>
              <w:ind w:left="469" w:right="0"/>
              <w:jc w:val="left"/>
              <w:rPr>
                <w:rFonts w:ascii="Arial" w:hAnsi="Arial" w:cs="Arial" w:eastAsia="Arial" w:hint="default"/>
                <w:sz w:val="18"/>
                <w:szCs w:val="18"/>
              </w:rPr>
            </w:pPr>
            <w:r>
              <w:rPr>
                <w:rFonts w:ascii="Arial"/>
                <w:sz w:val="18"/>
              </w:rPr>
              <w:t>9.38</w:t>
            </w:r>
          </w:p>
        </w:tc>
        <w:tc>
          <w:tcPr>
            <w:tcW w:w="840"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Arial" w:hAnsi="Arial" w:cs="Arial" w:eastAsia="Arial" w:hint="default"/>
                <w:sz w:val="18"/>
                <w:szCs w:val="18"/>
              </w:rPr>
            </w:pPr>
            <w:r>
              <w:rPr>
                <w:rFonts w:ascii="Arial"/>
                <w:sz w:val="18"/>
              </w:rPr>
              <w:t>36,455,</w:t>
            </w:r>
          </w:p>
          <w:p>
            <w:pPr>
              <w:pStyle w:val="TableParagraph"/>
              <w:spacing w:line="240" w:lineRule="auto" w:before="106"/>
              <w:ind w:left="142" w:right="0"/>
              <w:jc w:val="left"/>
              <w:rPr>
                <w:rFonts w:ascii="Arial" w:hAnsi="Arial" w:cs="Arial" w:eastAsia="Arial" w:hint="default"/>
                <w:sz w:val="18"/>
                <w:szCs w:val="18"/>
              </w:rPr>
            </w:pPr>
            <w:r>
              <w:rPr>
                <w:rFonts w:ascii="Arial"/>
                <w:sz w:val="18"/>
              </w:rPr>
              <w:t>727.15</w:t>
            </w:r>
          </w:p>
        </w:tc>
      </w:tr>
      <w:tr>
        <w:trPr>
          <w:trHeight w:val="714" w:hRule="exact"/>
        </w:trPr>
        <w:tc>
          <w:tcPr>
            <w:tcW w:w="25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82" w:firstLine="540"/>
              <w:jc w:val="left"/>
              <w:rPr>
                <w:rFonts w:ascii="宋体" w:hAnsi="宋体" w:cs="宋体" w:eastAsia="宋体" w:hint="default"/>
                <w:sz w:val="18"/>
                <w:szCs w:val="18"/>
              </w:rPr>
            </w:pPr>
            <w:r>
              <w:rPr>
                <w:rFonts w:ascii="宋体" w:hAnsi="宋体" w:cs="宋体" w:eastAsia="宋体" w:hint="default"/>
                <w:sz w:val="18"/>
                <w:szCs w:val="18"/>
              </w:rPr>
              <w:t>其他权益工具投资公允 价值变动</w:t>
            </w:r>
          </w:p>
        </w:tc>
        <w:tc>
          <w:tcPr>
            <w:tcW w:w="98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4"/>
              <w:jc w:val="right"/>
              <w:rPr>
                <w:rFonts w:ascii="Arial" w:hAnsi="Arial" w:cs="Arial" w:eastAsia="Arial" w:hint="default"/>
                <w:sz w:val="18"/>
                <w:szCs w:val="18"/>
              </w:rPr>
            </w:pPr>
            <w:r>
              <w:rPr>
                <w:rFonts w:ascii="Arial"/>
                <w:spacing w:val="-1"/>
                <w:sz w:val="18"/>
              </w:rPr>
              <w:t>27,740,277</w:t>
            </w:r>
          </w:p>
          <w:p>
            <w:pPr>
              <w:pStyle w:val="TableParagraph"/>
              <w:spacing w:line="240" w:lineRule="auto" w:before="106"/>
              <w:ind w:right="32"/>
              <w:jc w:val="right"/>
              <w:rPr>
                <w:rFonts w:ascii="Arial" w:hAnsi="Arial" w:cs="Arial" w:eastAsia="Arial" w:hint="default"/>
                <w:sz w:val="18"/>
                <w:szCs w:val="18"/>
              </w:rPr>
            </w:pPr>
            <w:r>
              <w:rPr>
                <w:rFonts w:ascii="Arial"/>
                <w:sz w:val="18"/>
              </w:rPr>
              <w:t>.77</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Arial" w:hAnsi="Arial" w:cs="Arial" w:eastAsia="Arial" w:hint="default"/>
                <w:sz w:val="18"/>
                <w:szCs w:val="18"/>
              </w:rPr>
            </w:pPr>
            <w:r>
              <w:rPr>
                <w:rFonts w:ascii="Arial"/>
                <w:sz w:val="18"/>
              </w:rPr>
              <w:t>9,683,83</w:t>
            </w:r>
          </w:p>
          <w:p>
            <w:pPr>
              <w:pStyle w:val="TableParagraph"/>
              <w:spacing w:line="240" w:lineRule="auto" w:before="106"/>
              <w:ind w:left="456" w:right="0"/>
              <w:jc w:val="left"/>
              <w:rPr>
                <w:rFonts w:ascii="Arial" w:hAnsi="Arial" w:cs="Arial" w:eastAsia="Arial" w:hint="default"/>
                <w:sz w:val="18"/>
                <w:szCs w:val="18"/>
              </w:rPr>
            </w:pPr>
            <w:r>
              <w:rPr>
                <w:rFonts w:ascii="Arial"/>
                <w:sz w:val="18"/>
              </w:rPr>
              <w:t>2.64</w:t>
            </w:r>
          </w:p>
        </w:tc>
        <w:tc>
          <w:tcPr>
            <w:tcW w:w="1050"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Arial" w:hAnsi="Arial" w:cs="Arial" w:eastAsia="Arial" w:hint="default"/>
                <w:sz w:val="18"/>
                <w:szCs w:val="18"/>
              </w:rPr>
            </w:pPr>
            <w:r>
              <w:rPr>
                <w:rFonts w:ascii="Arial"/>
                <w:spacing w:val="-1"/>
                <w:sz w:val="18"/>
              </w:rPr>
              <w:t>968,383.</w:t>
            </w:r>
            <w:r>
              <w:rPr>
                <w:rFonts w:ascii="Arial"/>
                <w:sz w:val="18"/>
              </w:rPr>
            </w:r>
          </w:p>
          <w:p>
            <w:pPr>
              <w:pStyle w:val="TableParagraph"/>
              <w:spacing w:line="240" w:lineRule="auto" w:before="106"/>
              <w:ind w:right="23"/>
              <w:jc w:val="right"/>
              <w:rPr>
                <w:rFonts w:ascii="Arial" w:hAnsi="Arial" w:cs="Arial" w:eastAsia="Arial" w:hint="default"/>
                <w:sz w:val="18"/>
                <w:szCs w:val="18"/>
              </w:rPr>
            </w:pPr>
            <w:r>
              <w:rPr>
                <w:rFonts w:ascii="Arial"/>
                <w:spacing w:val="-1"/>
                <w:w w:val="95"/>
                <w:sz w:val="18"/>
              </w:rPr>
              <w:t>26</w:t>
            </w:r>
            <w:r>
              <w:rPr>
                <w:rFonts w:ascii="Arial"/>
                <w:w w:val="95"/>
                <w:sz w:val="18"/>
              </w:rPr>
            </w: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left"/>
              <w:rPr>
                <w:rFonts w:ascii="Arial" w:hAnsi="Arial" w:cs="Arial" w:eastAsia="Arial" w:hint="default"/>
                <w:sz w:val="18"/>
                <w:szCs w:val="18"/>
              </w:rPr>
            </w:pPr>
            <w:r>
              <w:rPr>
                <w:rFonts w:ascii="Arial"/>
                <w:sz w:val="18"/>
              </w:rPr>
              <w:t>8,715,44</w:t>
            </w:r>
          </w:p>
          <w:p>
            <w:pPr>
              <w:pStyle w:val="TableParagraph"/>
              <w:spacing w:line="240" w:lineRule="auto" w:before="106"/>
              <w:ind w:left="469" w:right="0"/>
              <w:jc w:val="left"/>
              <w:rPr>
                <w:rFonts w:ascii="Arial" w:hAnsi="Arial" w:cs="Arial" w:eastAsia="Arial" w:hint="default"/>
                <w:sz w:val="18"/>
                <w:szCs w:val="18"/>
              </w:rPr>
            </w:pPr>
            <w:r>
              <w:rPr>
                <w:rFonts w:ascii="Arial"/>
                <w:sz w:val="18"/>
              </w:rPr>
              <w:t>9.38</w:t>
            </w:r>
          </w:p>
        </w:tc>
        <w:tc>
          <w:tcPr>
            <w:tcW w:w="840"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Arial" w:hAnsi="Arial" w:cs="Arial" w:eastAsia="Arial" w:hint="default"/>
                <w:sz w:val="18"/>
                <w:szCs w:val="18"/>
              </w:rPr>
            </w:pPr>
            <w:r>
              <w:rPr>
                <w:rFonts w:ascii="Arial"/>
                <w:sz w:val="18"/>
              </w:rPr>
              <w:t>36,455,</w:t>
            </w:r>
          </w:p>
          <w:p>
            <w:pPr>
              <w:pStyle w:val="TableParagraph"/>
              <w:spacing w:line="240" w:lineRule="auto" w:before="106"/>
              <w:ind w:left="142" w:right="0"/>
              <w:jc w:val="left"/>
              <w:rPr>
                <w:rFonts w:ascii="Arial" w:hAnsi="Arial" w:cs="Arial" w:eastAsia="Arial" w:hint="default"/>
                <w:sz w:val="18"/>
                <w:szCs w:val="18"/>
              </w:rPr>
            </w:pPr>
            <w:r>
              <w:rPr>
                <w:rFonts w:ascii="Arial"/>
                <w:sz w:val="18"/>
              </w:rPr>
              <w:t>727.15</w:t>
            </w:r>
          </w:p>
        </w:tc>
      </w:tr>
      <w:tr>
        <w:trPr>
          <w:trHeight w:val="714" w:hRule="exact"/>
        </w:trPr>
        <w:tc>
          <w:tcPr>
            <w:tcW w:w="254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22"/>
              <w:jc w:val="left"/>
              <w:rPr>
                <w:rFonts w:ascii="宋体" w:hAnsi="宋体" w:cs="宋体" w:eastAsia="宋体" w:hint="default"/>
                <w:sz w:val="18"/>
                <w:szCs w:val="18"/>
              </w:rPr>
            </w:pPr>
            <w:r>
              <w:rPr>
                <w:rFonts w:ascii="宋体" w:hAnsi="宋体" w:cs="宋体" w:eastAsia="宋体" w:hint="default"/>
                <w:spacing w:val="-2"/>
                <w:sz w:val="18"/>
                <w:szCs w:val="18"/>
              </w:rPr>
              <w:t>二、将重分类进损益的其他综合</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收益</w:t>
            </w:r>
          </w:p>
        </w:tc>
        <w:tc>
          <w:tcPr>
            <w:tcW w:w="98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35"/>
              <w:jc w:val="right"/>
              <w:rPr>
                <w:rFonts w:ascii="Arial" w:hAnsi="Arial" w:cs="Arial" w:eastAsia="Arial" w:hint="default"/>
                <w:sz w:val="18"/>
                <w:szCs w:val="18"/>
              </w:rPr>
            </w:pPr>
            <w:r>
              <w:rPr>
                <w:rFonts w:ascii="Arial"/>
                <w:spacing w:val="-1"/>
                <w:sz w:val="18"/>
              </w:rPr>
              <w:t>7,403,655.</w:t>
            </w:r>
            <w:r>
              <w:rPr>
                <w:rFonts w:ascii="Arial"/>
                <w:sz w:val="18"/>
              </w:rPr>
            </w:r>
          </w:p>
          <w:p>
            <w:pPr>
              <w:pStyle w:val="TableParagraph"/>
              <w:spacing w:line="240" w:lineRule="auto" w:before="106"/>
              <w:ind w:right="34"/>
              <w:jc w:val="right"/>
              <w:rPr>
                <w:rFonts w:ascii="Arial" w:hAnsi="Arial" w:cs="Arial" w:eastAsia="Arial" w:hint="default"/>
                <w:sz w:val="18"/>
                <w:szCs w:val="18"/>
              </w:rPr>
            </w:pPr>
            <w:r>
              <w:rPr>
                <w:rFonts w:ascii="Arial"/>
                <w:spacing w:val="-1"/>
                <w:w w:val="95"/>
                <w:sz w:val="18"/>
              </w:rPr>
              <w:t>99</w:t>
            </w:r>
            <w:r>
              <w:rPr>
                <w:rFonts w:ascii="Arial"/>
                <w:w w:val="95"/>
                <w:sz w:val="18"/>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6" w:right="0"/>
              <w:jc w:val="left"/>
              <w:rPr>
                <w:rFonts w:ascii="Arial" w:hAnsi="Arial" w:cs="Arial" w:eastAsia="Arial" w:hint="default"/>
                <w:sz w:val="18"/>
                <w:szCs w:val="18"/>
              </w:rPr>
            </w:pPr>
            <w:r>
              <w:rPr>
                <w:rFonts w:ascii="Arial"/>
                <w:sz w:val="18"/>
              </w:rPr>
              <w:t>2,092,84</w:t>
            </w:r>
          </w:p>
          <w:p>
            <w:pPr>
              <w:pStyle w:val="TableParagraph"/>
              <w:spacing w:line="240" w:lineRule="auto" w:before="106"/>
              <w:ind w:left="456" w:right="0"/>
              <w:jc w:val="left"/>
              <w:rPr>
                <w:rFonts w:ascii="Arial" w:hAnsi="Arial" w:cs="Arial" w:eastAsia="Arial" w:hint="default"/>
                <w:sz w:val="18"/>
                <w:szCs w:val="18"/>
              </w:rPr>
            </w:pPr>
            <w:r>
              <w:rPr>
                <w:rFonts w:ascii="Arial"/>
                <w:sz w:val="18"/>
              </w:rPr>
              <w:t>1.38</w:t>
            </w:r>
          </w:p>
        </w:tc>
        <w:tc>
          <w:tcPr>
            <w:tcW w:w="1050" w:type="dxa"/>
            <w:tcBorders>
              <w:top w:val="single" w:sz="4" w:space="0" w:color="000000"/>
              <w:left w:val="single" w:sz="4" w:space="0" w:color="000000"/>
              <w:bottom w:val="single" w:sz="4" w:space="0" w:color="000000"/>
              <w:right w:val="single" w:sz="4" w:space="0" w:color="000000"/>
            </w:tcBorders>
          </w:tcPr>
          <w:p>
            <w:pPr/>
          </w:p>
        </w:tc>
        <w:tc>
          <w:tcPr>
            <w:tcW w:w="841"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
        </w:tc>
        <w:tc>
          <w:tcPr>
            <w:tcW w:w="8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left"/>
              <w:rPr>
                <w:rFonts w:ascii="Arial" w:hAnsi="Arial" w:cs="Arial" w:eastAsia="Arial" w:hint="default"/>
                <w:sz w:val="18"/>
                <w:szCs w:val="18"/>
              </w:rPr>
            </w:pPr>
            <w:r>
              <w:rPr>
                <w:rFonts w:ascii="Arial"/>
                <w:sz w:val="18"/>
              </w:rPr>
              <w:t>2,092,84</w:t>
            </w:r>
          </w:p>
          <w:p>
            <w:pPr>
              <w:pStyle w:val="TableParagraph"/>
              <w:spacing w:line="240" w:lineRule="auto" w:before="106"/>
              <w:ind w:left="469" w:right="0"/>
              <w:jc w:val="left"/>
              <w:rPr>
                <w:rFonts w:ascii="Arial" w:hAnsi="Arial" w:cs="Arial" w:eastAsia="Arial" w:hint="default"/>
                <w:sz w:val="18"/>
                <w:szCs w:val="18"/>
              </w:rPr>
            </w:pPr>
            <w:r>
              <w:rPr>
                <w:rFonts w:ascii="Arial"/>
                <w:sz w:val="18"/>
              </w:rPr>
              <w:t>1.38</w:t>
            </w:r>
          </w:p>
        </w:tc>
        <w:tc>
          <w:tcPr>
            <w:tcW w:w="840"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Arial" w:hAnsi="Arial" w:cs="Arial" w:eastAsia="Arial" w:hint="default"/>
                <w:sz w:val="18"/>
                <w:szCs w:val="18"/>
              </w:rPr>
            </w:pPr>
            <w:r>
              <w:rPr>
                <w:rFonts w:ascii="Arial"/>
                <w:sz w:val="18"/>
              </w:rPr>
              <w:t>9,496,4</w:t>
            </w:r>
          </w:p>
          <w:p>
            <w:pPr>
              <w:pStyle w:val="TableParagraph"/>
              <w:spacing w:line="240" w:lineRule="auto" w:before="106"/>
              <w:ind w:left="219" w:right="0"/>
              <w:jc w:val="center"/>
              <w:rPr>
                <w:rFonts w:ascii="Arial" w:hAnsi="Arial" w:cs="Arial" w:eastAsia="Arial" w:hint="default"/>
                <w:sz w:val="18"/>
                <w:szCs w:val="18"/>
              </w:rPr>
            </w:pPr>
            <w:r>
              <w:rPr>
                <w:rFonts w:ascii="Arial"/>
                <w:sz w:val="18"/>
              </w:rPr>
              <w:t>97.37</w:t>
            </w:r>
          </w:p>
        </w:tc>
      </w:tr>
    </w:tbl>
    <w:p>
      <w:pPr>
        <w:spacing w:after="0" w:line="240" w:lineRule="auto"/>
        <w:jc w:val="center"/>
        <w:rPr>
          <w:rFonts w:ascii="Arial" w:hAnsi="Arial" w:cs="Arial" w:eastAsia="Arial"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57"/>
        <w:gridCol w:w="974"/>
        <w:gridCol w:w="852"/>
        <w:gridCol w:w="1050"/>
        <w:gridCol w:w="852"/>
        <w:gridCol w:w="852"/>
        <w:gridCol w:w="852"/>
        <w:gridCol w:w="852"/>
        <w:gridCol w:w="726"/>
      </w:tblGrid>
      <w:tr>
        <w:trPr>
          <w:trHeight w:val="714" w:hRule="exact"/>
        </w:trPr>
        <w:tc>
          <w:tcPr>
            <w:tcW w:w="2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2" w:right="0"/>
              <w:jc w:val="left"/>
              <w:rPr>
                <w:rFonts w:ascii="宋体" w:hAnsi="宋体" w:cs="宋体" w:eastAsia="宋体" w:hint="default"/>
                <w:sz w:val="18"/>
                <w:szCs w:val="18"/>
              </w:rPr>
            </w:pPr>
            <w:r>
              <w:rPr>
                <w:rFonts w:ascii="宋体" w:hAnsi="宋体" w:cs="宋体" w:eastAsia="宋体" w:hint="default"/>
                <w:sz w:val="18"/>
                <w:szCs w:val="18"/>
              </w:rPr>
              <w:t>外币财务报表折算差额</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Arial" w:hAnsi="Arial" w:cs="Arial" w:eastAsia="Arial" w:hint="default"/>
                <w:sz w:val="18"/>
                <w:szCs w:val="18"/>
              </w:rPr>
            </w:pPr>
            <w:r>
              <w:rPr>
                <w:rFonts w:ascii="Arial"/>
                <w:spacing w:val="-1"/>
                <w:sz w:val="18"/>
              </w:rPr>
              <w:t>7,403,655.</w:t>
            </w:r>
            <w:r>
              <w:rPr>
                <w:rFonts w:ascii="Arial"/>
                <w:sz w:val="18"/>
              </w:rPr>
            </w:r>
          </w:p>
          <w:p>
            <w:pPr>
              <w:pStyle w:val="TableParagraph"/>
              <w:spacing w:line="240" w:lineRule="auto" w:before="106"/>
              <w:ind w:right="23"/>
              <w:jc w:val="right"/>
              <w:rPr>
                <w:rFonts w:ascii="Arial" w:hAnsi="Arial" w:cs="Arial" w:eastAsia="Arial" w:hint="default"/>
                <w:sz w:val="18"/>
                <w:szCs w:val="18"/>
              </w:rPr>
            </w:pPr>
            <w:r>
              <w:rPr>
                <w:rFonts w:ascii="Arial"/>
                <w:spacing w:val="-1"/>
                <w:w w:val="95"/>
                <w:sz w:val="18"/>
              </w:rPr>
              <w:t>99</w:t>
            </w:r>
            <w:r>
              <w:rPr>
                <w:rFonts w:ascii="Arial"/>
                <w:w w:val="95"/>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Arial" w:hAnsi="Arial" w:cs="Arial" w:eastAsia="Arial" w:hint="default"/>
                <w:sz w:val="18"/>
                <w:szCs w:val="18"/>
              </w:rPr>
            </w:pPr>
            <w:r>
              <w:rPr>
                <w:rFonts w:ascii="Arial"/>
                <w:sz w:val="18"/>
              </w:rPr>
              <w:t>2,092,84</w:t>
            </w:r>
          </w:p>
          <w:p>
            <w:pPr>
              <w:pStyle w:val="TableParagraph"/>
              <w:spacing w:line="240" w:lineRule="auto" w:before="106"/>
              <w:ind w:left="467" w:right="0"/>
              <w:jc w:val="left"/>
              <w:rPr>
                <w:rFonts w:ascii="Arial" w:hAnsi="Arial" w:cs="Arial" w:eastAsia="Arial" w:hint="default"/>
                <w:sz w:val="18"/>
                <w:szCs w:val="18"/>
              </w:rPr>
            </w:pPr>
            <w:r>
              <w:rPr>
                <w:rFonts w:ascii="Arial"/>
                <w:sz w:val="18"/>
              </w:rPr>
              <w:t>1.38</w:t>
            </w:r>
          </w:p>
        </w:tc>
        <w:tc>
          <w:tcPr>
            <w:tcW w:w="10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left"/>
              <w:rPr>
                <w:rFonts w:ascii="Arial" w:hAnsi="Arial" w:cs="Arial" w:eastAsia="Arial" w:hint="default"/>
                <w:sz w:val="18"/>
                <w:szCs w:val="18"/>
              </w:rPr>
            </w:pPr>
            <w:r>
              <w:rPr>
                <w:rFonts w:ascii="Arial"/>
                <w:sz w:val="18"/>
              </w:rPr>
              <w:t>2,092,84</w:t>
            </w:r>
          </w:p>
          <w:p>
            <w:pPr>
              <w:pStyle w:val="TableParagraph"/>
              <w:spacing w:line="240" w:lineRule="auto" w:before="106"/>
              <w:ind w:left="469" w:right="0"/>
              <w:jc w:val="left"/>
              <w:rPr>
                <w:rFonts w:ascii="Arial" w:hAnsi="Arial" w:cs="Arial" w:eastAsia="Arial" w:hint="default"/>
                <w:sz w:val="18"/>
                <w:szCs w:val="18"/>
              </w:rPr>
            </w:pPr>
            <w:r>
              <w:rPr>
                <w:rFonts w:ascii="Arial"/>
                <w:sz w:val="18"/>
              </w:rPr>
              <w:t>1.38</w:t>
            </w:r>
          </w:p>
        </w:tc>
        <w:tc>
          <w:tcPr>
            <w:tcW w:w="85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center"/>
              <w:rPr>
                <w:rFonts w:ascii="Arial" w:hAnsi="Arial" w:cs="Arial" w:eastAsia="Arial" w:hint="default"/>
                <w:sz w:val="18"/>
                <w:szCs w:val="18"/>
              </w:rPr>
            </w:pPr>
            <w:r>
              <w:rPr>
                <w:rFonts w:ascii="Arial"/>
                <w:sz w:val="18"/>
              </w:rPr>
              <w:t>9,496,4</w:t>
            </w:r>
          </w:p>
          <w:p>
            <w:pPr>
              <w:pStyle w:val="TableParagraph"/>
              <w:spacing w:line="240" w:lineRule="auto" w:before="106"/>
              <w:ind w:left="219" w:right="0"/>
              <w:jc w:val="center"/>
              <w:rPr>
                <w:rFonts w:ascii="Arial" w:hAnsi="Arial" w:cs="Arial" w:eastAsia="Arial" w:hint="default"/>
                <w:sz w:val="18"/>
                <w:szCs w:val="18"/>
              </w:rPr>
            </w:pPr>
            <w:r>
              <w:rPr>
                <w:rFonts w:ascii="Arial"/>
                <w:sz w:val="18"/>
              </w:rPr>
              <w:t>97.37</w:t>
            </w:r>
          </w:p>
        </w:tc>
      </w:tr>
      <w:tr>
        <w:trPr>
          <w:trHeight w:val="714" w:hRule="exact"/>
        </w:trPr>
        <w:tc>
          <w:tcPr>
            <w:tcW w:w="255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其他综合收益合计</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35,143,933</w:t>
            </w:r>
          </w:p>
          <w:p>
            <w:pPr>
              <w:pStyle w:val="TableParagraph"/>
              <w:spacing w:line="240" w:lineRule="auto" w:before="106"/>
              <w:ind w:right="21"/>
              <w:jc w:val="right"/>
              <w:rPr>
                <w:rFonts w:ascii="Arial" w:hAnsi="Arial" w:cs="Arial" w:eastAsia="Arial" w:hint="default"/>
                <w:sz w:val="18"/>
                <w:szCs w:val="18"/>
              </w:rPr>
            </w:pPr>
            <w:r>
              <w:rPr>
                <w:rFonts w:ascii="Arial"/>
                <w:sz w:val="18"/>
              </w:rPr>
              <w:t>.76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1" w:right="0"/>
              <w:jc w:val="left"/>
              <w:rPr>
                <w:rFonts w:ascii="Arial" w:hAnsi="Arial" w:cs="Arial" w:eastAsia="Arial" w:hint="default"/>
                <w:sz w:val="18"/>
                <w:szCs w:val="18"/>
              </w:rPr>
            </w:pPr>
            <w:r>
              <w:rPr>
                <w:rFonts w:ascii="Arial"/>
                <w:sz w:val="18"/>
              </w:rPr>
              <w:t>11,776,67</w:t>
            </w:r>
          </w:p>
          <w:p>
            <w:pPr>
              <w:pStyle w:val="TableParagraph"/>
              <w:spacing w:line="240" w:lineRule="auto" w:before="106"/>
              <w:ind w:left="467" w:right="0"/>
              <w:jc w:val="left"/>
              <w:rPr>
                <w:rFonts w:ascii="Arial" w:hAnsi="Arial" w:cs="Arial" w:eastAsia="Arial" w:hint="default"/>
                <w:sz w:val="18"/>
                <w:szCs w:val="18"/>
              </w:rPr>
            </w:pPr>
            <w:r>
              <w:rPr>
                <w:rFonts w:ascii="Arial"/>
                <w:sz w:val="18"/>
              </w:rPr>
              <w:t>4.02</w:t>
            </w:r>
          </w:p>
        </w:tc>
        <w:tc>
          <w:tcPr>
            <w:tcW w:w="10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6" w:right="0"/>
              <w:jc w:val="left"/>
              <w:rPr>
                <w:rFonts w:ascii="Arial" w:hAnsi="Arial" w:cs="Arial" w:eastAsia="Arial" w:hint="default"/>
                <w:sz w:val="18"/>
                <w:szCs w:val="18"/>
              </w:rPr>
            </w:pPr>
            <w:r>
              <w:rPr>
                <w:rFonts w:ascii="Arial"/>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68" w:right="0"/>
              <w:jc w:val="left"/>
              <w:rPr>
                <w:rFonts w:ascii="Arial" w:hAnsi="Arial" w:cs="Arial" w:eastAsia="Arial" w:hint="default"/>
                <w:sz w:val="18"/>
                <w:szCs w:val="18"/>
              </w:rPr>
            </w:pPr>
            <w:r>
              <w:rPr>
                <w:rFonts w:ascii="Arial"/>
                <w:sz w:val="18"/>
              </w:rPr>
              <w:t>0.00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4"/>
              <w:jc w:val="right"/>
              <w:rPr>
                <w:rFonts w:ascii="Arial" w:hAnsi="Arial" w:cs="Arial" w:eastAsia="Arial" w:hint="default"/>
                <w:sz w:val="18"/>
                <w:szCs w:val="18"/>
              </w:rPr>
            </w:pPr>
            <w:r>
              <w:rPr>
                <w:rFonts w:ascii="Arial"/>
                <w:spacing w:val="-1"/>
                <w:sz w:val="18"/>
              </w:rPr>
              <w:t>968,383.</w:t>
            </w:r>
            <w:r>
              <w:rPr>
                <w:rFonts w:ascii="Arial"/>
                <w:sz w:val="18"/>
              </w:rPr>
            </w:r>
          </w:p>
          <w:p>
            <w:pPr>
              <w:pStyle w:val="TableParagraph"/>
              <w:spacing w:line="240" w:lineRule="auto" w:before="106"/>
              <w:ind w:right="23"/>
              <w:jc w:val="right"/>
              <w:rPr>
                <w:rFonts w:ascii="Arial" w:hAnsi="Arial" w:cs="Arial" w:eastAsia="Arial" w:hint="default"/>
                <w:sz w:val="18"/>
                <w:szCs w:val="18"/>
              </w:rPr>
            </w:pPr>
            <w:r>
              <w:rPr>
                <w:rFonts w:ascii="Arial"/>
                <w:spacing w:val="-1"/>
                <w:w w:val="95"/>
                <w:sz w:val="18"/>
              </w:rPr>
              <w:t>26</w:t>
            </w:r>
            <w:r>
              <w:rPr>
                <w:rFonts w:ascii="Arial"/>
                <w:w w:val="95"/>
                <w:sz w:val="18"/>
              </w:rPr>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8" w:right="0"/>
              <w:jc w:val="left"/>
              <w:rPr>
                <w:rFonts w:ascii="Arial" w:hAnsi="Arial" w:cs="Arial" w:eastAsia="Arial" w:hint="default"/>
                <w:sz w:val="18"/>
                <w:szCs w:val="18"/>
              </w:rPr>
            </w:pPr>
            <w:r>
              <w:rPr>
                <w:rFonts w:ascii="Arial"/>
                <w:sz w:val="18"/>
              </w:rPr>
              <w:t>10,808,2</w:t>
            </w:r>
          </w:p>
          <w:p>
            <w:pPr>
              <w:pStyle w:val="TableParagraph"/>
              <w:spacing w:line="240" w:lineRule="auto" w:before="106"/>
              <w:ind w:left="369" w:right="0"/>
              <w:jc w:val="left"/>
              <w:rPr>
                <w:rFonts w:ascii="Arial" w:hAnsi="Arial" w:cs="Arial" w:eastAsia="Arial" w:hint="default"/>
                <w:sz w:val="18"/>
                <w:szCs w:val="18"/>
              </w:rPr>
            </w:pPr>
            <w:r>
              <w:rPr>
                <w:rFonts w:ascii="Arial"/>
                <w:sz w:val="18"/>
              </w:rPr>
              <w:t>90.76</w:t>
            </w:r>
          </w:p>
        </w:tc>
        <w:tc>
          <w:tcPr>
            <w:tcW w:w="852" w:type="dxa"/>
            <w:tcBorders>
              <w:top w:val="single" w:sz="4" w:space="0" w:color="000000"/>
              <w:left w:val="single" w:sz="4" w:space="0" w:color="000000"/>
              <w:bottom w:val="single" w:sz="4" w:space="0" w:color="000000"/>
              <w:right w:val="single" w:sz="4" w:space="0" w:color="000000"/>
            </w:tcBorders>
          </w:tcPr>
          <w:p>
            <w:pPr/>
          </w:p>
        </w:tc>
        <w:tc>
          <w:tcPr>
            <w:tcW w:w="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 w:right="0"/>
              <w:jc w:val="left"/>
              <w:rPr>
                <w:rFonts w:ascii="Arial" w:hAnsi="Arial" w:cs="Arial" w:eastAsia="Arial" w:hint="default"/>
                <w:sz w:val="18"/>
                <w:szCs w:val="18"/>
              </w:rPr>
            </w:pPr>
            <w:r>
              <w:rPr>
                <w:rFonts w:ascii="Arial"/>
                <w:sz w:val="18"/>
              </w:rPr>
              <w:t>45,952,</w:t>
            </w:r>
          </w:p>
          <w:p>
            <w:pPr>
              <w:pStyle w:val="TableParagraph"/>
              <w:spacing w:line="240" w:lineRule="auto" w:before="106"/>
              <w:ind w:left="142" w:right="0"/>
              <w:jc w:val="left"/>
              <w:rPr>
                <w:rFonts w:ascii="Arial" w:hAnsi="Arial" w:cs="Arial" w:eastAsia="Arial" w:hint="default"/>
                <w:sz w:val="18"/>
                <w:szCs w:val="18"/>
              </w:rPr>
            </w:pPr>
            <w:r>
              <w:rPr>
                <w:rFonts w:ascii="Arial"/>
                <w:sz w:val="18"/>
              </w:rPr>
              <w:t>224.52</w:t>
            </w:r>
          </w:p>
        </w:tc>
      </w:tr>
    </w:tbl>
    <w:p>
      <w:pPr>
        <w:pStyle w:val="BodyText"/>
        <w:spacing w:line="360" w:lineRule="auto" w:before="51"/>
        <w:ind w:left="153" w:right="4091"/>
        <w:jc w:val="left"/>
      </w:pPr>
      <w:r>
        <w:rPr/>
        <w:t>其他说明，包括对现金流量套期损益的有效部分转为被套期项目初始确认金额调整： 无。</w:t>
      </w:r>
    </w:p>
    <w:p>
      <w:pPr>
        <w:spacing w:line="240" w:lineRule="auto" w:before="11"/>
        <w:rPr>
          <w:rFonts w:ascii="宋体" w:hAnsi="宋体" w:cs="宋体" w:eastAsia="宋体" w:hint="default"/>
          <w:sz w:val="19"/>
          <w:szCs w:val="19"/>
        </w:rPr>
      </w:pPr>
    </w:p>
    <w:p>
      <w:pPr>
        <w:pStyle w:val="Heading4"/>
        <w:spacing w:line="240" w:lineRule="auto"/>
        <w:ind w:right="2239"/>
        <w:jc w:val="left"/>
        <w:rPr>
          <w:b w:val="0"/>
          <w:bCs w:val="0"/>
        </w:rPr>
      </w:pPr>
      <w:r>
        <w:rPr>
          <w:rFonts w:ascii="Arial" w:hAnsi="Arial" w:cs="Arial" w:eastAsia="Arial" w:hint="default"/>
        </w:rPr>
        <w:t>58</w:t>
      </w:r>
      <w:r>
        <w:rPr/>
        <w:t>、专项储备</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3"/>
          <w:szCs w:val="13"/>
        </w:rPr>
      </w:pPr>
    </w:p>
    <w:p>
      <w:pPr>
        <w:pStyle w:val="BodyText"/>
        <w:spacing w:line="240" w:lineRule="auto"/>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4"/>
        <w:gridCol w:w="1914"/>
        <w:gridCol w:w="1903"/>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4"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pStyle w:val="BodyText"/>
        <w:spacing w:line="360" w:lineRule="auto" w:before="51"/>
        <w:ind w:left="153" w:right="6611"/>
        <w:jc w:val="left"/>
      </w:pPr>
      <w:r>
        <w:rPr/>
        <w:t>其他说明，包括本期增减变动情况、变动原因说明： 无。</w:t>
      </w:r>
    </w:p>
    <w:p>
      <w:pPr>
        <w:spacing w:line="240" w:lineRule="auto" w:before="11"/>
        <w:rPr>
          <w:rFonts w:ascii="宋体" w:hAnsi="宋体" w:cs="宋体" w:eastAsia="宋体" w:hint="default"/>
          <w:sz w:val="19"/>
          <w:szCs w:val="19"/>
        </w:rPr>
      </w:pPr>
    </w:p>
    <w:p>
      <w:pPr>
        <w:pStyle w:val="Heading4"/>
        <w:spacing w:line="240" w:lineRule="auto"/>
        <w:ind w:right="2239"/>
        <w:jc w:val="left"/>
        <w:rPr>
          <w:b w:val="0"/>
          <w:bCs w:val="0"/>
        </w:rPr>
      </w:pPr>
      <w:r>
        <w:rPr>
          <w:rFonts w:ascii="Arial" w:hAnsi="Arial" w:cs="Arial" w:eastAsia="Arial" w:hint="default"/>
        </w:rPr>
        <w:t>59</w:t>
      </w:r>
      <w:r>
        <w:rPr/>
        <w:t>、盈余公积</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89"/>
        <w:gridCol w:w="1928"/>
        <w:gridCol w:w="1914"/>
        <w:gridCol w:w="1914"/>
        <w:gridCol w:w="1914"/>
      </w:tblGrid>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2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2"/>
                <w:sz w:val="18"/>
              </w:rPr>
              <w:t>67,571,711.68</w:t>
            </w:r>
            <w:r>
              <w:rPr>
                <w:rFonts w:ascii="Arial"/>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3,891,690.52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71,463,402.20</w:t>
            </w:r>
            <w:r>
              <w:rPr>
                <w:rFonts w:ascii="Arial"/>
                <w:sz w:val="18"/>
              </w:rPr>
            </w:r>
          </w:p>
        </w:tc>
      </w:tr>
      <w:tr>
        <w:trPr>
          <w:trHeight w:val="402" w:hRule="exact"/>
        </w:trPr>
        <w:tc>
          <w:tcPr>
            <w:tcW w:w="18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28"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2"/>
                <w:sz w:val="18"/>
              </w:rPr>
              <w:t>67,571,711.68</w:t>
            </w:r>
            <w:r>
              <w:rPr>
                <w:rFonts w:ascii="Arial"/>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3,891,690.52</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71,463,402.20</w:t>
            </w:r>
            <w:r>
              <w:rPr>
                <w:rFonts w:ascii="Arial"/>
                <w:sz w:val="18"/>
              </w:rPr>
            </w:r>
          </w:p>
        </w:tc>
      </w:tr>
    </w:tbl>
    <w:p>
      <w:pPr>
        <w:pStyle w:val="BodyText"/>
        <w:spacing w:line="439" w:lineRule="auto" w:before="51"/>
        <w:ind w:left="153" w:right="4901"/>
        <w:jc w:val="left"/>
      </w:pPr>
      <w:r>
        <w:rPr/>
        <w:t>盈余公积说明，包括本期增减变动情况、变动原因说明： 本期盈余公积增加系按本公司 2019年净利润的10.00%计提法定盈余公积。</w:t>
      </w:r>
    </w:p>
    <w:p>
      <w:pPr>
        <w:spacing w:line="240" w:lineRule="auto" w:before="7"/>
        <w:rPr>
          <w:rFonts w:ascii="宋体" w:hAnsi="宋体" w:cs="宋体" w:eastAsia="宋体" w:hint="default"/>
          <w:sz w:val="15"/>
          <w:szCs w:val="15"/>
        </w:rPr>
      </w:pPr>
    </w:p>
    <w:p>
      <w:pPr>
        <w:pStyle w:val="Heading4"/>
        <w:spacing w:line="240" w:lineRule="auto"/>
        <w:ind w:right="2239"/>
        <w:jc w:val="left"/>
        <w:rPr>
          <w:b w:val="0"/>
          <w:bCs w:val="0"/>
        </w:rPr>
      </w:pPr>
      <w:r>
        <w:rPr>
          <w:rFonts w:ascii="Arial" w:hAnsi="Arial" w:cs="Arial" w:eastAsia="Arial" w:hint="default"/>
        </w:rPr>
        <w:t>60</w:t>
      </w:r>
      <w:r>
        <w:rPr/>
        <w:t>、未分配利润</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702"/>
        <w:gridCol w:w="2936"/>
        <w:gridCol w:w="2918"/>
      </w:tblGrid>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w:t>
            </w:r>
          </w:p>
        </w:tc>
        <w:tc>
          <w:tcPr>
            <w:tcW w:w="291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调整前上期末未分配利润</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388,870,542.81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366,831,675.06</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调整后期初未分配利润</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388,870,542.81</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366,831,675.06</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sz w:val="18"/>
              </w:rPr>
              <w:t>49,816,021.80</w:t>
            </w:r>
            <w:r>
              <w:rPr>
                <w:rFonts w:ascii="Arial"/>
                <w:sz w:val="18"/>
              </w:rPr>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sz w:val="18"/>
              </w:rPr>
              <w:t>33,287,713.07</w:t>
            </w:r>
            <w:r>
              <w:rPr>
                <w:rFonts w:ascii="Arial"/>
                <w:sz w:val="18"/>
              </w:rPr>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3,891,690.52</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5,026,845.32</w:t>
            </w:r>
          </w:p>
        </w:tc>
      </w:tr>
      <w:tr>
        <w:trPr>
          <w:trHeight w:val="402"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6,222,000.00</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6,222,000.00</w:t>
            </w:r>
          </w:p>
        </w:tc>
      </w:tr>
      <w:tr>
        <w:trPr>
          <w:trHeight w:val="403" w:hRule="exact"/>
        </w:trPr>
        <w:tc>
          <w:tcPr>
            <w:tcW w:w="37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2936"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428,572,874.09</w:t>
            </w:r>
          </w:p>
        </w:tc>
        <w:tc>
          <w:tcPr>
            <w:tcW w:w="2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388,870,542.81</w:t>
            </w:r>
          </w:p>
        </w:tc>
      </w:tr>
    </w:tbl>
    <w:p>
      <w:pPr>
        <w:pStyle w:val="BodyText"/>
        <w:spacing w:line="240" w:lineRule="auto" w:before="51"/>
        <w:ind w:right="2239"/>
        <w:jc w:val="left"/>
      </w:pPr>
      <w:r>
        <w:rPr/>
        <w:t>调整期初未分配利润明细：</w:t>
      </w:r>
    </w:p>
    <w:p>
      <w:pPr>
        <w:pStyle w:val="BodyText"/>
        <w:spacing w:line="240" w:lineRule="auto" w:before="115"/>
        <w:ind w:left="153" w:right="2239"/>
        <w:jc w:val="left"/>
      </w:pPr>
      <w:r>
        <w:rPr>
          <w:rFonts w:ascii="Arial" w:hAnsi="Arial" w:cs="Arial" w:eastAsia="Arial" w:hint="default"/>
        </w:rPr>
        <w:t>1)</w:t>
      </w:r>
      <w:r>
        <w:rPr/>
        <w:t>、由于《企业会计准则》及其相关新规定进行追溯调整，影响期初未分配利润</w:t>
      </w:r>
      <w:r>
        <w:rPr>
          <w:rFonts w:ascii="Arial" w:hAnsi="Arial" w:cs="Arial" w:eastAsia="Arial" w:hint="default"/>
        </w:rPr>
        <w:t>-1,576,424.18</w:t>
      </w:r>
      <w:r>
        <w:rPr>
          <w:rFonts w:ascii="Arial" w:hAnsi="Arial" w:cs="Arial" w:eastAsia="Arial" w:hint="default"/>
          <w:spacing w:val="-17"/>
        </w:rPr>
        <w:t> </w:t>
      </w:r>
      <w:r>
        <w:rPr/>
        <w:t>元。</w:t>
      </w:r>
    </w:p>
    <w:p>
      <w:pPr>
        <w:pStyle w:val="BodyText"/>
        <w:spacing w:line="240" w:lineRule="auto" w:before="63"/>
        <w:ind w:left="153" w:right="2239"/>
        <w:jc w:val="left"/>
      </w:pPr>
      <w:r>
        <w:rPr>
          <w:rFonts w:ascii="Arial" w:hAnsi="Arial" w:cs="Arial" w:eastAsia="Arial" w:hint="default"/>
        </w:rPr>
        <w:t>2)</w:t>
      </w:r>
      <w:r>
        <w:rPr/>
        <w:t>、由于会计政策变更，影响期初未分配利润元。</w:t>
      </w:r>
    </w:p>
    <w:p>
      <w:pPr>
        <w:pStyle w:val="BodyText"/>
        <w:spacing w:line="240" w:lineRule="auto" w:before="63"/>
        <w:ind w:left="153" w:right="2239"/>
        <w:jc w:val="left"/>
      </w:pPr>
      <w:r>
        <w:rPr>
          <w:rFonts w:ascii="Arial" w:hAnsi="Arial" w:cs="Arial" w:eastAsia="Arial" w:hint="default"/>
        </w:rPr>
        <w:t>3)</w:t>
      </w:r>
      <w:r>
        <w:rPr/>
        <w:t>、由于重大会计差错更正，影响期初未分配利润元。</w:t>
      </w:r>
    </w:p>
    <w:p>
      <w:pPr>
        <w:pStyle w:val="BodyText"/>
        <w:spacing w:line="240" w:lineRule="auto" w:before="63"/>
        <w:ind w:left="153" w:right="2239"/>
        <w:jc w:val="left"/>
      </w:pPr>
      <w:r>
        <w:rPr>
          <w:rFonts w:ascii="Arial" w:hAnsi="Arial" w:cs="Arial" w:eastAsia="Arial" w:hint="default"/>
        </w:rPr>
        <w:t>4)</w:t>
      </w:r>
      <w:r>
        <w:rPr/>
        <w:t>、由于同一控制导致的合并范围变更，影响期初未分配利润元。</w:t>
      </w:r>
    </w:p>
    <w:p>
      <w:pPr>
        <w:spacing w:after="0" w:line="240"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240" w:lineRule="auto" w:before="44"/>
        <w:ind w:left="153" w:right="2239"/>
        <w:jc w:val="left"/>
      </w:pPr>
      <w:r>
        <w:rPr>
          <w:rFonts w:ascii="Arial" w:hAnsi="Arial" w:cs="Arial" w:eastAsia="Arial" w:hint="default"/>
        </w:rPr>
        <w:t>5)</w:t>
      </w:r>
      <w:r>
        <w:rPr/>
        <w:t>、其他调整合计影响期初未分配利润元。</w:t>
      </w:r>
    </w:p>
    <w:p>
      <w:pPr>
        <w:spacing w:line="240" w:lineRule="auto" w:before="12"/>
        <w:rPr>
          <w:rFonts w:ascii="宋体" w:hAnsi="宋体" w:cs="宋体" w:eastAsia="宋体" w:hint="default"/>
          <w:sz w:val="25"/>
          <w:szCs w:val="25"/>
        </w:rPr>
      </w:pPr>
    </w:p>
    <w:p>
      <w:pPr>
        <w:pStyle w:val="Heading4"/>
        <w:spacing w:line="240" w:lineRule="auto"/>
        <w:ind w:right="2239"/>
        <w:jc w:val="left"/>
        <w:rPr>
          <w:b w:val="0"/>
          <w:bCs w:val="0"/>
        </w:rPr>
      </w:pPr>
      <w:r>
        <w:rPr>
          <w:rFonts w:ascii="Arial" w:hAnsi="Arial" w:cs="Arial" w:eastAsia="Arial" w:hint="default"/>
        </w:rPr>
        <w:t>61</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1"/>
        <w:gridCol w:w="1916"/>
        <w:gridCol w:w="1914"/>
        <w:gridCol w:w="1914"/>
        <w:gridCol w:w="1914"/>
      </w:tblGrid>
      <w:tr>
        <w:trPr>
          <w:trHeight w:val="206" w:hRule="exact"/>
        </w:trPr>
        <w:tc>
          <w:tcPr>
            <w:tcW w:w="1901" w:type="dxa"/>
            <w:tcBorders>
              <w:top w:val="single" w:sz="4" w:space="0" w:color="000000"/>
              <w:left w:val="single" w:sz="4" w:space="0" w:color="000000"/>
              <w:bottom w:val="nil" w:sz="6" w:space="0" w:color="auto"/>
              <w:right w:val="single" w:sz="4" w:space="0" w:color="000000"/>
            </w:tcBorders>
            <w:shd w:val="clear" w:color="auto" w:fill="D3D3D3"/>
          </w:tcPr>
          <w:p>
            <w:pPr/>
          </w:p>
        </w:tc>
        <w:tc>
          <w:tcPr>
            <w:tcW w:w="383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28"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0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830" w:type="dxa"/>
            <w:gridSpan w:val="2"/>
            <w:vMerge/>
            <w:tcBorders>
              <w:left w:val="single" w:sz="4" w:space="0" w:color="000000"/>
              <w:bottom w:val="single" w:sz="4" w:space="0" w:color="000000"/>
              <w:right w:val="single" w:sz="4" w:space="0" w:color="000000"/>
            </w:tcBorders>
            <w:shd w:val="clear" w:color="auto" w:fill="D3D3D3"/>
          </w:tcPr>
          <w:p>
            <w:pPr/>
          </w:p>
        </w:tc>
        <w:tc>
          <w:tcPr>
            <w:tcW w:w="3828"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901" w:type="dxa"/>
            <w:vMerge/>
            <w:tcBorders>
              <w:left w:val="single" w:sz="4" w:space="0" w:color="000000"/>
              <w:bottom w:val="nil" w:sz="6" w:space="0" w:color="auto"/>
              <w:right w:val="single" w:sz="4" w:space="0" w:color="000000"/>
            </w:tcBorders>
            <w:shd w:val="clear" w:color="auto" w:fill="D3D3D3"/>
          </w:tcPr>
          <w:p>
            <w:pPr/>
          </w:p>
        </w:tc>
        <w:tc>
          <w:tcPr>
            <w:tcW w:w="191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收入</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01"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6"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727,322,833.38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456,312,306.03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812,488,365.82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547,026,414.46</w:t>
            </w:r>
          </w:p>
        </w:tc>
      </w:tr>
      <w:tr>
        <w:trPr>
          <w:trHeight w:val="403" w:hRule="exact"/>
        </w:trPr>
        <w:tc>
          <w:tcPr>
            <w:tcW w:w="19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6"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727,322,833.38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456,312,306.03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812,488,365.82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547,026,414.46</w:t>
            </w:r>
          </w:p>
        </w:tc>
      </w:tr>
    </w:tbl>
    <w:p>
      <w:pPr>
        <w:pStyle w:val="BodyText"/>
        <w:spacing w:line="240" w:lineRule="auto" w:before="51"/>
        <w:ind w:right="2239"/>
        <w:jc w:val="left"/>
      </w:pPr>
      <w:r>
        <w:rPr/>
        <w:t>是否已执行新收入准则</w:t>
      </w:r>
    </w:p>
    <w:p>
      <w:pPr>
        <w:pStyle w:val="BodyText"/>
        <w:spacing w:line="350" w:lineRule="auto" w:before="116"/>
        <w:ind w:right="9850"/>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29"/>
        </w:rPr>
        <w:t> </w:t>
      </w:r>
      <w:r>
        <w:rPr/>
        <w:t>否 其他说明 无。</w:t>
      </w:r>
    </w:p>
    <w:p>
      <w:pPr>
        <w:spacing w:line="240" w:lineRule="auto" w:before="5"/>
        <w:rPr>
          <w:rFonts w:ascii="宋体" w:hAnsi="宋体" w:cs="宋体" w:eastAsia="宋体" w:hint="default"/>
          <w:sz w:val="20"/>
          <w:szCs w:val="20"/>
        </w:rPr>
      </w:pPr>
    </w:p>
    <w:p>
      <w:pPr>
        <w:pStyle w:val="Heading4"/>
        <w:spacing w:line="240" w:lineRule="auto"/>
        <w:ind w:right="2239"/>
        <w:jc w:val="left"/>
        <w:rPr>
          <w:b w:val="0"/>
          <w:bCs w:val="0"/>
        </w:rPr>
      </w:pPr>
      <w:r>
        <w:rPr>
          <w:rFonts w:ascii="Arial" w:hAnsi="Arial" w:cs="Arial" w:eastAsia="Arial" w:hint="default"/>
        </w:rPr>
        <w:t>62</w:t>
      </w:r>
      <w:r>
        <w:rPr/>
        <w:t>、税金及附加</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879,258.60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815,506.41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653,696.60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706,285.91</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370,374.65</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208,241.54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1,482,959.32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2,041,254.54</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车船使用税</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sz w:val="18"/>
              </w:rPr>
              <w:t>18,361.00</w:t>
            </w:r>
            <w:r>
              <w:rPr>
                <w:rFonts w:ascii="Arial"/>
                <w:sz w:val="18"/>
              </w:rPr>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9,420.00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印花税</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536,569.16</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428,787.08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防洪费</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703,465.19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729,206.78</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残疾人就业保障金</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432,410.20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489,496.77</w:t>
            </w:r>
          </w:p>
        </w:tc>
      </w:tr>
      <w:tr>
        <w:trPr>
          <w:trHeight w:val="403"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5,077,094.72</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5,428,199.03</w:t>
            </w:r>
          </w:p>
        </w:tc>
      </w:tr>
    </w:tbl>
    <w:p>
      <w:pPr>
        <w:pStyle w:val="BodyText"/>
        <w:spacing w:line="357" w:lineRule="auto" w:before="51"/>
        <w:ind w:right="6970"/>
        <w:jc w:val="left"/>
      </w:pPr>
      <w:r>
        <w:rPr/>
        <w:t>其他说明： 各项税金及附加的计缴标准详见附注四、税项。</w:t>
      </w:r>
    </w:p>
    <w:p>
      <w:pPr>
        <w:spacing w:line="240" w:lineRule="auto" w:before="2"/>
        <w:rPr>
          <w:rFonts w:ascii="宋体" w:hAnsi="宋体" w:cs="宋体" w:eastAsia="宋体" w:hint="default"/>
          <w:sz w:val="20"/>
          <w:szCs w:val="20"/>
        </w:rPr>
      </w:pPr>
    </w:p>
    <w:p>
      <w:pPr>
        <w:pStyle w:val="Heading4"/>
        <w:spacing w:line="240" w:lineRule="auto"/>
        <w:ind w:right="2239"/>
        <w:jc w:val="left"/>
        <w:rPr>
          <w:b w:val="0"/>
          <w:bCs w:val="0"/>
        </w:rPr>
      </w:pPr>
      <w:r>
        <w:rPr>
          <w:rFonts w:ascii="Arial" w:hAnsi="Arial" w:cs="Arial" w:eastAsia="Arial" w:hint="default"/>
        </w:rPr>
        <w:t>63</w:t>
      </w:r>
      <w:r>
        <w:rPr/>
        <w:t>、销售费用</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18,463,168.54</w:t>
            </w:r>
            <w:r>
              <w:rPr>
                <w:rFonts w:ascii="Arial"/>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23,858,276.69</w:t>
            </w:r>
            <w:r>
              <w:rPr>
                <w:rFonts w:ascii="Arial"/>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5,952,179.97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6,130,324.13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3,887,443.96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4,482,055.20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3,141,892.79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4,991,076.54</w:t>
            </w:r>
          </w:p>
        </w:tc>
      </w:tr>
    </w:tbl>
    <w:p>
      <w:pPr>
        <w:spacing w:after="0" w:line="240" w:lineRule="auto"/>
        <w:jc w:val="right"/>
        <w:rPr>
          <w:rFonts w:ascii="Arial" w:hAnsi="Arial" w:cs="Arial" w:eastAsia="Arial"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1,460,025.77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1,343,868.75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运费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1,008,103.57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1,442,760.36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342,582.48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2"/>
                <w:sz w:val="18"/>
              </w:rPr>
              <w:t>454,021.11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289,598.83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292,572.84</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209,172.07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434,831.29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5,539,289.59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5,283,653.29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40,293,457.57</w:t>
            </w:r>
            <w:r>
              <w:rPr>
                <w:rFonts w:ascii="Arial"/>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48,713,440.20</w:t>
            </w:r>
            <w:r>
              <w:rPr>
                <w:rFonts w:ascii="Arial"/>
                <w:sz w:val="18"/>
              </w:rPr>
            </w:r>
          </w:p>
        </w:tc>
      </w:tr>
    </w:tbl>
    <w:p>
      <w:pPr>
        <w:pStyle w:val="BodyText"/>
        <w:spacing w:line="360" w:lineRule="auto" w:before="51"/>
        <w:ind w:right="9850"/>
        <w:jc w:val="left"/>
      </w:pPr>
      <w:r>
        <w:rPr/>
        <w:t>其他说明： 无。</w:t>
      </w:r>
    </w:p>
    <w:p>
      <w:pPr>
        <w:spacing w:line="240" w:lineRule="auto" w:before="11"/>
        <w:rPr>
          <w:rFonts w:ascii="宋体" w:hAnsi="宋体" w:cs="宋体" w:eastAsia="宋体" w:hint="default"/>
          <w:sz w:val="19"/>
          <w:szCs w:val="19"/>
        </w:rPr>
      </w:pPr>
    </w:p>
    <w:p>
      <w:pPr>
        <w:pStyle w:val="Heading4"/>
        <w:spacing w:line="240" w:lineRule="auto"/>
        <w:ind w:right="2239"/>
        <w:jc w:val="left"/>
        <w:rPr>
          <w:b w:val="0"/>
          <w:bCs w:val="0"/>
        </w:rPr>
      </w:pPr>
      <w:r>
        <w:rPr>
          <w:rFonts w:ascii="Arial" w:hAnsi="Arial" w:cs="Arial" w:eastAsia="Arial" w:hint="default"/>
        </w:rPr>
        <w:t>64</w:t>
      </w:r>
      <w:r>
        <w:rPr/>
        <w:t>、管理费用</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46,715,170.86</w:t>
            </w:r>
            <w:r>
              <w:rPr>
                <w:rFonts w:ascii="Arial"/>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44,747,853.05</w:t>
            </w:r>
            <w:r>
              <w:rPr>
                <w:rFonts w:ascii="Arial"/>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2"/>
                <w:sz w:val="18"/>
              </w:rPr>
              <w:t>11,369,355.76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2"/>
                <w:sz w:val="18"/>
              </w:rPr>
              <w:t>11,185,299.67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10,499,791.22</w:t>
            </w:r>
            <w:r>
              <w:rPr>
                <w:rFonts w:ascii="Arial"/>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4"/>
                <w:sz w:val="18"/>
              </w:rPr>
              <w:t>11,313,111.97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4,862,594.99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6,085,809.82</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交通差旅费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4,164,260.79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4,091,405.99</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4,135,047.93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5,232,909.47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2,966,190.14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2"/>
                <w:sz w:val="18"/>
              </w:rPr>
              <w:t>3,115,854.17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中介机构费用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1,996,661.41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4,419,518.80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1,652,462.81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2,903,215.50</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5,365,379.90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3,493,613.99</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93,726,915.81</w:t>
            </w:r>
            <w:r>
              <w:rPr>
                <w:rFonts w:ascii="Arial"/>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96,588,592.43</w:t>
            </w:r>
            <w:r>
              <w:rPr>
                <w:rFonts w:ascii="Arial"/>
                <w:sz w:val="18"/>
              </w:rPr>
            </w:r>
          </w:p>
        </w:tc>
      </w:tr>
    </w:tbl>
    <w:p>
      <w:pPr>
        <w:pStyle w:val="BodyText"/>
        <w:spacing w:line="357" w:lineRule="auto" w:before="51"/>
        <w:ind w:right="9850"/>
        <w:jc w:val="left"/>
      </w:pPr>
      <w:r>
        <w:rPr/>
        <w:t>其他说明： 无。</w:t>
      </w:r>
    </w:p>
    <w:p>
      <w:pPr>
        <w:spacing w:line="240" w:lineRule="auto" w:before="1"/>
        <w:rPr>
          <w:rFonts w:ascii="宋体" w:hAnsi="宋体" w:cs="宋体" w:eastAsia="宋体" w:hint="default"/>
          <w:sz w:val="20"/>
          <w:szCs w:val="20"/>
        </w:rPr>
      </w:pPr>
    </w:p>
    <w:p>
      <w:pPr>
        <w:pStyle w:val="Heading4"/>
        <w:spacing w:line="240" w:lineRule="auto"/>
        <w:ind w:right="2239"/>
        <w:jc w:val="left"/>
        <w:rPr>
          <w:b w:val="0"/>
          <w:bCs w:val="0"/>
        </w:rPr>
      </w:pPr>
      <w:r>
        <w:rPr>
          <w:rFonts w:ascii="Arial" w:hAnsi="Arial" w:cs="Arial" w:eastAsia="Arial" w:hint="default"/>
        </w:rPr>
        <w:t>65</w:t>
      </w:r>
      <w:r>
        <w:rPr/>
        <w:t>、研发费用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职工薪酬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50,031,585.84</w:t>
            </w:r>
            <w:r>
              <w:rPr>
                <w:rFonts w:ascii="Arial"/>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42,452,070.39</w:t>
            </w:r>
            <w:r>
              <w:rPr>
                <w:rFonts w:ascii="Arial"/>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31,934,261.97</w:t>
            </w:r>
            <w:r>
              <w:rPr>
                <w:rFonts w:ascii="Arial"/>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28,372,432.48</w:t>
            </w:r>
            <w:r>
              <w:rPr>
                <w:rFonts w:ascii="Arial"/>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17,902,159.20</w:t>
            </w:r>
            <w:r>
              <w:rPr>
                <w:rFonts w:ascii="Arial"/>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29,703,279.51</w:t>
            </w:r>
            <w:r>
              <w:rPr>
                <w:rFonts w:ascii="Arial"/>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1,177,131.96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1,776,249.76</w:t>
            </w:r>
          </w:p>
        </w:tc>
      </w:tr>
    </w:tbl>
    <w:p>
      <w:pPr>
        <w:spacing w:after="0" w:line="240" w:lineRule="auto"/>
        <w:jc w:val="right"/>
        <w:rPr>
          <w:rFonts w:ascii="Arial" w:hAnsi="Arial" w:cs="Arial" w:eastAsia="Arial"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837,216.48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1,080,365.85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研发设备及材料</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2"/>
                <w:sz w:val="18"/>
              </w:rPr>
              <w:t>347,113.82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563,004.87</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338,934.95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353,650.38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218,299.85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212,444.63</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93,672.06</w:t>
            </w:r>
            <w:r>
              <w:rPr>
                <w:rFonts w:ascii="Arial"/>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218,333.36</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36,903.92</w:t>
            </w:r>
            <w:r>
              <w:rPr>
                <w:rFonts w:ascii="Arial"/>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1,274,635.85</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102,917,280.05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106,006,467.08</w:t>
            </w:r>
          </w:p>
        </w:tc>
      </w:tr>
    </w:tbl>
    <w:p>
      <w:pPr>
        <w:pStyle w:val="BodyText"/>
        <w:spacing w:line="360" w:lineRule="auto" w:before="51"/>
        <w:ind w:right="9850"/>
        <w:jc w:val="left"/>
      </w:pPr>
      <w:r>
        <w:rPr/>
        <w:t>其他说明： 无。</w:t>
      </w:r>
    </w:p>
    <w:p>
      <w:pPr>
        <w:spacing w:line="240" w:lineRule="auto" w:before="11"/>
        <w:rPr>
          <w:rFonts w:ascii="宋体" w:hAnsi="宋体" w:cs="宋体" w:eastAsia="宋体" w:hint="default"/>
          <w:sz w:val="19"/>
          <w:szCs w:val="19"/>
        </w:rPr>
      </w:pPr>
    </w:p>
    <w:p>
      <w:pPr>
        <w:pStyle w:val="Heading4"/>
        <w:spacing w:line="240" w:lineRule="auto"/>
        <w:ind w:right="2239"/>
        <w:jc w:val="left"/>
        <w:rPr>
          <w:b w:val="0"/>
          <w:bCs w:val="0"/>
        </w:rPr>
      </w:pPr>
      <w:r>
        <w:rPr>
          <w:rFonts w:ascii="Arial" w:hAnsi="Arial" w:cs="Arial" w:eastAsia="Arial" w:hint="default"/>
        </w:rPr>
        <w:t>66</w:t>
      </w:r>
      <w:r>
        <w:rPr/>
        <w:t>、财务费用</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23,814,608.03</w:t>
            </w:r>
            <w:r>
              <w:rPr>
                <w:rFonts w:ascii="Arial"/>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21,835,149.17</w:t>
            </w:r>
            <w:r>
              <w:rPr>
                <w:rFonts w:ascii="Arial"/>
                <w:sz w:val="18"/>
              </w:rPr>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减：利息收入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4,210,182.79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3,362,275.28</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484,060.93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-336,156.81</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手续费及其他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594,185.49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314,912.35</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20,682,671.66</w:t>
            </w:r>
            <w:r>
              <w:rPr>
                <w:rFonts w:ascii="Arial"/>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18,451,629.43</w:t>
            </w:r>
            <w:r>
              <w:rPr>
                <w:rFonts w:ascii="Arial"/>
                <w:sz w:val="18"/>
              </w:rPr>
            </w:r>
          </w:p>
        </w:tc>
      </w:tr>
    </w:tbl>
    <w:p>
      <w:pPr>
        <w:pStyle w:val="BodyText"/>
        <w:spacing w:line="357" w:lineRule="auto" w:before="51"/>
        <w:ind w:right="9850"/>
        <w:jc w:val="left"/>
      </w:pPr>
      <w:r>
        <w:rPr/>
        <w:t>其他说明： 无。</w:t>
      </w:r>
    </w:p>
    <w:p>
      <w:pPr>
        <w:spacing w:line="240" w:lineRule="auto" w:before="1"/>
        <w:rPr>
          <w:rFonts w:ascii="宋体" w:hAnsi="宋体" w:cs="宋体" w:eastAsia="宋体" w:hint="default"/>
          <w:sz w:val="20"/>
          <w:szCs w:val="20"/>
        </w:rPr>
      </w:pPr>
    </w:p>
    <w:p>
      <w:pPr>
        <w:pStyle w:val="Heading4"/>
        <w:spacing w:line="240" w:lineRule="auto"/>
        <w:ind w:right="2239"/>
        <w:jc w:val="left"/>
        <w:rPr>
          <w:b w:val="0"/>
          <w:bCs w:val="0"/>
        </w:rPr>
      </w:pPr>
      <w:r>
        <w:rPr>
          <w:rFonts w:ascii="Arial" w:hAnsi="Arial" w:cs="Arial" w:eastAsia="Arial" w:hint="default"/>
        </w:rPr>
        <w:t>67</w:t>
      </w:r>
      <w:r>
        <w:rPr/>
        <w:t>、其他收益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30"/>
        <w:gridCol w:w="2125"/>
        <w:gridCol w:w="1914"/>
      </w:tblGrid>
      <w:tr>
        <w:trPr>
          <w:trHeight w:val="402" w:hRule="exact"/>
        </w:trPr>
        <w:tc>
          <w:tcPr>
            <w:tcW w:w="55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产生其他收益的来源</w:t>
            </w:r>
          </w:p>
        </w:tc>
        <w:tc>
          <w:tcPr>
            <w:tcW w:w="212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0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23"/>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20"/>
                <w:sz w:val="18"/>
                <w:szCs w:val="18"/>
              </w:rPr>
              <w:t> </w:t>
            </w:r>
            <w:r>
              <w:rPr>
                <w:rFonts w:ascii="宋体" w:hAnsi="宋体" w:cs="宋体" w:eastAsia="宋体" w:hint="default"/>
                <w:sz w:val="18"/>
                <w:szCs w:val="18"/>
              </w:rPr>
              <w:t>年省级新型研发机构非财政资金购买科研仪器设备软件后补助市 级配套经费</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4,623,594.00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年度福建省数字经济发展专项资金</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3,000,000.00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榕基马鞍山智慧园</w:t>
            </w:r>
            <w:r>
              <w:rPr>
                <w:rFonts w:ascii="Arial" w:hAnsi="Arial" w:cs="Arial" w:eastAsia="Arial" w:hint="default"/>
                <w:sz w:val="18"/>
                <w:szCs w:val="18"/>
              </w:rPr>
              <w:t>"</w:t>
            </w:r>
            <w:r>
              <w:rPr>
                <w:rFonts w:ascii="宋体" w:hAnsi="宋体" w:cs="宋体" w:eastAsia="宋体" w:hint="default"/>
                <w:sz w:val="18"/>
                <w:szCs w:val="18"/>
              </w:rPr>
              <w:t>项目补助资金</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1,168,503.24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1,168,503.24</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年福州市软件产业发展专项资金</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900,000.00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131"/>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年福建省互联网经济新增引导资金</w:t>
            </w:r>
            <w:r>
              <w:rPr>
                <w:rFonts w:ascii="Arial" w:hAnsi="Arial" w:cs="Arial" w:eastAsia="Arial" w:hint="default"/>
                <w:sz w:val="18"/>
                <w:szCs w:val="18"/>
              </w:rPr>
              <w:t>-</w:t>
            </w:r>
            <w:r>
              <w:rPr>
                <w:rFonts w:ascii="宋体" w:hAnsi="宋体" w:cs="宋体" w:eastAsia="宋体" w:hint="default"/>
                <w:sz w:val="18"/>
                <w:szCs w:val="18"/>
              </w:rPr>
              <w:t>星榕基中小企业信息化公共 服务平台</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666,666.60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555,555.54</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年鼓楼区科技计划项目经费</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400,000.00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年市级软件产业发展专项资金项目</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400,000.00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增值税税收返还</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390,750.30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492,659.52</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年省级软件产业发展专项资金（省级补助）</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2"/>
                <w:sz w:val="18"/>
              </w:rPr>
              <w:t>311,000.00</w:t>
            </w:r>
          </w:p>
        </w:tc>
        <w:tc>
          <w:tcPr>
            <w:tcW w:w="191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530"/>
        <w:gridCol w:w="2125"/>
        <w:gridCol w:w="1914"/>
      </w:tblGrid>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年福州市软件产业发展专项资金项目</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300,000.00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175,000.00</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年福建省数字经济发展专项资金</w:t>
            </w:r>
            <w:r>
              <w:rPr>
                <w:rFonts w:ascii="Arial" w:hAnsi="Arial" w:cs="Arial" w:eastAsia="Arial" w:hint="default"/>
                <w:sz w:val="18"/>
                <w:szCs w:val="18"/>
              </w:rPr>
              <w:t>-</w:t>
            </w:r>
            <w:r>
              <w:rPr>
                <w:rFonts w:ascii="宋体" w:hAnsi="宋体" w:cs="宋体" w:eastAsia="宋体" w:hint="default"/>
                <w:sz w:val="18"/>
                <w:szCs w:val="18"/>
              </w:rPr>
              <w:t>星榕基教育物联网示范工程</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250,000.02</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年中小微企业研发费用投入补助区配套资金</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250,000.00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年度科技小巨人领军企业研发加计扣除奖励经费</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179,000.00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年省级软件产业发展专项资金（市级补助）</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155,000.00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企业知识产权贯标资助经费</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150,000.00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10"/>
                <w:sz w:val="18"/>
                <w:szCs w:val="18"/>
              </w:rPr>
              <w:t> </w:t>
            </w:r>
            <w:r>
              <w:rPr>
                <w:rFonts w:ascii="宋体" w:hAnsi="宋体" w:cs="宋体" w:eastAsia="宋体" w:hint="default"/>
                <w:sz w:val="18"/>
                <w:szCs w:val="18"/>
              </w:rPr>
              <w:t>年福建省</w:t>
            </w:r>
            <w:r>
              <w:rPr>
                <w:rFonts w:ascii="Arial" w:hAnsi="Arial" w:cs="Arial" w:eastAsia="Arial" w:hint="default"/>
                <w:sz w:val="18"/>
                <w:szCs w:val="18"/>
              </w:rPr>
              <w:t>"</w:t>
            </w:r>
            <w:r>
              <w:rPr>
                <w:rFonts w:ascii="宋体" w:hAnsi="宋体" w:cs="宋体" w:eastAsia="宋体" w:hint="default"/>
                <w:sz w:val="18"/>
                <w:szCs w:val="18"/>
              </w:rPr>
              <w:t>专精特新</w:t>
            </w:r>
            <w:r>
              <w:rPr>
                <w:rFonts w:ascii="Arial" w:hAnsi="Arial" w:cs="Arial" w:eastAsia="Arial" w:hint="default"/>
                <w:sz w:val="18"/>
                <w:szCs w:val="18"/>
              </w:rPr>
              <w:t>"</w:t>
            </w:r>
            <w:r>
              <w:rPr>
                <w:rFonts w:ascii="宋体" w:hAnsi="宋体" w:cs="宋体" w:eastAsia="宋体" w:hint="default"/>
                <w:sz w:val="18"/>
                <w:szCs w:val="18"/>
              </w:rPr>
              <w:t>中小企业认定奖励资金</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150,000.00</w:t>
            </w:r>
          </w:p>
        </w:tc>
        <w:tc>
          <w:tcPr>
            <w:tcW w:w="191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省级新型研发机构非财政资金购买科研仪器设备软件后补助经费</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4,623,594.00</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福建省战略性新兴产业技术开发和产业化项目（北斗及卫星）</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1,925,000.00</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年福州市战略性新兴产业科技重大项目经费</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1,000,000.00</w:t>
            </w:r>
          </w:p>
        </w:tc>
      </w:tr>
      <w:tr>
        <w:trPr>
          <w:trHeight w:val="714"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福建省战略性新兴产业技术开发和产业化项目（北斗</w:t>
            </w:r>
            <w:r>
              <w:rPr>
                <w:rFonts w:ascii="宋体" w:hAnsi="宋体" w:cs="宋体" w:eastAsia="宋体" w:hint="default"/>
                <w:spacing w:val="-46"/>
                <w:sz w:val="18"/>
                <w:szCs w:val="18"/>
              </w:rPr>
              <w:t> </w:t>
            </w:r>
            <w:r>
              <w:rPr>
                <w:rFonts w:ascii="Arial" w:hAnsi="Arial" w:cs="Arial" w:eastAsia="Arial" w:hint="default"/>
                <w:sz w:val="18"/>
                <w:szCs w:val="18"/>
              </w:rPr>
              <w:t>AIS</w:t>
            </w:r>
            <w:r>
              <w:rPr>
                <w:rFonts w:ascii="Arial" w:hAnsi="Arial" w:cs="Arial" w:eastAsia="Arial" w:hint="default"/>
                <w:spacing w:val="-6"/>
                <w:sz w:val="18"/>
                <w:szCs w:val="18"/>
              </w:rPr>
              <w:t> </w:t>
            </w:r>
            <w:r>
              <w:rPr>
                <w:rFonts w:ascii="宋体" w:hAnsi="宋体" w:cs="宋体" w:eastAsia="宋体" w:hint="default"/>
                <w:sz w:val="18"/>
                <w:szCs w:val="18"/>
              </w:rPr>
              <w:t>渔船防碰撞 预警系统）</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781,320.76</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年市区域重大项目经费</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500,000.00</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年产学研专项补助资金</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300,000.00</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年度鼓楼区服务业统计市区级奖励金</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300,000.00</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年度科技小巨人领军企业研发费用加计扣除奖励</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273,000.00</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2015</w:t>
            </w:r>
            <w:r>
              <w:rPr>
                <w:rFonts w:ascii="Arial" w:hAnsi="Arial" w:cs="Arial" w:eastAsia="Arial" w:hint="default"/>
                <w:spacing w:val="-7"/>
                <w:sz w:val="18"/>
                <w:szCs w:val="18"/>
              </w:rPr>
              <w:t> </w:t>
            </w:r>
            <w:r>
              <w:rPr>
                <w:rFonts w:ascii="宋体" w:hAnsi="宋体" w:cs="宋体" w:eastAsia="宋体" w:hint="default"/>
                <w:sz w:val="18"/>
                <w:szCs w:val="18"/>
              </w:rPr>
              <w:t>年重大专项榕基</w:t>
            </w:r>
            <w:r>
              <w:rPr>
                <w:rFonts w:ascii="宋体" w:hAnsi="宋体" w:cs="宋体" w:eastAsia="宋体" w:hint="default"/>
                <w:spacing w:val="-46"/>
                <w:sz w:val="18"/>
                <w:szCs w:val="18"/>
              </w:rPr>
              <w:t> </w:t>
            </w:r>
            <w:r>
              <w:rPr>
                <w:rFonts w:ascii="Arial" w:hAnsi="Arial" w:cs="Arial" w:eastAsia="Arial" w:hint="default"/>
                <w:sz w:val="18"/>
                <w:szCs w:val="18"/>
              </w:rPr>
              <w:t>WEB</w:t>
            </w:r>
            <w:r>
              <w:rPr>
                <w:rFonts w:ascii="Arial" w:hAnsi="Arial" w:cs="Arial" w:eastAsia="Arial" w:hint="default"/>
                <w:spacing w:val="-6"/>
                <w:sz w:val="18"/>
                <w:szCs w:val="18"/>
              </w:rPr>
              <w:t> </w:t>
            </w:r>
            <w:r>
              <w:rPr>
                <w:rFonts w:ascii="宋体" w:hAnsi="宋体" w:cs="宋体" w:eastAsia="宋体" w:hint="default"/>
                <w:sz w:val="18"/>
                <w:szCs w:val="18"/>
              </w:rPr>
              <w:t>应用安全扫描系统专项资金</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250,000.02</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福建省第三批企业高级经营管理人才首期补助资金</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250,000.00</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年就业见习补贴</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158,880.00</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年度企业研发经费投入分段补助专项资金</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153,100.00</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2016</w:t>
            </w:r>
            <w:r>
              <w:rPr>
                <w:rFonts w:ascii="Arial" w:hAnsi="Arial" w:cs="Arial" w:eastAsia="Arial" w:hint="default"/>
                <w:spacing w:val="-8"/>
                <w:sz w:val="18"/>
                <w:szCs w:val="18"/>
              </w:rPr>
              <w:t> </w:t>
            </w:r>
            <w:r>
              <w:rPr>
                <w:rFonts w:ascii="宋体" w:hAnsi="宋体" w:cs="宋体" w:eastAsia="宋体" w:hint="default"/>
                <w:sz w:val="18"/>
                <w:szCs w:val="18"/>
              </w:rPr>
              <w:t>年度服务业奖励金</w:t>
            </w:r>
          </w:p>
        </w:tc>
        <w:tc>
          <w:tcPr>
            <w:tcW w:w="2125"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150,000.00</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十五万元以下零星补助</w:t>
            </w:r>
            <w:r>
              <w:rPr>
                <w:rFonts w:ascii="Arial" w:hAnsi="Arial" w:cs="Arial" w:eastAsia="Arial" w:hint="default"/>
                <w:sz w:val="18"/>
                <w:szCs w:val="18"/>
              </w:rPr>
              <w:t>(</w:t>
            </w:r>
            <w:r>
              <w:rPr>
                <w:rFonts w:ascii="宋体" w:hAnsi="宋体" w:cs="宋体" w:eastAsia="宋体" w:hint="default"/>
                <w:sz w:val="18"/>
                <w:szCs w:val="18"/>
              </w:rPr>
              <w:t>与收益相关）</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783,902.60</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335,486.48</w:t>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十五万元以下零星补助</w:t>
            </w:r>
            <w:r>
              <w:rPr>
                <w:rFonts w:ascii="Arial" w:hAnsi="Arial" w:cs="Arial" w:eastAsia="Arial" w:hint="default"/>
                <w:sz w:val="18"/>
                <w:szCs w:val="18"/>
              </w:rPr>
              <w:t>(</w:t>
            </w:r>
            <w:r>
              <w:rPr>
                <w:rFonts w:ascii="宋体" w:hAnsi="宋体" w:cs="宋体" w:eastAsia="宋体" w:hint="default"/>
                <w:sz w:val="18"/>
                <w:szCs w:val="18"/>
              </w:rPr>
              <w:t>与资产相关）</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40,000.00</w:t>
            </w:r>
            <w:r>
              <w:rPr>
                <w:rFonts w:ascii="Arial"/>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40,000.00</w:t>
            </w:r>
            <w:r>
              <w:rPr>
                <w:rFonts w:ascii="Arial"/>
                <w:sz w:val="18"/>
              </w:rPr>
            </w:r>
          </w:p>
        </w:tc>
      </w:tr>
      <w:tr>
        <w:trPr>
          <w:trHeight w:val="402" w:hRule="exact"/>
        </w:trPr>
        <w:tc>
          <w:tcPr>
            <w:tcW w:w="55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2"/>
                <w:sz w:val="18"/>
              </w:rPr>
              <w:t>14,118,416.76</w:t>
            </w:r>
            <w:r>
              <w:rPr>
                <w:rFonts w:ascii="Arial"/>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13,432,099.56</w:t>
            </w:r>
            <w:r>
              <w:rPr>
                <w:rFonts w:ascii="Arial"/>
                <w:sz w:val="18"/>
              </w:rPr>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rFonts w:ascii="Arial" w:hAnsi="Arial" w:cs="Arial" w:eastAsia="Arial" w:hint="default"/>
        </w:rPr>
        <w:t>68</w:t>
      </w:r>
      <w:r>
        <w:rPr/>
        <w:t>、投资收益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437"/>
        <w:gridCol w:w="3202"/>
        <w:gridCol w:w="2917"/>
      </w:tblGrid>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1,440,859.15</w:t>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2,451,272.88</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-49,504.09</w:t>
            </w:r>
            <w:r>
              <w:rPr>
                <w:rFonts w:ascii="Arial"/>
                <w:sz w:val="18"/>
              </w:rPr>
            </w:r>
          </w:p>
        </w:tc>
        <w:tc>
          <w:tcPr>
            <w:tcW w:w="2917"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202" w:type="dxa"/>
            <w:tcBorders>
              <w:top w:val="single" w:sz="4" w:space="0" w:color="000000"/>
              <w:left w:val="single" w:sz="13" w:space="0" w:color="D3D3D3"/>
              <w:bottom w:val="single" w:sz="4" w:space="0" w:color="000000"/>
              <w:right w:val="single" w:sz="4" w:space="0" w:color="000000"/>
            </w:tcBorders>
          </w:tcPr>
          <w:p>
            <w:pP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2,272,452.50</w:t>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19,433,133.13</w:t>
            </w:r>
            <w:r>
              <w:rPr>
                <w:rFonts w:ascii="Arial"/>
                <w:sz w:val="18"/>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28,073,359.27</w:t>
            </w:r>
            <w:r>
              <w:rPr>
                <w:rFonts w:ascii="Arial"/>
                <w:sz w:val="18"/>
              </w:rPr>
            </w:r>
          </w:p>
        </w:tc>
      </w:tr>
      <w:tr>
        <w:trPr>
          <w:trHeight w:val="402" w:hRule="exact"/>
        </w:trPr>
        <w:tc>
          <w:tcPr>
            <w:tcW w:w="34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20,824,488.19</w:t>
            </w:r>
            <w:r>
              <w:rPr>
                <w:rFonts w:ascii="Arial"/>
                <w:sz w:val="18"/>
              </w:rPr>
            </w:r>
          </w:p>
        </w:tc>
        <w:tc>
          <w:tcPr>
            <w:tcW w:w="29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32,797,084.65</w:t>
            </w:r>
            <w:r>
              <w:rPr>
                <w:rFonts w:ascii="Arial"/>
                <w:sz w:val="18"/>
              </w:rPr>
            </w:r>
          </w:p>
        </w:tc>
      </w:tr>
    </w:tbl>
    <w:p>
      <w:pPr>
        <w:pStyle w:val="BodyText"/>
        <w:spacing w:line="357" w:lineRule="auto" w:before="51"/>
        <w:ind w:right="7330"/>
        <w:jc w:val="left"/>
      </w:pPr>
      <w:r>
        <w:rPr/>
        <w:t>其他说明： “其他”系购买银行短期理财产品的收益。</w:t>
      </w:r>
    </w:p>
    <w:p>
      <w:pPr>
        <w:spacing w:after="0" w:line="357" w:lineRule="auto"/>
        <w:jc w:val="left"/>
        <w:sectPr>
          <w:pgSz w:w="11910" w:h="16840"/>
          <w:pgMar w:header="747" w:footer="982" w:top="1060" w:bottom="118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2239"/>
        <w:jc w:val="left"/>
        <w:rPr>
          <w:b w:val="0"/>
          <w:bCs w:val="0"/>
        </w:rPr>
      </w:pPr>
      <w:r>
        <w:rPr>
          <w:rFonts w:ascii="Arial" w:hAnsi="Arial" w:cs="Arial" w:eastAsia="Arial" w:hint="default"/>
        </w:rPr>
        <w:t>69</w:t>
      </w:r>
      <w:r>
        <w:rPr/>
        <w:t>、净敞口套期收益</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2"/>
        <w:ind w:right="9850"/>
        <w:jc w:val="left"/>
      </w:pPr>
      <w:r>
        <w:rPr/>
        <w:t>其他说明： 无。</w:t>
      </w:r>
    </w:p>
    <w:p>
      <w:pPr>
        <w:spacing w:line="240" w:lineRule="auto" w:before="1"/>
        <w:rPr>
          <w:rFonts w:ascii="宋体" w:hAnsi="宋体" w:cs="宋体" w:eastAsia="宋体" w:hint="default"/>
          <w:sz w:val="20"/>
          <w:szCs w:val="20"/>
        </w:rPr>
      </w:pPr>
    </w:p>
    <w:p>
      <w:pPr>
        <w:pStyle w:val="Heading4"/>
        <w:spacing w:line="240" w:lineRule="auto"/>
        <w:ind w:right="2239"/>
        <w:jc w:val="left"/>
        <w:rPr>
          <w:b w:val="0"/>
          <w:bCs w:val="0"/>
        </w:rPr>
      </w:pPr>
      <w:r>
        <w:rPr>
          <w:rFonts w:ascii="Arial" w:hAnsi="Arial" w:cs="Arial" w:eastAsia="Arial" w:hint="default"/>
        </w:rPr>
        <w:t>70</w:t>
      </w:r>
      <w:r>
        <w:rPr/>
        <w:t>、公允价值变动收益</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3"/>
          <w:szCs w:val="13"/>
        </w:rPr>
      </w:pPr>
    </w:p>
    <w:p>
      <w:pPr>
        <w:pStyle w:val="BodyText"/>
        <w:spacing w:line="240" w:lineRule="auto"/>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17"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51"/>
        <w:ind w:right="9850"/>
        <w:jc w:val="left"/>
      </w:pPr>
      <w:r>
        <w:rPr/>
        <w:t>其他说明： 无。</w:t>
      </w:r>
    </w:p>
    <w:p>
      <w:pPr>
        <w:spacing w:line="240" w:lineRule="auto" w:before="11"/>
        <w:rPr>
          <w:rFonts w:ascii="宋体" w:hAnsi="宋体" w:cs="宋体" w:eastAsia="宋体" w:hint="default"/>
          <w:sz w:val="19"/>
          <w:szCs w:val="19"/>
        </w:rPr>
      </w:pPr>
    </w:p>
    <w:p>
      <w:pPr>
        <w:pStyle w:val="Heading4"/>
        <w:spacing w:line="240" w:lineRule="auto"/>
        <w:ind w:right="2239"/>
        <w:jc w:val="left"/>
        <w:rPr>
          <w:b w:val="0"/>
          <w:bCs w:val="0"/>
        </w:rPr>
      </w:pPr>
      <w:r>
        <w:rPr>
          <w:rFonts w:ascii="Arial" w:hAnsi="Arial" w:cs="Arial" w:eastAsia="Arial" w:hint="default"/>
        </w:rPr>
        <w:t>71</w:t>
      </w:r>
      <w:r>
        <w:rPr/>
        <w:t>、信用减值损失</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78"/>
        <w:gridCol w:w="3190"/>
        <w:gridCol w:w="3190"/>
      </w:tblGrid>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其他应收款坏账损失</w:t>
            </w:r>
          </w:p>
        </w:tc>
        <w:tc>
          <w:tcPr>
            <w:tcW w:w="319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-5,221,157.48</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应收账款坏账损失</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-4,466,244.09</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17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-9,687,401.57</w:t>
            </w:r>
          </w:p>
        </w:tc>
        <w:tc>
          <w:tcPr>
            <w:tcW w:w="3190"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9850"/>
        <w:jc w:val="left"/>
      </w:pPr>
      <w:r>
        <w:rPr/>
        <w:t>其他说明： 无。</w:t>
      </w:r>
    </w:p>
    <w:p>
      <w:pPr>
        <w:spacing w:line="240" w:lineRule="auto" w:before="11"/>
        <w:rPr>
          <w:rFonts w:ascii="宋体" w:hAnsi="宋体" w:cs="宋体" w:eastAsia="宋体" w:hint="default"/>
          <w:sz w:val="19"/>
          <w:szCs w:val="19"/>
        </w:rPr>
      </w:pPr>
    </w:p>
    <w:p>
      <w:pPr>
        <w:pStyle w:val="Heading4"/>
        <w:spacing w:line="240" w:lineRule="auto"/>
        <w:ind w:right="2239"/>
        <w:jc w:val="left"/>
        <w:rPr>
          <w:b w:val="0"/>
          <w:bCs w:val="0"/>
        </w:rPr>
      </w:pPr>
      <w:r>
        <w:rPr>
          <w:rFonts w:ascii="Arial" w:hAnsi="Arial" w:cs="Arial" w:eastAsia="Arial" w:hint="default"/>
        </w:rPr>
        <w:t>72</w:t>
      </w:r>
      <w:r>
        <w:rPr/>
        <w:t>、资产减值损失</w:t>
      </w:r>
      <w:r>
        <w:rPr>
          <w:b w:val="0"/>
          <w:bCs w:val="0"/>
        </w:rPr>
      </w:r>
    </w:p>
    <w:p>
      <w:pPr>
        <w:spacing w:line="240" w:lineRule="auto" w:before="5"/>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footerReference w:type="default" r:id="rId23"/>
          <w:pgSz w:w="11910" w:h="16840"/>
          <w:pgMar w:footer="982" w:header="747" w:top="1060" w:bottom="1180" w:left="980" w:right="0"/>
          <w:pgNumType w:start="181"/>
        </w:sectPr>
      </w:pPr>
    </w:p>
    <w:p>
      <w:pPr>
        <w:pStyle w:val="BodyText"/>
        <w:spacing w:line="240" w:lineRule="auto" w:before="44"/>
        <w:ind w:right="-20"/>
        <w:jc w:val="left"/>
      </w:pPr>
      <w:r>
        <w:rPr/>
        <w:t>是否已执行新收入准则</w:t>
      </w:r>
    </w:p>
    <w:p>
      <w:pPr>
        <w:pStyle w:val="BodyText"/>
        <w:spacing w:line="240" w:lineRule="auto" w:before="116"/>
        <w:ind w:left="153" w:right="-20"/>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29"/>
        </w:rPr>
        <w:t> </w:t>
      </w:r>
      <w:r>
        <w:rPr/>
        <w:t>否</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0"/>
          <w:cols w:num="2" w:equalWidth="0">
            <w:col w:w="1955" w:space="6874"/>
            <w:col w:w="2101"/>
          </w:cols>
        </w:sectPr>
      </w:pP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3205" w:type="dxa"/>
            <w:tcBorders>
              <w:top w:val="single" w:sz="4" w:space="0" w:color="000000"/>
              <w:left w:val="single" w:sz="13" w:space="0" w:color="D3D3D3"/>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-3,273,383.60</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5" w:type="dxa"/>
            <w:tcBorders>
              <w:top w:val="single" w:sz="4" w:space="0" w:color="000000"/>
              <w:left w:val="single" w:sz="13" w:space="0" w:color="D3D3D3"/>
              <w:bottom w:val="single" w:sz="4" w:space="0" w:color="000000"/>
              <w:right w:val="single" w:sz="4" w:space="0" w:color="000000"/>
            </w:tcBorders>
          </w:tcPr>
          <w:p>
            <w:pP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-3,273,383.60</w:t>
            </w:r>
          </w:p>
        </w:tc>
      </w:tr>
    </w:tbl>
    <w:p>
      <w:pPr>
        <w:pStyle w:val="BodyText"/>
        <w:spacing w:line="360" w:lineRule="auto" w:before="51"/>
        <w:ind w:right="9850"/>
        <w:jc w:val="left"/>
      </w:pPr>
      <w:r>
        <w:rPr/>
        <w:t>其他说明： 无。</w:t>
      </w:r>
    </w:p>
    <w:p>
      <w:pPr>
        <w:spacing w:line="240" w:lineRule="auto" w:before="11"/>
        <w:rPr>
          <w:rFonts w:ascii="宋体" w:hAnsi="宋体" w:cs="宋体" w:eastAsia="宋体" w:hint="default"/>
          <w:sz w:val="19"/>
          <w:szCs w:val="19"/>
        </w:rPr>
      </w:pPr>
    </w:p>
    <w:p>
      <w:pPr>
        <w:pStyle w:val="Heading4"/>
        <w:spacing w:line="240" w:lineRule="auto"/>
        <w:ind w:right="2239"/>
        <w:jc w:val="left"/>
        <w:rPr>
          <w:b w:val="0"/>
          <w:bCs w:val="0"/>
        </w:rPr>
      </w:pPr>
      <w:r>
        <w:rPr>
          <w:rFonts w:ascii="Arial" w:hAnsi="Arial" w:cs="Arial" w:eastAsia="Arial" w:hint="default"/>
        </w:rPr>
        <w:t>73</w:t>
      </w:r>
      <w:r>
        <w:rPr/>
        <w:t>、资产处置收益</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type w:val="continuous"/>
          <w:pgSz w:w="11910" w:h="16840"/>
          <w:pgMar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90"/>
        <w:gridCol w:w="3190"/>
        <w:gridCol w:w="3190"/>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78" w:right="0"/>
              <w:jc w:val="left"/>
              <w:rPr>
                <w:rFonts w:ascii="宋体" w:hAnsi="宋体" w:cs="宋体" w:eastAsia="宋体" w:hint="default"/>
                <w:sz w:val="18"/>
                <w:szCs w:val="18"/>
              </w:rPr>
            </w:pPr>
            <w:r>
              <w:rPr>
                <w:rFonts w:ascii="宋体" w:hAnsi="宋体" w:cs="宋体" w:eastAsia="宋体" w:hint="default"/>
                <w:sz w:val="18"/>
                <w:szCs w:val="18"/>
              </w:rPr>
              <w:t>资产处置收益的来源</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固定资产处置利得（损失以</w:t>
            </w:r>
            <w:r>
              <w:rPr>
                <w:rFonts w:ascii="Arial" w:hAnsi="Arial" w:cs="Arial" w:eastAsia="Arial" w:hint="default"/>
                <w:sz w:val="18"/>
                <w:szCs w:val="18"/>
              </w:rPr>
              <w:t>"-"</w:t>
            </w:r>
            <w:r>
              <w:rPr>
                <w:rFonts w:ascii="宋体" w:hAnsi="宋体" w:cs="宋体" w:eastAsia="宋体" w:hint="default"/>
                <w:sz w:val="18"/>
                <w:szCs w:val="18"/>
              </w:rPr>
              <w:t>填列）</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-353,303.23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-64,734.89</w:t>
            </w:r>
            <w:r>
              <w:rPr>
                <w:rFonts w:ascii="Arial"/>
                <w:sz w:val="18"/>
              </w:rPr>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rFonts w:ascii="Arial" w:hAnsi="Arial" w:cs="Arial" w:eastAsia="Arial" w:hint="default"/>
        </w:rPr>
        <w:t>74</w:t>
      </w:r>
      <w:r>
        <w:rPr/>
        <w:t>、营业外收入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9"/>
        <w:gridCol w:w="2395"/>
        <w:gridCol w:w="2392"/>
        <w:gridCol w:w="2392"/>
      </w:tblGrid>
      <w:tr>
        <w:trPr>
          <w:trHeight w:val="714"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违约金收入</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23,000,000.00</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23,000,000.00</w:t>
            </w:r>
            <w:r>
              <w:rPr>
                <w:rFonts w:ascii="Arial"/>
                <w:sz w:val="18"/>
              </w:rPr>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50,698.78</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29,692.70</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50,698.78</w:t>
            </w:r>
            <w:r>
              <w:rPr>
                <w:rFonts w:ascii="Arial"/>
                <w:sz w:val="18"/>
              </w:rPr>
            </w:r>
          </w:p>
        </w:tc>
      </w:tr>
      <w:tr>
        <w:trPr>
          <w:trHeight w:val="402" w:hRule="exact"/>
        </w:trPr>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23,050,698.78</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29,692.70</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23,050,698.78</w:t>
            </w:r>
            <w:r>
              <w:rPr>
                <w:rFonts w:ascii="Arial"/>
                <w:sz w:val="18"/>
              </w:rPr>
            </w:r>
          </w:p>
        </w:tc>
      </w:tr>
    </w:tbl>
    <w:p>
      <w:pPr>
        <w:pStyle w:val="BodyText"/>
        <w:spacing w:line="240" w:lineRule="auto" w:before="51"/>
        <w:ind w:right="2239"/>
        <w:jc w:val="left"/>
      </w:pPr>
      <w:r>
        <w:rPr/>
        <w:t>计入当期损益的政府补助：</w:t>
      </w:r>
    </w:p>
    <w:p>
      <w:pPr>
        <w:pStyle w:val="BodyText"/>
        <w:spacing w:line="240" w:lineRule="auto" w:before="117"/>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066"/>
        <w:gridCol w:w="1062"/>
        <w:gridCol w:w="1063"/>
        <w:gridCol w:w="1063"/>
        <w:gridCol w:w="1063"/>
        <w:gridCol w:w="1063"/>
        <w:gridCol w:w="1063"/>
        <w:gridCol w:w="1062"/>
        <w:gridCol w:w="1063"/>
      </w:tblGrid>
      <w:tr>
        <w:trPr>
          <w:trHeight w:val="714" w:hRule="exact"/>
        </w:trPr>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补助项目</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发放主体</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发放原因</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性质类型</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5" w:right="77"/>
              <w:jc w:val="left"/>
              <w:rPr>
                <w:rFonts w:ascii="宋体" w:hAnsi="宋体" w:cs="宋体" w:eastAsia="宋体" w:hint="default"/>
                <w:sz w:val="18"/>
                <w:szCs w:val="18"/>
              </w:rPr>
            </w:pPr>
            <w:r>
              <w:rPr>
                <w:rFonts w:ascii="宋体" w:hAnsi="宋体" w:cs="宋体" w:eastAsia="宋体" w:hint="default"/>
                <w:sz w:val="18"/>
                <w:szCs w:val="18"/>
              </w:rPr>
              <w:t>补贴是否影 响当年盈亏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是否特殊补 贴</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本期发生金 额</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5" w:right="74" w:hanging="360"/>
              <w:jc w:val="left"/>
              <w:rPr>
                <w:rFonts w:ascii="宋体" w:hAnsi="宋体" w:cs="宋体" w:eastAsia="宋体" w:hint="default"/>
                <w:sz w:val="18"/>
                <w:szCs w:val="18"/>
              </w:rPr>
            </w:pPr>
            <w:r>
              <w:rPr>
                <w:rFonts w:ascii="宋体" w:hAnsi="宋体" w:cs="宋体" w:eastAsia="宋体" w:hint="default"/>
                <w:sz w:val="18"/>
                <w:szCs w:val="18"/>
              </w:rPr>
              <w:t>上期发生金 额</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76" w:right="51" w:hanging="26"/>
              <w:jc w:val="left"/>
              <w:rPr>
                <w:rFonts w:ascii="宋体" w:hAnsi="宋体" w:cs="宋体" w:eastAsia="宋体" w:hint="default"/>
                <w:sz w:val="18"/>
                <w:szCs w:val="18"/>
              </w:rPr>
            </w:pPr>
            <w:r>
              <w:rPr>
                <w:rFonts w:ascii="宋体" w:hAnsi="宋体" w:cs="宋体" w:eastAsia="宋体" w:hint="default"/>
                <w:sz w:val="18"/>
                <w:szCs w:val="18"/>
              </w:rPr>
              <w:t>与资产相关</w:t>
            </w:r>
            <w:r>
              <w:rPr>
                <w:rFonts w:ascii="Arial" w:hAnsi="Arial" w:cs="Arial" w:eastAsia="Arial" w:hint="default"/>
                <w:sz w:val="18"/>
                <w:szCs w:val="18"/>
              </w:rPr>
              <w:t>/ </w:t>
            </w:r>
            <w:r>
              <w:rPr>
                <w:rFonts w:ascii="宋体" w:hAnsi="宋体" w:cs="宋体" w:eastAsia="宋体" w:hint="default"/>
                <w:sz w:val="18"/>
                <w:szCs w:val="18"/>
              </w:rPr>
              <w:t>与收益相关</w:t>
            </w:r>
          </w:p>
        </w:tc>
      </w:tr>
    </w:tbl>
    <w:p>
      <w:pPr>
        <w:pStyle w:val="BodyText"/>
        <w:spacing w:line="240" w:lineRule="auto" w:before="51"/>
        <w:ind w:right="2239"/>
        <w:jc w:val="left"/>
      </w:pPr>
      <w:r>
        <w:rPr/>
        <w:t>其他说明：</w:t>
      </w:r>
    </w:p>
    <w:p>
      <w:pPr>
        <w:spacing w:line="240" w:lineRule="auto" w:before="0"/>
        <w:rPr>
          <w:rFonts w:ascii="宋体" w:hAnsi="宋体" w:cs="宋体" w:eastAsia="宋体" w:hint="default"/>
          <w:sz w:val="15"/>
          <w:szCs w:val="15"/>
        </w:rPr>
      </w:pPr>
    </w:p>
    <w:p>
      <w:pPr>
        <w:pStyle w:val="BodyText"/>
        <w:spacing w:line="316" w:lineRule="auto"/>
        <w:ind w:right="1120"/>
        <w:jc w:val="left"/>
      </w:pPr>
      <w:r>
        <w:rPr/>
        <w:t>违约金收入本期发生额23,000,000.00元，系公司本期终止出售全资子公司马鞍山榕基软件信息科技有限公司股权收取的违</w:t>
      </w:r>
      <w:r>
        <w:rPr>
          <w:spacing w:val="-84"/>
        </w:rPr>
        <w:t> </w:t>
      </w:r>
      <w:r>
        <w:rPr>
          <w:spacing w:val="-84"/>
        </w:rPr>
      </w:r>
      <w:r>
        <w:rPr/>
        <w:t>约金，详见附注十三、1、重要资产转让及出售。</w:t>
      </w:r>
    </w:p>
    <w:p>
      <w:pPr>
        <w:spacing w:line="240" w:lineRule="auto" w:before="7"/>
        <w:rPr>
          <w:rFonts w:ascii="宋体" w:hAnsi="宋体" w:cs="宋体" w:eastAsia="宋体" w:hint="default"/>
          <w:sz w:val="22"/>
          <w:szCs w:val="22"/>
        </w:rPr>
      </w:pPr>
    </w:p>
    <w:p>
      <w:pPr>
        <w:pStyle w:val="Heading4"/>
        <w:spacing w:line="240" w:lineRule="auto"/>
        <w:ind w:right="2239"/>
        <w:jc w:val="left"/>
        <w:rPr>
          <w:b w:val="0"/>
          <w:bCs w:val="0"/>
        </w:rPr>
      </w:pPr>
      <w:r>
        <w:rPr>
          <w:rFonts w:ascii="Arial" w:hAnsi="Arial" w:cs="Arial" w:eastAsia="Arial" w:hint="default"/>
        </w:rPr>
        <w:t>75</w:t>
      </w:r>
      <w:r>
        <w:rPr/>
        <w:t>、营业外支出</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366"/>
        <w:gridCol w:w="2407"/>
        <w:gridCol w:w="2392"/>
        <w:gridCol w:w="2392"/>
      </w:tblGrid>
      <w:tr>
        <w:trPr>
          <w:trHeight w:val="161" w:hRule="exact"/>
        </w:trPr>
        <w:tc>
          <w:tcPr>
            <w:tcW w:w="2366" w:type="dxa"/>
            <w:tcBorders>
              <w:top w:val="single" w:sz="4" w:space="0" w:color="000000"/>
              <w:left w:val="single" w:sz="4" w:space="0" w:color="000000"/>
              <w:bottom w:val="nil" w:sz="6" w:space="0" w:color="auto"/>
              <w:right w:val="single" w:sz="4" w:space="0" w:color="000000"/>
            </w:tcBorders>
            <w:shd w:val="clear" w:color="auto" w:fill="D3D3D3"/>
          </w:tcPr>
          <w:p>
            <w:pPr/>
          </w:p>
        </w:tc>
        <w:tc>
          <w:tcPr>
            <w:tcW w:w="2407"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tcBorders>
              <w:top w:val="single" w:sz="4" w:space="0" w:color="000000"/>
              <w:left w:val="single" w:sz="4" w:space="0" w:color="000000"/>
              <w:bottom w:val="nil" w:sz="6" w:space="0" w:color="auto"/>
              <w:right w:val="single" w:sz="4" w:space="0" w:color="000000"/>
            </w:tcBorders>
            <w:shd w:val="clear" w:color="auto" w:fill="D3D3D3"/>
          </w:tcPr>
          <w:p>
            <w:pPr/>
          </w:p>
        </w:tc>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1100" w:right="109" w:hanging="990"/>
              <w:jc w:val="left"/>
              <w:rPr>
                <w:rFonts w:ascii="宋体" w:hAnsi="宋体" w:cs="宋体" w:eastAsia="宋体" w:hint="default"/>
                <w:sz w:val="18"/>
                <w:szCs w:val="18"/>
              </w:rPr>
            </w:pPr>
            <w:r>
              <w:rPr>
                <w:rFonts w:ascii="宋体" w:hAnsi="宋体" w:cs="宋体" w:eastAsia="宋体" w:hint="default"/>
                <w:sz w:val="18"/>
                <w:szCs w:val="18"/>
              </w:rPr>
              <w:t>计入当期非经常性损益的金 额</w:t>
            </w:r>
          </w:p>
        </w:tc>
      </w:tr>
      <w:tr>
        <w:trPr>
          <w:trHeight w:val="392" w:hRule="exact"/>
        </w:trPr>
        <w:tc>
          <w:tcPr>
            <w:tcW w:w="2366"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40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392" w:type="dxa"/>
            <w:vMerge/>
            <w:tcBorders>
              <w:left w:val="single" w:sz="4" w:space="0" w:color="000000"/>
              <w:right w:val="single" w:sz="4" w:space="0" w:color="000000"/>
            </w:tcBorders>
            <w:shd w:val="clear" w:color="auto" w:fill="D3D3D3"/>
          </w:tcPr>
          <w:p>
            <w:pPr/>
          </w:p>
        </w:tc>
      </w:tr>
      <w:tr>
        <w:trPr>
          <w:trHeight w:val="161" w:hRule="exact"/>
        </w:trPr>
        <w:tc>
          <w:tcPr>
            <w:tcW w:w="2366" w:type="dxa"/>
            <w:tcBorders>
              <w:top w:val="nil" w:sz="6" w:space="0" w:color="auto"/>
              <w:left w:val="single" w:sz="4" w:space="0" w:color="000000"/>
              <w:bottom w:val="single" w:sz="4" w:space="0" w:color="000000"/>
              <w:right w:val="single" w:sz="4" w:space="0" w:color="000000"/>
            </w:tcBorders>
            <w:shd w:val="clear" w:color="auto" w:fill="D3D3D3"/>
          </w:tcPr>
          <w:p>
            <w:pPr/>
          </w:p>
        </w:tc>
        <w:tc>
          <w:tcPr>
            <w:tcW w:w="2407"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tcBorders>
              <w:top w:val="nil" w:sz="6" w:space="0" w:color="auto"/>
              <w:left w:val="single" w:sz="4" w:space="0" w:color="000000"/>
              <w:bottom w:val="single" w:sz="4" w:space="0" w:color="000000"/>
              <w:right w:val="single" w:sz="4" w:space="0" w:color="000000"/>
            </w:tcBorders>
            <w:shd w:val="clear" w:color="auto" w:fill="D3D3D3"/>
          </w:tcPr>
          <w:p>
            <w:pPr/>
          </w:p>
        </w:tc>
        <w:tc>
          <w:tcPr>
            <w:tcW w:w="2392"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非货币性资产交换损失</w:t>
            </w:r>
          </w:p>
        </w:tc>
        <w:tc>
          <w:tcPr>
            <w:tcW w:w="2407" w:type="dxa"/>
            <w:tcBorders>
              <w:top w:val="single" w:sz="4" w:space="0" w:color="000000"/>
              <w:left w:val="single" w:sz="13" w:space="0" w:color="D3D3D3"/>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1,673,230.08</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407"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347,435.43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30,000.00</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347,435.43</w:t>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37,841.40</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5,839.02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37,841.40</w:t>
            </w:r>
            <w:r>
              <w:rPr>
                <w:rFonts w:ascii="Arial"/>
                <w:sz w:val="18"/>
              </w:rPr>
            </w:r>
          </w:p>
        </w:tc>
      </w:tr>
      <w:tr>
        <w:trPr>
          <w:trHeight w:val="402" w:hRule="exact"/>
        </w:trPr>
        <w:tc>
          <w:tcPr>
            <w:tcW w:w="23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385,276.83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1,709,069.10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385,276.83</w:t>
            </w:r>
          </w:p>
        </w:tc>
      </w:tr>
    </w:tbl>
    <w:p>
      <w:pPr>
        <w:pStyle w:val="BodyText"/>
        <w:spacing w:line="360" w:lineRule="auto" w:before="51"/>
        <w:ind w:right="9850"/>
        <w:jc w:val="left"/>
      </w:pPr>
      <w:r>
        <w:rPr/>
        <w:t>其他说明： 无。</w:t>
      </w:r>
    </w:p>
    <w:p>
      <w:pPr>
        <w:spacing w:line="240" w:lineRule="auto" w:before="11"/>
        <w:rPr>
          <w:rFonts w:ascii="宋体" w:hAnsi="宋体" w:cs="宋体" w:eastAsia="宋体" w:hint="default"/>
          <w:sz w:val="19"/>
          <w:szCs w:val="19"/>
        </w:rPr>
      </w:pPr>
    </w:p>
    <w:p>
      <w:pPr>
        <w:pStyle w:val="Heading4"/>
        <w:spacing w:line="240" w:lineRule="auto"/>
        <w:ind w:right="2239"/>
        <w:jc w:val="left"/>
        <w:rPr>
          <w:b w:val="0"/>
          <w:bCs w:val="0"/>
        </w:rPr>
      </w:pPr>
      <w:r>
        <w:rPr>
          <w:rFonts w:ascii="Arial" w:hAnsi="Arial" w:cs="Arial" w:eastAsia="Arial" w:hint="default"/>
        </w:rPr>
        <w:t>76</w:t>
      </w:r>
      <w:r>
        <w:rPr/>
        <w:t>、所得税费用</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2239"/>
        <w:jc w:val="left"/>
        <w:rPr>
          <w:b w:val="0"/>
          <w:bCs w:val="0"/>
        </w:rPr>
      </w:pPr>
      <w:r>
        <w:rPr/>
        <w:t>（</w:t>
      </w:r>
      <w:r>
        <w:rPr>
          <w:rFonts w:ascii="Arial" w:hAnsi="Arial" w:cs="Arial" w:eastAsia="Arial" w:hint="default"/>
        </w:rPr>
        <w:t>1</w:t>
      </w:r>
      <w:r>
        <w:rPr/>
        <w:t>）所得税费用表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164"/>
        <w:gridCol w:w="3205"/>
        <w:gridCol w:w="3188"/>
      </w:tblGrid>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当期所得税费用</w:t>
            </w:r>
          </w:p>
        </w:tc>
        <w:tc>
          <w:tcPr>
            <w:tcW w:w="32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left="2108" w:right="0"/>
              <w:jc w:val="left"/>
              <w:rPr>
                <w:rFonts w:ascii="Arial" w:hAnsi="Arial" w:cs="Arial" w:eastAsia="Arial" w:hint="default"/>
                <w:sz w:val="18"/>
                <w:szCs w:val="18"/>
              </w:rPr>
            </w:pPr>
            <w:r>
              <w:rPr>
                <w:rFonts w:ascii="Arial"/>
                <w:sz w:val="18"/>
              </w:rPr>
              <w:t>2,047,548.53</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04" w:right="0"/>
              <w:jc w:val="left"/>
              <w:rPr>
                <w:rFonts w:ascii="Arial" w:hAnsi="Arial" w:cs="Arial" w:eastAsia="Arial" w:hint="default"/>
                <w:sz w:val="18"/>
                <w:szCs w:val="18"/>
              </w:rPr>
            </w:pPr>
            <w:r>
              <w:rPr>
                <w:rFonts w:ascii="Arial"/>
                <w:sz w:val="18"/>
              </w:rPr>
              <w:t>1,928,799.39</w:t>
            </w:r>
          </w:p>
        </w:tc>
      </w:tr>
    </w:tbl>
    <w:p>
      <w:pPr>
        <w:spacing w:after="0" w:line="240" w:lineRule="auto"/>
        <w:jc w:val="left"/>
        <w:rPr>
          <w:rFonts w:ascii="Arial" w:hAnsi="Arial" w:cs="Arial" w:eastAsia="Arial"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131,616.47</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-12,823.16</w:t>
            </w:r>
            <w:r>
              <w:rPr>
                <w:rFonts w:ascii="Arial"/>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2,179,165.00</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1,915,976.23</w:t>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t>（</w:t>
      </w:r>
      <w:r>
        <w:rPr>
          <w:rFonts w:ascii="Arial" w:hAnsi="Arial" w:cs="Arial" w:eastAsia="Arial" w:hint="default"/>
        </w:rPr>
        <w:t>2</w:t>
      </w:r>
      <w:r>
        <w:rPr/>
        <w:t>）会计利润与所得税费用调整过程</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768"/>
        <w:gridCol w:w="4788"/>
      </w:tblGrid>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47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47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55,880,729.64</w:t>
            </w:r>
            <w:r>
              <w:rPr>
                <w:rFonts w:ascii="Arial"/>
                <w:sz w:val="18"/>
              </w:rPr>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按法定</w:t>
            </w:r>
            <w:r>
              <w:rPr>
                <w:rFonts w:ascii="Arial" w:hAnsi="Arial" w:cs="Arial" w:eastAsia="Arial" w:hint="default"/>
                <w:sz w:val="18"/>
                <w:szCs w:val="18"/>
              </w:rPr>
              <w:t>/</w:t>
            </w:r>
            <w:r>
              <w:rPr>
                <w:rFonts w:ascii="宋体" w:hAnsi="宋体" w:cs="宋体" w:eastAsia="宋体" w:hint="default"/>
                <w:sz w:val="18"/>
                <w:szCs w:val="18"/>
              </w:rPr>
              <w:t>适用税率计算的所得税费用</w:t>
            </w:r>
          </w:p>
        </w:tc>
        <w:tc>
          <w:tcPr>
            <w:tcW w:w="47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5,588,072.96</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子公司适用不同税率的影响</w:t>
            </w:r>
          </w:p>
        </w:tc>
        <w:tc>
          <w:tcPr>
            <w:tcW w:w="47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-3,007,587.37</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调整以前期间所得税的影响</w:t>
            </w:r>
          </w:p>
        </w:tc>
        <w:tc>
          <w:tcPr>
            <w:tcW w:w="47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-487,499.75</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不可抵扣的成本、费用和损失的影响</w:t>
            </w:r>
          </w:p>
        </w:tc>
        <w:tc>
          <w:tcPr>
            <w:tcW w:w="47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3,958,815.18</w:t>
            </w:r>
          </w:p>
        </w:tc>
      </w:tr>
      <w:tr>
        <w:trPr>
          <w:trHeight w:val="714" w:hRule="exact"/>
        </w:trPr>
        <w:tc>
          <w:tcPr>
            <w:tcW w:w="47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 w:right="65"/>
              <w:jc w:val="left"/>
              <w:rPr>
                <w:rFonts w:ascii="宋体" w:hAnsi="宋体" w:cs="宋体" w:eastAsia="宋体" w:hint="default"/>
                <w:sz w:val="18"/>
                <w:szCs w:val="18"/>
              </w:rPr>
            </w:pPr>
            <w:r>
              <w:rPr>
                <w:rFonts w:ascii="宋体" w:hAnsi="宋体" w:cs="宋体" w:eastAsia="宋体" w:hint="default"/>
                <w:sz w:val="18"/>
                <w:szCs w:val="18"/>
              </w:rPr>
              <w:t>本期未确认递延所得税资产的可抵扣暂时性差异或可抵扣亏 损的影响</w:t>
            </w:r>
          </w:p>
        </w:tc>
        <w:tc>
          <w:tcPr>
            <w:tcW w:w="478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8,841,583.98</w:t>
            </w:r>
          </w:p>
        </w:tc>
      </w:tr>
      <w:tr>
        <w:trPr>
          <w:trHeight w:val="714"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权益法核算的合营企业和联营企业损益  无须纳税的收入</w:t>
            </w:r>
          </w:p>
          <w:p>
            <w:pPr>
              <w:pStyle w:val="TableParagraph"/>
              <w:spacing w:line="240" w:lineRule="auto" w:before="76"/>
              <w:ind w:left="11" w:right="0"/>
              <w:jc w:val="left"/>
              <w:rPr>
                <w:rFonts w:ascii="宋体" w:hAnsi="宋体" w:cs="宋体" w:eastAsia="宋体" w:hint="default"/>
                <w:sz w:val="18"/>
                <w:szCs w:val="18"/>
              </w:rPr>
            </w:pPr>
            <w:r>
              <w:rPr>
                <w:rFonts w:ascii="宋体" w:hAnsi="宋体" w:cs="宋体" w:eastAsia="宋体" w:hint="default"/>
                <w:sz w:val="18"/>
                <w:szCs w:val="18"/>
              </w:rPr>
              <w:t>（以</w:t>
            </w:r>
            <w:r>
              <w:rPr>
                <w:rFonts w:ascii="Arial" w:hAnsi="Arial" w:cs="Arial" w:eastAsia="Arial" w:hint="default"/>
                <w:sz w:val="18"/>
                <w:szCs w:val="18"/>
              </w:rPr>
              <w:t>"-"</w:t>
            </w:r>
            <w:r>
              <w:rPr>
                <w:rFonts w:ascii="宋体" w:hAnsi="宋体" w:cs="宋体" w:eastAsia="宋体" w:hint="default"/>
                <w:sz w:val="18"/>
                <w:szCs w:val="18"/>
              </w:rPr>
              <w:t>填列）</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-155,658.08</w:t>
            </w:r>
          </w:p>
        </w:tc>
      </w:tr>
      <w:tr>
        <w:trPr>
          <w:trHeight w:val="714"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11" w:right="65"/>
              <w:jc w:val="left"/>
              <w:rPr>
                <w:rFonts w:ascii="宋体" w:hAnsi="宋体" w:cs="宋体" w:eastAsia="宋体" w:hint="default"/>
                <w:sz w:val="18"/>
                <w:szCs w:val="18"/>
              </w:rPr>
            </w:pPr>
            <w:r>
              <w:rPr>
                <w:rFonts w:ascii="宋体" w:hAnsi="宋体" w:cs="宋体" w:eastAsia="宋体" w:hint="default"/>
                <w:sz w:val="18"/>
                <w:szCs w:val="18"/>
              </w:rPr>
              <w:t>利用以前年度未确认可抵扣亏损和可抵扣暂时性差异的纳税 影响（以</w:t>
            </w:r>
            <w:r>
              <w:rPr>
                <w:rFonts w:ascii="Arial" w:hAnsi="Arial" w:cs="Arial" w:eastAsia="Arial" w:hint="default"/>
                <w:sz w:val="18"/>
                <w:szCs w:val="18"/>
              </w:rPr>
              <w:t>"-"</w:t>
            </w:r>
            <w:r>
              <w:rPr>
                <w:rFonts w:ascii="宋体" w:hAnsi="宋体" w:cs="宋体" w:eastAsia="宋体" w:hint="default"/>
                <w:sz w:val="18"/>
                <w:szCs w:val="18"/>
              </w:rPr>
              <w:t>填列）</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-6,180,781.66</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研究开发费加成扣除的纳税影响（以</w:t>
            </w:r>
            <w:r>
              <w:rPr>
                <w:rFonts w:ascii="Arial" w:hAnsi="Arial" w:cs="Arial" w:eastAsia="Arial" w:hint="default"/>
                <w:sz w:val="18"/>
                <w:szCs w:val="18"/>
              </w:rPr>
              <w:t>"-"</w:t>
            </w:r>
            <w:r>
              <w:rPr>
                <w:rFonts w:ascii="宋体" w:hAnsi="宋体" w:cs="宋体" w:eastAsia="宋体" w:hint="default"/>
                <w:sz w:val="18"/>
                <w:szCs w:val="18"/>
              </w:rPr>
              <w:t>填列）</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-6,377,780.26</w:t>
            </w:r>
          </w:p>
        </w:tc>
      </w:tr>
      <w:tr>
        <w:trPr>
          <w:trHeight w:val="402" w:hRule="exact"/>
        </w:trPr>
        <w:tc>
          <w:tcPr>
            <w:tcW w:w="47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47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2,179,165.00</w:t>
            </w:r>
          </w:p>
        </w:tc>
      </w:tr>
    </w:tbl>
    <w:p>
      <w:pPr>
        <w:pStyle w:val="BodyText"/>
        <w:spacing w:line="360" w:lineRule="auto" w:before="51"/>
        <w:ind w:right="10030"/>
        <w:jc w:val="left"/>
      </w:pPr>
      <w:r>
        <w:rPr/>
        <w:t>其他说明 无。</w:t>
      </w:r>
    </w:p>
    <w:p>
      <w:pPr>
        <w:spacing w:line="240" w:lineRule="auto" w:before="11"/>
        <w:rPr>
          <w:rFonts w:ascii="宋体" w:hAnsi="宋体" w:cs="宋体" w:eastAsia="宋体" w:hint="default"/>
          <w:sz w:val="19"/>
          <w:szCs w:val="19"/>
        </w:rPr>
      </w:pPr>
    </w:p>
    <w:p>
      <w:pPr>
        <w:spacing w:line="547" w:lineRule="auto" w:before="0"/>
        <w:ind w:left="154" w:right="8830" w:firstLine="0"/>
        <w:jc w:val="left"/>
        <w:rPr>
          <w:rFonts w:ascii="宋体" w:hAnsi="宋体" w:cs="宋体" w:eastAsia="宋体" w:hint="default"/>
          <w:sz w:val="21"/>
          <w:szCs w:val="21"/>
        </w:rPr>
      </w:pPr>
      <w:r>
        <w:rPr>
          <w:rFonts w:ascii="Arial" w:hAnsi="Arial" w:cs="Arial" w:eastAsia="Arial" w:hint="default"/>
          <w:b/>
          <w:bCs/>
          <w:sz w:val="21"/>
          <w:szCs w:val="21"/>
        </w:rPr>
        <w:t>77</w:t>
      </w:r>
      <w:r>
        <w:rPr>
          <w:rFonts w:ascii="宋体" w:hAnsi="宋体" w:cs="宋体" w:eastAsia="宋体" w:hint="default"/>
          <w:b/>
          <w:bCs/>
          <w:sz w:val="21"/>
          <w:szCs w:val="21"/>
        </w:rPr>
        <w:t>、其他综合收益</w:t>
      </w:r>
      <w:r>
        <w:rPr>
          <w:rFonts w:ascii="宋体" w:hAnsi="宋体" w:cs="宋体" w:eastAsia="宋体" w:hint="default"/>
          <w:b/>
          <w:bCs/>
          <w:spacing w:val="1"/>
          <w:w w:val="99"/>
          <w:sz w:val="21"/>
          <w:szCs w:val="21"/>
        </w:rPr>
        <w:t> </w:t>
      </w:r>
      <w:r>
        <w:rPr>
          <w:rFonts w:ascii="宋体" w:hAnsi="宋体" w:cs="宋体" w:eastAsia="宋体" w:hint="default"/>
          <w:sz w:val="18"/>
          <w:szCs w:val="18"/>
        </w:rPr>
        <w:t>详见附注五、</w:t>
      </w:r>
      <w:r>
        <w:rPr>
          <w:rFonts w:ascii="Arial" w:hAnsi="Arial" w:cs="Arial" w:eastAsia="Arial" w:hint="default"/>
          <w:sz w:val="18"/>
          <w:szCs w:val="18"/>
        </w:rPr>
        <w:t>31</w:t>
      </w:r>
      <w:r>
        <w:rPr>
          <w:rFonts w:ascii="宋体" w:hAnsi="宋体" w:cs="宋体" w:eastAsia="宋体" w:hint="default"/>
          <w:sz w:val="18"/>
          <w:szCs w:val="18"/>
        </w:rPr>
        <w:t>。 </w:t>
      </w:r>
      <w:r>
        <w:rPr>
          <w:rFonts w:ascii="Arial" w:hAnsi="Arial" w:cs="Arial" w:eastAsia="Arial" w:hint="default"/>
          <w:b/>
          <w:bCs/>
          <w:sz w:val="21"/>
          <w:szCs w:val="21"/>
        </w:rPr>
        <w:t>78</w:t>
      </w:r>
      <w:r>
        <w:rPr>
          <w:rFonts w:ascii="宋体" w:hAnsi="宋体" w:cs="宋体" w:eastAsia="宋体" w:hint="default"/>
          <w:b/>
          <w:bCs/>
          <w:sz w:val="21"/>
          <w:szCs w:val="21"/>
        </w:rPr>
        <w:t>、现金流量表项目</w:t>
      </w:r>
      <w:r>
        <w:rPr>
          <w:rFonts w:ascii="宋体" w:hAnsi="宋体" w:cs="宋体" w:eastAsia="宋体" w:hint="default"/>
          <w:sz w:val="21"/>
          <w:szCs w:val="21"/>
        </w:rPr>
      </w:r>
    </w:p>
    <w:p>
      <w:pPr>
        <w:pStyle w:val="Heading4"/>
        <w:spacing w:line="240" w:lineRule="auto" w:before="24"/>
        <w:ind w:right="2239"/>
        <w:jc w:val="left"/>
        <w:rPr>
          <w:b w:val="0"/>
          <w:bCs w:val="0"/>
        </w:rPr>
      </w:pPr>
      <w:r>
        <w:rPr/>
        <w:t>（</w:t>
      </w:r>
      <w:r>
        <w:rPr>
          <w:rFonts w:ascii="Arial" w:hAnsi="Arial" w:cs="Arial" w:eastAsia="Arial" w:hint="default"/>
        </w:rPr>
        <w:t>1</w:t>
      </w:r>
      <w:r>
        <w:rPr/>
        <w:t>）收到的其他与经营活动有关的现金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sz w:val="18"/>
              </w:rPr>
              <w:t>22,302,496.60</w:t>
            </w:r>
            <w:r>
              <w:rPr>
                <w:rFonts w:ascii="Arial"/>
                <w:sz w:val="18"/>
              </w:rPr>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18,055,381.24</w:t>
            </w:r>
            <w:r>
              <w:rPr>
                <w:rFonts w:ascii="Arial"/>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4,210,182.79</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2,943,604.93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备用金及其他单位往来款等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sz w:val="18"/>
              </w:rPr>
              <w:t>17,482,417.68</w:t>
            </w:r>
            <w:r>
              <w:rPr>
                <w:rFonts w:ascii="Arial"/>
                <w:sz w:val="18"/>
              </w:rPr>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21,238,977.00</w:t>
            </w:r>
            <w:r>
              <w:rPr>
                <w:rFonts w:ascii="Arial"/>
                <w:sz w:val="18"/>
              </w:rPr>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sz w:val="18"/>
              </w:rPr>
              <w:t>43,995,097.07</w:t>
            </w:r>
            <w:r>
              <w:rPr>
                <w:rFonts w:ascii="Arial"/>
                <w:sz w:val="18"/>
              </w:rPr>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42,237,963.17</w:t>
            </w:r>
            <w:r>
              <w:rPr>
                <w:rFonts w:ascii="Arial"/>
                <w:sz w:val="18"/>
              </w:rPr>
            </w:r>
          </w:p>
        </w:tc>
      </w:tr>
    </w:tbl>
    <w:p>
      <w:pPr>
        <w:pStyle w:val="BodyText"/>
        <w:spacing w:line="357" w:lineRule="auto" w:before="51"/>
        <w:ind w:left="153" w:right="7511"/>
        <w:jc w:val="left"/>
      </w:pPr>
      <w:r>
        <w:rPr/>
        <w:t>收到的其他与经营活动有关的现金说明： 无。</w:t>
      </w:r>
    </w:p>
    <w:p>
      <w:pPr>
        <w:spacing w:after="0" w:line="357" w:lineRule="auto"/>
        <w:jc w:val="left"/>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2239"/>
        <w:jc w:val="left"/>
        <w:rPr>
          <w:b w:val="0"/>
          <w:bCs w:val="0"/>
        </w:rPr>
      </w:pPr>
      <w:r>
        <w:rPr/>
        <w:t>（</w:t>
      </w:r>
      <w:r>
        <w:rPr>
          <w:rFonts w:ascii="Arial" w:hAnsi="Arial" w:cs="Arial" w:eastAsia="Arial" w:hint="default"/>
        </w:rPr>
        <w:t>2</w:t>
      </w:r>
      <w:r>
        <w:rPr/>
        <w:t>）支付的其他与经营活动有关的现金</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销售费用付现支出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sz w:val="18"/>
              </w:rPr>
              <w:t>21,830,289.03</w:t>
            </w:r>
            <w:r>
              <w:rPr>
                <w:rFonts w:ascii="Arial"/>
                <w:sz w:val="18"/>
              </w:rPr>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24,855,163.51</w:t>
            </w:r>
            <w:r>
              <w:rPr>
                <w:rFonts w:ascii="Arial"/>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管理费用付现支出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sz w:val="18"/>
              </w:rPr>
              <w:t>41,224,234.21</w:t>
            </w:r>
            <w:r>
              <w:rPr>
                <w:rFonts w:ascii="Arial"/>
                <w:sz w:val="18"/>
              </w:rPr>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43,704,614.41</w:t>
            </w:r>
            <w:r>
              <w:rPr>
                <w:rFonts w:ascii="Arial"/>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研发费用付现支出</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2"/>
                <w:sz w:val="18"/>
              </w:rPr>
              <w:t>20,114,215.76</w:t>
            </w:r>
            <w:r>
              <w:rPr>
                <w:rFonts w:ascii="Arial"/>
                <w:sz w:val="18"/>
              </w:rPr>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33,538,593.49</w:t>
            </w:r>
            <w:r>
              <w:rPr>
                <w:rFonts w:ascii="Arial"/>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保证金、备用金及其他单位往来款等</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sz w:val="18"/>
              </w:rPr>
              <w:t>16,808,240.09</w:t>
            </w:r>
            <w:r>
              <w:rPr>
                <w:rFonts w:ascii="Arial"/>
                <w:sz w:val="18"/>
              </w:rPr>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6,459,702.26</w:t>
            </w:r>
          </w:p>
        </w:tc>
      </w:tr>
      <w:tr>
        <w:trPr>
          <w:trHeight w:val="403"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sz w:val="18"/>
              </w:rPr>
              <w:t>99,976,979.09</w:t>
            </w:r>
            <w:r>
              <w:rPr>
                <w:rFonts w:ascii="Arial"/>
                <w:sz w:val="18"/>
              </w:rPr>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108,558,073.67</w:t>
            </w:r>
          </w:p>
        </w:tc>
      </w:tr>
    </w:tbl>
    <w:p>
      <w:pPr>
        <w:pStyle w:val="BodyText"/>
        <w:spacing w:line="357" w:lineRule="auto" w:before="51"/>
        <w:ind w:left="153" w:right="7511"/>
        <w:jc w:val="left"/>
      </w:pPr>
      <w:r>
        <w:rPr/>
        <w:t>支付的其他与经营活动有关的现金说明： 无。</w:t>
      </w:r>
    </w:p>
    <w:p>
      <w:pPr>
        <w:spacing w:line="240" w:lineRule="auto" w:before="1"/>
        <w:rPr>
          <w:rFonts w:ascii="宋体" w:hAnsi="宋体" w:cs="宋体" w:eastAsia="宋体" w:hint="default"/>
          <w:sz w:val="20"/>
          <w:szCs w:val="20"/>
        </w:rPr>
      </w:pPr>
    </w:p>
    <w:p>
      <w:pPr>
        <w:pStyle w:val="Heading4"/>
        <w:spacing w:line="240" w:lineRule="auto"/>
        <w:ind w:right="2239"/>
        <w:jc w:val="left"/>
        <w:rPr>
          <w:b w:val="0"/>
          <w:bCs w:val="0"/>
        </w:rPr>
      </w:pPr>
      <w:r>
        <w:rPr/>
        <w:t>（</w:t>
      </w:r>
      <w:r>
        <w:rPr>
          <w:rFonts w:ascii="Arial" w:hAnsi="Arial" w:cs="Arial" w:eastAsia="Arial" w:hint="default"/>
        </w:rPr>
        <w:t>3</w:t>
      </w:r>
      <w:r>
        <w:rPr/>
        <w:t>）收到的其他与投资活动有关的现金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51"/>
        <w:ind w:left="153" w:right="7511"/>
        <w:jc w:val="left"/>
      </w:pPr>
      <w:r>
        <w:rPr/>
        <w:t>收到的其他与投资活动有关的现金说明： 无。</w:t>
      </w:r>
    </w:p>
    <w:p>
      <w:pPr>
        <w:spacing w:line="240" w:lineRule="auto" w:before="11"/>
        <w:rPr>
          <w:rFonts w:ascii="宋体" w:hAnsi="宋体" w:cs="宋体" w:eastAsia="宋体" w:hint="default"/>
          <w:sz w:val="19"/>
          <w:szCs w:val="19"/>
        </w:rPr>
      </w:pPr>
    </w:p>
    <w:p>
      <w:pPr>
        <w:pStyle w:val="Heading4"/>
        <w:spacing w:line="240" w:lineRule="auto"/>
        <w:ind w:right="2239"/>
        <w:jc w:val="left"/>
        <w:rPr>
          <w:b w:val="0"/>
          <w:bCs w:val="0"/>
        </w:rPr>
      </w:pPr>
      <w:r>
        <w:rPr/>
        <w:t>（</w:t>
      </w:r>
      <w:r>
        <w:rPr>
          <w:rFonts w:ascii="Arial" w:hAnsi="Arial" w:cs="Arial" w:eastAsia="Arial" w:hint="default"/>
        </w:rPr>
        <w:t>4</w:t>
      </w:r>
      <w:r>
        <w:rPr/>
        <w:t>）支付的其他与投资活动有关的现金</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57" w:lineRule="auto" w:before="52"/>
        <w:ind w:left="153" w:right="7511"/>
        <w:jc w:val="left"/>
      </w:pPr>
      <w:r>
        <w:rPr/>
        <w:t>支付的其他与投资活动有关的现金说明： 无。</w:t>
      </w:r>
    </w:p>
    <w:p>
      <w:pPr>
        <w:spacing w:line="240" w:lineRule="auto" w:before="1"/>
        <w:rPr>
          <w:rFonts w:ascii="宋体" w:hAnsi="宋体" w:cs="宋体" w:eastAsia="宋体" w:hint="default"/>
          <w:sz w:val="20"/>
          <w:szCs w:val="20"/>
        </w:rPr>
      </w:pPr>
    </w:p>
    <w:p>
      <w:pPr>
        <w:pStyle w:val="Heading4"/>
        <w:spacing w:line="240" w:lineRule="auto"/>
        <w:ind w:right="2239"/>
        <w:jc w:val="left"/>
        <w:rPr>
          <w:b w:val="0"/>
          <w:bCs w:val="0"/>
        </w:rPr>
      </w:pPr>
      <w:r>
        <w:rPr/>
        <w:t>（</w:t>
      </w:r>
      <w:r>
        <w:rPr>
          <w:rFonts w:ascii="Arial" w:hAnsi="Arial" w:cs="Arial" w:eastAsia="Arial" w:hint="default"/>
        </w:rPr>
        <w:t>5</w:t>
      </w:r>
      <w:r>
        <w:rPr/>
        <w:t>）收到的其他与筹资活动有关的现金</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51"/>
        <w:ind w:left="153" w:right="7511"/>
        <w:jc w:val="left"/>
      </w:pPr>
      <w:r>
        <w:rPr/>
        <w:t>收到的其他与筹资活动有关的现金说明： 无。</w:t>
      </w:r>
    </w:p>
    <w:p>
      <w:pPr>
        <w:spacing w:line="240" w:lineRule="auto" w:before="11"/>
        <w:rPr>
          <w:rFonts w:ascii="宋体" w:hAnsi="宋体" w:cs="宋体" w:eastAsia="宋体" w:hint="default"/>
          <w:sz w:val="19"/>
          <w:szCs w:val="19"/>
        </w:rPr>
      </w:pPr>
    </w:p>
    <w:p>
      <w:pPr>
        <w:pStyle w:val="Heading4"/>
        <w:spacing w:line="240" w:lineRule="auto"/>
        <w:ind w:right="2239"/>
        <w:jc w:val="left"/>
        <w:rPr>
          <w:b w:val="0"/>
          <w:bCs w:val="0"/>
        </w:rPr>
      </w:pPr>
      <w:r>
        <w:rPr/>
        <w:t>（</w:t>
      </w:r>
      <w:r>
        <w:rPr>
          <w:rFonts w:ascii="Arial" w:hAnsi="Arial" w:cs="Arial" w:eastAsia="Arial" w:hint="default"/>
        </w:rPr>
        <w:t>6</w:t>
      </w:r>
      <w:r>
        <w:rPr/>
        <w:t>）支付的其他与筹资活动有关的现金</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3"/>
        <w:gridCol w:w="3188"/>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pStyle w:val="BodyText"/>
        <w:spacing w:line="360" w:lineRule="auto" w:before="51"/>
        <w:ind w:left="153" w:right="7511"/>
        <w:jc w:val="left"/>
      </w:pPr>
      <w:r>
        <w:rPr/>
        <w:t>支付的其他与筹资活动有关的现金说明： 无。</w:t>
      </w:r>
    </w:p>
    <w:p>
      <w:pPr>
        <w:spacing w:after="0" w:line="360" w:lineRule="auto"/>
        <w:jc w:val="left"/>
        <w:sectPr>
          <w:pgSz w:w="11910" w:h="16840"/>
          <w:pgMar w:header="747" w:footer="982" w:top="1060" w:bottom="1180" w:left="980" w:right="0"/>
        </w:sectPr>
      </w:pPr>
    </w:p>
    <w:p>
      <w:pPr>
        <w:spacing w:line="240" w:lineRule="auto" w:before="9"/>
        <w:rPr>
          <w:rFonts w:ascii="宋体" w:hAnsi="宋体" w:cs="宋体" w:eastAsia="宋体" w:hint="default"/>
          <w:sz w:val="24"/>
          <w:szCs w:val="24"/>
        </w:rPr>
      </w:pPr>
      <w:r>
        <w:rPr/>
        <w:pict>
          <v:group style="position:absolute;margin-left:223.320007pt;margin-top:474.570007pt;width:151.2pt;height:20.7pt;mso-position-horizontal-relative:page;mso-position-vertical-relative:page;z-index:-1405504" coordorigin="4466,9491" coordsize="3024,414">
            <v:group style="position:absolute;left:4478;top:9503;width:2;height:392" coordorigin="4478,9503" coordsize="2,392">
              <v:shape style="position:absolute;left:4478;top:9503;width:2;height:392" coordorigin="4478,9503" coordsize="0,392" path="m4478,9503l4478,9894e" filled="false" stroked="true" strokeweight="1.140pt" strokecolor="#ffffff">
                <v:path arrowok="t"/>
              </v:shape>
            </v:group>
            <v:group style="position:absolute;left:4489;top:9503;width:3002;height:392" coordorigin="4489,9503" coordsize="3002,392">
              <v:shape style="position:absolute;left:4489;top:9503;width:3002;height:392" coordorigin="4489,9503" coordsize="3002,392" path="m4489,9894l7490,9894,7490,9503,4489,9503,4489,9894xe" filled="true" fillcolor="#ffffff" stroked="false">
                <v:path arrowok="t"/>
                <v:fill type="solid"/>
              </v:shape>
            </v:group>
            <w10:wrap type="none"/>
          </v:group>
        </w:pict>
      </w:r>
    </w:p>
    <w:p>
      <w:pPr>
        <w:pStyle w:val="Heading4"/>
        <w:spacing w:line="240" w:lineRule="auto" w:before="35"/>
        <w:ind w:right="2239"/>
        <w:jc w:val="left"/>
        <w:rPr>
          <w:b w:val="0"/>
          <w:bCs w:val="0"/>
        </w:rPr>
      </w:pPr>
      <w:r>
        <w:rPr>
          <w:rFonts w:ascii="Arial" w:hAnsi="Arial" w:cs="Arial" w:eastAsia="Arial" w:hint="default"/>
        </w:rPr>
        <w:t>79</w:t>
      </w:r>
      <w:r>
        <w:rPr/>
        <w:t>、现金流量表补充资料</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left="153" w:right="2239"/>
        <w:jc w:val="left"/>
        <w:rPr>
          <w:b w:val="0"/>
          <w:bCs w:val="0"/>
        </w:rPr>
      </w:pPr>
      <w:r>
        <w:rPr/>
        <w:t>（</w:t>
      </w:r>
      <w:r>
        <w:rPr>
          <w:rFonts w:ascii="Arial" w:hAnsi="Arial" w:cs="Arial" w:eastAsia="Arial" w:hint="default"/>
        </w:rPr>
        <w:t>1</w:t>
      </w:r>
      <w:r>
        <w:rPr/>
        <w:t>）现金流量表补充资料</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4"/>
      </w:tblGrid>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．将净利润调节为经营活动现金流量：</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0" w:right="0"/>
              <w:jc w:val="center"/>
              <w:rPr>
                <w:rFonts w:ascii="Arial" w:hAnsi="Arial" w:cs="Arial" w:eastAsia="Arial" w:hint="default"/>
                <w:sz w:val="18"/>
                <w:szCs w:val="18"/>
              </w:rPr>
            </w:pPr>
            <w:r>
              <w:rPr>
                <w:rFonts w:ascii="Arial"/>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Arial" w:hAnsi="Arial" w:cs="Arial" w:eastAsia="Arial" w:hint="default"/>
                <w:sz w:val="18"/>
                <w:szCs w:val="18"/>
              </w:rPr>
            </w:pPr>
            <w:r>
              <w:rPr>
                <w:rFonts w:ascii="Arial"/>
                <w:sz w:val="18"/>
              </w:rPr>
              <w:t>--</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53,701,564.64</w:t>
            </w:r>
            <w:r>
              <w:rPr>
                <w:rFonts w:ascii="Arial"/>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29,569,336.28</w:t>
            </w:r>
            <w:r>
              <w:rPr>
                <w:rFonts w:ascii="Arial"/>
                <w:sz w:val="18"/>
              </w:rPr>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3068" w:type="dxa"/>
            <w:tcBorders>
              <w:top w:val="single" w:sz="4" w:space="0" w:color="000000"/>
              <w:left w:val="single" w:sz="13" w:space="0" w:color="D3D3D3"/>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3,273,383.60</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信用减值损失</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9,687,401.57</w:t>
            </w:r>
          </w:p>
        </w:tc>
        <w:tc>
          <w:tcPr>
            <w:tcW w:w="3184"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41" w:firstLine="720"/>
              <w:jc w:val="left"/>
              <w:rPr>
                <w:rFonts w:ascii="宋体" w:hAnsi="宋体" w:cs="宋体" w:eastAsia="宋体" w:hint="default"/>
                <w:sz w:val="18"/>
                <w:szCs w:val="18"/>
              </w:rPr>
            </w:pPr>
            <w:r>
              <w:rPr>
                <w:rFonts w:ascii="宋体" w:hAnsi="宋体" w:cs="宋体" w:eastAsia="宋体" w:hint="default"/>
                <w:sz w:val="18"/>
                <w:szCs w:val="18"/>
              </w:rPr>
              <w:t>固定资产折旧、油气资产折耗、 生产性生物资产折旧</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9,081,238.34</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18"/>
                <w:szCs w:val="18"/>
              </w:rPr>
            </w:pPr>
            <w:r>
              <w:rPr>
                <w:rFonts w:ascii="Arial"/>
                <w:spacing w:val="-1"/>
                <w:sz w:val="18"/>
              </w:rPr>
              <w:t>10,231,150.08</w:t>
            </w:r>
            <w:r>
              <w:rPr>
                <w:rFonts w:ascii="Arial"/>
                <w:sz w:val="18"/>
              </w:rPr>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33,586,724.79</w:t>
            </w:r>
            <w:r>
              <w:rPr>
                <w:rFonts w:ascii="Arial"/>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31,275,647.99</w:t>
            </w:r>
            <w:r>
              <w:rPr>
                <w:rFonts w:ascii="Arial"/>
                <w:sz w:val="18"/>
              </w:rPr>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1,276,923.98</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904,130.44</w:t>
            </w:r>
          </w:p>
        </w:tc>
      </w:tr>
      <w:tr>
        <w:trPr>
          <w:trHeight w:val="714"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41" w:firstLine="72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长期资产的损失（收益以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353,303.23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18"/>
                <w:szCs w:val="18"/>
              </w:rPr>
            </w:pPr>
            <w:r>
              <w:rPr>
                <w:rFonts w:ascii="Arial"/>
                <w:spacing w:val="-1"/>
                <w:sz w:val="18"/>
              </w:rPr>
              <w:t>64,734.89</w:t>
            </w:r>
            <w:r>
              <w:rPr>
                <w:rFonts w:ascii="Arial"/>
                <w:sz w:val="18"/>
              </w:rPr>
            </w:r>
          </w:p>
        </w:tc>
      </w:tr>
      <w:tr>
        <w:trPr>
          <w:trHeight w:val="714"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2"/>
              <w:ind w:left="11" w:right="101" w:firstLine="72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 </w:t>
            </w:r>
            <w:r>
              <w:rPr>
                <w:rFonts w:ascii="宋体" w:hAnsi="宋体" w:cs="宋体" w:eastAsia="宋体" w:hint="default"/>
                <w:sz w:val="18"/>
                <w:szCs w:val="18"/>
              </w:rPr>
              <w:t>号填列）</w:t>
            </w:r>
          </w:p>
        </w:tc>
        <w:tc>
          <w:tcPr>
            <w:tcW w:w="3068" w:type="dxa"/>
            <w:tcBorders>
              <w:top w:val="single" w:sz="4" w:space="0" w:color="000000"/>
              <w:left w:val="single" w:sz="13" w:space="0" w:color="D3D3D3"/>
              <w:bottom w:val="single" w:sz="4" w:space="0" w:color="000000"/>
              <w:right w:val="single" w:sz="4" w:space="0" w:color="000000"/>
            </w:tcBorders>
          </w:tcPr>
          <w:p>
            <w:pP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1,673,230.08</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01"/>
              <w:jc w:val="right"/>
              <w:rPr>
                <w:rFonts w:ascii="宋体" w:hAnsi="宋体" w:cs="宋体" w:eastAsia="宋体" w:hint="default"/>
                <w:sz w:val="18"/>
                <w:szCs w:val="18"/>
              </w:rPr>
            </w:pPr>
            <w:r>
              <w:rPr>
                <w:rFonts w:ascii="宋体" w:hAnsi="宋体" w:cs="宋体" w:eastAsia="宋体" w:hint="default"/>
                <w:sz w:val="18"/>
                <w:szCs w:val="18"/>
              </w:rPr>
              <w:t>财务费用（收益以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24,298,668.96</w:t>
            </w:r>
            <w:r>
              <w:rPr>
                <w:rFonts w:ascii="Arial"/>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20,649,371.10</w:t>
            </w:r>
            <w:r>
              <w:rPr>
                <w:rFonts w:ascii="Arial"/>
                <w:sz w:val="18"/>
              </w:rPr>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01"/>
              <w:jc w:val="right"/>
              <w:rPr>
                <w:rFonts w:ascii="宋体" w:hAnsi="宋体" w:cs="宋体" w:eastAsia="宋体" w:hint="default"/>
                <w:sz w:val="18"/>
                <w:szCs w:val="18"/>
              </w:rPr>
            </w:pPr>
            <w:r>
              <w:rPr>
                <w:rFonts w:ascii="宋体" w:hAnsi="宋体" w:cs="宋体" w:eastAsia="宋体" w:hint="default"/>
                <w:sz w:val="18"/>
                <w:szCs w:val="18"/>
              </w:rPr>
              <w:t>投资损失（收益以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-20,824,488.19</w:t>
            </w:r>
            <w:r>
              <w:rPr>
                <w:rFonts w:ascii="Arial"/>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-32,797,084.65</w:t>
            </w:r>
            <w:r>
              <w:rPr>
                <w:rFonts w:ascii="Arial"/>
                <w:sz w:val="18"/>
              </w:rPr>
            </w:r>
          </w:p>
        </w:tc>
      </w:tr>
      <w:tr>
        <w:trPr>
          <w:trHeight w:val="714"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2"/>
              <w:ind w:left="11" w:right="10" w:firstLine="720"/>
              <w:jc w:val="left"/>
              <w:rPr>
                <w:rFonts w:ascii="宋体" w:hAnsi="宋体" w:cs="宋体" w:eastAsia="宋体" w:hint="default"/>
                <w:sz w:val="18"/>
                <w:szCs w:val="18"/>
              </w:rPr>
            </w:pPr>
            <w:r>
              <w:rPr>
                <w:rFonts w:ascii="宋体" w:hAnsi="宋体" w:cs="宋体" w:eastAsia="宋体" w:hint="default"/>
                <w:spacing w:val="-6"/>
                <w:sz w:val="18"/>
                <w:szCs w:val="18"/>
              </w:rPr>
              <w:t>递延所得税资产减少（增加以</w:t>
            </w:r>
            <w:r>
              <w:rPr>
                <w:rFonts w:ascii="Arial" w:hAnsi="Arial" w:cs="Arial" w:eastAsia="Arial" w:hint="default"/>
                <w:spacing w:val="-6"/>
                <w:sz w:val="18"/>
                <w:szCs w:val="18"/>
              </w:rPr>
              <w:t>“</w:t>
            </w:r>
            <w:r>
              <w:rPr>
                <w:rFonts w:ascii="宋体" w:hAnsi="宋体" w:cs="宋体" w:eastAsia="宋体" w:hint="default"/>
                <w:spacing w:val="-6"/>
                <w:sz w:val="18"/>
                <w:szCs w:val="18"/>
              </w:rPr>
              <w:t>－</w:t>
            </w:r>
            <w:r>
              <w:rPr>
                <w:rFonts w:ascii="Arial" w:hAnsi="Arial" w:cs="Arial" w:eastAsia="Arial" w:hint="default"/>
                <w:spacing w:val="-6"/>
                <w:sz w:val="18"/>
                <w:szCs w:val="18"/>
              </w:rPr>
              <w:t>”</w:t>
            </w:r>
            <w:r>
              <w:rPr>
                <w:rFonts w:ascii="Arial" w:hAnsi="Arial" w:cs="Arial" w:eastAsia="Arial" w:hint="default"/>
                <w:sz w:val="18"/>
                <w:szCs w:val="18"/>
              </w:rPr>
              <w:t> </w:t>
            </w:r>
            <w:r>
              <w:rPr>
                <w:rFonts w:ascii="宋体" w:hAnsi="宋体" w:cs="宋体" w:eastAsia="宋体" w:hint="default"/>
                <w:sz w:val="18"/>
                <w:szCs w:val="18"/>
              </w:rPr>
              <w:t>号填列）</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131,616.47</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18"/>
                <w:szCs w:val="18"/>
              </w:rPr>
            </w:pPr>
            <w:r>
              <w:rPr>
                <w:rFonts w:ascii="Arial"/>
                <w:spacing w:val="-1"/>
                <w:sz w:val="18"/>
              </w:rPr>
              <w:t>-12,823.16</w:t>
            </w:r>
            <w:r>
              <w:rPr>
                <w:rFonts w:ascii="Arial"/>
                <w:sz w:val="18"/>
              </w:rPr>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01"/>
              <w:jc w:val="right"/>
              <w:rPr>
                <w:rFonts w:ascii="宋体" w:hAnsi="宋体" w:cs="宋体" w:eastAsia="宋体" w:hint="default"/>
                <w:sz w:val="18"/>
                <w:szCs w:val="18"/>
              </w:rPr>
            </w:pPr>
            <w:r>
              <w:rPr>
                <w:rFonts w:ascii="宋体" w:hAnsi="宋体" w:cs="宋体" w:eastAsia="宋体" w:hint="default"/>
                <w:sz w:val="18"/>
                <w:szCs w:val="18"/>
              </w:rPr>
              <w:t>存货的减少（增加以</w:t>
            </w: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tabs>
                <w:tab w:pos="1873" w:val="left" w:leader="none"/>
              </w:tabs>
              <w:spacing w:line="240" w:lineRule="auto" w:before="52"/>
              <w:ind w:left="-125" w:right="22"/>
              <w:jc w:val="right"/>
              <w:rPr>
                <w:rFonts w:ascii="Arial" w:hAnsi="Arial" w:cs="Arial" w:eastAsia="Arial" w:hint="default"/>
                <w:sz w:val="18"/>
                <w:szCs w:val="18"/>
              </w:rPr>
            </w:pPr>
            <w:r>
              <w:rPr>
                <w:rFonts w:ascii="宋体" w:hAnsi="宋体" w:cs="宋体" w:eastAsia="宋体" w:hint="default"/>
                <w:sz w:val="18"/>
                <w:szCs w:val="18"/>
              </w:rPr>
              <w:t>）</w:t>
              <w:tab/>
            </w:r>
            <w:r>
              <w:rPr>
                <w:rFonts w:ascii="Arial" w:hAnsi="Arial" w:cs="Arial" w:eastAsia="Arial" w:hint="default"/>
                <w:spacing w:val="-1"/>
                <w:sz w:val="18"/>
                <w:szCs w:val="18"/>
              </w:rPr>
              <w:t>14,824,292.09</w:t>
            </w:r>
            <w:r>
              <w:rPr>
                <w:rFonts w:ascii="Arial" w:hAnsi="Arial" w:cs="Arial" w:eastAsia="Arial" w:hint="default"/>
                <w:sz w:val="18"/>
                <w:szCs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71,645,861.71</w:t>
            </w:r>
            <w:r>
              <w:rPr>
                <w:rFonts w:ascii="Arial"/>
                <w:sz w:val="18"/>
              </w:rPr>
            </w:r>
          </w:p>
        </w:tc>
      </w:tr>
      <w:tr>
        <w:trPr>
          <w:trHeight w:val="714"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p>
          <w:p>
            <w:pPr>
              <w:pStyle w:val="TableParagraph"/>
              <w:spacing w:line="240" w:lineRule="auto" w:before="76"/>
              <w:ind w:left="11"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2"/>
                <w:sz w:val="18"/>
              </w:rPr>
              <w:t>-6,564,611.55</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18"/>
                <w:szCs w:val="18"/>
              </w:rPr>
            </w:pPr>
            <w:r>
              <w:rPr>
                <w:rFonts w:ascii="Arial"/>
                <w:spacing w:val="-1"/>
                <w:sz w:val="18"/>
              </w:rPr>
              <w:t>-57,858,082.85</w:t>
            </w:r>
            <w:r>
              <w:rPr>
                <w:rFonts w:ascii="Arial"/>
                <w:sz w:val="18"/>
              </w:rPr>
            </w:r>
          </w:p>
        </w:tc>
      </w:tr>
      <w:tr>
        <w:trPr>
          <w:trHeight w:val="714"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1"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p>
          <w:p>
            <w:pPr>
              <w:pStyle w:val="TableParagraph"/>
              <w:spacing w:line="240" w:lineRule="auto" w:before="76"/>
              <w:ind w:left="11"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w:t>
            </w:r>
            <w:r>
              <w:rPr>
                <w:rFonts w:ascii="Arial" w:hAnsi="Arial" w:cs="Arial" w:eastAsia="Arial" w:hint="default"/>
                <w:sz w:val="18"/>
                <w:szCs w:val="18"/>
              </w:rPr>
              <w:t>”</w:t>
            </w:r>
            <w:r>
              <w:rPr>
                <w:rFonts w:ascii="宋体" w:hAnsi="宋体" w:cs="宋体" w:eastAsia="宋体" w:hint="default"/>
                <w:sz w:val="18"/>
                <w:szCs w:val="18"/>
              </w:rPr>
              <w:t>号填列）</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18"/>
                <w:szCs w:val="18"/>
              </w:rPr>
            </w:pPr>
            <w:r>
              <w:rPr>
                <w:rFonts w:ascii="Arial"/>
                <w:spacing w:val="-2"/>
                <w:sz w:val="18"/>
              </w:rPr>
              <w:t>-11,308,668.00</w:t>
            </w:r>
            <w:r>
              <w:rPr>
                <w:rFonts w:ascii="Arial"/>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18"/>
                <w:szCs w:val="18"/>
              </w:rPr>
            </w:pPr>
            <w:r>
              <w:rPr>
                <w:rFonts w:ascii="Arial"/>
                <w:spacing w:val="-1"/>
                <w:sz w:val="18"/>
              </w:rPr>
              <w:t>-52,223,592.48</w:t>
            </w:r>
            <w:r>
              <w:rPr>
                <w:rFonts w:ascii="Arial"/>
                <w:sz w:val="18"/>
              </w:rPr>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221"/>
              <w:jc w:val="righ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108,243,966.33</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26,395,263.03</w:t>
            </w:r>
            <w:r>
              <w:rPr>
                <w:rFonts w:ascii="Arial"/>
                <w:sz w:val="18"/>
              </w:rPr>
            </w:r>
          </w:p>
        </w:tc>
      </w:tr>
      <w:tr>
        <w:trPr>
          <w:trHeight w:val="161" w:hRule="exact"/>
        </w:trPr>
        <w:tc>
          <w:tcPr>
            <w:tcW w:w="3304" w:type="dxa"/>
            <w:vMerge w:val="restart"/>
            <w:tcBorders>
              <w:top w:val="single" w:sz="4" w:space="0" w:color="000000"/>
              <w:left w:val="single" w:sz="4" w:space="0" w:color="000000"/>
              <w:right w:val="single" w:sz="4" w:space="0" w:color="000000"/>
            </w:tcBorders>
            <w:shd w:val="clear" w:color="auto" w:fill="D3D3D3"/>
          </w:tcPr>
          <w:p>
            <w:pPr>
              <w:pStyle w:val="TableParagraph"/>
              <w:spacing w:line="302" w:lineRule="auto" w:before="52"/>
              <w:ind w:left="11" w:right="121"/>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．不涉及现金收支的重大投资和筹资活 动：</w:t>
            </w:r>
          </w:p>
        </w:tc>
        <w:tc>
          <w:tcPr>
            <w:tcW w:w="3068" w:type="dxa"/>
            <w:tcBorders>
              <w:top w:val="single" w:sz="4" w:space="0" w:color="000000"/>
              <w:left w:val="single" w:sz="4" w:space="0" w:color="000000"/>
              <w:bottom w:val="nil" w:sz="6" w:space="0" w:color="auto"/>
              <w:right w:val="single" w:sz="4" w:space="0" w:color="000000"/>
            </w:tcBorders>
            <w:shd w:val="clear" w:color="auto" w:fill="D3D3D3"/>
          </w:tcPr>
          <w:p>
            <w:pPr/>
          </w:p>
        </w:tc>
        <w:tc>
          <w:tcPr>
            <w:tcW w:w="318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2" w:hRule="exact"/>
        </w:trPr>
        <w:tc>
          <w:tcPr>
            <w:tcW w:w="3304" w:type="dxa"/>
            <w:vMerge/>
            <w:tcBorders>
              <w:left w:val="single" w:sz="4" w:space="0" w:color="000000"/>
              <w:right w:val="single" w:sz="4" w:space="0" w:color="000000"/>
            </w:tcBorders>
            <w:shd w:val="clear" w:color="auto" w:fill="D3D3D3"/>
          </w:tcPr>
          <w:p>
            <w:pPr/>
          </w:p>
        </w:tc>
        <w:tc>
          <w:tcPr>
            <w:tcW w:w="30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2"/>
              <w:ind w:left="10" w:right="0"/>
              <w:jc w:val="center"/>
              <w:rPr>
                <w:rFonts w:ascii="Arial" w:hAnsi="Arial" w:cs="Arial" w:eastAsia="Arial" w:hint="default"/>
                <w:sz w:val="18"/>
                <w:szCs w:val="18"/>
              </w:rPr>
            </w:pPr>
            <w:r>
              <w:rPr>
                <w:rFonts w:ascii="Arial"/>
                <w:sz w:val="18"/>
              </w:rPr>
              <w:t>--</w:t>
            </w:r>
          </w:p>
        </w:tc>
        <w:tc>
          <w:tcPr>
            <w:tcW w:w="318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2"/>
              <w:ind w:right="1"/>
              <w:jc w:val="center"/>
              <w:rPr>
                <w:rFonts w:ascii="Arial" w:hAnsi="Arial" w:cs="Arial" w:eastAsia="Arial" w:hint="default"/>
                <w:sz w:val="18"/>
                <w:szCs w:val="18"/>
              </w:rPr>
            </w:pPr>
            <w:r>
              <w:rPr>
                <w:rFonts w:ascii="Arial"/>
                <w:sz w:val="18"/>
              </w:rPr>
              <w:t>--</w:t>
            </w:r>
          </w:p>
        </w:tc>
      </w:tr>
      <w:tr>
        <w:trPr>
          <w:trHeight w:val="161" w:hRule="exact"/>
        </w:trPr>
        <w:tc>
          <w:tcPr>
            <w:tcW w:w="3304" w:type="dxa"/>
            <w:vMerge/>
            <w:tcBorders>
              <w:left w:val="single" w:sz="4" w:space="0" w:color="000000"/>
              <w:bottom w:val="single" w:sz="4" w:space="0" w:color="000000"/>
              <w:right w:val="single" w:sz="4" w:space="0" w:color="000000"/>
            </w:tcBorders>
            <w:shd w:val="clear" w:color="auto" w:fill="D3D3D3"/>
          </w:tcPr>
          <w:p>
            <w:pPr/>
          </w:p>
        </w:tc>
        <w:tc>
          <w:tcPr>
            <w:tcW w:w="3068" w:type="dxa"/>
            <w:tcBorders>
              <w:top w:val="nil" w:sz="6" w:space="0" w:color="auto"/>
              <w:left w:val="single" w:sz="4" w:space="0" w:color="000000"/>
              <w:bottom w:val="single" w:sz="4" w:space="0" w:color="000000"/>
              <w:right w:val="single" w:sz="4" w:space="0" w:color="000000"/>
            </w:tcBorders>
            <w:shd w:val="clear" w:color="auto" w:fill="D3D3D3"/>
          </w:tcPr>
          <w:p>
            <w:pPr/>
          </w:p>
        </w:tc>
        <w:tc>
          <w:tcPr>
            <w:tcW w:w="318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．现金及现金等价物净变动情况：</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0" w:right="0"/>
              <w:jc w:val="center"/>
              <w:rPr>
                <w:rFonts w:ascii="Arial" w:hAnsi="Arial" w:cs="Arial" w:eastAsia="Arial" w:hint="default"/>
                <w:sz w:val="18"/>
                <w:szCs w:val="18"/>
              </w:rPr>
            </w:pPr>
            <w:r>
              <w:rPr>
                <w:rFonts w:ascii="Arial"/>
                <w:sz w:val="18"/>
              </w:rPr>
              <w:t>--</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Arial" w:hAnsi="Arial" w:cs="Arial" w:eastAsia="Arial" w:hint="default"/>
                <w:sz w:val="18"/>
                <w:szCs w:val="18"/>
              </w:rPr>
            </w:pPr>
            <w:r>
              <w:rPr>
                <w:rFonts w:ascii="Arial"/>
                <w:sz w:val="18"/>
              </w:rPr>
              <w:t>--</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345,270,298.91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244,109,281.19</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244,109,281.19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91,924,016.02</w:t>
            </w:r>
            <w:r>
              <w:rPr>
                <w:rFonts w:ascii="Arial"/>
                <w:sz w:val="18"/>
              </w:rPr>
            </w:r>
          </w:p>
        </w:tc>
      </w:tr>
      <w:tr>
        <w:trPr>
          <w:trHeight w:val="403"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101,161,017.72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152,185,265.17</w:t>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t>（</w:t>
      </w:r>
      <w:r>
        <w:rPr>
          <w:rFonts w:ascii="Arial" w:hAnsi="Arial" w:cs="Arial" w:eastAsia="Arial" w:hint="default"/>
        </w:rPr>
        <w:t>2</w:t>
      </w:r>
      <w:r>
        <w:rPr/>
        <w:t>）本期支付的取得子公司的现金净额</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988"/>
        <w:gridCol w:w="4579"/>
      </w:tblGrid>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Arial" w:hAnsi="Arial" w:cs="Arial" w:eastAsia="Arial" w:hint="default"/>
                <w:sz w:val="18"/>
                <w:szCs w:val="18"/>
              </w:rPr>
            </w:pPr>
            <w:r>
              <w:rPr>
                <w:rFonts w:ascii="Arial"/>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Arial" w:hAnsi="Arial" w:cs="Arial" w:eastAsia="Arial" w:hint="default"/>
                <w:sz w:val="18"/>
                <w:szCs w:val="18"/>
              </w:rPr>
            </w:pPr>
            <w:r>
              <w:rPr>
                <w:rFonts w:ascii="Arial"/>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Arial" w:hAnsi="Arial" w:cs="Arial" w:eastAsia="Arial" w:hint="default"/>
                <w:sz w:val="18"/>
                <w:szCs w:val="18"/>
              </w:rPr>
            </w:pPr>
            <w:r>
              <w:rPr>
                <w:rFonts w:ascii="Arial"/>
                <w:sz w:val="18"/>
              </w:rPr>
              <w:t>--</w:t>
            </w:r>
          </w:p>
        </w:tc>
      </w:tr>
    </w:tbl>
    <w:p>
      <w:pPr>
        <w:pStyle w:val="BodyText"/>
        <w:spacing w:line="360" w:lineRule="auto" w:before="51"/>
        <w:ind w:right="9850"/>
        <w:jc w:val="left"/>
      </w:pPr>
      <w:r>
        <w:rPr/>
        <w:t>其他说明： 无。</w:t>
      </w:r>
    </w:p>
    <w:p>
      <w:pPr>
        <w:spacing w:line="240" w:lineRule="auto" w:before="11"/>
        <w:rPr>
          <w:rFonts w:ascii="宋体" w:hAnsi="宋体" w:cs="宋体" w:eastAsia="宋体" w:hint="default"/>
          <w:sz w:val="19"/>
          <w:szCs w:val="19"/>
        </w:rPr>
      </w:pPr>
    </w:p>
    <w:p>
      <w:pPr>
        <w:pStyle w:val="Heading4"/>
        <w:spacing w:line="240" w:lineRule="auto"/>
        <w:ind w:right="2239"/>
        <w:jc w:val="left"/>
        <w:rPr>
          <w:b w:val="0"/>
          <w:bCs w:val="0"/>
        </w:rPr>
      </w:pPr>
      <w:r>
        <w:rPr/>
        <w:t>（</w:t>
      </w:r>
      <w:r>
        <w:rPr>
          <w:rFonts w:ascii="Arial" w:hAnsi="Arial" w:cs="Arial" w:eastAsia="Arial" w:hint="default"/>
        </w:rPr>
        <w:t>3</w:t>
      </w:r>
      <w:r>
        <w:rPr/>
        <w:t>）本期收到的处置子公司的现金净额</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988"/>
        <w:gridCol w:w="4579"/>
      </w:tblGrid>
      <w:tr>
        <w:trPr>
          <w:trHeight w:val="401"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Arial" w:hAnsi="Arial" w:cs="Arial" w:eastAsia="Arial" w:hint="default"/>
                <w:sz w:val="18"/>
                <w:szCs w:val="18"/>
              </w:rPr>
            </w:pPr>
            <w:r>
              <w:rPr>
                <w:rFonts w:ascii="Arial"/>
                <w:sz w:val="18"/>
              </w:rPr>
              <w:t>--</w:t>
            </w:r>
          </w:p>
        </w:tc>
      </w:tr>
      <w:tr>
        <w:trPr>
          <w:trHeight w:val="402"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Arial" w:hAnsi="Arial" w:cs="Arial" w:eastAsia="Arial" w:hint="default"/>
                <w:sz w:val="18"/>
                <w:szCs w:val="18"/>
              </w:rPr>
            </w:pPr>
            <w:r>
              <w:rPr>
                <w:rFonts w:ascii="Arial"/>
                <w:sz w:val="18"/>
              </w:rPr>
              <w:t>--</w:t>
            </w:r>
          </w:p>
        </w:tc>
      </w:tr>
      <w:tr>
        <w:trPr>
          <w:trHeight w:val="403" w:hRule="exact"/>
        </w:trPr>
        <w:tc>
          <w:tcPr>
            <w:tcW w:w="49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457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Arial" w:hAnsi="Arial" w:cs="Arial" w:eastAsia="Arial" w:hint="default"/>
                <w:sz w:val="18"/>
                <w:szCs w:val="18"/>
              </w:rPr>
            </w:pPr>
            <w:r>
              <w:rPr>
                <w:rFonts w:ascii="Arial"/>
                <w:sz w:val="18"/>
              </w:rPr>
              <w:t>--</w:t>
            </w:r>
          </w:p>
        </w:tc>
      </w:tr>
    </w:tbl>
    <w:p>
      <w:pPr>
        <w:pStyle w:val="BodyText"/>
        <w:spacing w:line="357" w:lineRule="auto" w:before="52"/>
        <w:ind w:right="9850"/>
        <w:jc w:val="left"/>
      </w:pPr>
      <w:r>
        <w:rPr/>
        <w:t>其他说明： 无。</w:t>
      </w:r>
    </w:p>
    <w:p>
      <w:pPr>
        <w:spacing w:line="240" w:lineRule="auto" w:before="1"/>
        <w:rPr>
          <w:rFonts w:ascii="宋体" w:hAnsi="宋体" w:cs="宋体" w:eastAsia="宋体" w:hint="default"/>
          <w:sz w:val="20"/>
          <w:szCs w:val="20"/>
        </w:rPr>
      </w:pPr>
    </w:p>
    <w:p>
      <w:pPr>
        <w:pStyle w:val="Heading4"/>
        <w:spacing w:line="240" w:lineRule="auto"/>
        <w:ind w:right="2239"/>
        <w:jc w:val="left"/>
        <w:rPr>
          <w:b w:val="0"/>
          <w:bCs w:val="0"/>
        </w:rPr>
      </w:pPr>
      <w:r>
        <w:rPr/>
        <w:t>（</w:t>
      </w:r>
      <w:r>
        <w:rPr>
          <w:rFonts w:ascii="Arial" w:hAnsi="Arial" w:cs="Arial" w:eastAsia="Arial" w:hint="default"/>
        </w:rPr>
        <w:t>4</w:t>
      </w:r>
      <w:r>
        <w:rPr/>
        <w:t>）现金和现金等价物的构成</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5" w:type="dxa"/>
        <w:tblLayout w:type="fixed"/>
        <w:tblCellMar>
          <w:top w:w="0" w:type="dxa"/>
          <w:left w:w="0" w:type="dxa"/>
          <w:bottom w:w="0" w:type="dxa"/>
          <w:right w:w="0" w:type="dxa"/>
        </w:tblCellMar>
        <w:tblLook w:val="01E0"/>
      </w:tblPr>
      <w:tblGrid>
        <w:gridCol w:w="3299"/>
        <w:gridCol w:w="3068"/>
        <w:gridCol w:w="3184"/>
      </w:tblGrid>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3"/>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345,270,298.91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244,109,281.19</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624,735.82</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291,249.78</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46"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344,645,563.09</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243,818,031.41</w:t>
            </w:r>
          </w:p>
        </w:tc>
      </w:tr>
      <w:tr>
        <w:trPr>
          <w:trHeight w:val="402" w:hRule="exact"/>
        </w:trPr>
        <w:tc>
          <w:tcPr>
            <w:tcW w:w="32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345,270,298.91</w:t>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244,109,281.19</w:t>
            </w:r>
          </w:p>
        </w:tc>
      </w:tr>
    </w:tbl>
    <w:p>
      <w:pPr>
        <w:pStyle w:val="BodyText"/>
        <w:spacing w:line="360" w:lineRule="auto" w:before="51"/>
        <w:ind w:right="9850"/>
        <w:jc w:val="left"/>
      </w:pPr>
      <w:r>
        <w:rPr/>
        <w:t>其他说明： 无。</w:t>
      </w:r>
    </w:p>
    <w:p>
      <w:pPr>
        <w:spacing w:line="240" w:lineRule="auto" w:before="11"/>
        <w:rPr>
          <w:rFonts w:ascii="宋体" w:hAnsi="宋体" w:cs="宋体" w:eastAsia="宋体" w:hint="default"/>
          <w:sz w:val="19"/>
          <w:szCs w:val="19"/>
        </w:rPr>
      </w:pPr>
    </w:p>
    <w:p>
      <w:pPr>
        <w:pStyle w:val="Heading4"/>
        <w:spacing w:line="240" w:lineRule="auto"/>
        <w:ind w:right="2239"/>
        <w:jc w:val="left"/>
        <w:rPr>
          <w:b w:val="0"/>
          <w:bCs w:val="0"/>
        </w:rPr>
      </w:pPr>
      <w:r>
        <w:rPr>
          <w:rFonts w:ascii="Arial" w:hAnsi="Arial" w:cs="Arial" w:eastAsia="Arial" w:hint="default"/>
        </w:rPr>
        <w:t>80</w:t>
      </w:r>
      <w:r>
        <w:rPr/>
        <w:t>、所有者权益变动表项目注释</w:t>
      </w:r>
      <w:r>
        <w:rPr>
          <w:b w:val="0"/>
          <w:bCs w:val="0"/>
        </w:rPr>
      </w:r>
    </w:p>
    <w:p>
      <w:pPr>
        <w:spacing w:line="240" w:lineRule="auto" w:before="10"/>
        <w:rPr>
          <w:rFonts w:ascii="宋体" w:hAnsi="宋体" w:cs="宋体" w:eastAsia="宋体" w:hint="default"/>
          <w:b/>
          <w:bCs/>
          <w:sz w:val="26"/>
          <w:szCs w:val="26"/>
        </w:rPr>
      </w:pPr>
    </w:p>
    <w:p>
      <w:pPr>
        <w:pStyle w:val="BodyText"/>
        <w:spacing w:line="340" w:lineRule="auto"/>
        <w:ind w:left="153" w:right="5411"/>
        <w:jc w:val="left"/>
      </w:pPr>
      <w:r>
        <w:rPr/>
        <w:t>说明对上年期末余额进行调整的</w:t>
      </w:r>
      <w:r>
        <w:rPr>
          <w:rFonts w:ascii="Arial" w:hAnsi="Arial" w:cs="Arial" w:eastAsia="Arial" w:hint="default"/>
        </w:rPr>
        <w:t>“</w:t>
      </w:r>
      <w:r>
        <w:rPr/>
        <w:t>其他</w:t>
      </w:r>
      <w:r>
        <w:rPr>
          <w:rFonts w:ascii="Arial" w:hAnsi="Arial" w:cs="Arial" w:eastAsia="Arial" w:hint="default"/>
        </w:rPr>
        <w:t>”</w:t>
      </w:r>
      <w:r>
        <w:rPr/>
        <w:t>项目名称及调整金额等事项： 无。</w:t>
      </w:r>
    </w:p>
    <w:p>
      <w:pPr>
        <w:spacing w:line="240" w:lineRule="auto" w:before="1"/>
        <w:rPr>
          <w:rFonts w:ascii="宋体" w:hAnsi="宋体" w:cs="宋体" w:eastAsia="宋体" w:hint="default"/>
          <w:sz w:val="21"/>
          <w:szCs w:val="21"/>
        </w:rPr>
      </w:pPr>
    </w:p>
    <w:p>
      <w:pPr>
        <w:pStyle w:val="Heading4"/>
        <w:spacing w:line="240" w:lineRule="auto"/>
        <w:ind w:right="2239"/>
        <w:jc w:val="left"/>
        <w:rPr>
          <w:b w:val="0"/>
          <w:bCs w:val="0"/>
        </w:rPr>
      </w:pPr>
      <w:r>
        <w:rPr>
          <w:rFonts w:ascii="Arial" w:hAnsi="Arial" w:cs="Arial" w:eastAsia="Arial" w:hint="default"/>
        </w:rPr>
        <w:t>81</w:t>
      </w:r>
      <w:r>
        <w:rPr/>
        <w:t>、所有权或使用权受到限制的资产</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4"/>
        <w:gridCol w:w="3068"/>
        <w:gridCol w:w="3184"/>
      </w:tblGrid>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94"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受限原因</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06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19,128,779.75</w:t>
            </w:r>
            <w:r>
              <w:rPr>
                <w:rFonts w:ascii="Arial"/>
                <w:sz w:val="18"/>
              </w:rPr>
            </w:r>
          </w:p>
        </w:tc>
        <w:tc>
          <w:tcPr>
            <w:tcW w:w="31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保函保证金、银行承兑汇票保证金</w:t>
            </w:r>
          </w:p>
        </w:tc>
      </w:tr>
      <w:tr>
        <w:trPr>
          <w:trHeight w:val="402" w:hRule="exact"/>
        </w:trPr>
        <w:tc>
          <w:tcPr>
            <w:tcW w:w="330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68" w:type="dxa"/>
            <w:tcBorders>
              <w:top w:val="single" w:sz="4" w:space="0" w:color="000000"/>
              <w:left w:val="single" w:sz="13" w:space="0" w:color="D3D3D3"/>
              <w:bottom w:val="single" w:sz="4" w:space="0" w:color="000000"/>
              <w:right w:val="single" w:sz="9" w:space="0" w:color="D3D3D3"/>
            </w:tcBorders>
          </w:tcPr>
          <w:p>
            <w:pPr>
              <w:pStyle w:val="TableParagraph"/>
              <w:spacing w:line="240" w:lineRule="auto" w:before="91"/>
              <w:ind w:right="15"/>
              <w:jc w:val="right"/>
              <w:rPr>
                <w:rFonts w:ascii="Arial" w:hAnsi="Arial" w:cs="Arial" w:eastAsia="Arial" w:hint="default"/>
                <w:sz w:val="18"/>
                <w:szCs w:val="18"/>
              </w:rPr>
            </w:pPr>
            <w:r>
              <w:rPr>
                <w:rFonts w:ascii="Arial"/>
                <w:spacing w:val="-1"/>
                <w:sz w:val="18"/>
              </w:rPr>
              <w:t>19,128,779.75</w:t>
            </w:r>
            <w:r>
              <w:rPr>
                <w:rFonts w:ascii="Arial"/>
                <w:sz w:val="18"/>
              </w:rPr>
            </w:r>
          </w:p>
        </w:tc>
        <w:tc>
          <w:tcPr>
            <w:tcW w:w="31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Arial" w:hAnsi="Arial" w:cs="Arial" w:eastAsia="Arial" w:hint="default"/>
                <w:sz w:val="18"/>
                <w:szCs w:val="18"/>
              </w:rPr>
            </w:pPr>
            <w:r>
              <w:rPr>
                <w:rFonts w:ascii="Arial"/>
                <w:sz w:val="18"/>
              </w:rPr>
              <w:t>--</w:t>
            </w:r>
          </w:p>
        </w:tc>
      </w:tr>
    </w:tbl>
    <w:p>
      <w:pPr>
        <w:spacing w:after="0" w:line="240" w:lineRule="auto"/>
        <w:jc w:val="center"/>
        <w:rPr>
          <w:rFonts w:ascii="Arial" w:hAnsi="Arial" w:cs="Arial" w:eastAsia="Arial" w:hint="default"/>
          <w:sz w:val="18"/>
          <w:szCs w:val="18"/>
        </w:rPr>
        <w:sectPr>
          <w:pgSz w:w="11910" w:h="16840"/>
          <w:pgMar w:header="747" w:footer="982" w:top="1060" w:bottom="1180" w:left="980" w:right="0"/>
        </w:sectPr>
      </w:pPr>
    </w:p>
    <w:p>
      <w:pPr>
        <w:spacing w:line="240" w:lineRule="auto" w:before="13"/>
        <w:rPr>
          <w:rFonts w:ascii="宋体" w:hAnsi="宋体" w:cs="宋体" w:eastAsia="宋体" w:hint="default"/>
          <w:sz w:val="25"/>
          <w:szCs w:val="25"/>
        </w:rPr>
      </w:pPr>
    </w:p>
    <w:p>
      <w:pPr>
        <w:pStyle w:val="BodyText"/>
        <w:spacing w:line="357" w:lineRule="auto" w:before="44"/>
        <w:ind w:left="153" w:right="9851"/>
        <w:jc w:val="left"/>
      </w:pPr>
      <w:r>
        <w:rPr/>
        <w:t>其他说明： 无。</w:t>
      </w:r>
    </w:p>
    <w:p>
      <w:pPr>
        <w:spacing w:line="240" w:lineRule="auto" w:before="1"/>
        <w:rPr>
          <w:rFonts w:ascii="宋体" w:hAnsi="宋体" w:cs="宋体" w:eastAsia="宋体" w:hint="default"/>
          <w:sz w:val="20"/>
          <w:szCs w:val="20"/>
        </w:rPr>
      </w:pPr>
    </w:p>
    <w:p>
      <w:pPr>
        <w:pStyle w:val="Heading4"/>
        <w:spacing w:line="240" w:lineRule="auto"/>
        <w:ind w:right="2239"/>
        <w:jc w:val="left"/>
        <w:rPr>
          <w:b w:val="0"/>
          <w:bCs w:val="0"/>
        </w:rPr>
      </w:pPr>
      <w:r>
        <w:rPr>
          <w:rFonts w:ascii="Arial" w:hAnsi="Arial" w:cs="Arial" w:eastAsia="Arial" w:hint="default"/>
        </w:rPr>
        <w:t>82</w:t>
      </w:r>
      <w:r>
        <w:rPr/>
        <w:t>、外币货币性项目</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t>（</w:t>
      </w:r>
      <w:r>
        <w:rPr>
          <w:rFonts w:ascii="Arial" w:hAnsi="Arial" w:cs="Arial" w:eastAsia="Arial" w:hint="default"/>
        </w:rPr>
        <w:t>1</w:t>
      </w:r>
      <w:r>
        <w:rPr/>
        <w:t>）外币货币性项目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3"/>
        <w:gridCol w:w="2305"/>
        <w:gridCol w:w="2390"/>
        <w:gridCol w:w="2389"/>
      </w:tblGrid>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3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12" w:right="0"/>
              <w:jc w:val="left"/>
              <w:rPr>
                <w:rFonts w:ascii="宋体" w:hAnsi="宋体" w:cs="宋体" w:eastAsia="宋体" w:hint="default"/>
                <w:sz w:val="18"/>
                <w:szCs w:val="18"/>
              </w:rPr>
            </w:pPr>
            <w:r>
              <w:rPr>
                <w:rFonts w:ascii="宋体" w:hAnsi="宋体" w:cs="宋体" w:eastAsia="宋体" w:hint="default"/>
                <w:sz w:val="18"/>
                <w:szCs w:val="18"/>
              </w:rPr>
              <w:t>期末外币余额</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折算汇率</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9" w:right="0"/>
              <w:jc w:val="left"/>
              <w:rPr>
                <w:rFonts w:ascii="宋体" w:hAnsi="宋体" w:cs="宋体" w:eastAsia="宋体" w:hint="default"/>
                <w:sz w:val="18"/>
                <w:szCs w:val="18"/>
              </w:rPr>
            </w:pPr>
            <w:r>
              <w:rPr>
                <w:rFonts w:ascii="宋体" w:hAnsi="宋体" w:cs="宋体" w:eastAsia="宋体" w:hint="default"/>
                <w:sz w:val="18"/>
                <w:szCs w:val="18"/>
              </w:rPr>
              <w:t>期末折算人民币余额</w:t>
            </w: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3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Arial" w:hAnsi="Arial" w:cs="Arial" w:eastAsia="Arial" w:hint="default"/>
                <w:sz w:val="18"/>
                <w:szCs w:val="18"/>
              </w:rPr>
            </w:pPr>
            <w:r>
              <w:rPr>
                <w:rFonts w:ascii="Arial"/>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Arial" w:hAnsi="Arial" w:cs="Arial" w:eastAsia="Arial" w:hint="default"/>
                <w:sz w:val="18"/>
                <w:szCs w:val="18"/>
              </w:rPr>
            </w:pPr>
            <w:r>
              <w:rPr>
                <w:rFonts w:ascii="Arial"/>
                <w:sz w:val="18"/>
              </w:rPr>
              <w:t>--</w:t>
            </w:r>
          </w:p>
        </w:tc>
        <w:tc>
          <w:tcPr>
            <w:tcW w:w="2389" w:type="dxa"/>
            <w:tcBorders>
              <w:top w:val="single" w:sz="4" w:space="0" w:color="000000"/>
              <w:left w:val="single" w:sz="13" w:space="0" w:color="D3D3D3"/>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14,430,029.66</w:t>
            </w:r>
            <w:r>
              <w:rPr>
                <w:rFonts w:ascii="Arial"/>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Arial" w:hAnsi="Arial" w:cs="Arial" w:eastAsia="Arial" w:hint="default"/>
                <w:sz w:val="18"/>
                <w:szCs w:val="18"/>
              </w:rPr>
            </w:pPr>
            <w:r>
              <w:rPr>
                <w:rFonts w:ascii="Arial"/>
                <w:sz w:val="18"/>
              </w:rPr>
              <w:t>6.9762</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100,666,772.92</w:t>
            </w: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3" w:space="0" w:color="D3D3D3"/>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21,732.98</w:t>
            </w:r>
            <w:r>
              <w:rPr>
                <w:rFonts w:ascii="Arial"/>
                <w:sz w:val="18"/>
              </w:rPr>
            </w:r>
          </w:p>
        </w:tc>
        <w:tc>
          <w:tcPr>
            <w:tcW w:w="2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2" w:right="0"/>
              <w:jc w:val="left"/>
              <w:rPr>
                <w:rFonts w:ascii="Arial" w:hAnsi="Arial" w:cs="Arial" w:eastAsia="Arial" w:hint="default"/>
                <w:sz w:val="18"/>
                <w:szCs w:val="18"/>
              </w:rPr>
            </w:pPr>
            <w:r>
              <w:rPr>
                <w:rFonts w:ascii="Arial"/>
                <w:sz w:val="18"/>
              </w:rPr>
              <w:t>0.89578</w:t>
            </w:r>
          </w:p>
        </w:tc>
        <w:tc>
          <w:tcPr>
            <w:tcW w:w="23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19,467.97</w:t>
            </w:r>
            <w:r>
              <w:rPr>
                <w:rFonts w:ascii="Arial"/>
                <w:sz w:val="18"/>
              </w:rPr>
            </w: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3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Arial" w:hAnsi="Arial" w:cs="Arial" w:eastAsia="Arial" w:hint="default"/>
                <w:sz w:val="18"/>
                <w:szCs w:val="18"/>
              </w:rPr>
            </w:pPr>
            <w:r>
              <w:rPr>
                <w:rFonts w:ascii="Arial"/>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Arial" w:hAnsi="Arial" w:cs="Arial" w:eastAsia="Arial" w:hint="default"/>
                <w:sz w:val="18"/>
                <w:szCs w:val="18"/>
              </w:rPr>
            </w:pPr>
            <w:r>
              <w:rPr>
                <w:rFonts w:ascii="Arial"/>
                <w:sz w:val="18"/>
              </w:rPr>
              <w:t>--</w:t>
            </w:r>
          </w:p>
        </w:tc>
        <w:tc>
          <w:tcPr>
            <w:tcW w:w="2389" w:type="dxa"/>
            <w:tcBorders>
              <w:top w:val="single" w:sz="4" w:space="0" w:color="000000"/>
              <w:left w:val="single" w:sz="13" w:space="0" w:color="D3D3D3"/>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3" w:space="0" w:color="D3D3D3"/>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3" w:space="0" w:color="D3D3D3"/>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3" w:space="0" w:color="D3D3D3"/>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23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0" w:right="0"/>
              <w:jc w:val="center"/>
              <w:rPr>
                <w:rFonts w:ascii="Arial" w:hAnsi="Arial" w:cs="Arial" w:eastAsia="Arial" w:hint="default"/>
                <w:sz w:val="18"/>
                <w:szCs w:val="18"/>
              </w:rPr>
            </w:pPr>
            <w:r>
              <w:rPr>
                <w:rFonts w:ascii="Arial"/>
                <w:sz w:val="18"/>
              </w:rPr>
              <w:t>--</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Arial" w:hAnsi="Arial" w:cs="Arial" w:eastAsia="Arial" w:hint="default"/>
                <w:sz w:val="18"/>
                <w:szCs w:val="18"/>
              </w:rPr>
            </w:pPr>
            <w:r>
              <w:rPr>
                <w:rFonts w:ascii="Arial"/>
                <w:sz w:val="18"/>
              </w:rPr>
              <w:t>--</w:t>
            </w:r>
          </w:p>
        </w:tc>
        <w:tc>
          <w:tcPr>
            <w:tcW w:w="2389" w:type="dxa"/>
            <w:tcBorders>
              <w:top w:val="single" w:sz="4" w:space="0" w:color="000000"/>
              <w:left w:val="single" w:sz="13" w:space="0" w:color="D3D3D3"/>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2305" w:type="dxa"/>
            <w:tcBorders>
              <w:top w:val="single" w:sz="4" w:space="0" w:color="000000"/>
              <w:left w:val="single" w:sz="13" w:space="0" w:color="D3D3D3"/>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欧元</w:t>
            </w:r>
          </w:p>
        </w:tc>
        <w:tc>
          <w:tcPr>
            <w:tcW w:w="2305" w:type="dxa"/>
            <w:tcBorders>
              <w:top w:val="single" w:sz="4" w:space="0" w:color="000000"/>
              <w:left w:val="single" w:sz="13" w:space="0" w:color="D3D3D3"/>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6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2305" w:type="dxa"/>
            <w:tcBorders>
              <w:top w:val="single" w:sz="4" w:space="0" w:color="000000"/>
              <w:left w:val="single" w:sz="13" w:space="0" w:color="D3D3D3"/>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483" w:type="dxa"/>
            <w:tcBorders>
              <w:top w:val="single" w:sz="4" w:space="0" w:color="000000"/>
              <w:left w:val="single" w:sz="4" w:space="0" w:color="000000"/>
              <w:bottom w:val="single" w:sz="4" w:space="0" w:color="000000"/>
              <w:right w:val="single" w:sz="4" w:space="0" w:color="000000"/>
            </w:tcBorders>
          </w:tcPr>
          <w:p>
            <w:pPr/>
          </w:p>
        </w:tc>
        <w:tc>
          <w:tcPr>
            <w:tcW w:w="2305" w:type="dxa"/>
            <w:tcBorders>
              <w:top w:val="single" w:sz="4" w:space="0" w:color="000000"/>
              <w:left w:val="single" w:sz="4" w:space="0" w:color="000000"/>
              <w:bottom w:val="single" w:sz="4" w:space="0" w:color="000000"/>
              <w:right w:val="single" w:sz="4" w:space="0" w:color="000000"/>
            </w:tcBorders>
          </w:tcPr>
          <w:p>
            <w:pPr/>
          </w:p>
        </w:tc>
        <w:tc>
          <w:tcPr>
            <w:tcW w:w="2390" w:type="dxa"/>
            <w:tcBorders>
              <w:top w:val="single" w:sz="4" w:space="0" w:color="000000"/>
              <w:left w:val="single" w:sz="4" w:space="0" w:color="000000"/>
              <w:bottom w:val="single" w:sz="4" w:space="0" w:color="000000"/>
              <w:right w:val="single" w:sz="4" w:space="0" w:color="000000"/>
            </w:tcBorders>
          </w:tcPr>
          <w:p>
            <w:pPr/>
          </w:p>
        </w:tc>
        <w:tc>
          <w:tcPr>
            <w:tcW w:w="2389"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9850"/>
        <w:jc w:val="left"/>
      </w:pPr>
      <w:r>
        <w:rPr/>
        <w:t>其他说明： 无。</w:t>
      </w:r>
    </w:p>
    <w:p>
      <w:pPr>
        <w:spacing w:line="240" w:lineRule="auto" w:before="11"/>
        <w:rPr>
          <w:rFonts w:ascii="宋体" w:hAnsi="宋体" w:cs="宋体" w:eastAsia="宋体" w:hint="default"/>
          <w:sz w:val="19"/>
          <w:szCs w:val="19"/>
        </w:rPr>
      </w:pPr>
    </w:p>
    <w:p>
      <w:pPr>
        <w:pStyle w:val="Heading4"/>
        <w:spacing w:line="259" w:lineRule="auto"/>
        <w:ind w:right="0"/>
        <w:jc w:val="left"/>
        <w:rPr>
          <w:b w:val="0"/>
          <w:bCs w:val="0"/>
        </w:rPr>
      </w:pPr>
      <w:r>
        <w:rPr/>
        <w:t>（</w:t>
      </w:r>
      <w:r>
        <w:rPr>
          <w:rFonts w:ascii="Arial" w:hAnsi="Arial" w:cs="Arial" w:eastAsia="Arial" w:hint="default"/>
        </w:rPr>
        <w:t>2</w:t>
      </w:r>
      <w:r>
        <w:rPr/>
        <w:t>）境外经营实体说明，包括对于重要的境外经营实体，应披露其境外主要经营地、记账本位币及选择</w:t>
      </w:r>
      <w:r>
        <w:rPr>
          <w:spacing w:val="-83"/>
        </w:rPr>
        <w:t> </w:t>
      </w:r>
      <w:r>
        <w:rPr>
          <w:spacing w:val="-83"/>
        </w:rPr>
      </w:r>
      <w:r>
        <w:rPr/>
        <w:t>依据，记账本位币发生变化的还应披露原因。</w:t>
      </w:r>
      <w:r>
        <w:rPr>
          <w:b w:val="0"/>
          <w:bCs w:val="0"/>
        </w:rPr>
      </w:r>
    </w:p>
    <w:p>
      <w:pPr>
        <w:spacing w:line="240" w:lineRule="auto" w:before="7"/>
        <w:rPr>
          <w:rFonts w:ascii="宋体" w:hAnsi="宋体" w:cs="宋体" w:eastAsia="宋体" w:hint="default"/>
          <w:b/>
          <w:bCs/>
          <w:sz w:val="26"/>
          <w:szCs w:val="26"/>
        </w:rPr>
      </w:pPr>
    </w:p>
    <w:p>
      <w:pPr>
        <w:pStyle w:val="BodyText"/>
        <w:spacing w:line="415" w:lineRule="auto"/>
        <w:ind w:right="301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本公司之子公司榕基国际控股有限公司注册于香港，境外主要经营地为香港，记账本位币为港币。</w:t>
      </w:r>
    </w:p>
    <w:p>
      <w:pPr>
        <w:spacing w:line="240" w:lineRule="auto" w:before="11"/>
        <w:rPr>
          <w:rFonts w:ascii="宋体" w:hAnsi="宋体" w:cs="宋体" w:eastAsia="宋体" w:hint="default"/>
          <w:sz w:val="16"/>
          <w:szCs w:val="16"/>
        </w:rPr>
      </w:pPr>
    </w:p>
    <w:p>
      <w:pPr>
        <w:pStyle w:val="Heading4"/>
        <w:spacing w:line="240" w:lineRule="auto"/>
        <w:ind w:right="2239"/>
        <w:jc w:val="left"/>
        <w:rPr>
          <w:b w:val="0"/>
          <w:bCs w:val="0"/>
        </w:rPr>
      </w:pPr>
      <w:r>
        <w:rPr>
          <w:rFonts w:ascii="Arial" w:hAnsi="Arial" w:cs="Arial" w:eastAsia="Arial" w:hint="default"/>
        </w:rPr>
        <w:t>83</w:t>
      </w:r>
      <w:r>
        <w:rPr/>
        <w:t>、套期</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2239"/>
        <w:jc w:val="left"/>
      </w:pPr>
      <w:r>
        <w:rPr/>
        <w:t>按照套期类别披露套期项目及相关套期工具、被套期风险的定性和定量信息：</w:t>
      </w:r>
    </w:p>
    <w:p>
      <w:pPr>
        <w:spacing w:after="0" w:line="240" w:lineRule="auto"/>
        <w:jc w:val="left"/>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2239"/>
        <w:jc w:val="left"/>
        <w:rPr>
          <w:b w:val="0"/>
          <w:bCs w:val="0"/>
        </w:rPr>
      </w:pPr>
      <w:r>
        <w:rPr>
          <w:rFonts w:ascii="Arial" w:hAnsi="Arial" w:cs="Arial" w:eastAsia="Arial" w:hint="default"/>
        </w:rPr>
        <w:t>84</w:t>
      </w:r>
      <w:r>
        <w:rPr/>
        <w:t>、政府补助</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2239"/>
        <w:jc w:val="left"/>
        <w:rPr>
          <w:b w:val="0"/>
          <w:bCs w:val="0"/>
        </w:rPr>
      </w:pPr>
      <w:r>
        <w:rPr/>
        <w:t>（</w:t>
      </w:r>
      <w:r>
        <w:rPr>
          <w:rFonts w:ascii="Arial" w:hAnsi="Arial" w:cs="Arial" w:eastAsia="Arial" w:hint="default"/>
        </w:rPr>
        <w:t>1</w:t>
      </w:r>
      <w:r>
        <w:rPr/>
        <w:t>）政府补助基本情况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387"/>
        <w:gridCol w:w="1417"/>
        <w:gridCol w:w="994"/>
        <w:gridCol w:w="1770"/>
      </w:tblGrid>
      <w:tr>
        <w:trPr>
          <w:trHeight w:val="401" w:hRule="exact"/>
        </w:trPr>
        <w:tc>
          <w:tcPr>
            <w:tcW w:w="53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141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30" w:right="0"/>
              <w:jc w:val="left"/>
              <w:rPr>
                <w:rFonts w:ascii="宋体" w:hAnsi="宋体" w:cs="宋体" w:eastAsia="宋体" w:hint="default"/>
                <w:sz w:val="18"/>
                <w:szCs w:val="18"/>
              </w:rPr>
            </w:pPr>
            <w:r>
              <w:rPr>
                <w:rFonts w:ascii="宋体" w:hAnsi="宋体" w:cs="宋体" w:eastAsia="宋体" w:hint="default"/>
                <w:sz w:val="18"/>
                <w:szCs w:val="18"/>
              </w:rPr>
              <w:t>列报项目</w:t>
            </w:r>
          </w:p>
        </w:tc>
        <w:tc>
          <w:tcPr>
            <w:tcW w:w="17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68"/>
              <w:jc w:val="right"/>
              <w:rPr>
                <w:rFonts w:ascii="宋体" w:hAnsi="宋体" w:cs="宋体" w:eastAsia="宋体" w:hint="default"/>
                <w:sz w:val="18"/>
                <w:szCs w:val="18"/>
              </w:rPr>
            </w:pPr>
            <w:r>
              <w:rPr>
                <w:rFonts w:ascii="宋体" w:hAnsi="宋体" w:cs="宋体" w:eastAsia="宋体" w:hint="default"/>
                <w:sz w:val="18"/>
                <w:szCs w:val="18"/>
              </w:rPr>
              <w:t>计入当期损益的金额</w:t>
            </w:r>
          </w:p>
        </w:tc>
      </w:tr>
      <w:tr>
        <w:trPr>
          <w:trHeight w:val="714"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2"/>
              <w:ind w:left="22" w:right="47"/>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年省级新型研发机构非财政资金购买科研仪器设备软件后补助 市级配套经费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18"/>
                <w:szCs w:val="18"/>
              </w:rPr>
            </w:pPr>
            <w:r>
              <w:rPr>
                <w:rFonts w:ascii="Arial"/>
                <w:spacing w:val="-1"/>
                <w:sz w:val="18"/>
              </w:rPr>
              <w:t>4,623,594.00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4,623,594.00</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年度福建省数字经济发展专项资金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3,000,000.00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3,000,000.00</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榕基马鞍山智慧园</w:t>
            </w:r>
            <w:r>
              <w:rPr>
                <w:rFonts w:ascii="Arial" w:hAnsi="Arial" w:cs="Arial" w:eastAsia="Arial" w:hint="default"/>
                <w:sz w:val="18"/>
                <w:szCs w:val="18"/>
              </w:rPr>
              <w:t>”</w:t>
            </w:r>
            <w:r>
              <w:rPr>
                <w:rFonts w:ascii="宋体" w:hAnsi="宋体" w:cs="宋体" w:eastAsia="宋体" w:hint="default"/>
                <w:sz w:val="18"/>
                <w:szCs w:val="18"/>
              </w:rPr>
              <w:t>项目补助资金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1,168,503.24</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1,168,503.24</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年福州市软件产业发展专项资金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900,000.00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900,000.00</w:t>
            </w:r>
          </w:p>
        </w:tc>
      </w:tr>
      <w:tr>
        <w:trPr>
          <w:trHeight w:val="714"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302" w:lineRule="auto" w:before="52"/>
              <w:ind w:left="22" w:right="167"/>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年福建省互联网经济新增引导资金</w:t>
            </w:r>
            <w:r>
              <w:rPr>
                <w:rFonts w:ascii="Arial" w:hAnsi="Arial" w:cs="Arial" w:eastAsia="Arial" w:hint="default"/>
                <w:sz w:val="18"/>
                <w:szCs w:val="18"/>
              </w:rPr>
              <w:t>-</w:t>
            </w:r>
            <w:r>
              <w:rPr>
                <w:rFonts w:ascii="宋体" w:hAnsi="宋体" w:cs="宋体" w:eastAsia="宋体" w:hint="default"/>
                <w:sz w:val="18"/>
                <w:szCs w:val="18"/>
              </w:rPr>
              <w:t>星榕基中小企业信息化公 共服务平台</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18"/>
                <w:szCs w:val="18"/>
              </w:rPr>
            </w:pPr>
            <w:r>
              <w:rPr>
                <w:rFonts w:ascii="Arial"/>
                <w:spacing w:val="-1"/>
                <w:sz w:val="18"/>
              </w:rPr>
              <w:t>666,666.60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666,666.60</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年鼓楼区科技计划项目经费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400,000.00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400,000.00</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年市级软件产业发展专项资金项目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400,000.00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400,000.00</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增值税税收返还</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390,750.30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390,750.30</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年省级软件产业发展专项资金（省级补助）</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2"/>
                <w:sz w:val="18"/>
              </w:rPr>
              <w:t>311,000.00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2"/>
                <w:sz w:val="18"/>
              </w:rPr>
              <w:t>311,000.00</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Arial" w:hAnsi="Arial" w:cs="Arial" w:eastAsia="Arial" w:hint="default"/>
                <w:sz w:val="18"/>
                <w:szCs w:val="18"/>
              </w:rPr>
              <w:t>2017</w:t>
            </w:r>
            <w:r>
              <w:rPr>
                <w:rFonts w:ascii="Arial" w:hAnsi="Arial" w:cs="Arial" w:eastAsia="Arial" w:hint="default"/>
                <w:spacing w:val="-8"/>
                <w:sz w:val="18"/>
                <w:szCs w:val="18"/>
              </w:rPr>
              <w:t> </w:t>
            </w:r>
            <w:r>
              <w:rPr>
                <w:rFonts w:ascii="宋体" w:hAnsi="宋体" w:cs="宋体" w:eastAsia="宋体" w:hint="default"/>
                <w:sz w:val="18"/>
                <w:szCs w:val="18"/>
              </w:rPr>
              <w:t>年福州市软件产业发展专项资金项目</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300,000.00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300,000.00</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Arial" w:hAnsi="Arial" w:cs="Arial" w:eastAsia="Arial" w:hint="default"/>
                <w:sz w:val="18"/>
                <w:szCs w:val="18"/>
              </w:rPr>
              <w:t>2018</w:t>
            </w:r>
            <w:r>
              <w:rPr>
                <w:rFonts w:ascii="Arial" w:hAnsi="Arial" w:cs="Arial" w:eastAsia="Arial" w:hint="default"/>
                <w:spacing w:val="-8"/>
                <w:sz w:val="18"/>
                <w:szCs w:val="18"/>
              </w:rPr>
              <w:t> </w:t>
            </w:r>
            <w:r>
              <w:rPr>
                <w:rFonts w:ascii="宋体" w:hAnsi="宋体" w:cs="宋体" w:eastAsia="宋体" w:hint="default"/>
                <w:sz w:val="18"/>
                <w:szCs w:val="18"/>
              </w:rPr>
              <w:t>年福建省数字经济发展专项资金</w:t>
            </w:r>
            <w:r>
              <w:rPr>
                <w:rFonts w:ascii="Arial" w:hAnsi="Arial" w:cs="Arial" w:eastAsia="Arial" w:hint="default"/>
                <w:sz w:val="18"/>
                <w:szCs w:val="18"/>
              </w:rPr>
              <w:t>-</w:t>
            </w:r>
            <w:r>
              <w:rPr>
                <w:rFonts w:ascii="宋体" w:hAnsi="宋体" w:cs="宋体" w:eastAsia="宋体" w:hint="default"/>
                <w:sz w:val="18"/>
                <w:szCs w:val="18"/>
              </w:rPr>
              <w:t>星榕基教育物联网示范工程</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250,000.02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250,000.02</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年中小微企业研发费用投入补助区配套资金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250,000.00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250,000.00</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年度科技小巨人领军企业研发加计扣除奖励经费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179,000.00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179,000.00</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年省级软件产业发展专项资金（市级补助）</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155,000.00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155,000.00</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企业知识产权贯标资助经费</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150,000.00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150,000.00</w:t>
            </w:r>
          </w:p>
        </w:tc>
      </w:tr>
      <w:tr>
        <w:trPr>
          <w:trHeight w:val="402"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8"/>
                <w:sz w:val="18"/>
                <w:szCs w:val="18"/>
              </w:rPr>
              <w:t> </w:t>
            </w:r>
            <w:r>
              <w:rPr>
                <w:rFonts w:ascii="宋体" w:hAnsi="宋体" w:cs="宋体" w:eastAsia="宋体" w:hint="default"/>
                <w:sz w:val="18"/>
                <w:szCs w:val="18"/>
              </w:rPr>
              <w:t>年福建省</w:t>
            </w:r>
            <w:r>
              <w:rPr>
                <w:rFonts w:ascii="Arial" w:hAnsi="Arial" w:cs="Arial" w:eastAsia="Arial" w:hint="default"/>
                <w:sz w:val="18"/>
                <w:szCs w:val="18"/>
              </w:rPr>
              <w:t>“</w:t>
            </w:r>
            <w:r>
              <w:rPr>
                <w:rFonts w:ascii="宋体" w:hAnsi="宋体" w:cs="宋体" w:eastAsia="宋体" w:hint="default"/>
                <w:sz w:val="18"/>
                <w:szCs w:val="18"/>
              </w:rPr>
              <w:t>专精特新</w:t>
            </w:r>
            <w:r>
              <w:rPr>
                <w:rFonts w:ascii="Arial" w:hAnsi="Arial" w:cs="Arial" w:eastAsia="Arial" w:hint="default"/>
                <w:sz w:val="18"/>
                <w:szCs w:val="18"/>
              </w:rPr>
              <w:t>”</w:t>
            </w:r>
            <w:r>
              <w:rPr>
                <w:rFonts w:ascii="宋体" w:hAnsi="宋体" w:cs="宋体" w:eastAsia="宋体" w:hint="default"/>
                <w:sz w:val="18"/>
                <w:szCs w:val="18"/>
              </w:rPr>
              <w:t>中小企业认定奖励资金</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150,000.00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150,000.00</w:t>
            </w:r>
          </w:p>
        </w:tc>
      </w:tr>
      <w:tr>
        <w:trPr>
          <w:trHeight w:val="403" w:hRule="exact"/>
        </w:trPr>
        <w:tc>
          <w:tcPr>
            <w:tcW w:w="5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十五万元以下零星补助</w:t>
            </w:r>
          </w:p>
        </w:tc>
        <w:tc>
          <w:tcPr>
            <w:tcW w:w="14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823,902.60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其他收益</w:t>
            </w:r>
          </w:p>
        </w:tc>
        <w:tc>
          <w:tcPr>
            <w:tcW w:w="1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823,902.60</w:t>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t>（</w:t>
      </w:r>
      <w:r>
        <w:rPr>
          <w:rFonts w:ascii="Arial" w:hAnsi="Arial" w:cs="Arial" w:eastAsia="Arial" w:hint="default"/>
        </w:rPr>
        <w:t>2</w:t>
      </w:r>
      <w:r>
        <w:rPr/>
        <w:t>）政府补助退回情况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890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其他说明：</w:t>
      </w:r>
    </w:p>
    <w:p>
      <w:pPr>
        <w:pStyle w:val="BodyText"/>
        <w:spacing w:line="240" w:lineRule="auto" w:before="41"/>
        <w:ind w:right="2239"/>
        <w:jc w:val="left"/>
      </w:pPr>
      <w:r>
        <w:rPr/>
        <w:t>无。</w:t>
      </w:r>
    </w:p>
    <w:p>
      <w:pPr>
        <w:spacing w:after="0" w:line="240" w:lineRule="auto"/>
        <w:jc w:val="left"/>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spacing w:line="487" w:lineRule="auto" w:before="35"/>
        <w:ind w:left="154" w:right="8314" w:firstLine="0"/>
        <w:jc w:val="left"/>
        <w:rPr>
          <w:rFonts w:ascii="宋体" w:hAnsi="宋体" w:cs="宋体" w:eastAsia="宋体" w:hint="default"/>
          <w:sz w:val="21"/>
          <w:szCs w:val="21"/>
        </w:rPr>
      </w:pPr>
      <w:r>
        <w:rPr>
          <w:rFonts w:ascii="Arial" w:hAnsi="Arial" w:cs="Arial" w:eastAsia="Arial" w:hint="default"/>
          <w:b/>
          <w:bCs/>
          <w:sz w:val="21"/>
          <w:szCs w:val="21"/>
        </w:rPr>
        <w:t>85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八、合并范围的变更</w:t>
      </w:r>
      <w:r>
        <w:rPr>
          <w:rFonts w:ascii="宋体" w:hAnsi="宋体" w:cs="宋体" w:eastAsia="宋体" w:hint="default"/>
          <w:b/>
          <w:bCs/>
          <w:spacing w:val="1"/>
          <w:w w:val="99"/>
          <w:sz w:val="24"/>
          <w:szCs w:val="24"/>
        </w:rPr>
        <w:t> </w:t>
      </w:r>
      <w:r>
        <w:rPr>
          <w:rFonts w:ascii="Arial" w:hAnsi="Arial" w:cs="Arial" w:eastAsia="Arial" w:hint="default"/>
          <w:b/>
          <w:bCs/>
          <w:sz w:val="21"/>
          <w:szCs w:val="21"/>
        </w:rPr>
        <w:t>1</w:t>
      </w:r>
      <w:r>
        <w:rPr>
          <w:rFonts w:ascii="宋体" w:hAnsi="宋体" w:cs="宋体" w:eastAsia="宋体" w:hint="default"/>
          <w:b/>
          <w:bCs/>
          <w:sz w:val="21"/>
          <w:szCs w:val="21"/>
        </w:rPr>
        <w:t>、非同一控制下企业合并</w:t>
      </w:r>
      <w:r>
        <w:rPr>
          <w:rFonts w:ascii="宋体" w:hAnsi="宋体" w:cs="宋体" w:eastAsia="宋体" w:hint="default"/>
          <w:sz w:val="21"/>
          <w:szCs w:val="21"/>
        </w:rPr>
      </w:r>
    </w:p>
    <w:p>
      <w:pPr>
        <w:pStyle w:val="Heading4"/>
        <w:spacing w:line="240" w:lineRule="auto" w:before="81"/>
        <w:ind w:right="2239"/>
        <w:jc w:val="left"/>
        <w:rPr>
          <w:b w:val="0"/>
          <w:bCs w:val="0"/>
        </w:rPr>
      </w:pPr>
      <w:r>
        <w:rPr/>
        <w:t>（</w:t>
      </w:r>
      <w:r>
        <w:rPr>
          <w:rFonts w:ascii="Arial" w:hAnsi="Arial" w:cs="Arial" w:eastAsia="Arial" w:hint="default"/>
        </w:rPr>
        <w:t>1</w:t>
      </w:r>
      <w:r>
        <w:rPr/>
        <w:t>）本期发生的非同一控制下企业合并</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3"/>
        <w:gridCol w:w="1064"/>
        <w:gridCol w:w="1063"/>
        <w:gridCol w:w="1064"/>
        <w:gridCol w:w="1064"/>
        <w:gridCol w:w="1063"/>
        <w:gridCol w:w="1062"/>
        <w:gridCol w:w="1062"/>
        <w:gridCol w:w="1062"/>
      </w:tblGrid>
      <w:tr>
        <w:trPr>
          <w:trHeight w:val="1026" w:hRule="exact"/>
        </w:trPr>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5" w:right="77" w:hanging="360"/>
              <w:jc w:val="left"/>
              <w:rPr>
                <w:rFonts w:ascii="宋体" w:hAnsi="宋体" w:cs="宋体" w:eastAsia="宋体" w:hint="default"/>
                <w:sz w:val="18"/>
                <w:szCs w:val="18"/>
              </w:rPr>
            </w:pPr>
            <w:r>
              <w:rPr>
                <w:rFonts w:ascii="宋体" w:hAnsi="宋体" w:cs="宋体" w:eastAsia="宋体" w:hint="default"/>
                <w:sz w:val="18"/>
                <w:szCs w:val="18"/>
              </w:rPr>
              <w:t>被购买方名 称</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股权取得时 点</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4" w:hanging="360"/>
              <w:jc w:val="left"/>
              <w:rPr>
                <w:rFonts w:ascii="宋体" w:hAnsi="宋体" w:cs="宋体" w:eastAsia="宋体" w:hint="default"/>
                <w:sz w:val="18"/>
                <w:szCs w:val="18"/>
              </w:rPr>
            </w:pPr>
            <w:r>
              <w:rPr>
                <w:rFonts w:ascii="宋体" w:hAnsi="宋体" w:cs="宋体" w:eastAsia="宋体" w:hint="default"/>
                <w:sz w:val="18"/>
                <w:szCs w:val="18"/>
              </w:rPr>
              <w:t>股权取得成 本</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股权取得比 例</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436" w:right="77" w:hanging="360"/>
              <w:jc w:val="left"/>
              <w:rPr>
                <w:rFonts w:ascii="宋体" w:hAnsi="宋体" w:cs="宋体" w:eastAsia="宋体" w:hint="default"/>
                <w:sz w:val="18"/>
                <w:szCs w:val="18"/>
              </w:rPr>
            </w:pPr>
            <w:r>
              <w:rPr>
                <w:rFonts w:ascii="宋体" w:hAnsi="宋体" w:cs="宋体" w:eastAsia="宋体" w:hint="default"/>
                <w:sz w:val="18"/>
                <w:szCs w:val="18"/>
              </w:rPr>
              <w:t>股权取得方 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6"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55" w:right="74" w:hanging="180"/>
              <w:jc w:val="left"/>
              <w:rPr>
                <w:rFonts w:ascii="宋体" w:hAnsi="宋体" w:cs="宋体" w:eastAsia="宋体" w:hint="default"/>
                <w:sz w:val="18"/>
                <w:szCs w:val="18"/>
              </w:rPr>
            </w:pPr>
            <w:r>
              <w:rPr>
                <w:rFonts w:ascii="宋体" w:hAnsi="宋体" w:cs="宋体" w:eastAsia="宋体" w:hint="default"/>
                <w:sz w:val="18"/>
                <w:szCs w:val="18"/>
              </w:rPr>
              <w:t>购买日的确 定依据</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5" w:right="74"/>
              <w:jc w:val="center"/>
              <w:rPr>
                <w:rFonts w:ascii="宋体" w:hAnsi="宋体" w:cs="宋体" w:eastAsia="宋体" w:hint="default"/>
                <w:sz w:val="18"/>
                <w:szCs w:val="18"/>
              </w:rPr>
            </w:pPr>
            <w:r>
              <w:rPr>
                <w:rFonts w:ascii="宋体" w:hAnsi="宋体" w:cs="宋体" w:eastAsia="宋体" w:hint="default"/>
                <w:sz w:val="18"/>
                <w:szCs w:val="18"/>
              </w:rPr>
              <w:t>购买日至期 末被购买方 的收入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5" w:right="74"/>
              <w:jc w:val="both"/>
              <w:rPr>
                <w:rFonts w:ascii="宋体" w:hAnsi="宋体" w:cs="宋体" w:eastAsia="宋体" w:hint="default"/>
                <w:sz w:val="18"/>
                <w:szCs w:val="18"/>
              </w:rPr>
            </w:pPr>
            <w:r>
              <w:rPr>
                <w:rFonts w:ascii="宋体" w:hAnsi="宋体" w:cs="宋体" w:eastAsia="宋体" w:hint="default"/>
                <w:sz w:val="18"/>
                <w:szCs w:val="18"/>
              </w:rPr>
              <w:t>购买日至期 末被购买方 的净利润</w:t>
            </w:r>
          </w:p>
        </w:tc>
      </w:tr>
    </w:tbl>
    <w:p>
      <w:pPr>
        <w:pStyle w:val="BodyText"/>
        <w:spacing w:line="240" w:lineRule="auto" w:before="51"/>
        <w:ind w:right="2239"/>
        <w:jc w:val="left"/>
      </w:pPr>
      <w:r>
        <w:rPr/>
        <w:t>其他说明：</w:t>
      </w:r>
    </w:p>
    <w:p>
      <w:pPr>
        <w:pStyle w:val="Heading3"/>
        <w:spacing w:line="240" w:lineRule="auto" w:before="146"/>
        <w:ind w:right="2239"/>
        <w:jc w:val="left"/>
        <w:rPr>
          <w:rFonts w:ascii="宋体" w:hAnsi="宋体" w:cs="宋体" w:eastAsia="宋体" w:hint="default"/>
        </w:rPr>
      </w:pPr>
      <w:r>
        <w:rPr>
          <w:rFonts w:ascii="宋体" w:hAnsi="宋体" w:cs="宋体" w:eastAsia="宋体" w:hint="default"/>
        </w:rPr>
        <w:t>无。</w:t>
      </w:r>
    </w:p>
    <w:p>
      <w:pPr>
        <w:spacing w:line="240" w:lineRule="auto" w:before="8"/>
        <w:rPr>
          <w:rFonts w:ascii="宋体" w:hAnsi="宋体" w:cs="宋体" w:eastAsia="宋体" w:hint="default"/>
          <w:sz w:val="24"/>
          <w:szCs w:val="24"/>
        </w:rPr>
      </w:pPr>
    </w:p>
    <w:p>
      <w:pPr>
        <w:pStyle w:val="Heading4"/>
        <w:spacing w:line="240" w:lineRule="auto"/>
        <w:ind w:right="2239"/>
        <w:jc w:val="left"/>
        <w:rPr>
          <w:b w:val="0"/>
          <w:bCs w:val="0"/>
        </w:rPr>
      </w:pPr>
      <w:r>
        <w:rPr/>
        <w:t>（</w:t>
      </w:r>
      <w:r>
        <w:rPr>
          <w:rFonts w:ascii="Arial" w:hAnsi="Arial" w:cs="Arial" w:eastAsia="Arial" w:hint="default"/>
        </w:rPr>
        <w:t>2</w:t>
      </w:r>
      <w:r>
        <w:rPr/>
        <w:t>）合并成本及商誉</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4777;top:14;width:2;height:393" coordorigin="4777,14" coordsize="2,393">
              <v:shape style="position:absolute;left:4777;top:14;width:2;height:393" coordorigin="4777,14" coordsize="0,393" path="m4777,14l4777,407e" filled="false" stroked="true" strokeweight="1.140pt" strokecolor="#d3d3d3">
                <v:path arrowok="t"/>
              </v:shape>
            </v:group>
            <v:group style="position:absolute;left:37;top:14;width:4728;height:393" coordorigin="37,14" coordsize="4728,393">
              <v:shape style="position:absolute;left:37;top:14;width:4728;height:393" coordorigin="37,14" coordsize="4728,393" path="m37,407l4765,407,4765,14,37,14,37,407xe" filled="true" fillcolor="#d3d3d3" stroked="false">
                <v:path arrowok="t"/>
                <v:fill type="solid"/>
              </v:shape>
            </v:group>
            <v:group style="position:absolute;left:4810;top:14;width:2;height:393" coordorigin="4810,14" coordsize="2,393">
              <v:shape style="position:absolute;left:4810;top:14;width:2;height:393" coordorigin="4810,14" coordsize="0,393" path="m4810,14l4810,407e" filled="false" stroked="true" strokeweight="1.140pt" strokecolor="#d3d3d3">
                <v:path arrowok="t"/>
              </v:shape>
            </v:group>
            <v:group style="position:absolute;left:9561;top:14;width:2;height:393" coordorigin="9561,14" coordsize="2,393">
              <v:shape style="position:absolute;left:9561;top:14;width:2;height:393" coordorigin="9561,14" coordsize="0,393" path="m9561,14l9561,407e" filled="false" stroked="true" strokeweight="1.140pt" strokecolor="#d3d3d3">
                <v:path arrowok="t"/>
              </v:shape>
            </v:group>
            <v:group style="position:absolute;left:4822;top:14;width:4728;height:393" coordorigin="4822,14" coordsize="4728,393">
              <v:shape style="position:absolute;left:4822;top:14;width:4728;height:393" coordorigin="4822,14" coordsize="4728,393" path="m4822,407l9550,407,9550,14,4822,14,48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5;height:2" coordorigin="5,412" coordsize="4785,2">
              <v:shape style="position:absolute;left:5;top:412;width:4785;height:2" coordorigin="5,412" coordsize="4785,0" path="m5,412l4789,412e" filled="false" stroked="true" strokeweight=".48001pt" strokecolor="#000000">
                <v:path arrowok="t"/>
              </v:shape>
            </v:group>
            <v:group style="position:absolute;left:4794;top:14;width:2;height:402" coordorigin="4794,14" coordsize="2,402">
              <v:shape style="position:absolute;left:4794;top:14;width:2;height:402" coordorigin="4794,14" coordsize="0,402" path="m4794,14l4794,416e" filled="false" stroked="true" strokeweight=".48001pt" strokecolor="#000000">
                <v:path arrowok="t"/>
              </v:shape>
            </v:group>
            <v:group style="position:absolute;left:4799;top:412;width:4774;height:2" coordorigin="4799,412" coordsize="4774,2">
              <v:shape style="position:absolute;left:4799;top:412;width:4774;height:2" coordorigin="4799,412" coordsize="4774,0" path="m4799,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0;top:10;width:4785;height:402" type="#_x0000_t202" filled="false" stroked="false">
                <v:textbox inset="0,0,0,0">
                  <w:txbxContent>
                    <w:p>
                      <w:pPr>
                        <w:spacing w:before="56"/>
                        <w:ind w:left="0" w:right="1"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left="153" w:right="6071"/>
        <w:jc w:val="left"/>
      </w:pPr>
      <w:r>
        <w:rPr/>
        <w:t>合并成本公允价值的确定方法、或有对价及其变动的说明： 大额商誉形成的主要原因：</w:t>
      </w:r>
    </w:p>
    <w:p>
      <w:pPr>
        <w:pStyle w:val="BodyText"/>
        <w:spacing w:line="357" w:lineRule="auto" w:before="26"/>
        <w:ind w:left="153" w:right="9851"/>
        <w:jc w:val="left"/>
      </w:pPr>
      <w:r>
        <w:rPr/>
        <w:t>其他说明： 无。</w:t>
      </w:r>
    </w:p>
    <w:p>
      <w:pPr>
        <w:spacing w:line="240" w:lineRule="auto" w:before="1"/>
        <w:rPr>
          <w:rFonts w:ascii="宋体" w:hAnsi="宋体" w:cs="宋体" w:eastAsia="宋体" w:hint="default"/>
          <w:sz w:val="20"/>
          <w:szCs w:val="20"/>
        </w:rPr>
      </w:pPr>
    </w:p>
    <w:p>
      <w:pPr>
        <w:pStyle w:val="Heading4"/>
        <w:spacing w:line="240" w:lineRule="auto"/>
        <w:ind w:right="2239"/>
        <w:jc w:val="left"/>
        <w:rPr>
          <w:b w:val="0"/>
          <w:bCs w:val="0"/>
        </w:rPr>
      </w:pPr>
      <w:r>
        <w:rPr/>
        <w:t>（</w:t>
      </w:r>
      <w:r>
        <w:rPr>
          <w:rFonts w:ascii="Arial" w:hAnsi="Arial" w:cs="Arial" w:eastAsia="Arial" w:hint="default"/>
        </w:rPr>
        <w:t>3</w:t>
      </w:r>
      <w:r>
        <w:rPr/>
        <w:t>）被购买方于购买日可辨认资产、负债</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62"/>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6353" w:type="dxa"/>
            <w:gridSpan w:val="2"/>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61" w:right="0"/>
              <w:jc w:val="left"/>
              <w:rPr>
                <w:rFonts w:ascii="宋体" w:hAnsi="宋体" w:cs="宋体" w:eastAsia="宋体" w:hint="default"/>
                <w:sz w:val="18"/>
                <w:szCs w:val="18"/>
              </w:rPr>
            </w:pPr>
            <w:r>
              <w:rPr>
                <w:rFonts w:ascii="宋体" w:hAnsi="宋体" w:cs="宋体" w:eastAsia="宋体" w:hint="default"/>
                <w:sz w:val="18"/>
                <w:szCs w:val="18"/>
              </w:rPr>
              <w:t>购买日公允价值</w:t>
            </w:r>
          </w:p>
        </w:tc>
        <w:tc>
          <w:tcPr>
            <w:tcW w:w="3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60" w:right="0"/>
              <w:jc w:val="left"/>
              <w:rPr>
                <w:rFonts w:ascii="宋体" w:hAnsi="宋体" w:cs="宋体" w:eastAsia="宋体" w:hint="default"/>
                <w:sz w:val="18"/>
                <w:szCs w:val="18"/>
              </w:rPr>
            </w:pPr>
            <w:r>
              <w:rPr>
                <w:rFonts w:ascii="宋体" w:hAnsi="宋体" w:cs="宋体" w:eastAsia="宋体" w:hint="default"/>
                <w:sz w:val="18"/>
                <w:szCs w:val="18"/>
              </w:rPr>
              <w:t>购买日账面价值</w:t>
            </w:r>
          </w:p>
        </w:tc>
      </w:tr>
    </w:tbl>
    <w:p>
      <w:pPr>
        <w:pStyle w:val="BodyText"/>
        <w:spacing w:line="360" w:lineRule="auto" w:before="51"/>
        <w:ind w:left="153" w:right="7528"/>
        <w:jc w:val="both"/>
      </w:pPr>
      <w:r>
        <w:rPr/>
        <w:t>可辨认资产、负债公允价值的确定方法： 企业合并中承担的被购买方的或有负债： 其他说明：</w:t>
      </w:r>
    </w:p>
    <w:p>
      <w:pPr>
        <w:pStyle w:val="BodyText"/>
        <w:spacing w:line="240" w:lineRule="auto" w:before="26"/>
        <w:ind w:left="153" w:right="0"/>
        <w:jc w:val="both"/>
      </w:pPr>
      <w:r>
        <w:rPr/>
        <w:t>无。</w:t>
      </w:r>
    </w:p>
    <w:p>
      <w:pPr>
        <w:spacing w:line="240" w:lineRule="auto" w:before="11"/>
        <w:rPr>
          <w:rFonts w:ascii="宋体" w:hAnsi="宋体" w:cs="宋体" w:eastAsia="宋体" w:hint="default"/>
          <w:sz w:val="26"/>
          <w:szCs w:val="26"/>
        </w:rPr>
      </w:pPr>
    </w:p>
    <w:p>
      <w:pPr>
        <w:pStyle w:val="Heading4"/>
        <w:spacing w:line="240" w:lineRule="auto"/>
        <w:ind w:right="0"/>
        <w:jc w:val="both"/>
        <w:rPr>
          <w:b w:val="0"/>
          <w:bCs w:val="0"/>
        </w:rPr>
      </w:pPr>
      <w:r>
        <w:rPr/>
        <w:t>（</w:t>
      </w:r>
      <w:r>
        <w:rPr>
          <w:rFonts w:ascii="Arial" w:hAnsi="Arial" w:cs="Arial" w:eastAsia="Arial" w:hint="default"/>
        </w:rPr>
        <w:t>4</w:t>
      </w:r>
      <w:r>
        <w:rPr/>
        <w:t>）购买日之前持有的股权按照公允价值重新计量产生的利得或损失</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0"/>
        <w:jc w:val="both"/>
      </w:pPr>
      <w:r>
        <w:rPr/>
        <w:t>是否存在通过多次交易分步实现企业合并且在报告期内取得控制权的交易</w:t>
      </w:r>
    </w:p>
    <w:p>
      <w:pPr>
        <w:pStyle w:val="BodyText"/>
        <w:spacing w:line="240" w:lineRule="auto" w:before="116"/>
        <w:ind w:left="153" w:right="0"/>
        <w:jc w:val="both"/>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29"/>
        </w:rPr>
        <w:t> </w:t>
      </w:r>
      <w:r>
        <w:rPr/>
        <w:t>否</w:t>
      </w:r>
    </w:p>
    <w:p>
      <w:pPr>
        <w:spacing w:after="0" w:line="240" w:lineRule="auto"/>
        <w:jc w:val="both"/>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0"/>
        <w:jc w:val="left"/>
        <w:rPr>
          <w:b w:val="0"/>
          <w:bCs w:val="0"/>
        </w:rPr>
      </w:pPr>
      <w:r>
        <w:rPr/>
        <w:t>（</w:t>
      </w:r>
      <w:r>
        <w:rPr>
          <w:rFonts w:ascii="Arial" w:hAnsi="Arial" w:cs="Arial" w:eastAsia="Arial" w:hint="default"/>
        </w:rPr>
        <w:t>5</w:t>
      </w:r>
      <w:r>
        <w:rPr/>
        <w:t>）购买日或合并当期期末无法合理确定合并对价或被购买方可辨认资产、负债公允价值的相关说明</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left="153" w:right="2239"/>
        <w:jc w:val="left"/>
        <w:rPr>
          <w:b w:val="0"/>
          <w:bCs w:val="0"/>
        </w:rPr>
      </w:pPr>
      <w:r>
        <w:rPr/>
        <w:t>（</w:t>
      </w:r>
      <w:r>
        <w:rPr>
          <w:rFonts w:ascii="Arial" w:hAnsi="Arial" w:cs="Arial" w:eastAsia="Arial" w:hint="default"/>
        </w:rPr>
        <w:t>6</w:t>
      </w:r>
      <w:r>
        <w:rPr/>
        <w:t>）其他说明</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2239"/>
        <w:jc w:val="left"/>
        <w:rPr>
          <w:b w:val="0"/>
          <w:bCs w:val="0"/>
        </w:rPr>
      </w:pPr>
      <w:r>
        <w:rPr>
          <w:rFonts w:ascii="Arial" w:hAnsi="Arial" w:cs="Arial" w:eastAsia="Arial" w:hint="default"/>
        </w:rPr>
        <w:t>2</w:t>
      </w:r>
      <w:r>
        <w:rPr/>
        <w:t>、同一控制下企业合并</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2239"/>
        <w:jc w:val="left"/>
        <w:rPr>
          <w:b w:val="0"/>
          <w:bCs w:val="0"/>
        </w:rPr>
      </w:pPr>
      <w:r>
        <w:rPr/>
        <w:t>（</w:t>
      </w:r>
      <w:r>
        <w:rPr>
          <w:rFonts w:ascii="Arial" w:hAnsi="Arial" w:cs="Arial" w:eastAsia="Arial" w:hint="default"/>
        </w:rPr>
        <w:t>1</w:t>
      </w:r>
      <w:r>
        <w:rPr/>
        <w:t>）本期发生的同一控制下企业合并</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3"/>
        <w:gridCol w:w="1064"/>
        <w:gridCol w:w="1064"/>
        <w:gridCol w:w="1063"/>
        <w:gridCol w:w="1064"/>
        <w:gridCol w:w="1064"/>
        <w:gridCol w:w="1063"/>
      </w:tblGrid>
      <w:tr>
        <w:trPr>
          <w:trHeight w:val="1338" w:hRule="exact"/>
        </w:trPr>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435" w:right="73" w:hanging="360"/>
              <w:jc w:val="left"/>
              <w:rPr>
                <w:rFonts w:ascii="宋体" w:hAnsi="宋体" w:cs="宋体" w:eastAsia="宋体" w:hint="default"/>
                <w:sz w:val="18"/>
                <w:szCs w:val="18"/>
              </w:rPr>
            </w:pPr>
            <w:r>
              <w:rPr>
                <w:rFonts w:ascii="宋体" w:hAnsi="宋体" w:cs="宋体" w:eastAsia="宋体" w:hint="default"/>
                <w:sz w:val="18"/>
                <w:szCs w:val="18"/>
              </w:rPr>
              <w:t>被合并方名 称</w:t>
            </w: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5" w:right="73"/>
              <w:jc w:val="center"/>
              <w:rPr>
                <w:rFonts w:ascii="宋体" w:hAnsi="宋体" w:cs="宋体" w:eastAsia="宋体" w:hint="default"/>
                <w:sz w:val="18"/>
                <w:szCs w:val="18"/>
              </w:rPr>
            </w:pPr>
            <w:r>
              <w:rPr>
                <w:rFonts w:ascii="宋体" w:hAnsi="宋体" w:cs="宋体" w:eastAsia="宋体" w:hint="default"/>
                <w:sz w:val="18"/>
                <w:szCs w:val="18"/>
              </w:rPr>
              <w:t>企业合并中 取得的权益 比例</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both"/>
              <w:rPr>
                <w:rFonts w:ascii="宋体" w:hAnsi="宋体" w:cs="宋体" w:eastAsia="宋体" w:hint="default"/>
                <w:sz w:val="18"/>
                <w:szCs w:val="18"/>
              </w:rPr>
            </w:pPr>
            <w:r>
              <w:rPr>
                <w:rFonts w:ascii="宋体" w:hAnsi="宋体" w:cs="宋体" w:eastAsia="宋体" w:hint="default"/>
                <w:sz w:val="18"/>
                <w:szCs w:val="18"/>
              </w:rPr>
              <w:t>构成同一控 制下企业合 并的依据</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合并日</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8"/>
              <w:ind w:left="256" w:right="77" w:hanging="180"/>
              <w:jc w:val="left"/>
              <w:rPr>
                <w:rFonts w:ascii="宋体" w:hAnsi="宋体" w:cs="宋体" w:eastAsia="宋体" w:hint="default"/>
                <w:sz w:val="18"/>
                <w:szCs w:val="18"/>
              </w:rPr>
            </w:pPr>
            <w:r>
              <w:rPr>
                <w:rFonts w:ascii="宋体" w:hAnsi="宋体" w:cs="宋体" w:eastAsia="宋体" w:hint="default"/>
                <w:sz w:val="18"/>
                <w:szCs w:val="18"/>
              </w:rPr>
              <w:t>合并日的确 定依据</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6" w:right="74"/>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收入</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76" w:right="77"/>
              <w:jc w:val="center"/>
              <w:rPr>
                <w:rFonts w:ascii="宋体" w:hAnsi="宋体" w:cs="宋体" w:eastAsia="宋体" w:hint="default"/>
                <w:sz w:val="18"/>
                <w:szCs w:val="18"/>
              </w:rPr>
            </w:pPr>
            <w:r>
              <w:rPr>
                <w:rFonts w:ascii="宋体" w:hAnsi="宋体" w:cs="宋体" w:eastAsia="宋体" w:hint="default"/>
                <w:sz w:val="18"/>
                <w:szCs w:val="18"/>
              </w:rPr>
              <w:t>合并当期期 初至合并日 被合并方的 净利润</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7"/>
              <w:jc w:val="center"/>
              <w:rPr>
                <w:rFonts w:ascii="宋体" w:hAnsi="宋体" w:cs="宋体" w:eastAsia="宋体" w:hint="default"/>
                <w:sz w:val="18"/>
                <w:szCs w:val="18"/>
              </w:rPr>
            </w:pPr>
            <w:r>
              <w:rPr>
                <w:rFonts w:ascii="宋体" w:hAnsi="宋体" w:cs="宋体" w:eastAsia="宋体" w:hint="default"/>
                <w:sz w:val="18"/>
                <w:szCs w:val="18"/>
              </w:rPr>
              <w:t>比较期间被 合并方的收 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76" w:right="74"/>
              <w:jc w:val="center"/>
              <w:rPr>
                <w:rFonts w:ascii="宋体" w:hAnsi="宋体" w:cs="宋体" w:eastAsia="宋体" w:hint="default"/>
                <w:sz w:val="18"/>
                <w:szCs w:val="18"/>
              </w:rPr>
            </w:pPr>
            <w:r>
              <w:rPr>
                <w:rFonts w:ascii="宋体" w:hAnsi="宋体" w:cs="宋体" w:eastAsia="宋体" w:hint="default"/>
                <w:sz w:val="18"/>
                <w:szCs w:val="18"/>
              </w:rPr>
              <w:t>比较期间被 合并方的净 利润</w:t>
            </w:r>
          </w:p>
        </w:tc>
      </w:tr>
    </w:tbl>
    <w:p>
      <w:pPr>
        <w:pStyle w:val="BodyText"/>
        <w:spacing w:line="360" w:lineRule="auto" w:before="51"/>
        <w:ind w:right="9850"/>
        <w:jc w:val="left"/>
      </w:pPr>
      <w:r>
        <w:rPr/>
        <w:t>其他说明： 无。</w:t>
      </w:r>
    </w:p>
    <w:p>
      <w:pPr>
        <w:spacing w:line="240" w:lineRule="auto" w:before="11"/>
        <w:rPr>
          <w:rFonts w:ascii="宋体" w:hAnsi="宋体" w:cs="宋体" w:eastAsia="宋体" w:hint="default"/>
          <w:sz w:val="19"/>
          <w:szCs w:val="19"/>
        </w:rPr>
      </w:pPr>
    </w:p>
    <w:p>
      <w:pPr>
        <w:pStyle w:val="Heading4"/>
        <w:spacing w:line="240" w:lineRule="auto"/>
        <w:ind w:right="2239"/>
        <w:jc w:val="left"/>
        <w:rPr>
          <w:b w:val="0"/>
          <w:bCs w:val="0"/>
        </w:rPr>
      </w:pPr>
      <w:r>
        <w:rPr/>
        <w:t>（</w:t>
      </w:r>
      <w:r>
        <w:rPr>
          <w:rFonts w:ascii="Arial" w:hAnsi="Arial" w:cs="Arial" w:eastAsia="Arial" w:hint="default"/>
        </w:rPr>
        <w:t>2</w:t>
      </w:r>
      <w:r>
        <w:rPr/>
        <w:t>）合并成本</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4777;top:14;width:2;height:393" coordorigin="4777,14" coordsize="2,393">
              <v:shape style="position:absolute;left:4777;top:14;width:2;height:393" coordorigin="4777,14" coordsize="0,393" path="m4777,14l4777,407e" filled="false" stroked="true" strokeweight="1.140pt" strokecolor="#d3d3d3">
                <v:path arrowok="t"/>
              </v:shape>
            </v:group>
            <v:group style="position:absolute;left:37;top:14;width:4728;height:393" coordorigin="37,14" coordsize="4728,393">
              <v:shape style="position:absolute;left:37;top:14;width:4728;height:393" coordorigin="37,14" coordsize="4728,393" path="m37,407l4765,407,4765,14,37,14,37,407xe" filled="true" fillcolor="#d3d3d3" stroked="false">
                <v:path arrowok="t"/>
                <v:fill type="solid"/>
              </v:shape>
            </v:group>
            <v:group style="position:absolute;left:4810;top:14;width:2;height:393" coordorigin="4810,14" coordsize="2,393">
              <v:shape style="position:absolute;left:4810;top:14;width:2;height:393" coordorigin="4810,14" coordsize="0,393" path="m4810,14l4810,407e" filled="false" stroked="true" strokeweight="1.140pt" strokecolor="#d3d3d3">
                <v:path arrowok="t"/>
              </v:shape>
            </v:group>
            <v:group style="position:absolute;left:9561;top:14;width:2;height:393" coordorigin="9561,14" coordsize="2,393">
              <v:shape style="position:absolute;left:9561;top:14;width:2;height:393" coordorigin="9561,14" coordsize="0,393" path="m9561,14l9561,407e" filled="false" stroked="true" strokeweight="1.140pt" strokecolor="#d3d3d3">
                <v:path arrowok="t"/>
              </v:shape>
            </v:group>
            <v:group style="position:absolute;left:4822;top:14;width:4728;height:393" coordorigin="4822,14" coordsize="4728,393">
              <v:shape style="position:absolute;left:4822;top:14;width:4728;height:393" coordorigin="4822,14" coordsize="4728,393" path="m4822,407l9550,407,9550,14,4822,14,48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5;height:2" coordorigin="5,412" coordsize="4785,2">
              <v:shape style="position:absolute;left:5;top:412;width:4785;height:2" coordorigin="5,412" coordsize="4785,0" path="m5,412l4789,412e" filled="false" stroked="true" strokeweight=".48001pt" strokecolor="#000000">
                <v:path arrowok="t"/>
              </v:shape>
            </v:group>
            <v:group style="position:absolute;left:4794;top:14;width:2;height:402" coordorigin="4794,14" coordsize="2,402">
              <v:shape style="position:absolute;left:4794;top:14;width:2;height:402" coordorigin="4794,14" coordsize="0,402" path="m4794,14l4794,416e" filled="false" stroked="true" strokeweight=".48001pt" strokecolor="#000000">
                <v:path arrowok="t"/>
              </v:shape>
            </v:group>
            <v:group style="position:absolute;left:4799;top:412;width:4774;height:2" coordorigin="4799,412" coordsize="4774,2">
              <v:shape style="position:absolute;left:4799;top:412;width:4774;height:2" coordorigin="4799,412" coordsize="4774,0" path="m4799,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0;top:10;width:4785;height:402" type="#_x0000_t202" filled="false" stroked="false">
                <v:textbox inset="0,0,0,0">
                  <w:txbxContent>
                    <w:p>
                      <w:pPr>
                        <w:spacing w:before="56"/>
                        <w:ind w:left="0" w:right="1" w:firstLine="0"/>
                        <w:jc w:val="center"/>
                        <w:rPr>
                          <w:rFonts w:ascii="宋体" w:hAnsi="宋体" w:cs="宋体" w:eastAsia="宋体" w:hint="default"/>
                          <w:sz w:val="18"/>
                          <w:szCs w:val="18"/>
                        </w:rPr>
                      </w:pPr>
                      <w:r>
                        <w:rPr>
                          <w:rFonts w:ascii="宋体" w:hAnsi="宋体" w:cs="宋体" w:eastAsia="宋体" w:hint="default"/>
                          <w:sz w:val="18"/>
                          <w:szCs w:val="18"/>
                        </w:rPr>
                        <w:t>合并成本</w:t>
                      </w:r>
                    </w:p>
                  </w:txbxContent>
                </v:textbox>
                <w10:wrap type="none"/>
              </v:shape>
            </v:group>
          </v:group>
        </w:pict>
      </w:r>
      <w:r>
        <w:rPr>
          <w:rFonts w:ascii="宋体" w:hAnsi="宋体" w:cs="宋体" w:eastAsia="宋体" w:hint="default"/>
          <w:position w:val="-7"/>
          <w:sz w:val="20"/>
          <w:szCs w:val="20"/>
        </w:rPr>
      </w:r>
    </w:p>
    <w:p>
      <w:pPr>
        <w:pStyle w:val="BodyText"/>
        <w:spacing w:line="360" w:lineRule="auto" w:before="46"/>
        <w:ind w:left="153" w:right="8591"/>
        <w:jc w:val="left"/>
      </w:pPr>
      <w:r>
        <w:rPr/>
        <w:t>或有对价及其变动的说明： 其他说明：</w:t>
      </w:r>
    </w:p>
    <w:p>
      <w:pPr>
        <w:pStyle w:val="BodyText"/>
        <w:spacing w:line="240" w:lineRule="auto" w:before="26"/>
        <w:ind w:left="153" w:right="2239"/>
        <w:jc w:val="left"/>
      </w:pPr>
      <w:r>
        <w:rPr/>
        <w:t>无。</w:t>
      </w:r>
    </w:p>
    <w:p>
      <w:pPr>
        <w:spacing w:line="240" w:lineRule="auto" w:before="11"/>
        <w:rPr>
          <w:rFonts w:ascii="宋体" w:hAnsi="宋体" w:cs="宋体" w:eastAsia="宋体" w:hint="default"/>
          <w:sz w:val="26"/>
          <w:szCs w:val="26"/>
        </w:rPr>
      </w:pPr>
    </w:p>
    <w:p>
      <w:pPr>
        <w:pStyle w:val="Heading4"/>
        <w:spacing w:line="240" w:lineRule="auto"/>
        <w:ind w:right="2239"/>
        <w:jc w:val="left"/>
        <w:rPr>
          <w:b w:val="0"/>
          <w:bCs w:val="0"/>
        </w:rPr>
      </w:pPr>
      <w:r>
        <w:rPr/>
        <w:t>（</w:t>
      </w:r>
      <w:r>
        <w:rPr>
          <w:rFonts w:ascii="Arial" w:hAnsi="Arial" w:cs="Arial" w:eastAsia="Arial" w:hint="default"/>
        </w:rPr>
        <w:t>3</w:t>
      </w:r>
      <w:r>
        <w:rPr/>
        <w:t>）合并日被合并方资产、负债的账面价值</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823" w:lineRule="exact"/>
        <w:ind w:left="144" w:right="0" w:firstLine="0"/>
        <w:rPr>
          <w:rFonts w:ascii="宋体" w:hAnsi="宋体" w:cs="宋体" w:eastAsia="宋体" w:hint="default"/>
          <w:sz w:val="20"/>
          <w:szCs w:val="20"/>
        </w:rPr>
      </w:pPr>
      <w:r>
        <w:rPr>
          <w:rFonts w:ascii="宋体" w:hAnsi="宋体" w:cs="宋体" w:eastAsia="宋体" w:hint="default"/>
          <w:position w:val="-15"/>
          <w:sz w:val="20"/>
          <w:szCs w:val="20"/>
        </w:rPr>
        <w:pict>
          <v:group style="width:479.5pt;height:41.2pt;mso-position-horizontal-relative:char;mso-position-vertical-relative:line" coordorigin="0,0" coordsize="9590,824">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3183;top:14;width:2;height:393" coordorigin="3183,14" coordsize="2,393">
              <v:shape style="position:absolute;left:3183;top:14;width:2;height:393" coordorigin="3183,14" coordsize="0,393" path="m3183,14l3183,407e" filled="false" stroked="true" strokeweight="1.140pt" strokecolor="#d3d3d3">
                <v:path arrowok="t"/>
              </v:shape>
            </v:group>
            <v:group style="position:absolute;left:37;top:14;width:3135;height:393" coordorigin="37,14" coordsize="3135,393">
              <v:shape style="position:absolute;left:37;top:14;width:3135;height:393" coordorigin="37,14" coordsize="3135,393" path="m37,407l3172,407,3172,14,37,14,37,407xe" filled="true" fillcolor="#d3d3d3" stroked="false">
                <v:path arrowok="t"/>
                <v:fill type="solid"/>
              </v:shape>
            </v:group>
            <v:group style="position:absolute;left:3216;top:14;width:2;height:393" coordorigin="3216,14" coordsize="2,393">
              <v:shape style="position:absolute;left:3216;top:14;width:2;height:393" coordorigin="3216,14" coordsize="0,393" path="m3216,14l3216,407e" filled="false" stroked="true" strokeweight="1.2pt" strokecolor="#d3d3d3">
                <v:path arrowok="t"/>
              </v:shape>
            </v:group>
            <v:group style="position:absolute;left:9563;top:14;width:2;height:393" coordorigin="9563,14" coordsize="2,393">
              <v:shape style="position:absolute;left:9563;top:14;width:2;height:393" coordorigin="9563,14" coordsize="0,393" path="m9563,14l9563,407e" filled="false" stroked="true" strokeweight="1.140pt" strokecolor="#d3d3d3">
                <v:path arrowok="t"/>
              </v:shape>
            </v:group>
            <v:group style="position:absolute;left:3228;top:14;width:6324;height:393" coordorigin="3228,14" coordsize="6324,393">
              <v:shape style="position:absolute;left:3228;top:14;width:6324;height:393" coordorigin="3228,14" coordsize="6324,393" path="m3228,407l9552,407,9552,14,3228,14,3228,407xe" filled="true" fillcolor="#d3d3d3" stroked="false">
                <v:path arrowok="t"/>
                <v:fill type="solid"/>
              </v:shape>
            </v:group>
            <v:group style="position:absolute;left:5;top:10;width:9580;height:2" coordorigin="5,10" coordsize="9580,2">
              <v:shape style="position:absolute;left:5;top:10;width:9580;height:2" coordorigin="5,10" coordsize="9580,0" path="m5,10l9584,10e" filled="false" stroked="true" strokeweight=".48001pt" strokecolor="#000000">
                <v:path arrowok="t"/>
              </v:shape>
            </v:group>
            <v:group style="position:absolute;left:10;top:5;width:2;height:402" coordorigin="10,5" coordsize="2,402">
              <v:shape style="position:absolute;left:10;top:5;width:2;height:402" coordorigin="10,5" coordsize="0,402" path="m10,5l10,407e" filled="false" stroked="true" strokeweight=".48001pt" strokecolor="#000000">
                <v:path arrowok="t"/>
              </v:shape>
            </v:group>
            <v:group style="position:absolute;left:3199;top:14;width:2;height:393" coordorigin="3199,14" coordsize="2,393">
              <v:shape style="position:absolute;left:3199;top:14;width:2;height:393" coordorigin="3199,14" coordsize="0,393" path="m3199,14l3199,407e" filled="false" stroked="true" strokeweight=".48pt" strokecolor="#000000">
                <v:path arrowok="t"/>
              </v:shape>
            </v:group>
            <v:group style="position:absolute;left:9580;top:5;width:2;height:402" coordorigin="9580,5" coordsize="2,402">
              <v:shape style="position:absolute;left:9580;top:5;width:2;height:402" coordorigin="9580,5" coordsize="0,402" path="m9580,5l9580,407e" filled="false" stroked="true" strokeweight=".47998pt" strokecolor="#000000">
                <v:path arrowok="t"/>
              </v:shape>
            </v:group>
            <v:group style="position:absolute;left:26;top:416;width:2;height:393" coordorigin="26,416" coordsize="2,393">
              <v:shape style="position:absolute;left:26;top:416;width:2;height:393" coordorigin="26,416" coordsize="0,393" path="m26,416l26,809e" filled="false" stroked="true" strokeweight="1.140pt" strokecolor="#d3d3d3">
                <v:path arrowok="t"/>
              </v:shape>
            </v:group>
            <v:group style="position:absolute;left:3183;top:416;width:2;height:393" coordorigin="3183,416" coordsize="2,393">
              <v:shape style="position:absolute;left:3183;top:416;width:2;height:393" coordorigin="3183,416" coordsize="0,393" path="m3183,416l3183,809e" filled="false" stroked="true" strokeweight="1.140pt" strokecolor="#d3d3d3">
                <v:path arrowok="t"/>
              </v:shape>
            </v:group>
            <v:group style="position:absolute;left:37;top:416;width:3135;height:393" coordorigin="37,416" coordsize="3135,393">
              <v:shape style="position:absolute;left:37;top:416;width:3135;height:393" coordorigin="37,416" coordsize="3135,393" path="m37,809l3172,809,3172,416,37,416,37,809xe" filled="true" fillcolor="#d3d3d3" stroked="false">
                <v:path arrowok="t"/>
                <v:fill type="solid"/>
              </v:shape>
            </v:group>
            <v:group style="position:absolute;left:3216;top:416;width:2;height:393" coordorigin="3216,416" coordsize="2,393">
              <v:shape style="position:absolute;left:3216;top:416;width:2;height:393" coordorigin="3216,416" coordsize="0,393" path="m3216,416l3216,809e" filled="false" stroked="true" strokeweight="1.2pt" strokecolor="#d3d3d3">
                <v:path arrowok="t"/>
              </v:shape>
            </v:group>
            <v:group style="position:absolute;left:6373;top:416;width:2;height:393" coordorigin="6373,416" coordsize="2,393">
              <v:shape style="position:absolute;left:6373;top:416;width:2;height:393" coordorigin="6373,416" coordsize="0,393" path="m6373,416l6373,809e" filled="false" stroked="true" strokeweight="1.140pt" strokecolor="#d3d3d3">
                <v:path arrowok="t"/>
              </v:shape>
            </v:group>
            <v:group style="position:absolute;left:3228;top:416;width:3134;height:393" coordorigin="3228,416" coordsize="3134,393">
              <v:shape style="position:absolute;left:3228;top:416;width:3134;height:393" coordorigin="3228,416" coordsize="3134,393" path="m3228,809l6361,809,6361,416,3228,416,3228,809xe" filled="true" fillcolor="#d3d3d3" stroked="false">
                <v:path arrowok="t"/>
                <v:fill type="solid"/>
              </v:shape>
            </v:group>
            <v:group style="position:absolute;left:6406;top:416;width:2;height:393" coordorigin="6406,416" coordsize="2,393">
              <v:shape style="position:absolute;left:6406;top:416;width:2;height:393" coordorigin="6406,416" coordsize="0,393" path="m6406,416l6406,809e" filled="false" stroked="true" strokeweight="1.140pt" strokecolor="#d3d3d3">
                <v:path arrowok="t"/>
              </v:shape>
            </v:group>
            <v:group style="position:absolute;left:9563;top:416;width:2;height:393" coordorigin="9563,416" coordsize="2,393">
              <v:shape style="position:absolute;left:9563;top:416;width:2;height:393" coordorigin="9563,416" coordsize="0,393" path="m9563,416l9563,809e" filled="false" stroked="true" strokeweight="1.140pt" strokecolor="#d3d3d3">
                <v:path arrowok="t"/>
              </v:shape>
            </v:group>
            <v:group style="position:absolute;left:6418;top:416;width:3135;height:393" coordorigin="6418,416" coordsize="3135,393">
              <v:shape style="position:absolute;left:6418;top:416;width:3135;height:393" coordorigin="6418,416" coordsize="3135,393" path="m6418,809l9552,809,9552,416,6418,416,6418,809xe" filled="true" fillcolor="#d3d3d3" stroked="false">
                <v:path arrowok="t"/>
                <v:fill type="solid"/>
              </v:shape>
            </v:group>
            <v:group style="position:absolute;left:5;top:412;width:9580;height:2" coordorigin="5,412" coordsize="9580,2">
              <v:shape style="position:absolute;left:5;top:412;width:9580;height:2" coordorigin="5,412" coordsize="9580,0" path="m5,412l9584,412e" filled="false" stroked="true" strokeweight=".47998pt" strokecolor="#000000">
                <v:path arrowok="t"/>
              </v:shape>
            </v:group>
            <v:group style="position:absolute;left:10;top:416;width:2;height:402" coordorigin="10,416" coordsize="2,402">
              <v:shape style="position:absolute;left:10;top:416;width:2;height:402" coordorigin="10,416" coordsize="0,402" path="m10,416l10,818e" filled="false" stroked="true" strokeweight=".48001pt" strokecolor="#000000">
                <v:path arrowok="t"/>
              </v:shape>
            </v:group>
            <v:group style="position:absolute;left:5;top:814;width:3190;height:2" coordorigin="5,814" coordsize="3190,2">
              <v:shape style="position:absolute;left:5;top:814;width:3190;height:2" coordorigin="5,814" coordsize="3190,0" path="m5,814l3194,814e" filled="false" stroked="true" strokeweight=".48004pt" strokecolor="#000000">
                <v:path arrowok="t"/>
              </v:shape>
            </v:group>
            <v:group style="position:absolute;left:3199;top:416;width:2;height:402" coordorigin="3199,416" coordsize="2,402">
              <v:shape style="position:absolute;left:3199;top:416;width:2;height:402" coordorigin="3199,416" coordsize="0,402" path="m3199,416l3199,818e" filled="false" stroked="true" strokeweight=".48pt" strokecolor="#000000">
                <v:path arrowok="t"/>
              </v:shape>
            </v:group>
            <v:group style="position:absolute;left:3204;top:814;width:3182;height:2" coordorigin="3204,814" coordsize="3182,2">
              <v:shape style="position:absolute;left:3204;top:814;width:3182;height:2" coordorigin="3204,814" coordsize="3182,0" path="m3204,814l6385,814e" filled="false" stroked="true" strokeweight=".48004pt" strokecolor="#000000">
                <v:path arrowok="t"/>
              </v:shape>
            </v:group>
            <v:group style="position:absolute;left:6390;top:416;width:2;height:402" coordorigin="6390,416" coordsize="2,402">
              <v:shape style="position:absolute;left:6390;top:416;width:2;height:402" coordorigin="6390,416" coordsize="0,402" path="m6390,416l6390,818e" filled="false" stroked="true" strokeweight=".47998pt" strokecolor="#000000">
                <v:path arrowok="t"/>
              </v:shape>
            </v:group>
            <v:group style="position:absolute;left:6395;top:814;width:3180;height:2" coordorigin="6395,814" coordsize="3180,2">
              <v:shape style="position:absolute;left:6395;top:814;width:3180;height:2" coordorigin="6395,814" coordsize="3180,0" path="m6395,814l9575,814e" filled="false" stroked="true" strokeweight=".48004pt" strokecolor="#000000">
                <v:path arrowok="t"/>
              </v:shape>
            </v:group>
            <v:group style="position:absolute;left:9580;top:416;width:2;height:402" coordorigin="9580,416" coordsize="2,402">
              <v:shape style="position:absolute;left:9580;top:416;width:2;height:402" coordorigin="9580,416" coordsize="0,402" path="m9580,416l9580,818e" filled="false" stroked="true" strokeweight=".47998pt" strokecolor="#000000">
                <v:path arrowok="t"/>
              </v:shape>
              <v:shape style="position:absolute;left:3199;top:412;width:3191;height:402" type="#_x0000_t202" filled="false" stroked="false">
                <v:textbox inset="0,0,0,0">
                  <w:txbxContent>
                    <w:p>
                      <w:pPr>
                        <w:spacing w:before="56"/>
                        <w:ind w:left="1" w:right="0" w:firstLine="0"/>
                        <w:jc w:val="center"/>
                        <w:rPr>
                          <w:rFonts w:ascii="宋体" w:hAnsi="宋体" w:cs="宋体" w:eastAsia="宋体" w:hint="default"/>
                          <w:sz w:val="18"/>
                          <w:szCs w:val="18"/>
                        </w:rPr>
                      </w:pPr>
                      <w:r>
                        <w:rPr>
                          <w:rFonts w:ascii="宋体" w:hAnsi="宋体" w:cs="宋体" w:eastAsia="宋体" w:hint="default"/>
                          <w:sz w:val="18"/>
                          <w:szCs w:val="18"/>
                        </w:rPr>
                        <w:t>合并日</w:t>
                      </w:r>
                    </w:p>
                  </w:txbxContent>
                </v:textbox>
                <w10:wrap type="none"/>
              </v:shape>
              <v:shape style="position:absolute;left:6390;top:412;width:3162;height:402" type="#_x0000_t202" filled="false" stroked="false">
                <v:textbox inset="0,0,0,0">
                  <w:txbxContent>
                    <w:p>
                      <w:pPr>
                        <w:spacing w:before="56"/>
                        <w:ind w:left="27" w:right="0" w:firstLine="0"/>
                        <w:jc w:val="center"/>
                        <w:rPr>
                          <w:rFonts w:ascii="宋体" w:hAnsi="宋体" w:cs="宋体" w:eastAsia="宋体" w:hint="default"/>
                          <w:sz w:val="18"/>
                          <w:szCs w:val="18"/>
                        </w:rPr>
                      </w:pPr>
                      <w:r>
                        <w:rPr>
                          <w:rFonts w:ascii="宋体" w:hAnsi="宋体" w:cs="宋体" w:eastAsia="宋体" w:hint="default"/>
                          <w:sz w:val="18"/>
                          <w:szCs w:val="18"/>
                        </w:rPr>
                        <w:t>上期期末</w:t>
                      </w:r>
                    </w:p>
                  </w:txbxContent>
                </v:textbox>
                <w10:wrap type="none"/>
              </v:shape>
            </v:group>
          </v:group>
        </w:pict>
      </w:r>
      <w:r>
        <w:rPr>
          <w:rFonts w:ascii="宋体" w:hAnsi="宋体" w:cs="宋体" w:eastAsia="宋体" w:hint="default"/>
          <w:position w:val="-15"/>
          <w:sz w:val="20"/>
          <w:szCs w:val="20"/>
        </w:rPr>
      </w:r>
    </w:p>
    <w:p>
      <w:pPr>
        <w:pStyle w:val="BodyText"/>
        <w:spacing w:line="360" w:lineRule="auto" w:before="46"/>
        <w:ind w:left="153" w:right="7511"/>
        <w:jc w:val="left"/>
      </w:pPr>
      <w:r>
        <w:rPr/>
        <w:t>企业合并中承担的被合并方的或有负债： 其他说明：</w:t>
      </w:r>
    </w:p>
    <w:p>
      <w:pPr>
        <w:pStyle w:val="BodyText"/>
        <w:spacing w:line="240" w:lineRule="auto" w:before="26"/>
        <w:ind w:left="153" w:right="2239"/>
        <w:jc w:val="left"/>
      </w:pPr>
      <w:r>
        <w:rPr/>
        <w:t>无。</w:t>
      </w:r>
    </w:p>
    <w:p>
      <w:pPr>
        <w:spacing w:line="240" w:lineRule="auto" w:before="10"/>
        <w:rPr>
          <w:rFonts w:ascii="宋体" w:hAnsi="宋体" w:cs="宋体" w:eastAsia="宋体" w:hint="default"/>
          <w:sz w:val="26"/>
          <w:szCs w:val="26"/>
        </w:rPr>
      </w:pPr>
    </w:p>
    <w:p>
      <w:pPr>
        <w:pStyle w:val="Heading4"/>
        <w:spacing w:line="240" w:lineRule="auto"/>
        <w:ind w:right="2239"/>
        <w:jc w:val="left"/>
        <w:rPr>
          <w:b w:val="0"/>
          <w:bCs w:val="0"/>
        </w:rPr>
      </w:pPr>
      <w:r>
        <w:rPr>
          <w:rFonts w:ascii="Arial" w:hAnsi="Arial" w:cs="Arial" w:eastAsia="Arial" w:hint="default"/>
        </w:rPr>
        <w:t>3</w:t>
      </w:r>
      <w:r>
        <w:rPr/>
        <w:t>、反向购买</w:t>
      </w:r>
      <w:r>
        <w:rPr>
          <w:b w:val="0"/>
          <w:bCs w:val="0"/>
        </w:rPr>
      </w:r>
    </w:p>
    <w:p>
      <w:pPr>
        <w:spacing w:line="240" w:lineRule="auto" w:before="9"/>
        <w:rPr>
          <w:rFonts w:ascii="宋体" w:hAnsi="宋体" w:cs="宋体" w:eastAsia="宋体" w:hint="default"/>
          <w:b/>
          <w:bCs/>
          <w:sz w:val="26"/>
          <w:szCs w:val="26"/>
        </w:rPr>
      </w:pPr>
    </w:p>
    <w:p>
      <w:pPr>
        <w:pStyle w:val="BodyText"/>
        <w:spacing w:line="319" w:lineRule="auto"/>
        <w:ind w:right="0"/>
        <w:jc w:val="left"/>
      </w:pPr>
      <w:r>
        <w:rPr>
          <w:spacing w:val="-2"/>
        </w:rPr>
        <w:t>交易基本信息、交易构成反向购买的依据、上市公司保留的资产、负债是否构成业务及其依据、合并成本的确定、按照权益</w:t>
      </w:r>
      <w:r>
        <w:rPr>
          <w:spacing w:val="-66"/>
        </w:rPr>
        <w:t> </w:t>
      </w:r>
      <w:r>
        <w:rPr>
          <w:spacing w:val="-66"/>
        </w:rPr>
      </w:r>
      <w:r>
        <w:rPr/>
        <w:t>性交易处理时调整权益的金额及其计算：</w:t>
      </w:r>
    </w:p>
    <w:p>
      <w:pPr>
        <w:spacing w:line="240" w:lineRule="auto" w:before="4"/>
        <w:rPr>
          <w:rFonts w:ascii="宋体" w:hAnsi="宋体" w:cs="宋体" w:eastAsia="宋体" w:hint="default"/>
          <w:sz w:val="22"/>
          <w:szCs w:val="22"/>
        </w:rPr>
      </w:pPr>
    </w:p>
    <w:p>
      <w:pPr>
        <w:pStyle w:val="Heading4"/>
        <w:spacing w:line="240" w:lineRule="auto"/>
        <w:ind w:right="2239"/>
        <w:jc w:val="left"/>
        <w:rPr>
          <w:b w:val="0"/>
          <w:bCs w:val="0"/>
        </w:rPr>
      </w:pPr>
      <w:r>
        <w:rPr>
          <w:rFonts w:ascii="Arial" w:hAnsi="Arial" w:cs="Arial" w:eastAsia="Arial" w:hint="default"/>
        </w:rPr>
        <w:t>4</w:t>
      </w:r>
      <w:r>
        <w:rPr/>
        <w:t>、处置子公司</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2239"/>
        <w:jc w:val="left"/>
      </w:pPr>
      <w:r>
        <w:rPr/>
        <w:t>是否存在单次处置对子公司投资即丧失控制权的情形</w:t>
      </w:r>
    </w:p>
    <w:p>
      <w:pPr>
        <w:pStyle w:val="BodyText"/>
        <w:spacing w:line="240" w:lineRule="auto" w:before="117"/>
        <w:ind w:left="153" w:right="2239"/>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29"/>
        </w:rPr>
        <w:t> </w:t>
      </w:r>
      <w:r>
        <w:rPr/>
        <w:t>否</w:t>
      </w:r>
    </w:p>
    <w:p>
      <w:pPr>
        <w:spacing w:after="0" w:line="240" w:lineRule="auto"/>
        <w:jc w:val="left"/>
        <w:sectPr>
          <w:pgSz w:w="11910" w:h="16840"/>
          <w:pgMar w:header="747" w:footer="982" w:top="1060" w:bottom="1180" w:left="980" w:right="0"/>
        </w:sectPr>
      </w:pPr>
    </w:p>
    <w:p>
      <w:pPr>
        <w:spacing w:line="240" w:lineRule="auto" w:before="13"/>
        <w:rPr>
          <w:rFonts w:ascii="宋体" w:hAnsi="宋体" w:cs="宋体" w:eastAsia="宋体" w:hint="default"/>
          <w:sz w:val="25"/>
          <w:szCs w:val="25"/>
        </w:rPr>
      </w:pPr>
    </w:p>
    <w:p>
      <w:pPr>
        <w:pStyle w:val="BodyText"/>
        <w:spacing w:line="240" w:lineRule="auto" w:before="44"/>
        <w:ind w:left="253" w:right="2201"/>
        <w:jc w:val="left"/>
      </w:pPr>
      <w:r>
        <w:rPr/>
        <w:t>是否存在通过多次交易分步处置对子公司投资且在本期丧失控制权的情形</w:t>
      </w:r>
    </w:p>
    <w:p>
      <w:pPr>
        <w:pStyle w:val="BodyText"/>
        <w:spacing w:line="240" w:lineRule="auto" w:before="116"/>
        <w:ind w:left="253" w:right="2201"/>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29"/>
        </w:rPr>
        <w:t> </w:t>
      </w:r>
      <w:r>
        <w:rPr/>
        <w:t>否</w:t>
      </w:r>
    </w:p>
    <w:p>
      <w:pPr>
        <w:spacing w:line="240" w:lineRule="auto" w:before="11"/>
        <w:rPr>
          <w:rFonts w:ascii="宋体" w:hAnsi="宋体" w:cs="宋体" w:eastAsia="宋体" w:hint="default"/>
          <w:sz w:val="25"/>
          <w:szCs w:val="25"/>
        </w:rPr>
      </w:pPr>
    </w:p>
    <w:p>
      <w:pPr>
        <w:pStyle w:val="Heading4"/>
        <w:spacing w:line="240" w:lineRule="auto"/>
        <w:ind w:left="254" w:right="2201"/>
        <w:jc w:val="left"/>
        <w:rPr>
          <w:b w:val="0"/>
          <w:bCs w:val="0"/>
        </w:rPr>
      </w:pPr>
      <w:r>
        <w:rPr>
          <w:rFonts w:ascii="Arial" w:hAnsi="Arial" w:cs="Arial" w:eastAsia="Arial" w:hint="default"/>
        </w:rPr>
        <w:t>5</w:t>
      </w:r>
      <w:r>
        <w:rPr/>
        <w:t>、其他原因的合并范围变动</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left="253" w:right="2201"/>
        <w:jc w:val="left"/>
      </w:pPr>
      <w:r>
        <w:rPr/>
        <w:t>说明其他原因导致的合并范围变动（如，新设子公司、清算子公司等）及其相关情况： 2019年度，本集团注销2家公司，分别为浙江检榕网络科技有限公司、榕基国计（北京）信息技术有限公司。</w:t>
      </w:r>
    </w:p>
    <w:p>
      <w:pPr>
        <w:spacing w:line="240" w:lineRule="auto" w:before="2"/>
        <w:rPr>
          <w:rFonts w:ascii="宋体" w:hAnsi="宋体" w:cs="宋体" w:eastAsia="宋体" w:hint="default"/>
          <w:sz w:val="20"/>
          <w:szCs w:val="20"/>
        </w:rPr>
      </w:pPr>
    </w:p>
    <w:p>
      <w:pPr>
        <w:spacing w:line="487" w:lineRule="auto" w:before="0"/>
        <w:ind w:left="254" w:right="8100" w:firstLine="0"/>
        <w:jc w:val="left"/>
        <w:rPr>
          <w:rFonts w:ascii="宋体" w:hAnsi="宋体" w:cs="宋体" w:eastAsia="宋体" w:hint="default"/>
          <w:sz w:val="21"/>
          <w:szCs w:val="21"/>
        </w:rPr>
      </w:pPr>
      <w:r>
        <w:rPr>
          <w:rFonts w:ascii="Arial" w:hAnsi="Arial" w:cs="Arial" w:eastAsia="Arial" w:hint="default"/>
          <w:b/>
          <w:bCs/>
          <w:sz w:val="21"/>
          <w:szCs w:val="21"/>
        </w:rPr>
        <w:t>6</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九、在其他主体中的权益</w:t>
      </w:r>
      <w:r>
        <w:rPr>
          <w:rFonts w:ascii="宋体" w:hAnsi="宋体" w:cs="宋体" w:eastAsia="宋体" w:hint="default"/>
          <w:b/>
          <w:bCs/>
          <w:w w:val="99"/>
          <w:sz w:val="24"/>
          <w:szCs w:val="24"/>
        </w:rPr>
        <w:t> </w:t>
      </w:r>
      <w:r>
        <w:rPr>
          <w:rFonts w:ascii="Arial" w:hAnsi="Arial" w:cs="Arial" w:eastAsia="Arial" w:hint="default"/>
          <w:b/>
          <w:bCs/>
          <w:sz w:val="21"/>
          <w:szCs w:val="21"/>
        </w:rPr>
        <w:t>1</w:t>
      </w:r>
      <w:r>
        <w:rPr>
          <w:rFonts w:ascii="宋体" w:hAnsi="宋体" w:cs="宋体" w:eastAsia="宋体" w:hint="default"/>
          <w:b/>
          <w:bCs/>
          <w:sz w:val="21"/>
          <w:szCs w:val="21"/>
        </w:rPr>
        <w:t>、在子公司中的权益</w:t>
      </w:r>
      <w:r>
        <w:rPr>
          <w:rFonts w:ascii="宋体" w:hAnsi="宋体" w:cs="宋体" w:eastAsia="宋体" w:hint="default"/>
          <w:sz w:val="21"/>
          <w:szCs w:val="21"/>
        </w:rPr>
      </w:r>
    </w:p>
    <w:p>
      <w:pPr>
        <w:pStyle w:val="Heading4"/>
        <w:spacing w:line="240" w:lineRule="auto" w:before="81"/>
        <w:ind w:left="253" w:right="2201"/>
        <w:jc w:val="left"/>
        <w:rPr>
          <w:b w:val="0"/>
          <w:bCs w:val="0"/>
        </w:rPr>
      </w:pPr>
      <w:r>
        <w:rPr/>
        <w:t>（</w:t>
      </w:r>
      <w:r>
        <w:rPr>
          <w:rFonts w:ascii="Arial" w:hAnsi="Arial" w:cs="Arial" w:eastAsia="Arial" w:hint="default"/>
        </w:rPr>
        <w:t>1</w:t>
      </w:r>
      <w:r>
        <w:rPr/>
        <w:t>）企业集团的构成</w:t>
      </w:r>
      <w:r>
        <w:rPr>
          <w:b w:val="0"/>
          <w:bCs w:val="0"/>
        </w:rPr>
      </w:r>
    </w:p>
    <w:p>
      <w:pPr>
        <w:spacing w:line="240" w:lineRule="auto" w:before="10"/>
        <w:rPr>
          <w:rFonts w:ascii="宋体" w:hAnsi="宋体" w:cs="宋体" w:eastAsia="宋体" w:hint="default"/>
          <w:b/>
          <w:bCs/>
          <w:sz w:val="25"/>
          <w:szCs w:val="25"/>
        </w:rPr>
      </w:pPr>
    </w:p>
    <w:tbl>
      <w:tblPr>
        <w:tblW w:w="0" w:type="auto"/>
        <w:jc w:val="left"/>
        <w:tblInd w:w="107" w:type="dxa"/>
        <w:tblLayout w:type="fixed"/>
        <w:tblCellMar>
          <w:top w:w="0" w:type="dxa"/>
          <w:left w:w="0" w:type="dxa"/>
          <w:bottom w:w="0" w:type="dxa"/>
          <w:right w:w="0" w:type="dxa"/>
        </w:tblCellMar>
        <w:tblLook w:val="01E0"/>
      </w:tblPr>
      <w:tblGrid>
        <w:gridCol w:w="3119"/>
        <w:gridCol w:w="1276"/>
        <w:gridCol w:w="992"/>
        <w:gridCol w:w="1276"/>
        <w:gridCol w:w="1134"/>
        <w:gridCol w:w="851"/>
        <w:gridCol w:w="1066"/>
      </w:tblGrid>
      <w:tr>
        <w:trPr>
          <w:trHeight w:val="402" w:hRule="exact"/>
        </w:trPr>
        <w:tc>
          <w:tcPr>
            <w:tcW w:w="311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82"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9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27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7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26" w:right="0"/>
              <w:jc w:val="left"/>
              <w:rPr>
                <w:rFonts w:ascii="宋体" w:hAnsi="宋体" w:cs="宋体" w:eastAsia="宋体" w:hint="default"/>
                <w:sz w:val="18"/>
                <w:szCs w:val="18"/>
              </w:rPr>
            </w:pPr>
            <w:r>
              <w:rPr>
                <w:rFonts w:ascii="宋体" w:hAnsi="宋体" w:cs="宋体" w:eastAsia="宋体" w:hint="default"/>
                <w:sz w:val="18"/>
                <w:szCs w:val="18"/>
              </w:rPr>
              <w:t>持股比例</w:t>
            </w:r>
          </w:p>
        </w:tc>
        <w:tc>
          <w:tcPr>
            <w:tcW w:w="106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168" w:right="0"/>
              <w:jc w:val="left"/>
              <w:rPr>
                <w:rFonts w:ascii="宋体" w:hAnsi="宋体" w:cs="宋体" w:eastAsia="宋体" w:hint="default"/>
                <w:sz w:val="18"/>
                <w:szCs w:val="18"/>
              </w:rPr>
            </w:pPr>
            <w:r>
              <w:rPr>
                <w:rFonts w:ascii="宋体" w:hAnsi="宋体" w:cs="宋体" w:eastAsia="宋体" w:hint="default"/>
                <w:sz w:val="18"/>
                <w:szCs w:val="18"/>
              </w:rPr>
              <w:t>取得方式</w:t>
            </w:r>
          </w:p>
        </w:tc>
      </w:tr>
      <w:tr>
        <w:trPr>
          <w:trHeight w:val="402" w:hRule="exact"/>
        </w:trPr>
        <w:tc>
          <w:tcPr>
            <w:tcW w:w="3119" w:type="dxa"/>
            <w:vMerge/>
            <w:tcBorders>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c>
          <w:tcPr>
            <w:tcW w:w="992" w:type="dxa"/>
            <w:vMerge/>
            <w:tcBorders>
              <w:left w:val="single" w:sz="4" w:space="0" w:color="000000"/>
              <w:bottom w:val="single" w:sz="4" w:space="0" w:color="000000"/>
              <w:right w:val="single" w:sz="4" w:space="0" w:color="000000"/>
            </w:tcBorders>
            <w:shd w:val="clear" w:color="auto" w:fill="D3D3D3"/>
          </w:tcPr>
          <w:p>
            <w:pPr/>
          </w:p>
        </w:tc>
        <w:tc>
          <w:tcPr>
            <w:tcW w:w="1276" w:type="dxa"/>
            <w:vMerge/>
            <w:tcBorders>
              <w:left w:val="single" w:sz="4" w:space="0" w:color="000000"/>
              <w:bottom w:val="single" w:sz="4" w:space="0" w:color="000000"/>
              <w:right w:val="single" w:sz="4" w:space="0" w:color="000000"/>
            </w:tcBorders>
            <w:shd w:val="clear" w:color="auto" w:fill="D3D3D3"/>
          </w:tcPr>
          <w:p>
            <w:pPr/>
          </w:p>
        </w:tc>
        <w:tc>
          <w:tcPr>
            <w:tcW w:w="11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85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066"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浙江榕基信息技术有限公司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浙江省</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90.00%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上海榕基软件开发有限公司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榕基五一（北京）信息技术有限公司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河南榕基信息技术有限公司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河南省</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马鞍山榕基软件信息科技有限公司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马鞍山市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马鞍山市</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北京中榕基信息技术有限公司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福建榕基软件工程有限公司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福建榕基投资有限公司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信阳榕基信息技术有限公司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信阳市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信阳市</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榕基国际控股有限公司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河南豫础置业有限公司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河南省</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郑州市</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福州榕易付网络科技有限公司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福建星榕基信息科技有限责任公司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81.00%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福州创华电气自动化系统有限公司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100.00%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同一控制下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福建容大物联网科技有限公司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1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51.00%</w:t>
            </w:r>
          </w:p>
        </w:tc>
        <w:tc>
          <w:tcPr>
            <w:tcW w:w="851"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33"/>
              <w:jc w:val="left"/>
              <w:rPr>
                <w:rFonts w:ascii="宋体" w:hAnsi="宋体" w:cs="宋体" w:eastAsia="宋体" w:hint="default"/>
                <w:sz w:val="18"/>
                <w:szCs w:val="18"/>
              </w:rPr>
            </w:pPr>
            <w:r>
              <w:rPr>
                <w:rFonts w:ascii="宋体" w:hAnsi="宋体" w:cs="宋体" w:eastAsia="宋体" w:hint="default"/>
                <w:sz w:val="18"/>
                <w:szCs w:val="18"/>
              </w:rPr>
              <w:t>马鞍山榕基置业投资有限公</w:t>
            </w:r>
            <w:r>
              <w:rPr>
                <w:rFonts w:ascii="宋体" w:hAnsi="宋体" w:cs="宋体" w:eastAsia="宋体" w:hint="default"/>
                <w:spacing w:val="-87"/>
                <w:sz w:val="18"/>
                <w:szCs w:val="18"/>
              </w:rPr>
              <w:t>司</w:t>
            </w:r>
            <w:r>
              <w:rPr>
                <w:rFonts w:ascii="宋体" w:hAnsi="宋体" w:cs="宋体" w:eastAsia="宋体" w:hint="default"/>
                <w:sz w:val="18"/>
                <w:szCs w:val="18"/>
              </w:rPr>
              <w:t>（孙公司</w:t>
            </w:r>
            <w:r>
              <w:rPr>
                <w:rFonts w:ascii="宋体" w:hAnsi="宋体" w:cs="宋体" w:eastAsia="宋体" w:hint="default"/>
                <w:spacing w:val="-35"/>
                <w:sz w:val="18"/>
                <w:szCs w:val="18"/>
              </w:rPr>
              <w:t>）</w:t>
            </w:r>
            <w:r>
              <w:rPr>
                <w:rFonts w:ascii="宋体" w:hAnsi="宋体" w:cs="宋体" w:eastAsia="宋体" w:hint="default"/>
                <w:sz w:val="18"/>
                <w:szCs w:val="18"/>
              </w:rPr>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马鞍山市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马鞍山市</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Arial" w:hAnsi="Arial" w:cs="Arial" w:eastAsia="Arial" w:hint="default"/>
                <w:sz w:val="18"/>
                <w:szCs w:val="18"/>
              </w:rPr>
            </w:pPr>
            <w:r>
              <w:rPr>
                <w:rFonts w:ascii="Arial"/>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沈阳榕基信息技术有限公司（孙公司）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沈阳市</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Arial" w:hAnsi="Arial" w:cs="Arial" w:eastAsia="Arial" w:hint="default"/>
                <w:sz w:val="18"/>
                <w:szCs w:val="18"/>
              </w:rPr>
            </w:pPr>
            <w:r>
              <w:rPr>
                <w:rFonts w:ascii="Arial"/>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r>
        <w:trPr>
          <w:trHeight w:val="402" w:hRule="exact"/>
        </w:trPr>
        <w:tc>
          <w:tcPr>
            <w:tcW w:w="31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河南裕信德置业有限公司（孙公司）</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河南省</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信阳市</w:t>
            </w:r>
          </w:p>
        </w:tc>
        <w:tc>
          <w:tcPr>
            <w:tcW w:w="12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房地产</w:t>
            </w:r>
          </w:p>
        </w:tc>
        <w:tc>
          <w:tcPr>
            <w:tcW w:w="1134" w:type="dxa"/>
            <w:tcBorders>
              <w:top w:val="single" w:sz="4" w:space="0" w:color="000000"/>
              <w:left w:val="single" w:sz="4" w:space="0" w:color="000000"/>
              <w:bottom w:val="single" w:sz="4" w:space="0" w:color="000000"/>
              <w:right w:val="single" w:sz="4" w:space="0" w:color="000000"/>
            </w:tcBorders>
          </w:tcPr>
          <w:p>
            <w:pPr/>
          </w:p>
        </w:tc>
        <w:tc>
          <w:tcPr>
            <w:tcW w:w="8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1" w:right="0"/>
              <w:jc w:val="center"/>
              <w:rPr>
                <w:rFonts w:ascii="Arial" w:hAnsi="Arial" w:cs="Arial" w:eastAsia="Arial" w:hint="default"/>
                <w:sz w:val="18"/>
                <w:szCs w:val="18"/>
              </w:rPr>
            </w:pPr>
            <w:r>
              <w:rPr>
                <w:rFonts w:ascii="Arial"/>
                <w:sz w:val="18"/>
              </w:rPr>
              <w:t>100.00%</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投资设立</w:t>
            </w:r>
          </w:p>
        </w:tc>
      </w:tr>
    </w:tbl>
    <w:p>
      <w:pPr>
        <w:pStyle w:val="BodyText"/>
        <w:spacing w:line="360" w:lineRule="auto" w:before="51"/>
        <w:ind w:left="253" w:right="2831"/>
        <w:jc w:val="left"/>
      </w:pPr>
      <w:r>
        <w:rPr/>
        <w:pict>
          <v:group style="position:absolute;margin-left:205.800003pt;margin-top:-60.887981pt;width:62.2pt;height:20.8pt;mso-position-horizontal-relative:page;mso-position-vertical-relative:paragraph;z-index:-1405312" coordorigin="4116,-1218" coordsize="1244,416">
            <v:group style="position:absolute;left:4127;top:-1206;width:2;height:393" coordorigin="4127,-1206" coordsize="2,393">
              <v:shape style="position:absolute;left:4127;top:-1206;width:2;height:393" coordorigin="4127,-1206" coordsize="0,393" path="m4127,-1206l4127,-814e" filled="false" stroked="true" strokeweight="1.140pt" strokecolor="#ffffff">
                <v:path arrowok="t"/>
              </v:shape>
            </v:group>
            <v:group style="position:absolute;left:4139;top:-1206;width:1221;height:393" coordorigin="4139,-1206" coordsize="1221,393">
              <v:shape style="position:absolute;left:4139;top:-1206;width:1221;height:393" coordorigin="4139,-1206" coordsize="1221,393" path="m4139,-814l5359,-814,5359,-1206,4139,-1206,4139,-814xe" filled="true" fillcolor="#ffffff" stroked="false">
                <v:path arrowok="t"/>
                <v:fill type="solid"/>
              </v:shape>
            </v:group>
            <w10:wrap type="none"/>
          </v:group>
        </w:pict>
      </w:r>
      <w:r>
        <w:rPr/>
        <w:t>在子公司的持股比例不同于表决权比例的说明： 持有半数或以下表决权但仍控制被投资单位、以及持有半数以上表决权但不控制被投资单位的依据：</w:t>
      </w:r>
    </w:p>
    <w:p>
      <w:pPr>
        <w:spacing w:after="0" w:line="360" w:lineRule="auto"/>
        <w:jc w:val="left"/>
        <w:sectPr>
          <w:pgSz w:w="11910" w:h="16840"/>
          <w:pgMar w:header="747" w:footer="982" w:top="1060" w:bottom="1180" w:left="880" w:right="0"/>
        </w:sectPr>
      </w:pPr>
    </w:p>
    <w:p>
      <w:pPr>
        <w:spacing w:line="240" w:lineRule="auto" w:before="13"/>
        <w:rPr>
          <w:rFonts w:ascii="宋体" w:hAnsi="宋体" w:cs="宋体" w:eastAsia="宋体" w:hint="default"/>
          <w:sz w:val="25"/>
          <w:szCs w:val="25"/>
        </w:rPr>
      </w:pPr>
    </w:p>
    <w:p>
      <w:pPr>
        <w:pStyle w:val="BodyText"/>
        <w:spacing w:line="357" w:lineRule="auto" w:before="44"/>
        <w:ind w:left="153" w:right="6431"/>
        <w:jc w:val="left"/>
      </w:pPr>
      <w:r>
        <w:rPr/>
        <w:t>对于纳入合并范围的重要的结构化主体，控制的依据： 确定公司是代理人还是委托人的依据：</w:t>
      </w:r>
    </w:p>
    <w:p>
      <w:pPr>
        <w:pStyle w:val="BodyText"/>
        <w:spacing w:line="357" w:lineRule="auto" w:before="29"/>
        <w:ind w:left="153" w:right="9851"/>
        <w:jc w:val="left"/>
      </w:pPr>
      <w:r>
        <w:rPr/>
        <w:t>其他说明： 无。</w:t>
      </w:r>
    </w:p>
    <w:p>
      <w:pPr>
        <w:spacing w:line="240" w:lineRule="auto" w:before="13"/>
        <w:rPr>
          <w:rFonts w:ascii="宋体" w:hAnsi="宋体" w:cs="宋体" w:eastAsia="宋体" w:hint="default"/>
          <w:sz w:val="19"/>
          <w:szCs w:val="19"/>
        </w:rPr>
      </w:pPr>
    </w:p>
    <w:p>
      <w:pPr>
        <w:pStyle w:val="Heading4"/>
        <w:spacing w:line="240" w:lineRule="auto"/>
        <w:ind w:right="2239"/>
        <w:jc w:val="left"/>
        <w:rPr>
          <w:b w:val="0"/>
          <w:bCs w:val="0"/>
        </w:rPr>
      </w:pPr>
      <w:r>
        <w:rPr/>
        <w:t>（</w:t>
      </w:r>
      <w:r>
        <w:rPr>
          <w:rFonts w:ascii="Arial" w:hAnsi="Arial" w:cs="Arial" w:eastAsia="Arial" w:hint="default"/>
        </w:rPr>
        <w:t>2</w:t>
      </w:r>
      <w:r>
        <w:rPr/>
        <w:t>）重要的非全资子公司</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8"/>
        <w:rPr>
          <w:rFonts w:ascii="宋体" w:hAnsi="宋体" w:cs="宋体" w:eastAsia="宋体" w:hint="default"/>
          <w:b/>
          <w:bCs/>
          <w:sz w:val="13"/>
          <w:szCs w:val="13"/>
        </w:rPr>
      </w:pPr>
    </w:p>
    <w:p>
      <w:pPr>
        <w:pStyle w:val="BodyText"/>
        <w:spacing w:line="240" w:lineRule="auto"/>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6"/>
        <w:gridCol w:w="1914"/>
        <w:gridCol w:w="1914"/>
        <w:gridCol w:w="1913"/>
        <w:gridCol w:w="1913"/>
      </w:tblGrid>
      <w:tr>
        <w:trPr>
          <w:trHeight w:val="763" w:hRule="exact"/>
        </w:trPr>
        <w:tc>
          <w:tcPr>
            <w:tcW w:w="191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02"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少数股东持股比例</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6"/>
              <w:ind w:left="771" w:right="50" w:hanging="720"/>
              <w:jc w:val="left"/>
              <w:rPr>
                <w:rFonts w:ascii="宋体" w:hAnsi="宋体" w:cs="宋体" w:eastAsia="宋体" w:hint="default"/>
                <w:sz w:val="18"/>
                <w:szCs w:val="18"/>
              </w:rPr>
            </w:pPr>
            <w:r>
              <w:rPr>
                <w:rFonts w:ascii="宋体" w:hAnsi="宋体" w:cs="宋体" w:eastAsia="宋体" w:hint="default"/>
                <w:sz w:val="18"/>
                <w:szCs w:val="18"/>
              </w:rPr>
              <w:t>本期归属于少数股东的 损益</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76"/>
              <w:ind w:left="591" w:right="49" w:hanging="540"/>
              <w:jc w:val="left"/>
              <w:rPr>
                <w:rFonts w:ascii="宋体" w:hAnsi="宋体" w:cs="宋体" w:eastAsia="宋体" w:hint="default"/>
                <w:sz w:val="18"/>
                <w:szCs w:val="18"/>
              </w:rPr>
            </w:pPr>
            <w:r>
              <w:rPr>
                <w:rFonts w:ascii="宋体" w:hAnsi="宋体" w:cs="宋体" w:eastAsia="宋体" w:hint="default"/>
                <w:sz w:val="18"/>
                <w:szCs w:val="18"/>
              </w:rPr>
              <w:t>本期向少数股东宣告分 派的股利</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51" w:right="0"/>
              <w:jc w:val="left"/>
              <w:rPr>
                <w:rFonts w:ascii="宋体" w:hAnsi="宋体" w:cs="宋体" w:eastAsia="宋体" w:hint="default"/>
                <w:sz w:val="18"/>
                <w:szCs w:val="18"/>
              </w:rPr>
            </w:pPr>
            <w:r>
              <w:rPr>
                <w:rFonts w:ascii="宋体" w:hAnsi="宋体" w:cs="宋体" w:eastAsia="宋体" w:hint="default"/>
                <w:sz w:val="18"/>
                <w:szCs w:val="18"/>
              </w:rPr>
              <w:t>期末少数股东权益余额</w:t>
            </w:r>
          </w:p>
        </w:tc>
      </w:tr>
    </w:tbl>
    <w:p>
      <w:pPr>
        <w:pStyle w:val="BodyText"/>
        <w:spacing w:line="357" w:lineRule="auto" w:before="52"/>
        <w:ind w:left="153" w:right="6431"/>
        <w:jc w:val="left"/>
      </w:pPr>
      <w:r>
        <w:rPr/>
        <w:t>子公司少数股东的持股比例不同于表决权比例的说明： 其他说明：</w:t>
      </w:r>
    </w:p>
    <w:p>
      <w:pPr>
        <w:pStyle w:val="BodyText"/>
        <w:spacing w:line="240" w:lineRule="auto" w:before="29"/>
        <w:ind w:left="153" w:right="2239"/>
        <w:jc w:val="left"/>
      </w:pPr>
      <w:r>
        <w:rPr/>
        <w:t>无。</w:t>
      </w:r>
    </w:p>
    <w:p>
      <w:pPr>
        <w:spacing w:line="240" w:lineRule="auto" w:before="10"/>
        <w:rPr>
          <w:rFonts w:ascii="宋体" w:hAnsi="宋体" w:cs="宋体" w:eastAsia="宋体" w:hint="default"/>
          <w:sz w:val="26"/>
          <w:szCs w:val="26"/>
        </w:rPr>
      </w:pPr>
    </w:p>
    <w:p>
      <w:pPr>
        <w:pStyle w:val="Heading4"/>
        <w:spacing w:line="240" w:lineRule="auto"/>
        <w:ind w:right="2239"/>
        <w:jc w:val="left"/>
        <w:rPr>
          <w:b w:val="0"/>
          <w:bCs w:val="0"/>
        </w:rPr>
      </w:pPr>
      <w:r>
        <w:rPr/>
        <w:t>（</w:t>
      </w:r>
      <w:r>
        <w:rPr>
          <w:rFonts w:ascii="Arial" w:hAnsi="Arial" w:cs="Arial" w:eastAsia="Arial" w:hint="default"/>
        </w:rPr>
        <w:t>3</w:t>
      </w:r>
      <w:r>
        <w:rPr/>
        <w:t>）重要非全资子公司的主要财务信息</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736"/>
        <w:gridCol w:w="737"/>
        <w:gridCol w:w="736"/>
        <w:gridCol w:w="736"/>
        <w:gridCol w:w="737"/>
        <w:gridCol w:w="734"/>
        <w:gridCol w:w="736"/>
        <w:gridCol w:w="734"/>
        <w:gridCol w:w="736"/>
        <w:gridCol w:w="734"/>
        <w:gridCol w:w="737"/>
        <w:gridCol w:w="737"/>
        <w:gridCol w:w="736"/>
      </w:tblGrid>
      <w:tr>
        <w:trPr>
          <w:trHeight w:val="402" w:hRule="exact"/>
        </w:trPr>
        <w:tc>
          <w:tcPr>
            <w:tcW w:w="73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16" w:lineRule="auto"/>
              <w:ind w:left="182" w:right="91" w:hanging="90"/>
              <w:jc w:val="left"/>
              <w:rPr>
                <w:rFonts w:ascii="宋体" w:hAnsi="宋体" w:cs="宋体" w:eastAsia="宋体" w:hint="default"/>
                <w:sz w:val="18"/>
                <w:szCs w:val="18"/>
              </w:rPr>
            </w:pPr>
            <w:r>
              <w:rPr>
                <w:rFonts w:ascii="宋体" w:hAnsi="宋体" w:cs="宋体" w:eastAsia="宋体" w:hint="default"/>
                <w:sz w:val="18"/>
                <w:szCs w:val="18"/>
              </w:rPr>
              <w:t>子公司 名称</w:t>
            </w:r>
          </w:p>
        </w:tc>
        <w:tc>
          <w:tcPr>
            <w:tcW w:w="4415"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414" w:type="dxa"/>
            <w:gridSpan w:val="6"/>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714" w:hRule="exact"/>
        </w:trPr>
        <w:tc>
          <w:tcPr>
            <w:tcW w:w="736" w:type="dxa"/>
            <w:vMerge/>
            <w:tcBorders>
              <w:left w:val="single" w:sz="4" w:space="0" w:color="000000"/>
              <w:bottom w:val="single" w:sz="4" w:space="0" w:color="000000"/>
              <w:right w:val="single" w:sz="4" w:space="0" w:color="000000"/>
            </w:tcBorders>
            <w:shd w:val="clear" w:color="auto" w:fill="D3D3D3"/>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82" w:right="90"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流动资 产</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82" w:right="91" w:hanging="90"/>
              <w:jc w:val="left"/>
              <w:rPr>
                <w:rFonts w:ascii="宋体" w:hAnsi="宋体" w:cs="宋体" w:eastAsia="宋体" w:hint="default"/>
                <w:sz w:val="18"/>
                <w:szCs w:val="18"/>
              </w:rPr>
            </w:pPr>
            <w:r>
              <w:rPr>
                <w:rFonts w:ascii="宋体" w:hAnsi="宋体" w:cs="宋体" w:eastAsia="宋体" w:hint="default"/>
                <w:sz w:val="18"/>
                <w:szCs w:val="18"/>
              </w:rPr>
              <w:t>非流动 资产</w:t>
            </w:r>
          </w:p>
        </w:tc>
        <w:tc>
          <w:tcPr>
            <w:tcW w:w="73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2" w:right="90" w:hanging="180"/>
              <w:jc w:val="left"/>
              <w:rPr>
                <w:rFonts w:ascii="宋体" w:hAnsi="宋体" w:cs="宋体" w:eastAsia="宋体" w:hint="default"/>
                <w:sz w:val="18"/>
                <w:szCs w:val="18"/>
              </w:rPr>
            </w:pPr>
            <w:r>
              <w:rPr>
                <w:rFonts w:ascii="宋体" w:hAnsi="宋体" w:cs="宋体" w:eastAsia="宋体" w:hint="default"/>
                <w:sz w:val="18"/>
                <w:szCs w:val="18"/>
              </w:rPr>
              <w:t>资产合 计</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3" w:right="91" w:hanging="180"/>
              <w:jc w:val="left"/>
              <w:rPr>
                <w:rFonts w:ascii="宋体" w:hAnsi="宋体" w:cs="宋体" w:eastAsia="宋体" w:hint="default"/>
                <w:sz w:val="18"/>
                <w:szCs w:val="18"/>
              </w:rPr>
            </w:pPr>
            <w:r>
              <w:rPr>
                <w:rFonts w:ascii="宋体" w:hAnsi="宋体" w:cs="宋体" w:eastAsia="宋体" w:hint="default"/>
                <w:sz w:val="18"/>
                <w:szCs w:val="18"/>
              </w:rPr>
              <w:t>流动负 债</w:t>
            </w:r>
          </w:p>
        </w:tc>
        <w:tc>
          <w:tcPr>
            <w:tcW w:w="7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83" w:right="91" w:hanging="90"/>
              <w:jc w:val="left"/>
              <w:rPr>
                <w:rFonts w:ascii="宋体" w:hAnsi="宋体" w:cs="宋体" w:eastAsia="宋体" w:hint="default"/>
                <w:sz w:val="18"/>
                <w:szCs w:val="18"/>
              </w:rPr>
            </w:pPr>
            <w:r>
              <w:rPr>
                <w:rFonts w:ascii="宋体" w:hAnsi="宋体" w:cs="宋体" w:eastAsia="宋体" w:hint="default"/>
                <w:sz w:val="18"/>
                <w:szCs w:val="18"/>
              </w:rPr>
              <w:t>非流动 负债</w:t>
            </w:r>
          </w:p>
        </w:tc>
        <w:tc>
          <w:tcPr>
            <w:tcW w:w="73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72" w:right="91" w:hanging="180"/>
              <w:jc w:val="left"/>
              <w:rPr>
                <w:rFonts w:ascii="宋体" w:hAnsi="宋体" w:cs="宋体" w:eastAsia="宋体" w:hint="default"/>
                <w:sz w:val="18"/>
                <w:szCs w:val="18"/>
              </w:rPr>
            </w:pPr>
            <w:r>
              <w:rPr>
                <w:rFonts w:ascii="宋体" w:hAnsi="宋体" w:cs="宋体" w:eastAsia="宋体" w:hint="default"/>
                <w:sz w:val="18"/>
                <w:szCs w:val="18"/>
              </w:rPr>
              <w:t>负债合 计</w:t>
            </w:r>
          </w:p>
        </w:tc>
      </w:tr>
    </w:tbl>
    <w:p>
      <w:pPr>
        <w:pStyle w:val="BodyText"/>
        <w:spacing w:line="240" w:lineRule="auto" w:before="51"/>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1"/>
        <w:gridCol w:w="1061"/>
        <w:gridCol w:w="1062"/>
        <w:gridCol w:w="1066"/>
        <w:gridCol w:w="1064"/>
        <w:gridCol w:w="1063"/>
        <w:gridCol w:w="1063"/>
        <w:gridCol w:w="1063"/>
        <w:gridCol w:w="1066"/>
      </w:tblGrid>
      <w:tr>
        <w:trPr>
          <w:trHeight w:val="402" w:hRule="exact"/>
        </w:trPr>
        <w:tc>
          <w:tcPr>
            <w:tcW w:w="106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240" w:lineRule="auto"/>
              <w:ind w:left="75" w:right="0"/>
              <w:jc w:val="left"/>
              <w:rPr>
                <w:rFonts w:ascii="宋体" w:hAnsi="宋体" w:cs="宋体" w:eastAsia="宋体" w:hint="default"/>
                <w:sz w:val="18"/>
                <w:szCs w:val="18"/>
              </w:rPr>
            </w:pPr>
            <w:r>
              <w:rPr>
                <w:rFonts w:ascii="宋体" w:hAnsi="宋体" w:cs="宋体" w:eastAsia="宋体" w:hint="default"/>
                <w:sz w:val="18"/>
                <w:szCs w:val="18"/>
              </w:rPr>
              <w:t>子公司名称</w:t>
            </w:r>
          </w:p>
        </w:tc>
        <w:tc>
          <w:tcPr>
            <w:tcW w:w="4253"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4255"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1061" w:type="dxa"/>
            <w:vMerge/>
            <w:tcBorders>
              <w:left w:val="single" w:sz="4" w:space="0" w:color="000000"/>
              <w:bottom w:val="single" w:sz="4" w:space="0" w:color="000000"/>
              <w:right w:val="single" w:sz="4" w:space="0" w:color="000000"/>
            </w:tcBorders>
            <w:shd w:val="clear" w:color="auto" w:fill="D3D3D3"/>
          </w:tcPr>
          <w:p>
            <w:pPr/>
          </w:p>
        </w:tc>
        <w:tc>
          <w:tcPr>
            <w:tcW w:w="10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6"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7"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6"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55"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06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435" w:right="77" w:hanging="360"/>
              <w:jc w:val="left"/>
              <w:rPr>
                <w:rFonts w:ascii="宋体" w:hAnsi="宋体" w:cs="宋体" w:eastAsia="宋体" w:hint="default"/>
                <w:sz w:val="18"/>
                <w:szCs w:val="18"/>
              </w:rPr>
            </w:pPr>
            <w:r>
              <w:rPr>
                <w:rFonts w:ascii="宋体" w:hAnsi="宋体" w:cs="宋体" w:eastAsia="宋体" w:hint="default"/>
                <w:sz w:val="18"/>
                <w:szCs w:val="18"/>
              </w:rPr>
              <w:t>综合收益总 额</w:t>
            </w:r>
          </w:p>
        </w:tc>
        <w:tc>
          <w:tcPr>
            <w:tcW w:w="10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57" w:right="77" w:hanging="180"/>
              <w:jc w:val="left"/>
              <w:rPr>
                <w:rFonts w:ascii="宋体" w:hAnsi="宋体" w:cs="宋体" w:eastAsia="宋体" w:hint="default"/>
                <w:sz w:val="18"/>
                <w:szCs w:val="18"/>
              </w:rPr>
            </w:pPr>
            <w:r>
              <w:rPr>
                <w:rFonts w:ascii="宋体" w:hAnsi="宋体" w:cs="宋体" w:eastAsia="宋体" w:hint="default"/>
                <w:sz w:val="18"/>
                <w:szCs w:val="18"/>
              </w:rPr>
              <w:t>经营活动现 金流量</w:t>
            </w:r>
          </w:p>
        </w:tc>
      </w:tr>
    </w:tbl>
    <w:p>
      <w:pPr>
        <w:pStyle w:val="BodyText"/>
        <w:spacing w:line="360" w:lineRule="auto" w:before="51"/>
        <w:ind w:right="9850"/>
        <w:jc w:val="left"/>
      </w:pPr>
      <w:r>
        <w:rPr/>
        <w:t>其他说明： 无。</w:t>
      </w:r>
    </w:p>
    <w:p>
      <w:pPr>
        <w:spacing w:line="240" w:lineRule="auto" w:before="11"/>
        <w:rPr>
          <w:rFonts w:ascii="宋体" w:hAnsi="宋体" w:cs="宋体" w:eastAsia="宋体" w:hint="default"/>
          <w:sz w:val="19"/>
          <w:szCs w:val="19"/>
        </w:rPr>
      </w:pPr>
    </w:p>
    <w:p>
      <w:pPr>
        <w:pStyle w:val="Heading4"/>
        <w:spacing w:line="240" w:lineRule="auto"/>
        <w:ind w:right="2239"/>
        <w:jc w:val="left"/>
        <w:rPr>
          <w:b w:val="0"/>
          <w:bCs w:val="0"/>
        </w:rPr>
      </w:pPr>
      <w:r>
        <w:rPr/>
        <w:t>（</w:t>
      </w:r>
      <w:r>
        <w:rPr>
          <w:rFonts w:ascii="Arial" w:hAnsi="Arial" w:cs="Arial" w:eastAsia="Arial" w:hint="default"/>
        </w:rPr>
        <w:t>4</w:t>
      </w:r>
      <w:r>
        <w:rPr/>
        <w:t>）使用企业集团资产和清偿企业集团债务的重大限制</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left="153" w:right="2239"/>
        <w:jc w:val="left"/>
        <w:rPr>
          <w:b w:val="0"/>
          <w:bCs w:val="0"/>
        </w:rPr>
      </w:pPr>
      <w:r>
        <w:rPr/>
        <w:t>（</w:t>
      </w:r>
      <w:r>
        <w:rPr>
          <w:rFonts w:ascii="Arial" w:hAnsi="Arial" w:cs="Arial" w:eastAsia="Arial" w:hint="default"/>
        </w:rPr>
        <w:t>5</w:t>
      </w:r>
      <w:r>
        <w:rPr/>
        <w:t>）向纳入合并财务报表范围的结构化主体提供的财务支持或其他支持</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9850"/>
        <w:jc w:val="left"/>
      </w:pPr>
      <w:r>
        <w:rPr/>
        <w:t>其他说明： 无。</w:t>
      </w:r>
    </w:p>
    <w:p>
      <w:pPr>
        <w:spacing w:after="0" w:line="360" w:lineRule="auto"/>
        <w:jc w:val="left"/>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2239"/>
        <w:jc w:val="left"/>
        <w:rPr>
          <w:b w:val="0"/>
          <w:bCs w:val="0"/>
        </w:rPr>
      </w:pPr>
      <w:r>
        <w:rPr>
          <w:rFonts w:ascii="Arial" w:hAnsi="Arial" w:cs="Arial" w:eastAsia="Arial" w:hint="default"/>
        </w:rPr>
        <w:t>2</w:t>
      </w:r>
      <w:r>
        <w:rPr/>
        <w:t>、在子公司的所有者权益份额发生变化且仍控制子公司的交易</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2239"/>
        <w:jc w:val="left"/>
        <w:rPr>
          <w:b w:val="0"/>
          <w:bCs w:val="0"/>
        </w:rPr>
      </w:pPr>
      <w:r>
        <w:rPr/>
        <w:t>（</w:t>
      </w:r>
      <w:r>
        <w:rPr>
          <w:rFonts w:ascii="Arial" w:hAnsi="Arial" w:cs="Arial" w:eastAsia="Arial" w:hint="default"/>
        </w:rPr>
        <w:t>1</w:t>
      </w:r>
      <w:r>
        <w:rPr/>
        <w:t>）在子公司所有者权益份额发生变化的情况说明</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t>（</w:t>
      </w:r>
      <w:r>
        <w:rPr>
          <w:rFonts w:ascii="Arial" w:hAnsi="Arial" w:cs="Arial" w:eastAsia="Arial" w:hint="default"/>
        </w:rPr>
        <w:t>2</w:t>
      </w:r>
      <w:r>
        <w:rPr/>
        <w:t>）交易对于少数股东权益及归属于母公司所有者权益的影响</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3" coordorigin="26,14" coordsize="2,393">
              <v:shape style="position:absolute;left:26;top:14;width:2;height:393" coordorigin="26,14" coordsize="0,393" path="m26,14l26,407e" filled="false" stroked="true" strokeweight="1.140pt" strokecolor="#d3d3d3">
                <v:path arrowok="t"/>
              </v:shape>
            </v:group>
            <v:group style="position:absolute;left:4777;top:14;width:2;height:393" coordorigin="4777,14" coordsize="2,393">
              <v:shape style="position:absolute;left:4777;top:14;width:2;height:393" coordorigin="4777,14" coordsize="0,393" path="m4777,14l4777,407e" filled="false" stroked="true" strokeweight="1.140pt" strokecolor="#d3d3d3">
                <v:path arrowok="t"/>
              </v:shape>
            </v:group>
            <v:group style="position:absolute;left:37;top:14;width:4728;height:393" coordorigin="37,14" coordsize="4728,393">
              <v:shape style="position:absolute;left:37;top:14;width:4728;height:393" coordorigin="37,14" coordsize="4728,393" path="m37,407l4765,407,4765,14,37,14,37,407xe" filled="true" fillcolor="#d3d3d3" stroked="false">
                <v:path arrowok="t"/>
                <v:fill type="solid"/>
              </v:shape>
            </v:group>
            <v:group style="position:absolute;left:4810;top:14;width:2;height:393" coordorigin="4810,14" coordsize="2,393">
              <v:shape style="position:absolute;left:4810;top:14;width:2;height:393" coordorigin="4810,14" coordsize="0,393" path="m4810,14l4810,407e" filled="false" stroked="true" strokeweight="1.140pt" strokecolor="#d3d3d3">
                <v:path arrowok="t"/>
              </v:shape>
            </v:group>
            <v:group style="position:absolute;left:9561;top:14;width:2;height:393" coordorigin="9561,14" coordsize="2,393">
              <v:shape style="position:absolute;left:9561;top:14;width:2;height:393" coordorigin="9561,14" coordsize="0,393" path="m9561,14l9561,407e" filled="false" stroked="true" strokeweight="1.140pt" strokecolor="#d3d3d3">
                <v:path arrowok="t"/>
              </v:shape>
            </v:group>
            <v:group style="position:absolute;left:4822;top:14;width:4728;height:393" coordorigin="4822,14" coordsize="4728,393">
              <v:shape style="position:absolute;left:4822;top:14;width:4728;height:393" coordorigin="4822,14" coordsize="4728,393" path="m4822,407l9550,407,9550,14,4822,14,4822,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7998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5;height:2" coordorigin="5,412" coordsize="4785,2">
              <v:shape style="position:absolute;left:5;top:412;width:4785;height:2" coordorigin="5,412" coordsize="4785,0" path="m5,412l4789,412e" filled="false" stroked="true" strokeweight=".48004pt" strokecolor="#000000">
                <v:path arrowok="t"/>
              </v:shape>
            </v:group>
            <v:group style="position:absolute;left:4794;top:14;width:2;height:402" coordorigin="4794,14" coordsize="2,402">
              <v:shape style="position:absolute;left:4794;top:14;width:2;height:402" coordorigin="4794,14" coordsize="0,402" path="m4794,14l4794,416e" filled="false" stroked="true" strokeweight=".48001pt" strokecolor="#000000">
                <v:path arrowok="t"/>
              </v:shape>
            </v:group>
            <v:group style="position:absolute;left:4799;top:412;width:4774;height:2" coordorigin="4799,412" coordsize="4774,2">
              <v:shape style="position:absolute;left:4799;top:412;width:4774;height:2" coordorigin="4799,412" coordsize="4774,0" path="m4799,412l9572,412e" filled="false" stroked="true" strokeweight=".48004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group>
          </v:group>
        </w:pict>
      </w:r>
      <w:r>
        <w:rPr>
          <w:rFonts w:ascii="宋体" w:hAnsi="宋体" w:cs="宋体" w:eastAsia="宋体" w:hint="default"/>
          <w:position w:val="-7"/>
          <w:sz w:val="20"/>
          <w:szCs w:val="20"/>
        </w:rPr>
      </w:r>
    </w:p>
    <w:p>
      <w:pPr>
        <w:pStyle w:val="BodyText"/>
        <w:spacing w:line="360" w:lineRule="auto" w:before="46"/>
        <w:ind w:right="10030"/>
        <w:jc w:val="left"/>
      </w:pPr>
      <w:r>
        <w:rPr/>
        <w:t>其他说明 无。</w:t>
      </w:r>
    </w:p>
    <w:p>
      <w:pPr>
        <w:spacing w:line="240" w:lineRule="auto" w:before="11"/>
        <w:rPr>
          <w:rFonts w:ascii="宋体" w:hAnsi="宋体" w:cs="宋体" w:eastAsia="宋体" w:hint="default"/>
          <w:sz w:val="19"/>
          <w:szCs w:val="19"/>
        </w:rPr>
      </w:pPr>
    </w:p>
    <w:p>
      <w:pPr>
        <w:pStyle w:val="Heading4"/>
        <w:spacing w:line="240" w:lineRule="auto"/>
        <w:ind w:right="2239"/>
        <w:jc w:val="left"/>
        <w:rPr>
          <w:b w:val="0"/>
          <w:bCs w:val="0"/>
        </w:rPr>
      </w:pPr>
      <w:r>
        <w:rPr>
          <w:rFonts w:ascii="Arial" w:hAnsi="Arial" w:cs="Arial" w:eastAsia="Arial" w:hint="default"/>
        </w:rPr>
        <w:t>3</w:t>
      </w:r>
      <w:r>
        <w:rPr/>
        <w:t>、在合营安排或联营企业中的权益</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left="153" w:right="2239"/>
        <w:jc w:val="left"/>
        <w:rPr>
          <w:b w:val="0"/>
          <w:bCs w:val="0"/>
        </w:rPr>
      </w:pPr>
      <w:r>
        <w:rPr/>
        <w:t>（</w:t>
      </w:r>
      <w:r>
        <w:rPr>
          <w:rFonts w:ascii="Arial" w:hAnsi="Arial" w:cs="Arial" w:eastAsia="Arial" w:hint="default"/>
        </w:rPr>
        <w:t>1</w:t>
      </w:r>
      <w:r>
        <w:rPr/>
        <w:t>）重要的合营企业或联营企业</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72"/>
        <w:gridCol w:w="1367"/>
        <w:gridCol w:w="1367"/>
        <w:gridCol w:w="1367"/>
        <w:gridCol w:w="1367"/>
        <w:gridCol w:w="1367"/>
        <w:gridCol w:w="1366"/>
      </w:tblGrid>
      <w:tr>
        <w:trPr>
          <w:trHeight w:val="402" w:hRule="exact"/>
        </w:trPr>
        <w:tc>
          <w:tcPr>
            <w:tcW w:w="137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6" w:lineRule="auto"/>
              <w:ind w:left="320" w:right="49" w:hanging="270"/>
              <w:jc w:val="left"/>
              <w:rPr>
                <w:rFonts w:ascii="宋体" w:hAnsi="宋体" w:cs="宋体" w:eastAsia="宋体" w:hint="default"/>
                <w:sz w:val="18"/>
                <w:szCs w:val="18"/>
              </w:rPr>
            </w:pPr>
            <w:r>
              <w:rPr>
                <w:rFonts w:ascii="宋体" w:hAnsi="宋体" w:cs="宋体" w:eastAsia="宋体" w:hint="default"/>
                <w:sz w:val="18"/>
                <w:szCs w:val="18"/>
              </w:rPr>
              <w:t>合营企业或联营 企业名称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27"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40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317"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持股比例</w:t>
            </w:r>
          </w:p>
        </w:tc>
        <w:tc>
          <w:tcPr>
            <w:tcW w:w="1366"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48" w:right="47"/>
              <w:jc w:val="center"/>
              <w:rPr>
                <w:rFonts w:ascii="宋体" w:hAnsi="宋体" w:cs="宋体" w:eastAsia="宋体" w:hint="default"/>
                <w:sz w:val="18"/>
                <w:szCs w:val="18"/>
              </w:rPr>
            </w:pPr>
            <w:r>
              <w:rPr>
                <w:rFonts w:ascii="宋体" w:hAnsi="宋体" w:cs="宋体" w:eastAsia="宋体" w:hint="default"/>
                <w:sz w:val="18"/>
                <w:szCs w:val="18"/>
              </w:rPr>
              <w:t>对合营企业或联 营企业投资的会 计处理方法</w:t>
            </w:r>
          </w:p>
        </w:tc>
      </w:tr>
      <w:tr>
        <w:trPr>
          <w:trHeight w:val="624" w:hRule="exact"/>
        </w:trPr>
        <w:tc>
          <w:tcPr>
            <w:tcW w:w="1372"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直接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6"/>
              <w:ind w:right="0"/>
              <w:jc w:val="left"/>
              <w:rPr>
                <w:rFonts w:ascii="宋体" w:hAnsi="宋体" w:cs="宋体" w:eastAsia="宋体" w:hint="default"/>
                <w:b/>
                <w:bCs/>
                <w:sz w:val="12"/>
                <w:szCs w:val="12"/>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间接</w:t>
            </w:r>
          </w:p>
        </w:tc>
        <w:tc>
          <w:tcPr>
            <w:tcW w:w="1366"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福建亿榕信息技 术有限公司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福建省福州市</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计算机行业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40.70%</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w:t>
            </w:r>
          </w:p>
        </w:tc>
      </w:tr>
      <w:tr>
        <w:trPr>
          <w:trHeight w:val="714" w:hRule="exact"/>
        </w:trPr>
        <w:tc>
          <w:tcPr>
            <w:tcW w:w="137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7"/>
              <w:jc w:val="left"/>
              <w:rPr>
                <w:rFonts w:ascii="宋体" w:hAnsi="宋体" w:cs="宋体" w:eastAsia="宋体" w:hint="default"/>
                <w:sz w:val="18"/>
                <w:szCs w:val="18"/>
              </w:rPr>
            </w:pPr>
            <w:r>
              <w:rPr>
                <w:rFonts w:ascii="宋体" w:hAnsi="宋体" w:cs="宋体" w:eastAsia="宋体" w:hint="default"/>
                <w:sz w:val="18"/>
                <w:szCs w:val="18"/>
              </w:rPr>
              <w:t>福建文鑫莲业有 限责任公司</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建宁县</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72"/>
              <w:jc w:val="left"/>
              <w:rPr>
                <w:rFonts w:ascii="宋体" w:hAnsi="宋体" w:cs="宋体" w:eastAsia="宋体" w:hint="default"/>
                <w:sz w:val="18"/>
                <w:szCs w:val="18"/>
              </w:rPr>
            </w:pPr>
            <w:r>
              <w:rPr>
                <w:rFonts w:ascii="宋体" w:hAnsi="宋体" w:cs="宋体" w:eastAsia="宋体" w:hint="default"/>
                <w:sz w:val="18"/>
                <w:szCs w:val="18"/>
              </w:rPr>
              <w:t>建宁县将屯工业 区</w:t>
            </w:r>
            <w:r>
              <w:rPr>
                <w:rFonts w:ascii="宋体" w:hAnsi="宋体" w:cs="宋体" w:eastAsia="宋体" w:hint="default"/>
                <w:spacing w:val="-46"/>
                <w:sz w:val="18"/>
                <w:szCs w:val="18"/>
              </w:rPr>
              <w:t> </w:t>
            </w:r>
            <w:r>
              <w:rPr>
                <w:rFonts w:ascii="Arial" w:hAnsi="Arial" w:cs="Arial" w:eastAsia="Arial" w:hint="default"/>
                <w:sz w:val="18"/>
                <w:szCs w:val="18"/>
              </w:rPr>
              <w:t>42</w:t>
            </w:r>
            <w:r>
              <w:rPr>
                <w:rFonts w:ascii="Arial" w:hAnsi="Arial" w:cs="Arial" w:eastAsia="Arial" w:hint="default"/>
                <w:spacing w:val="-7"/>
                <w:sz w:val="18"/>
                <w:szCs w:val="18"/>
              </w:rPr>
              <w:t> </w:t>
            </w:r>
            <w:r>
              <w:rPr>
                <w:rFonts w:ascii="宋体" w:hAnsi="宋体" w:cs="宋体" w:eastAsia="宋体" w:hint="default"/>
                <w:sz w:val="18"/>
                <w:szCs w:val="18"/>
              </w:rPr>
              <w:t>号</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农业</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12.58%</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权益法（说明）</w:t>
            </w:r>
          </w:p>
        </w:tc>
      </w:tr>
    </w:tbl>
    <w:p>
      <w:pPr>
        <w:pStyle w:val="BodyText"/>
        <w:spacing w:line="240" w:lineRule="auto" w:before="51"/>
        <w:ind w:right="2239"/>
        <w:jc w:val="left"/>
      </w:pPr>
      <w:r>
        <w:rPr/>
        <w:t>在合营企业或联营企业的持股比例不同于表决权比例的说明：</w:t>
      </w:r>
    </w:p>
    <w:p>
      <w:pPr>
        <w:pStyle w:val="BodyText"/>
        <w:spacing w:line="338" w:lineRule="auto" w:before="117"/>
        <w:ind w:left="153" w:right="3284"/>
        <w:jc w:val="left"/>
      </w:pPr>
      <w:r>
        <w:rPr/>
        <w:t>持有</w:t>
      </w:r>
      <w:r>
        <w:rPr>
          <w:spacing w:val="-47"/>
        </w:rPr>
        <w:t> </w:t>
      </w:r>
      <w:r>
        <w:rPr>
          <w:rFonts w:ascii="Arial" w:hAnsi="Arial" w:cs="Arial" w:eastAsia="Arial" w:hint="default"/>
        </w:rPr>
        <w:t>20%</w:t>
      </w:r>
      <w:r>
        <w:rPr/>
        <w:t>以下表决权但具有重大影响，或者持有</w:t>
      </w:r>
      <w:r>
        <w:rPr>
          <w:spacing w:val="-47"/>
        </w:rPr>
        <w:t> </w:t>
      </w:r>
      <w:r>
        <w:rPr>
          <w:rFonts w:ascii="Arial" w:hAnsi="Arial" w:cs="Arial" w:eastAsia="Arial" w:hint="default"/>
        </w:rPr>
        <w:t>20%</w:t>
      </w:r>
      <w:r>
        <w:rPr/>
        <w:t>或以上表决权但不具有重大影响的依据： 福建文鑫莲业有限责任公司董事会成员中的</w:t>
      </w:r>
      <w:r>
        <w:rPr>
          <w:rFonts w:ascii="Arial" w:hAnsi="Arial" w:cs="Arial" w:eastAsia="Arial" w:hint="default"/>
        </w:rPr>
        <w:t>1</w:t>
      </w:r>
      <w:r>
        <w:rPr/>
        <w:t>人由本公司委派，本公司对其具有重大影响。</w:t>
      </w:r>
    </w:p>
    <w:p>
      <w:pPr>
        <w:spacing w:line="240" w:lineRule="auto" w:before="8"/>
        <w:rPr>
          <w:rFonts w:ascii="宋体" w:hAnsi="宋体" w:cs="宋体" w:eastAsia="宋体" w:hint="default"/>
          <w:sz w:val="19"/>
          <w:szCs w:val="19"/>
        </w:rPr>
      </w:pPr>
    </w:p>
    <w:p>
      <w:pPr>
        <w:pStyle w:val="Heading4"/>
        <w:spacing w:line="240" w:lineRule="auto"/>
        <w:ind w:right="2239"/>
        <w:jc w:val="left"/>
        <w:rPr>
          <w:b w:val="0"/>
          <w:bCs w:val="0"/>
        </w:rPr>
      </w:pPr>
      <w:r>
        <w:rPr/>
        <w:t>（</w:t>
      </w:r>
      <w:r>
        <w:rPr>
          <w:rFonts w:ascii="Arial" w:hAnsi="Arial" w:cs="Arial" w:eastAsia="Arial" w:hint="default"/>
        </w:rPr>
        <w:t>2</w:t>
      </w:r>
      <w:r>
        <w:rPr/>
        <w:t>）重要合营企业的主要财务信息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62"/>
      </w:tblGrid>
      <w:tr>
        <w:trPr>
          <w:trHeight w:val="401"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55"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Arial" w:hAnsi="Arial" w:cs="Arial" w:eastAsia="Arial" w:hint="default"/>
                <w:sz w:val="18"/>
                <w:szCs w:val="18"/>
              </w:rPr>
              <w:t>/</w:t>
            </w:r>
            <w:r>
              <w:rPr>
                <w:rFonts w:ascii="宋体" w:hAnsi="宋体" w:cs="宋体" w:eastAsia="宋体" w:hint="default"/>
                <w:sz w:val="18"/>
                <w:szCs w:val="18"/>
              </w:rPr>
              <w:t>本期发生额</w:t>
            </w:r>
          </w:p>
        </w:tc>
        <w:tc>
          <w:tcPr>
            <w:tcW w:w="31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54"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Arial" w:hAnsi="Arial" w:cs="Arial" w:eastAsia="Arial" w:hint="default"/>
                <w:sz w:val="18"/>
                <w:szCs w:val="18"/>
              </w:rPr>
              <w:t>/</w:t>
            </w:r>
            <w:r>
              <w:rPr>
                <w:rFonts w:ascii="宋体" w:hAnsi="宋体" w:cs="宋体" w:eastAsia="宋体" w:hint="default"/>
                <w:sz w:val="18"/>
                <w:szCs w:val="18"/>
              </w:rPr>
              <w:t>上期发生额</w:t>
            </w:r>
          </w:p>
        </w:tc>
      </w:tr>
      <w:tr>
        <w:trPr>
          <w:trHeight w:val="403"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162"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pStyle w:val="BodyText"/>
        <w:spacing w:line="357" w:lineRule="auto" w:before="52"/>
        <w:ind w:right="10030"/>
        <w:jc w:val="left"/>
      </w:pPr>
      <w:r>
        <w:rPr/>
        <w:t>其他说明 无。</w:t>
      </w:r>
    </w:p>
    <w:p>
      <w:pPr>
        <w:spacing w:line="240" w:lineRule="auto" w:before="1"/>
        <w:rPr>
          <w:rFonts w:ascii="宋体" w:hAnsi="宋体" w:cs="宋体" w:eastAsia="宋体" w:hint="default"/>
          <w:sz w:val="20"/>
          <w:szCs w:val="20"/>
        </w:rPr>
      </w:pPr>
    </w:p>
    <w:p>
      <w:pPr>
        <w:pStyle w:val="Heading4"/>
        <w:spacing w:line="240" w:lineRule="auto"/>
        <w:ind w:right="2239"/>
        <w:jc w:val="left"/>
        <w:rPr>
          <w:b w:val="0"/>
          <w:bCs w:val="0"/>
        </w:rPr>
      </w:pPr>
      <w:r>
        <w:rPr/>
        <w:t>（</w:t>
      </w:r>
      <w:r>
        <w:rPr>
          <w:rFonts w:ascii="Arial" w:hAnsi="Arial" w:cs="Arial" w:eastAsia="Arial" w:hint="default"/>
        </w:rPr>
        <w:t>3</w:t>
      </w:r>
      <w:r>
        <w:rPr/>
        <w:t>）重要联营企业的主要财务信息</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03"/>
        <w:gridCol w:w="1914"/>
        <w:gridCol w:w="1914"/>
        <w:gridCol w:w="1914"/>
        <w:gridCol w:w="1903"/>
      </w:tblGrid>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82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72"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Arial" w:hAnsi="Arial" w:cs="Arial" w:eastAsia="Arial" w:hint="default"/>
                <w:sz w:val="18"/>
                <w:szCs w:val="18"/>
              </w:rPr>
              <w:t>/</w:t>
            </w:r>
            <w:r>
              <w:rPr>
                <w:rFonts w:ascii="宋体" w:hAnsi="宋体" w:cs="宋体" w:eastAsia="宋体" w:hint="default"/>
                <w:sz w:val="18"/>
                <w:szCs w:val="18"/>
              </w:rPr>
              <w:t>本期发生额</w:t>
            </w:r>
          </w:p>
        </w:tc>
        <w:tc>
          <w:tcPr>
            <w:tcW w:w="381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72"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Arial" w:hAnsi="Arial" w:cs="Arial" w:eastAsia="Arial" w:hint="default"/>
                <w:sz w:val="18"/>
                <w:szCs w:val="18"/>
              </w:rPr>
              <w:t>/</w:t>
            </w:r>
            <w:r>
              <w:rPr>
                <w:rFonts w:ascii="宋体" w:hAnsi="宋体" w:cs="宋体" w:eastAsia="宋体" w:hint="default"/>
                <w:sz w:val="18"/>
                <w:szCs w:val="18"/>
              </w:rPr>
              <w:t>上期发生额</w:t>
            </w:r>
          </w:p>
        </w:tc>
      </w:tr>
      <w:tr>
        <w:trPr>
          <w:trHeight w:val="160" w:hRule="exact"/>
        </w:trPr>
        <w:tc>
          <w:tcPr>
            <w:tcW w:w="1903"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771" w:right="50" w:hanging="720"/>
              <w:jc w:val="left"/>
              <w:rPr>
                <w:rFonts w:ascii="宋体" w:hAnsi="宋体" w:cs="宋体" w:eastAsia="宋体" w:hint="default"/>
                <w:sz w:val="18"/>
                <w:szCs w:val="18"/>
              </w:rPr>
            </w:pPr>
            <w:r>
              <w:rPr>
                <w:rFonts w:ascii="宋体" w:hAnsi="宋体" w:cs="宋体" w:eastAsia="宋体" w:hint="default"/>
                <w:sz w:val="18"/>
                <w:szCs w:val="18"/>
              </w:rPr>
              <w:t>福建亿榕信息技术有限 公司</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771" w:right="50" w:hanging="720"/>
              <w:jc w:val="left"/>
              <w:rPr>
                <w:rFonts w:ascii="宋体" w:hAnsi="宋体" w:cs="宋体" w:eastAsia="宋体" w:hint="default"/>
                <w:sz w:val="18"/>
                <w:szCs w:val="18"/>
              </w:rPr>
            </w:pPr>
            <w:r>
              <w:rPr>
                <w:rFonts w:ascii="宋体" w:hAnsi="宋体" w:cs="宋体" w:eastAsia="宋体" w:hint="default"/>
                <w:sz w:val="18"/>
                <w:szCs w:val="18"/>
              </w:rPr>
              <w:t>福建文鑫莲业有限责任 公司</w:t>
            </w:r>
          </w:p>
        </w:tc>
        <w:tc>
          <w:tcPr>
            <w:tcW w:w="1914"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771" w:right="50" w:hanging="720"/>
              <w:jc w:val="left"/>
              <w:rPr>
                <w:rFonts w:ascii="宋体" w:hAnsi="宋体" w:cs="宋体" w:eastAsia="宋体" w:hint="default"/>
                <w:sz w:val="18"/>
                <w:szCs w:val="18"/>
              </w:rPr>
            </w:pPr>
            <w:r>
              <w:rPr>
                <w:rFonts w:ascii="宋体" w:hAnsi="宋体" w:cs="宋体" w:eastAsia="宋体" w:hint="default"/>
                <w:sz w:val="18"/>
                <w:szCs w:val="18"/>
              </w:rPr>
              <w:t>福建亿榕信息技术有限 公司</w:t>
            </w:r>
          </w:p>
        </w:tc>
        <w:tc>
          <w:tcPr>
            <w:tcW w:w="1903" w:type="dxa"/>
            <w:vMerge w:val="restart"/>
            <w:tcBorders>
              <w:top w:val="single" w:sz="4" w:space="0" w:color="000000"/>
              <w:left w:val="single" w:sz="4" w:space="0" w:color="000000"/>
              <w:right w:val="single" w:sz="4" w:space="0" w:color="000000"/>
            </w:tcBorders>
            <w:shd w:val="clear" w:color="auto" w:fill="D3D3D3"/>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福建文鑫莲业有限责任 公司</w:t>
            </w:r>
          </w:p>
        </w:tc>
      </w:tr>
      <w:tr>
        <w:trPr>
          <w:trHeight w:val="393" w:hRule="exact"/>
        </w:trPr>
        <w:tc>
          <w:tcPr>
            <w:tcW w:w="1903" w:type="dxa"/>
            <w:tcBorders>
              <w:top w:val="nil" w:sz="6" w:space="0" w:color="auto"/>
              <w:left w:val="single" w:sz="4" w:space="0" w:color="000000"/>
              <w:bottom w:val="nil" w:sz="6" w:space="0" w:color="auto"/>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c>
          <w:tcPr>
            <w:tcW w:w="1914" w:type="dxa"/>
            <w:vMerge/>
            <w:tcBorders>
              <w:left w:val="single" w:sz="4" w:space="0" w:color="000000"/>
              <w:right w:val="single" w:sz="4" w:space="0" w:color="000000"/>
            </w:tcBorders>
            <w:shd w:val="clear" w:color="auto" w:fill="D3D3D3"/>
          </w:tcPr>
          <w:p>
            <w:pPr/>
          </w:p>
        </w:tc>
        <w:tc>
          <w:tcPr>
            <w:tcW w:w="1903" w:type="dxa"/>
            <w:vMerge/>
            <w:tcBorders>
              <w:left w:val="single" w:sz="4" w:space="0" w:color="000000"/>
              <w:right w:val="single" w:sz="4" w:space="0" w:color="000000"/>
            </w:tcBorders>
            <w:shd w:val="clear" w:color="auto" w:fill="D3D3D3"/>
          </w:tcPr>
          <w:p>
            <w:pPr/>
          </w:p>
        </w:tc>
      </w:tr>
      <w:tr>
        <w:trPr>
          <w:trHeight w:val="160" w:hRule="exact"/>
        </w:trPr>
        <w:tc>
          <w:tcPr>
            <w:tcW w:w="1903"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14" w:type="dxa"/>
            <w:vMerge/>
            <w:tcBorders>
              <w:left w:val="single" w:sz="4" w:space="0" w:color="000000"/>
              <w:bottom w:val="single" w:sz="4" w:space="0" w:color="000000"/>
              <w:right w:val="single" w:sz="4" w:space="0" w:color="000000"/>
            </w:tcBorders>
            <w:shd w:val="clear" w:color="auto" w:fill="D3D3D3"/>
          </w:tcPr>
          <w:p>
            <w:pPr/>
          </w:p>
        </w:tc>
        <w:tc>
          <w:tcPr>
            <w:tcW w:w="190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191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left="623" w:right="0"/>
              <w:jc w:val="left"/>
              <w:rPr>
                <w:rFonts w:ascii="Arial" w:hAnsi="Arial" w:cs="Arial" w:eastAsia="Arial" w:hint="default"/>
                <w:sz w:val="18"/>
                <w:szCs w:val="18"/>
              </w:rPr>
            </w:pPr>
            <w:r>
              <w:rPr>
                <w:rFonts w:ascii="Arial"/>
                <w:sz w:val="18"/>
              </w:rPr>
              <w:t>715,962,208.71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9" w:right="0"/>
              <w:jc w:val="left"/>
              <w:rPr>
                <w:rFonts w:ascii="Arial" w:hAnsi="Arial" w:cs="Arial" w:eastAsia="Arial" w:hint="default"/>
                <w:sz w:val="18"/>
                <w:szCs w:val="18"/>
              </w:rPr>
            </w:pPr>
            <w:r>
              <w:rPr>
                <w:rFonts w:ascii="Arial"/>
                <w:sz w:val="18"/>
              </w:rPr>
              <w:t>128,999,521.21</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9" w:right="0"/>
              <w:jc w:val="left"/>
              <w:rPr>
                <w:rFonts w:ascii="Arial" w:hAnsi="Arial" w:cs="Arial" w:eastAsia="Arial" w:hint="default"/>
                <w:sz w:val="18"/>
                <w:szCs w:val="18"/>
              </w:rPr>
            </w:pPr>
            <w:r>
              <w:rPr>
                <w:rFonts w:ascii="Arial"/>
                <w:sz w:val="18"/>
              </w:rPr>
              <w:t>510,676,337.50</w:t>
            </w:r>
          </w:p>
        </w:tc>
        <w:tc>
          <w:tcPr>
            <w:tcW w:w="1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9" w:right="0"/>
              <w:jc w:val="left"/>
              <w:rPr>
                <w:rFonts w:ascii="Arial" w:hAnsi="Arial" w:cs="Arial" w:eastAsia="Arial" w:hint="default"/>
                <w:sz w:val="18"/>
                <w:szCs w:val="18"/>
              </w:rPr>
            </w:pPr>
            <w:r>
              <w:rPr>
                <w:rFonts w:ascii="Arial"/>
                <w:sz w:val="18"/>
              </w:rPr>
              <w:t>124,023,984.16</w:t>
            </w:r>
          </w:p>
        </w:tc>
      </w:tr>
    </w:tbl>
    <w:p>
      <w:pPr>
        <w:spacing w:after="0" w:line="240" w:lineRule="auto"/>
        <w:jc w:val="left"/>
        <w:rPr>
          <w:rFonts w:ascii="Arial" w:hAnsi="Arial" w:cs="Arial" w:eastAsia="Arial"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886"/>
        <w:gridCol w:w="1942"/>
        <w:gridCol w:w="1914"/>
        <w:gridCol w:w="1914"/>
        <w:gridCol w:w="1914"/>
      </w:tblGrid>
      <w:tr>
        <w:trPr>
          <w:trHeight w:val="402" w:hRule="exact"/>
        </w:trPr>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194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88,173,941.01</w:t>
            </w:r>
            <w:r>
              <w:rPr>
                <w:rFonts w:ascii="Arial"/>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65,877,269.75</w:t>
            </w:r>
            <w:r>
              <w:rPr>
                <w:rFonts w:ascii="Arial"/>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85,197,572.36</w:t>
            </w:r>
            <w:r>
              <w:rPr>
                <w:rFonts w:ascii="Arial"/>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68,069,021.68</w:t>
            </w:r>
            <w:r>
              <w:rPr>
                <w:rFonts w:ascii="Arial"/>
                <w:sz w:val="18"/>
              </w:rPr>
            </w:r>
          </w:p>
        </w:tc>
      </w:tr>
      <w:tr>
        <w:trPr>
          <w:trHeight w:val="402" w:hRule="exact"/>
        </w:trPr>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资产合计</w:t>
            </w:r>
          </w:p>
        </w:tc>
        <w:tc>
          <w:tcPr>
            <w:tcW w:w="194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804,136,149.72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194,876,790.96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595,873,909.86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192,093,005.84</w:t>
            </w:r>
          </w:p>
        </w:tc>
      </w:tr>
      <w:tr>
        <w:trPr>
          <w:trHeight w:val="402" w:hRule="exact"/>
        </w:trPr>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194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600,994,575.28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58,424,381.43</w:t>
            </w:r>
            <w:r>
              <w:rPr>
                <w:rFonts w:ascii="Arial"/>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395,228,362.88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51,238,173.98</w:t>
            </w:r>
            <w:r>
              <w:rPr>
                <w:rFonts w:ascii="Arial"/>
                <w:sz w:val="18"/>
              </w:rPr>
            </w:r>
          </w:p>
        </w:tc>
      </w:tr>
      <w:tr>
        <w:trPr>
          <w:trHeight w:val="402" w:hRule="exact"/>
        </w:trPr>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1942"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45,759,898.05</w:t>
            </w:r>
            <w:r>
              <w:rPr>
                <w:rFonts w:ascii="Arial"/>
                <w:sz w:val="18"/>
              </w:rPr>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42,791,307.15</w:t>
            </w:r>
            <w:r>
              <w:rPr>
                <w:rFonts w:ascii="Arial"/>
                <w:sz w:val="18"/>
              </w:rPr>
            </w:r>
          </w:p>
        </w:tc>
      </w:tr>
      <w:tr>
        <w:trPr>
          <w:trHeight w:val="402" w:hRule="exact"/>
        </w:trPr>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194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600,994,575.28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104,184,279.48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395,228,362.88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94,029,481.13</w:t>
            </w:r>
            <w:r>
              <w:rPr>
                <w:rFonts w:ascii="Arial"/>
                <w:sz w:val="18"/>
              </w:rPr>
            </w:r>
          </w:p>
        </w:tc>
      </w:tr>
      <w:tr>
        <w:trPr>
          <w:trHeight w:val="402" w:hRule="exact"/>
        </w:trPr>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净资产</w:t>
            </w:r>
          </w:p>
        </w:tc>
        <w:tc>
          <w:tcPr>
            <w:tcW w:w="194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203,141,574.44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2"/>
                <w:sz w:val="18"/>
              </w:rPr>
              <w:t>90,692,511.48</w:t>
            </w:r>
            <w:r>
              <w:rPr>
                <w:rFonts w:ascii="Arial"/>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200,645,546.98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98,063,524.71</w:t>
            </w:r>
            <w:r>
              <w:rPr>
                <w:rFonts w:ascii="Arial"/>
                <w:sz w:val="18"/>
              </w:rPr>
            </w:r>
          </w:p>
        </w:tc>
      </w:tr>
      <w:tr>
        <w:trPr>
          <w:trHeight w:val="402" w:hRule="exact"/>
        </w:trPr>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942"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2,106,826.89</w:t>
            </w: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2,170,942.73</w:t>
            </w:r>
          </w:p>
        </w:tc>
      </w:tr>
      <w:tr>
        <w:trPr>
          <w:trHeight w:val="402" w:hRule="exact"/>
        </w:trPr>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94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203,141,574.44</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88,585,684.59</w:t>
            </w:r>
            <w:r>
              <w:rPr>
                <w:rFonts w:ascii="Arial"/>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200,645,546.98</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95,892,581.98</w:t>
            </w:r>
            <w:r>
              <w:rPr>
                <w:rFonts w:ascii="Arial"/>
                <w:sz w:val="18"/>
              </w:rPr>
            </w:r>
          </w:p>
        </w:tc>
      </w:tr>
      <w:tr>
        <w:trPr>
          <w:trHeight w:val="714" w:hRule="exact"/>
        </w:trPr>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按持股比例计算的净资 产份额</w:t>
            </w:r>
          </w:p>
        </w:tc>
        <w:tc>
          <w:tcPr>
            <w:tcW w:w="194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sz w:val="18"/>
              </w:rPr>
              <w:t>82,678,620.80</w:t>
            </w:r>
            <w:r>
              <w:rPr>
                <w:rFonts w:ascii="Arial"/>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2"/>
                <w:sz w:val="18"/>
              </w:rPr>
              <w:t>11,144,079.12</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sz w:val="18"/>
              </w:rPr>
              <w:t>81,662,737.62</w:t>
            </w:r>
            <w:r>
              <w:rPr>
                <w:rFonts w:ascii="Arial"/>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sz w:val="18"/>
              </w:rPr>
              <w:t>12,063,286.81</w:t>
            </w:r>
            <w:r>
              <w:rPr>
                <w:rFonts w:ascii="Arial"/>
                <w:sz w:val="18"/>
              </w:rPr>
            </w:r>
          </w:p>
        </w:tc>
      </w:tr>
      <w:tr>
        <w:trPr>
          <w:trHeight w:val="714" w:hRule="exact"/>
        </w:trPr>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对联营企业权益投资的 账面价值</w:t>
            </w:r>
          </w:p>
        </w:tc>
        <w:tc>
          <w:tcPr>
            <w:tcW w:w="194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sz w:val="18"/>
              </w:rPr>
              <w:t>82,678,620.80</w:t>
            </w:r>
            <w:r>
              <w:rPr>
                <w:rFonts w:ascii="Arial"/>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sz w:val="18"/>
              </w:rPr>
              <w:t>25,914,481.48</w:t>
            </w:r>
            <w:r>
              <w:rPr>
                <w:rFonts w:ascii="Arial"/>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sz w:val="18"/>
              </w:rPr>
              <w:t>81,662,737.62</w:t>
            </w:r>
            <w:r>
              <w:rPr>
                <w:rFonts w:ascii="Arial"/>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Arial" w:hAnsi="Arial" w:cs="Arial" w:eastAsia="Arial" w:hint="default"/>
                <w:sz w:val="18"/>
                <w:szCs w:val="18"/>
              </w:rPr>
            </w:pPr>
            <w:r>
              <w:rPr>
                <w:rFonts w:ascii="Arial"/>
                <w:spacing w:val="-1"/>
                <w:sz w:val="18"/>
              </w:rPr>
              <w:t>26,833,689.17</w:t>
            </w:r>
            <w:r>
              <w:rPr>
                <w:rFonts w:ascii="Arial"/>
                <w:sz w:val="18"/>
              </w:rPr>
            </w:r>
          </w:p>
        </w:tc>
      </w:tr>
      <w:tr>
        <w:trPr>
          <w:trHeight w:val="402" w:hRule="exact"/>
        </w:trPr>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94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326,296,059.16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19,460,821.22</w:t>
            </w:r>
            <w:r>
              <w:rPr>
                <w:rFonts w:ascii="Arial"/>
                <w:sz w:val="18"/>
              </w:rPr>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504,812,280.46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45,694,265.54</w:t>
            </w:r>
            <w:r>
              <w:rPr>
                <w:rFonts w:ascii="Arial"/>
                <w:sz w:val="18"/>
              </w:rPr>
            </w:r>
          </w:p>
        </w:tc>
      </w:tr>
      <w:tr>
        <w:trPr>
          <w:trHeight w:val="402" w:hRule="exact"/>
        </w:trPr>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94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2,496,027.46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-7,371,013.23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2"/>
                <w:sz w:val="18"/>
              </w:rPr>
              <w:t>6,299,911.96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-9,530,390.08</w:t>
            </w:r>
          </w:p>
        </w:tc>
      </w:tr>
      <w:tr>
        <w:trPr>
          <w:trHeight w:val="402" w:hRule="exact"/>
        </w:trPr>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综合收益总额</w:t>
            </w:r>
          </w:p>
        </w:tc>
        <w:tc>
          <w:tcPr>
            <w:tcW w:w="1942"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2,496,027.46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-7,371,013.23</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2"/>
                <w:sz w:val="18"/>
              </w:rPr>
              <w:t>6,299,911.96</w:t>
            </w: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-9,530,390.08</w:t>
            </w:r>
          </w:p>
        </w:tc>
      </w:tr>
      <w:tr>
        <w:trPr>
          <w:trHeight w:val="714" w:hRule="exact"/>
        </w:trPr>
        <w:tc>
          <w:tcPr>
            <w:tcW w:w="18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53"/>
              <w:jc w:val="left"/>
              <w:rPr>
                <w:rFonts w:ascii="宋体" w:hAnsi="宋体" w:cs="宋体" w:eastAsia="宋体" w:hint="default"/>
                <w:sz w:val="18"/>
                <w:szCs w:val="18"/>
              </w:rPr>
            </w:pPr>
            <w:r>
              <w:rPr>
                <w:rFonts w:ascii="宋体" w:hAnsi="宋体" w:cs="宋体" w:eastAsia="宋体" w:hint="default"/>
                <w:sz w:val="18"/>
                <w:szCs w:val="18"/>
              </w:rPr>
              <w:t>本年度收到的来自联营 企业的股利</w:t>
            </w:r>
          </w:p>
        </w:tc>
        <w:tc>
          <w:tcPr>
            <w:tcW w:w="1942" w:type="dxa"/>
            <w:tcBorders>
              <w:top w:val="single" w:sz="4" w:space="0" w:color="000000"/>
              <w:left w:val="single" w:sz="9" w:space="0" w:color="D3D3D3"/>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
        </w:tc>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6,000,000.00</w:t>
            </w:r>
          </w:p>
        </w:tc>
        <w:tc>
          <w:tcPr>
            <w:tcW w:w="1914"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60" w:lineRule="auto" w:before="51"/>
        <w:ind w:right="10030"/>
        <w:jc w:val="left"/>
      </w:pPr>
      <w:r>
        <w:rPr/>
        <w:t>其他说明 无。</w:t>
      </w:r>
    </w:p>
    <w:p>
      <w:pPr>
        <w:spacing w:line="240" w:lineRule="auto" w:before="11"/>
        <w:rPr>
          <w:rFonts w:ascii="宋体" w:hAnsi="宋体" w:cs="宋体" w:eastAsia="宋体" w:hint="default"/>
          <w:sz w:val="19"/>
          <w:szCs w:val="19"/>
        </w:rPr>
      </w:pPr>
    </w:p>
    <w:p>
      <w:pPr>
        <w:pStyle w:val="Heading4"/>
        <w:spacing w:line="240" w:lineRule="auto"/>
        <w:ind w:right="2239"/>
        <w:jc w:val="left"/>
        <w:rPr>
          <w:b w:val="0"/>
          <w:bCs w:val="0"/>
        </w:rPr>
      </w:pPr>
      <w:r>
        <w:rPr/>
        <w:t>（</w:t>
      </w:r>
      <w:r>
        <w:rPr>
          <w:rFonts w:ascii="Arial" w:hAnsi="Arial" w:cs="Arial" w:eastAsia="Arial" w:hint="default"/>
        </w:rPr>
        <w:t>4</w:t>
      </w:r>
      <w:r>
        <w:rPr/>
        <w:t>）不重要的合营企业和联营企业的汇总财务信息</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296"/>
        <w:gridCol w:w="3064"/>
        <w:gridCol w:w="3197"/>
      </w:tblGrid>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3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04" w:right="0"/>
              <w:jc w:val="left"/>
              <w:rPr>
                <w:rFonts w:ascii="宋体" w:hAnsi="宋体" w:cs="宋体" w:eastAsia="宋体" w:hint="default"/>
                <w:sz w:val="18"/>
                <w:szCs w:val="18"/>
              </w:rPr>
            </w:pPr>
            <w:r>
              <w:rPr>
                <w:rFonts w:ascii="宋体" w:hAnsi="宋体" w:cs="宋体" w:eastAsia="宋体" w:hint="default"/>
                <w:sz w:val="18"/>
                <w:szCs w:val="18"/>
              </w:rPr>
              <w:t>期末余额</w:t>
            </w:r>
            <w:r>
              <w:rPr>
                <w:rFonts w:ascii="Arial" w:hAnsi="Arial" w:cs="Arial" w:eastAsia="Arial" w:hint="default"/>
                <w:sz w:val="18"/>
                <w:szCs w:val="18"/>
              </w:rPr>
              <w:t>/</w:t>
            </w:r>
            <w:r>
              <w:rPr>
                <w:rFonts w:ascii="宋体" w:hAnsi="宋体" w:cs="宋体" w:eastAsia="宋体" w:hint="default"/>
                <w:sz w:val="18"/>
                <w:szCs w:val="18"/>
              </w:rPr>
              <w:t>本期发生额</w:t>
            </w:r>
          </w:p>
        </w:tc>
        <w:tc>
          <w:tcPr>
            <w:tcW w:w="3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63" w:right="0"/>
              <w:jc w:val="left"/>
              <w:rPr>
                <w:rFonts w:ascii="宋体" w:hAnsi="宋体" w:cs="宋体" w:eastAsia="宋体" w:hint="default"/>
                <w:sz w:val="18"/>
                <w:szCs w:val="18"/>
              </w:rPr>
            </w:pPr>
            <w:r>
              <w:rPr>
                <w:rFonts w:ascii="宋体" w:hAnsi="宋体" w:cs="宋体" w:eastAsia="宋体" w:hint="default"/>
                <w:sz w:val="18"/>
                <w:szCs w:val="18"/>
              </w:rPr>
              <w:t>期初余额</w:t>
            </w:r>
            <w:r>
              <w:rPr>
                <w:rFonts w:ascii="Arial" w:hAnsi="Arial" w:cs="Arial" w:eastAsia="Arial" w:hint="default"/>
                <w:sz w:val="18"/>
                <w:szCs w:val="18"/>
              </w:rPr>
              <w:t>/</w:t>
            </w:r>
            <w:r>
              <w:rPr>
                <w:rFonts w:ascii="宋体" w:hAnsi="宋体" w:cs="宋体" w:eastAsia="宋体" w:hint="default"/>
                <w:sz w:val="18"/>
                <w:szCs w:val="18"/>
              </w:rPr>
              <w:t>上期发生额</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合营企业：</w:t>
            </w:r>
          </w:p>
        </w:tc>
        <w:tc>
          <w:tcPr>
            <w:tcW w:w="3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6" w:right="0"/>
              <w:jc w:val="center"/>
              <w:rPr>
                <w:rFonts w:ascii="Arial" w:hAnsi="Arial" w:cs="Arial" w:eastAsia="Arial" w:hint="default"/>
                <w:sz w:val="18"/>
                <w:szCs w:val="18"/>
              </w:rPr>
            </w:pPr>
            <w:r>
              <w:rPr>
                <w:rFonts w:ascii="Arial"/>
                <w:sz w:val="18"/>
              </w:rPr>
              <w:t>--</w:t>
            </w:r>
          </w:p>
        </w:tc>
        <w:tc>
          <w:tcPr>
            <w:tcW w:w="3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0" w:right="0"/>
              <w:jc w:val="center"/>
              <w:rPr>
                <w:rFonts w:ascii="Arial" w:hAnsi="Arial" w:cs="Arial" w:eastAsia="Arial" w:hint="default"/>
                <w:sz w:val="18"/>
                <w:szCs w:val="18"/>
              </w:rPr>
            </w:pPr>
            <w:r>
              <w:rPr>
                <w:rFonts w:ascii="Arial"/>
                <w:sz w:val="18"/>
              </w:rPr>
              <w:t>--</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6" w:right="0"/>
              <w:jc w:val="center"/>
              <w:rPr>
                <w:rFonts w:ascii="Arial" w:hAnsi="Arial" w:cs="Arial" w:eastAsia="Arial" w:hint="default"/>
                <w:sz w:val="18"/>
                <w:szCs w:val="18"/>
              </w:rPr>
            </w:pPr>
            <w:r>
              <w:rPr>
                <w:rFonts w:ascii="Arial"/>
                <w:sz w:val="18"/>
              </w:rPr>
              <w:t>--</w:t>
            </w:r>
          </w:p>
        </w:tc>
        <w:tc>
          <w:tcPr>
            <w:tcW w:w="3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0" w:right="0"/>
              <w:jc w:val="center"/>
              <w:rPr>
                <w:rFonts w:ascii="Arial" w:hAnsi="Arial" w:cs="Arial" w:eastAsia="Arial" w:hint="default"/>
                <w:sz w:val="18"/>
                <w:szCs w:val="18"/>
              </w:rPr>
            </w:pPr>
            <w:r>
              <w:rPr>
                <w:rFonts w:ascii="Arial"/>
                <w:sz w:val="18"/>
              </w:rPr>
              <w:t>--</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3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6" w:right="0"/>
              <w:jc w:val="center"/>
              <w:rPr>
                <w:rFonts w:ascii="Arial" w:hAnsi="Arial" w:cs="Arial" w:eastAsia="Arial" w:hint="default"/>
                <w:sz w:val="18"/>
                <w:szCs w:val="18"/>
              </w:rPr>
            </w:pPr>
            <w:r>
              <w:rPr>
                <w:rFonts w:ascii="Arial"/>
                <w:sz w:val="18"/>
              </w:rPr>
              <w:t>--</w:t>
            </w:r>
          </w:p>
        </w:tc>
        <w:tc>
          <w:tcPr>
            <w:tcW w:w="3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0" w:right="0"/>
              <w:jc w:val="center"/>
              <w:rPr>
                <w:rFonts w:ascii="Arial" w:hAnsi="Arial" w:cs="Arial" w:eastAsia="Arial" w:hint="default"/>
                <w:sz w:val="18"/>
                <w:szCs w:val="18"/>
              </w:rPr>
            </w:pPr>
            <w:r>
              <w:rPr>
                <w:rFonts w:ascii="Arial"/>
                <w:sz w:val="18"/>
              </w:rPr>
              <w:t>--</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投资账面价值合计</w:t>
            </w:r>
          </w:p>
        </w:tc>
        <w:tc>
          <w:tcPr>
            <w:tcW w:w="306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1"/>
              <w:jc w:val="right"/>
              <w:rPr>
                <w:rFonts w:ascii="Arial" w:hAnsi="Arial" w:cs="Arial" w:eastAsia="Arial" w:hint="default"/>
                <w:sz w:val="18"/>
                <w:szCs w:val="18"/>
              </w:rPr>
            </w:pPr>
            <w:r>
              <w:rPr>
                <w:rFonts w:ascii="Arial"/>
                <w:spacing w:val="-1"/>
                <w:sz w:val="18"/>
              </w:rPr>
              <w:t>8,934,717.52</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8,640,533.86</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下列各项按持股比例计算的合计数</w:t>
            </w:r>
          </w:p>
        </w:tc>
        <w:tc>
          <w:tcPr>
            <w:tcW w:w="306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26" w:right="0"/>
              <w:jc w:val="center"/>
              <w:rPr>
                <w:rFonts w:ascii="Arial" w:hAnsi="Arial" w:cs="Arial" w:eastAsia="Arial" w:hint="default"/>
                <w:sz w:val="18"/>
                <w:szCs w:val="18"/>
              </w:rPr>
            </w:pPr>
            <w:r>
              <w:rPr>
                <w:rFonts w:ascii="Arial"/>
                <w:sz w:val="18"/>
              </w:rPr>
              <w:t>--</w:t>
            </w:r>
          </w:p>
        </w:tc>
        <w:tc>
          <w:tcPr>
            <w:tcW w:w="31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0" w:right="0"/>
              <w:jc w:val="center"/>
              <w:rPr>
                <w:rFonts w:ascii="Arial" w:hAnsi="Arial" w:cs="Arial" w:eastAsia="Arial" w:hint="default"/>
                <w:sz w:val="18"/>
                <w:szCs w:val="18"/>
              </w:rPr>
            </w:pPr>
            <w:r>
              <w:rPr>
                <w:rFonts w:ascii="Arial"/>
                <w:sz w:val="18"/>
              </w:rPr>
              <w:t>--</w:t>
            </w:r>
          </w:p>
        </w:tc>
      </w:tr>
      <w:tr>
        <w:trPr>
          <w:trHeight w:val="402"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净利润</w:t>
            </w:r>
          </w:p>
        </w:tc>
        <w:tc>
          <w:tcPr>
            <w:tcW w:w="306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1"/>
              <w:jc w:val="right"/>
              <w:rPr>
                <w:rFonts w:ascii="Arial" w:hAnsi="Arial" w:cs="Arial" w:eastAsia="Arial" w:hint="default"/>
                <w:sz w:val="18"/>
                <w:szCs w:val="18"/>
              </w:rPr>
            </w:pPr>
            <w:r>
              <w:rPr>
                <w:rFonts w:ascii="Arial"/>
                <w:spacing w:val="-1"/>
                <w:sz w:val="18"/>
              </w:rPr>
              <w:t>1,344,183.66</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1,095,694.23</w:t>
            </w: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Arial" w:hAnsi="Arial" w:cs="Arial" w:eastAsia="Arial" w:hint="default"/>
                <w:sz w:val="18"/>
                <w:szCs w:val="18"/>
              </w:rPr>
              <w:t>--</w:t>
            </w:r>
            <w:r>
              <w:rPr>
                <w:rFonts w:ascii="宋体" w:hAnsi="宋体" w:cs="宋体" w:eastAsia="宋体" w:hint="default"/>
                <w:sz w:val="18"/>
                <w:szCs w:val="18"/>
              </w:rPr>
              <w:t>综合收益总额</w:t>
            </w:r>
          </w:p>
        </w:tc>
        <w:tc>
          <w:tcPr>
            <w:tcW w:w="3064"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11"/>
              <w:jc w:val="right"/>
              <w:rPr>
                <w:rFonts w:ascii="Arial" w:hAnsi="Arial" w:cs="Arial" w:eastAsia="Arial" w:hint="default"/>
                <w:sz w:val="18"/>
                <w:szCs w:val="18"/>
              </w:rPr>
            </w:pPr>
            <w:r>
              <w:rPr>
                <w:rFonts w:ascii="Arial"/>
                <w:spacing w:val="-1"/>
                <w:sz w:val="18"/>
              </w:rPr>
              <w:t>1,344,183.66</w:t>
            </w:r>
          </w:p>
        </w:tc>
        <w:tc>
          <w:tcPr>
            <w:tcW w:w="31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1,095,694.23</w:t>
            </w:r>
          </w:p>
        </w:tc>
      </w:tr>
    </w:tbl>
    <w:p>
      <w:pPr>
        <w:pStyle w:val="BodyText"/>
        <w:spacing w:line="357" w:lineRule="auto" w:before="51"/>
        <w:ind w:right="10030"/>
        <w:jc w:val="left"/>
      </w:pPr>
      <w:r>
        <w:rPr/>
        <w:t>其他说明 无。</w:t>
      </w:r>
    </w:p>
    <w:p>
      <w:pPr>
        <w:spacing w:after="0" w:line="357" w:lineRule="auto"/>
        <w:jc w:val="left"/>
        <w:sectPr>
          <w:pgSz w:w="11910" w:h="16840"/>
          <w:pgMar w:header="747" w:footer="982" w:top="1060" w:bottom="1180" w:left="980" w:right="0"/>
        </w:sectPr>
      </w:pPr>
    </w:p>
    <w:p>
      <w:pPr>
        <w:spacing w:line="240" w:lineRule="auto" w:before="9"/>
        <w:rPr>
          <w:rFonts w:ascii="宋体" w:hAnsi="宋体" w:cs="宋体" w:eastAsia="宋体" w:hint="default"/>
          <w:sz w:val="24"/>
          <w:szCs w:val="24"/>
        </w:rPr>
      </w:pPr>
    </w:p>
    <w:p>
      <w:pPr>
        <w:pStyle w:val="Heading4"/>
        <w:spacing w:line="240" w:lineRule="auto" w:before="35"/>
        <w:ind w:right="2239"/>
        <w:jc w:val="left"/>
        <w:rPr>
          <w:b w:val="0"/>
          <w:bCs w:val="0"/>
        </w:rPr>
      </w:pPr>
      <w:r>
        <w:rPr/>
        <w:t>（</w:t>
      </w:r>
      <w:r>
        <w:rPr>
          <w:rFonts w:ascii="Arial" w:hAnsi="Arial" w:cs="Arial" w:eastAsia="Arial" w:hint="default"/>
        </w:rPr>
        <w:t>5</w:t>
      </w:r>
      <w:r>
        <w:rPr/>
        <w:t>）合营企业或联营企业向本公司转移资金的能力存在重大限制的说明</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left="153" w:right="2239"/>
        <w:jc w:val="left"/>
        <w:rPr>
          <w:b w:val="0"/>
          <w:bCs w:val="0"/>
        </w:rPr>
      </w:pPr>
      <w:r>
        <w:rPr/>
        <w:t>（</w:t>
      </w:r>
      <w:r>
        <w:rPr>
          <w:rFonts w:ascii="Arial" w:hAnsi="Arial" w:cs="Arial" w:eastAsia="Arial" w:hint="default"/>
        </w:rPr>
        <w:t>6</w:t>
      </w:r>
      <w:r>
        <w:rPr/>
        <w:t>）合营企业或联营企业发生的超额亏损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0"/>
        <w:gridCol w:w="2392"/>
        <w:gridCol w:w="2392"/>
        <w:gridCol w:w="2394"/>
      </w:tblGrid>
      <w:tr>
        <w:trPr>
          <w:trHeight w:val="714" w:hRule="exact"/>
        </w:trPr>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sz w:val="18"/>
                <w:szCs w:val="18"/>
              </w:rPr>
              <w:t>合营企业或联营企业名称</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00" w:right="109" w:hanging="990"/>
              <w:jc w:val="left"/>
              <w:rPr>
                <w:rFonts w:ascii="宋体" w:hAnsi="宋体" w:cs="宋体" w:eastAsia="宋体" w:hint="default"/>
                <w:sz w:val="18"/>
                <w:szCs w:val="18"/>
              </w:rPr>
            </w:pPr>
            <w:r>
              <w:rPr>
                <w:rFonts w:ascii="宋体" w:hAnsi="宋体" w:cs="宋体" w:eastAsia="宋体" w:hint="default"/>
                <w:sz w:val="18"/>
                <w:szCs w:val="18"/>
              </w:rPr>
              <w:t>累积未确认前期累计认的损 失</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650" w:right="20" w:hanging="628"/>
              <w:jc w:val="left"/>
              <w:rPr>
                <w:rFonts w:ascii="宋体" w:hAnsi="宋体" w:cs="宋体" w:eastAsia="宋体" w:hint="default"/>
                <w:sz w:val="18"/>
                <w:szCs w:val="18"/>
              </w:rPr>
            </w:pPr>
            <w:r>
              <w:rPr>
                <w:rFonts w:ascii="宋体" w:hAnsi="宋体" w:cs="宋体" w:eastAsia="宋体" w:hint="default"/>
                <w:sz w:val="18"/>
                <w:szCs w:val="18"/>
              </w:rPr>
              <w:t>本期未确认的损失（或本期分 享的净利润）</w:t>
            </w:r>
          </w:p>
        </w:tc>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02" w:right="0"/>
              <w:jc w:val="left"/>
              <w:rPr>
                <w:rFonts w:ascii="宋体" w:hAnsi="宋体" w:cs="宋体" w:eastAsia="宋体" w:hint="default"/>
                <w:sz w:val="18"/>
                <w:szCs w:val="18"/>
              </w:rPr>
            </w:pPr>
            <w:r>
              <w:rPr>
                <w:rFonts w:ascii="宋体" w:hAnsi="宋体" w:cs="宋体" w:eastAsia="宋体" w:hint="default"/>
                <w:sz w:val="18"/>
                <w:szCs w:val="18"/>
              </w:rPr>
              <w:t>本期末累积未确认的损失</w:t>
            </w:r>
          </w:p>
        </w:tc>
      </w:tr>
    </w:tbl>
    <w:p>
      <w:pPr>
        <w:pStyle w:val="BodyText"/>
        <w:spacing w:line="357" w:lineRule="auto" w:before="52"/>
        <w:ind w:right="10030"/>
        <w:jc w:val="left"/>
      </w:pPr>
      <w:r>
        <w:rPr/>
        <w:t>其他说明 无。</w:t>
      </w:r>
    </w:p>
    <w:p>
      <w:pPr>
        <w:spacing w:line="240" w:lineRule="auto" w:before="1"/>
        <w:rPr>
          <w:rFonts w:ascii="宋体" w:hAnsi="宋体" w:cs="宋体" w:eastAsia="宋体" w:hint="default"/>
          <w:sz w:val="20"/>
          <w:szCs w:val="20"/>
        </w:rPr>
      </w:pPr>
    </w:p>
    <w:p>
      <w:pPr>
        <w:pStyle w:val="Heading4"/>
        <w:spacing w:line="240" w:lineRule="auto"/>
        <w:ind w:right="2239"/>
        <w:jc w:val="left"/>
        <w:rPr>
          <w:b w:val="0"/>
          <w:bCs w:val="0"/>
        </w:rPr>
      </w:pPr>
      <w:r>
        <w:rPr/>
        <w:t>（</w:t>
      </w:r>
      <w:r>
        <w:rPr>
          <w:rFonts w:ascii="Arial" w:hAnsi="Arial" w:cs="Arial" w:eastAsia="Arial" w:hint="default"/>
        </w:rPr>
        <w:t>7</w:t>
      </w:r>
      <w:r>
        <w:rPr/>
        <w:t>）与合营企业投资相关的未确认承诺</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left="153" w:right="2239"/>
        <w:jc w:val="left"/>
        <w:rPr>
          <w:b w:val="0"/>
          <w:bCs w:val="0"/>
        </w:rPr>
      </w:pPr>
      <w:r>
        <w:rPr/>
        <w:t>（</w:t>
      </w:r>
      <w:r>
        <w:rPr>
          <w:rFonts w:ascii="Arial" w:hAnsi="Arial" w:cs="Arial" w:eastAsia="Arial" w:hint="default"/>
        </w:rPr>
        <w:t>8</w:t>
      </w:r>
      <w:r>
        <w:rPr/>
        <w:t>）与合营企业或联营企业投资相关的或有负债</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2239"/>
        <w:jc w:val="left"/>
        <w:rPr>
          <w:b w:val="0"/>
          <w:bCs w:val="0"/>
        </w:rPr>
      </w:pPr>
      <w:r>
        <w:rPr>
          <w:rFonts w:ascii="Arial" w:hAnsi="Arial" w:cs="Arial" w:eastAsia="Arial" w:hint="default"/>
        </w:rPr>
        <w:t>4</w:t>
      </w:r>
      <w:r>
        <w:rPr/>
        <w:t>、重要的共同经营</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7"/>
        <w:gridCol w:w="1594"/>
        <w:gridCol w:w="1595"/>
        <w:gridCol w:w="1594"/>
        <w:gridCol w:w="1594"/>
        <w:gridCol w:w="1594"/>
      </w:tblGrid>
      <w:tr>
        <w:trPr>
          <w:trHeight w:val="402" w:hRule="exact"/>
        </w:trPr>
        <w:tc>
          <w:tcPr>
            <w:tcW w:w="159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253" w:right="0"/>
              <w:jc w:val="left"/>
              <w:rPr>
                <w:rFonts w:ascii="宋体" w:hAnsi="宋体" w:cs="宋体" w:eastAsia="宋体" w:hint="default"/>
                <w:sz w:val="18"/>
                <w:szCs w:val="18"/>
              </w:rPr>
            </w:pPr>
            <w:r>
              <w:rPr>
                <w:rFonts w:ascii="宋体" w:hAnsi="宋体" w:cs="宋体" w:eastAsia="宋体" w:hint="default"/>
                <w:sz w:val="18"/>
                <w:szCs w:val="18"/>
              </w:rPr>
              <w:t>共同经营名称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主要经营地</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b/>
                <w:bCs/>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3187"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52"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Arial" w:hAnsi="Arial" w:cs="Arial" w:eastAsia="Arial" w:hint="default"/>
                <w:sz w:val="18"/>
                <w:szCs w:val="18"/>
              </w:rPr>
              <w:t>/</w:t>
            </w:r>
            <w:r>
              <w:rPr>
                <w:rFonts w:ascii="宋体" w:hAnsi="宋体" w:cs="宋体" w:eastAsia="宋体" w:hint="default"/>
                <w:sz w:val="18"/>
                <w:szCs w:val="18"/>
              </w:rPr>
              <w:t>享有的份额</w:t>
            </w:r>
          </w:p>
        </w:tc>
      </w:tr>
      <w:tr>
        <w:trPr>
          <w:trHeight w:val="402" w:hRule="exact"/>
        </w:trPr>
        <w:tc>
          <w:tcPr>
            <w:tcW w:w="1597"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5" w:type="dxa"/>
            <w:vMerge/>
            <w:tcBorders>
              <w:left w:val="single" w:sz="4" w:space="0" w:color="000000"/>
              <w:bottom w:val="single" w:sz="4" w:space="0" w:color="000000"/>
              <w:right w:val="single" w:sz="4" w:space="0" w:color="000000"/>
            </w:tcBorders>
            <w:shd w:val="clear" w:color="auto" w:fill="D3D3D3"/>
          </w:tcPr>
          <w:p>
            <w:pPr/>
          </w:p>
        </w:tc>
        <w:tc>
          <w:tcPr>
            <w:tcW w:w="1594" w:type="dxa"/>
            <w:vMerge/>
            <w:tcBorders>
              <w:left w:val="single" w:sz="4" w:space="0" w:color="000000"/>
              <w:bottom w:val="single" w:sz="4" w:space="0" w:color="000000"/>
              <w:right w:val="single" w:sz="4" w:space="0" w:color="000000"/>
            </w:tcBorders>
            <w:shd w:val="clear" w:color="auto" w:fill="D3D3D3"/>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直接</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间接</w:t>
            </w:r>
          </w:p>
        </w:tc>
      </w:tr>
    </w:tbl>
    <w:p>
      <w:pPr>
        <w:pStyle w:val="BodyText"/>
        <w:spacing w:line="360" w:lineRule="auto" w:before="51"/>
        <w:ind w:left="153" w:right="5531"/>
        <w:jc w:val="left"/>
      </w:pPr>
      <w:r>
        <w:rPr/>
        <w:t>在共同经营中的持股比例或享有的份额不同于表决权比例的说明： 共同经营为单独主体的，分类为共同经营的依据：</w:t>
      </w:r>
    </w:p>
    <w:p>
      <w:pPr>
        <w:pStyle w:val="BodyText"/>
        <w:spacing w:line="357" w:lineRule="auto" w:before="26"/>
        <w:ind w:left="153" w:right="10031"/>
        <w:jc w:val="left"/>
      </w:pPr>
      <w:r>
        <w:rPr/>
        <w:t>其他说明 无。</w:t>
      </w:r>
    </w:p>
    <w:p>
      <w:pPr>
        <w:spacing w:line="240" w:lineRule="auto" w:before="1"/>
        <w:rPr>
          <w:rFonts w:ascii="宋体" w:hAnsi="宋体" w:cs="宋体" w:eastAsia="宋体" w:hint="default"/>
          <w:sz w:val="20"/>
          <w:szCs w:val="20"/>
        </w:rPr>
      </w:pPr>
    </w:p>
    <w:p>
      <w:pPr>
        <w:pStyle w:val="Heading4"/>
        <w:spacing w:line="240" w:lineRule="auto"/>
        <w:ind w:right="0"/>
        <w:jc w:val="both"/>
        <w:rPr>
          <w:b w:val="0"/>
          <w:bCs w:val="0"/>
        </w:rPr>
      </w:pPr>
      <w:r>
        <w:rPr>
          <w:rFonts w:ascii="Arial" w:hAnsi="Arial" w:cs="Arial" w:eastAsia="Arial" w:hint="default"/>
        </w:rPr>
        <w:t>5</w:t>
      </w:r>
      <w:r>
        <w:rPr/>
        <w:t>、在未纳入合并财务报表范围的结构化主体中的权益</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0"/>
        <w:jc w:val="both"/>
      </w:pPr>
      <w:r>
        <w:rPr/>
        <w:t>未纳入合并财务报表范围的结构化主体的相关说明：</w:t>
      </w:r>
    </w:p>
    <w:p>
      <w:pPr>
        <w:spacing w:line="240" w:lineRule="auto" w:before="11"/>
        <w:rPr>
          <w:rFonts w:ascii="宋体" w:hAnsi="宋体" w:cs="宋体" w:eastAsia="宋体" w:hint="default"/>
          <w:sz w:val="26"/>
          <w:szCs w:val="26"/>
        </w:rPr>
      </w:pPr>
    </w:p>
    <w:p>
      <w:pPr>
        <w:pStyle w:val="Heading4"/>
        <w:spacing w:line="240" w:lineRule="auto"/>
        <w:ind w:right="0"/>
        <w:jc w:val="both"/>
        <w:rPr>
          <w:b w:val="0"/>
          <w:bCs w:val="0"/>
        </w:rPr>
      </w:pPr>
      <w:r>
        <w:rPr>
          <w:rFonts w:ascii="Arial" w:hAnsi="Arial" w:cs="Arial" w:eastAsia="Arial" w:hint="default"/>
        </w:rPr>
        <w:t>6</w:t>
      </w:r>
      <w:r>
        <w:rPr/>
        <w:t>、其他</w:t>
      </w:r>
      <w:r>
        <w:rPr>
          <w:b w:val="0"/>
          <w:bCs w:val="0"/>
        </w:rPr>
      </w:r>
    </w:p>
    <w:p>
      <w:pPr>
        <w:spacing w:line="240" w:lineRule="auto" w:before="1"/>
        <w:rPr>
          <w:rFonts w:ascii="宋体" w:hAnsi="宋体" w:cs="宋体" w:eastAsia="宋体" w:hint="default"/>
          <w:b/>
          <w:bCs/>
          <w:sz w:val="23"/>
          <w:szCs w:val="23"/>
        </w:rPr>
      </w:pPr>
    </w:p>
    <w:p>
      <w:pPr>
        <w:pStyle w:val="Heading2"/>
        <w:spacing w:line="240" w:lineRule="auto"/>
        <w:ind w:right="0"/>
        <w:jc w:val="both"/>
        <w:rPr>
          <w:b w:val="0"/>
          <w:bCs w:val="0"/>
        </w:rPr>
      </w:pPr>
      <w:r>
        <w:rPr/>
        <w:t>十、与金融工具相关的风险</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128" w:firstLine="360"/>
        <w:jc w:val="both"/>
      </w:pPr>
      <w:r>
        <w:rPr>
          <w:spacing w:val="-2"/>
        </w:rPr>
        <w:t>本集团的主要金融工具包括货币资金、应收票据、应收账款、其他应收款、其他流动资产、交易性金融资产、其他权益</w:t>
      </w:r>
      <w:r>
        <w:rPr/>
        <w:t> </w:t>
      </w:r>
      <w:r>
        <w:rPr>
          <w:spacing w:val="-2"/>
        </w:rPr>
        <w:t>工具投资、应付票据、应付账款、其他应付款、短期借款。各项金融工具的详细情况已于相关附注内披露。与这些金融工具</w:t>
      </w:r>
      <w:r>
        <w:rPr>
          <w:spacing w:val="-68"/>
        </w:rPr>
        <w:t> </w:t>
      </w:r>
      <w:r>
        <w:rPr>
          <w:spacing w:val="-68"/>
        </w:rPr>
      </w:r>
      <w:r>
        <w:rPr>
          <w:spacing w:val="-2"/>
        </w:rPr>
        <w:t>有关的风险，以及本集团为降低这些风险所采取的风险管理政策如下所述。本集团管理层对这些风险敞口进行管理和监控以</w:t>
      </w:r>
      <w:r>
        <w:rPr>
          <w:spacing w:val="-64"/>
        </w:rPr>
        <w:t> </w:t>
      </w:r>
      <w:r>
        <w:rPr>
          <w:spacing w:val="-64"/>
        </w:rPr>
      </w:r>
      <w:r>
        <w:rPr/>
        <w:t>确保将上述风险控制在限定的范围之内。</w:t>
      </w:r>
    </w:p>
    <w:p>
      <w:pPr>
        <w:pStyle w:val="BodyText"/>
        <w:spacing w:line="338" w:lineRule="auto" w:before="56"/>
        <w:ind w:left="513" w:right="0"/>
        <w:jc w:val="left"/>
      </w:pPr>
      <w:r>
        <w:rPr>
          <w:rFonts w:ascii="Arial" w:hAnsi="Arial" w:cs="Arial" w:eastAsia="Arial" w:hint="default"/>
        </w:rPr>
        <w:t>1</w:t>
      </w:r>
      <w:r>
        <w:rPr/>
        <w:t>、风险管理目标和政策 </w:t>
      </w:r>
      <w:r>
        <w:rPr>
          <w:spacing w:val="-2"/>
        </w:rPr>
        <w:t>本集团从事风险管理的目标是在风险和收益之间取得适当的平衡，力求降低金融风险对本集团财务业绩的不利影响。基</w:t>
      </w:r>
    </w:p>
    <w:p>
      <w:pPr>
        <w:pStyle w:val="BodyText"/>
        <w:spacing w:line="319" w:lineRule="auto" w:before="2"/>
        <w:ind w:left="153" w:right="1130"/>
        <w:jc w:val="both"/>
      </w:pPr>
      <w:r>
        <w:rPr>
          <w:spacing w:val="-2"/>
        </w:rPr>
        <w:t>于该风险管理目标，本集团已制定风险管理政策以辨别和分析本集团所面临的风险，设定适当的风险可接受水平并设计相应</w:t>
      </w:r>
      <w:r>
        <w:rPr>
          <w:spacing w:val="-64"/>
        </w:rPr>
        <w:t> </w:t>
      </w:r>
      <w:r>
        <w:rPr>
          <w:spacing w:val="-64"/>
        </w:rPr>
      </w:r>
      <w:r>
        <w:rPr>
          <w:spacing w:val="-2"/>
        </w:rPr>
        <w:t>的内部控制程序，以监控本集团的风险水平。本集团会定期审阅这些风险管理政策及有关内部控制系统，以适应市场情况或</w:t>
      </w:r>
      <w:r>
        <w:rPr>
          <w:spacing w:val="-66"/>
        </w:rPr>
        <w:t> </w:t>
      </w:r>
      <w:r>
        <w:rPr>
          <w:spacing w:val="-66"/>
        </w:rPr>
      </w:r>
      <w:r>
        <w:rPr/>
        <w:t>本集团经营活动的改变。本集团的内部审计部门也定期或随机检查内部控制系统的执行是否符合风险管理政策。</w:t>
      </w:r>
    </w:p>
    <w:p>
      <w:pPr>
        <w:pStyle w:val="BodyText"/>
        <w:spacing w:line="357" w:lineRule="auto" w:before="58"/>
        <w:ind w:left="513" w:right="1211"/>
        <w:jc w:val="left"/>
      </w:pPr>
      <w:r>
        <w:rPr>
          <w:spacing w:val="-2"/>
        </w:rPr>
        <w:t>本集团的金融工具导致的主要风险是信用风险、流动性风险、市场风险（包括利率风险和汇率风险）。</w:t>
      </w:r>
      <w:r>
        <w:rPr/>
        <w:t> 董事会负责规划并建立本集团的风险管理架构，制定本集团的风险管理政策和相关指引并监督风险管理措施的执行情</w:t>
      </w:r>
    </w:p>
    <w:p>
      <w:pPr>
        <w:spacing w:after="0" w:line="357"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19" w:lineRule="auto" w:before="44"/>
        <w:ind w:left="153" w:right="1130"/>
        <w:jc w:val="both"/>
      </w:pPr>
      <w:r>
        <w:rPr>
          <w:spacing w:val="-2"/>
        </w:rPr>
        <w:t>况。本集团已制定风险管理政策以识别和分析本集团所面临的风险，这些风险管理政策对特定风险进行了明确规定，涵盖了</w:t>
      </w:r>
      <w:r>
        <w:rPr>
          <w:spacing w:val="-66"/>
        </w:rPr>
        <w:t> </w:t>
      </w:r>
      <w:r>
        <w:rPr>
          <w:spacing w:val="-66"/>
        </w:rPr>
      </w:r>
      <w:r>
        <w:rPr>
          <w:spacing w:val="-2"/>
        </w:rPr>
        <w:t>市场风险、信用风险和流动性风险管理等诸多方面。本集团定期评估市场环境及本集团经营活动的变化以决定是否对风险管</w:t>
      </w:r>
      <w:r>
        <w:rPr>
          <w:spacing w:val="-64"/>
        </w:rPr>
        <w:t> </w:t>
      </w:r>
      <w:r>
        <w:rPr>
          <w:spacing w:val="-64"/>
        </w:rPr>
      </w:r>
      <w:r>
        <w:rPr>
          <w:spacing w:val="-2"/>
        </w:rPr>
        <w:t>理政策及系统进行更新。本集团的风险管理由风险管理委员会按照董事会批准的政策开展。风险管理委员会通过与本集团其</w:t>
      </w:r>
      <w:r>
        <w:rPr>
          <w:spacing w:val="-64"/>
        </w:rPr>
        <w:t> </w:t>
      </w:r>
      <w:r>
        <w:rPr>
          <w:spacing w:val="-64"/>
        </w:rPr>
      </w:r>
      <w:r>
        <w:rPr>
          <w:spacing w:val="-2"/>
        </w:rPr>
        <w:t>他业务部门的紧密合作来识别、评价和规避相关风险。本集团内部审计部门就风险管理控制及程序进行定期的审核，并将审</w:t>
      </w:r>
      <w:r>
        <w:rPr>
          <w:spacing w:val="-66"/>
        </w:rPr>
        <w:t> </w:t>
      </w:r>
      <w:r>
        <w:rPr>
          <w:spacing w:val="-66"/>
        </w:rPr>
      </w:r>
      <w:r>
        <w:rPr/>
        <w:t>核结果上报本集团的审计委员会。</w:t>
      </w:r>
    </w:p>
    <w:p>
      <w:pPr>
        <w:pStyle w:val="BodyText"/>
        <w:spacing w:line="319" w:lineRule="auto" w:before="55"/>
        <w:ind w:left="153" w:right="1048" w:firstLine="360"/>
        <w:jc w:val="both"/>
      </w:pPr>
      <w:r>
        <w:rPr/>
        <w:t>本集团通过适当的多样化投资及业务组合来分散金融工具风险，并通过制定相应的风险管理政策减少集中于单一行业、 特定地区或特定交易对手的风险。</w:t>
      </w:r>
    </w:p>
    <w:p>
      <w:pPr>
        <w:pStyle w:val="BodyText"/>
        <w:spacing w:line="340" w:lineRule="auto" w:before="58"/>
        <w:ind w:left="513" w:right="4091"/>
        <w:jc w:val="left"/>
      </w:pPr>
      <w:r>
        <w:rPr/>
        <w:t>（</w:t>
      </w:r>
      <w:r>
        <w:rPr>
          <w:rFonts w:ascii="Arial" w:hAnsi="Arial" w:cs="Arial" w:eastAsia="Arial" w:hint="default"/>
        </w:rPr>
        <w:t>1</w:t>
      </w:r>
      <w:r>
        <w:rPr/>
        <w:t>）信用风险 信用风险，是指交易对手未能履行合同义务而导致本集团产生财务损失的风险。</w:t>
      </w:r>
    </w:p>
    <w:p>
      <w:pPr>
        <w:pStyle w:val="BodyText"/>
        <w:spacing w:line="357" w:lineRule="auto" w:before="40"/>
        <w:ind w:left="513" w:right="0"/>
        <w:jc w:val="left"/>
      </w:pPr>
      <w:r>
        <w:rPr/>
        <w:t>本集团对信用风险按组合分类进行管理。信用风险主要产生于银行存款、应收票据、应收账款、其他应收款等。 本集团银行存款主要存放于国有银行和其它大中型上市银行，本集团预期银行存款不存在重大的信用风险。 </w:t>
      </w:r>
      <w:r>
        <w:rPr>
          <w:spacing w:val="-2"/>
        </w:rPr>
        <w:t>对于应收票据、应收账款、其他应收款，本集团设定相关政策以控制信用风险敞口。本集团基于对客户的财务状况、信</w:t>
      </w:r>
    </w:p>
    <w:p>
      <w:pPr>
        <w:pStyle w:val="BodyText"/>
        <w:spacing w:line="224" w:lineRule="exact"/>
        <w:ind w:left="153" w:right="0"/>
        <w:jc w:val="both"/>
      </w:pPr>
      <w:r>
        <w:rPr/>
        <w:t>用记录及其他因素诸如目前市场状况等评估客户的信用资质并设置相应信用期。本集团会定期对客户信用记录进行监控，对</w:t>
      </w:r>
    </w:p>
    <w:p>
      <w:pPr>
        <w:pStyle w:val="BodyText"/>
        <w:spacing w:line="319" w:lineRule="auto" w:before="76"/>
        <w:ind w:left="153" w:right="1131"/>
        <w:jc w:val="both"/>
      </w:pPr>
      <w:r>
        <w:rPr>
          <w:spacing w:val="-2"/>
        </w:rPr>
        <w:t>于信用记录不良的客户，本集团会采用书面催款、缩短信用期或取消信用期等方式，以确保本集团的整体信用风险在可控的</w:t>
      </w:r>
      <w:r>
        <w:rPr>
          <w:spacing w:val="-66"/>
        </w:rPr>
        <w:t> </w:t>
      </w:r>
      <w:r>
        <w:rPr>
          <w:spacing w:val="-66"/>
        </w:rPr>
      </w:r>
      <w:r>
        <w:rPr/>
        <w:t>范围内。</w:t>
      </w:r>
    </w:p>
    <w:p>
      <w:pPr>
        <w:pStyle w:val="BodyText"/>
        <w:spacing w:line="319" w:lineRule="auto" w:before="55"/>
        <w:ind w:left="153" w:right="1130" w:firstLine="360"/>
        <w:jc w:val="both"/>
      </w:pPr>
      <w:r>
        <w:rPr>
          <w:spacing w:val="-2"/>
        </w:rPr>
        <w:t>本集团应收账款的债务人为分布于不同行业和地区的客户。本集团持续对应收账款的财务状况实施信用评估，并在适当</w:t>
      </w:r>
      <w:r>
        <w:rPr/>
        <w:t> 时购买信用担保保险。</w:t>
      </w:r>
    </w:p>
    <w:p>
      <w:pPr>
        <w:pStyle w:val="BodyText"/>
        <w:spacing w:line="319" w:lineRule="auto" w:before="56"/>
        <w:ind w:left="153" w:right="1130" w:firstLine="360"/>
        <w:jc w:val="both"/>
      </w:pPr>
      <w:r>
        <w:rPr>
          <w:spacing w:val="-2"/>
        </w:rPr>
        <w:t>本集团所承受的最大信用风险敞口为资产负债表中每项金融资产的账面金额。本集团没有提供任何其他可能令本集团承</w:t>
      </w:r>
      <w:r>
        <w:rPr/>
        <w:t> 受信用风险的担保。</w:t>
      </w:r>
    </w:p>
    <w:p>
      <w:pPr>
        <w:pStyle w:val="BodyText"/>
        <w:spacing w:line="302" w:lineRule="auto" w:before="55"/>
        <w:ind w:left="153" w:right="1130" w:firstLine="360"/>
        <w:jc w:val="both"/>
      </w:pPr>
      <w:r>
        <w:rPr/>
        <w:t>本集团应收账款中</w:t>
      </w:r>
      <w:r>
        <w:rPr>
          <w:spacing w:val="-21"/>
        </w:rPr>
        <w:t>，</w:t>
      </w:r>
      <w:r>
        <w:rPr/>
        <w:t>前五大客户的应收账款占本集团应收账款总额的</w:t>
      </w:r>
      <w:r>
        <w:rPr>
          <w:spacing w:val="-46"/>
        </w:rPr>
        <w:t> </w:t>
      </w:r>
      <w:r>
        <w:rPr>
          <w:rFonts w:ascii="Arial" w:hAnsi="Arial" w:cs="Arial" w:eastAsia="Arial" w:hint="default"/>
        </w:rPr>
        <w:t>2</w:t>
      </w:r>
      <w:r>
        <w:rPr>
          <w:rFonts w:ascii="Arial" w:hAnsi="Arial" w:cs="Arial" w:eastAsia="Arial" w:hint="default"/>
          <w:spacing w:val="-1"/>
        </w:rPr>
        <w:t>1.49</w:t>
      </w:r>
      <w:r>
        <w:rPr>
          <w:rFonts w:ascii="Arial" w:hAnsi="Arial" w:cs="Arial" w:eastAsia="Arial" w:hint="default"/>
          <w:spacing w:val="-21"/>
        </w:rPr>
        <w:t>%</w:t>
      </w:r>
      <w:r>
        <w:rPr/>
        <w:t>（</w:t>
      </w:r>
      <w:r>
        <w:rPr>
          <w:rFonts w:ascii="Arial" w:hAnsi="Arial" w:cs="Arial" w:eastAsia="Arial" w:hint="default"/>
        </w:rPr>
        <w:t>2</w:t>
      </w:r>
      <w:r>
        <w:rPr>
          <w:rFonts w:ascii="Arial" w:hAnsi="Arial" w:cs="Arial" w:eastAsia="Arial" w:hint="default"/>
          <w:spacing w:val="-1"/>
        </w:rPr>
        <w:t>0</w:t>
      </w:r>
      <w:r>
        <w:rPr>
          <w:rFonts w:ascii="Arial" w:hAnsi="Arial" w:cs="Arial" w:eastAsia="Arial" w:hint="default"/>
        </w:rPr>
        <w:t>18</w:t>
      </w:r>
      <w:r>
        <w:rPr>
          <w:rFonts w:ascii="Arial" w:hAnsi="Arial" w:cs="Arial" w:eastAsia="Arial" w:hint="default"/>
          <w:spacing w:val="-5"/>
        </w:rPr>
        <w:t> </w:t>
      </w:r>
      <w:r>
        <w:rPr/>
        <w:t>年</w:t>
      </w:r>
      <w:r>
        <w:rPr>
          <w:spacing w:val="-21"/>
        </w:rPr>
        <w:t>：</w:t>
      </w:r>
      <w:r>
        <w:rPr>
          <w:rFonts w:ascii="Arial" w:hAnsi="Arial" w:cs="Arial" w:eastAsia="Arial" w:hint="default"/>
          <w:spacing w:val="-1"/>
        </w:rPr>
        <w:t>26.38%</w:t>
      </w:r>
      <w:r>
        <w:rPr>
          <w:spacing w:val="-90"/>
        </w:rPr>
        <w:t>）</w:t>
      </w:r>
      <w:r>
        <w:rPr>
          <w:spacing w:val="-20"/>
        </w:rPr>
        <w:t>；</w:t>
      </w:r>
      <w:r>
        <w:rPr/>
        <w:t>本集团其他应收款</w:t>
      </w:r>
      <w:r>
        <w:rPr/>
        <w:t> 中，欠款金额前五大公司的其他应收款占本集团其他应收款总额的</w:t>
      </w:r>
      <w:r>
        <w:rPr>
          <w:spacing w:val="-46"/>
        </w:rPr>
        <w:t> </w:t>
      </w:r>
      <w:r>
        <w:rPr>
          <w:rFonts w:ascii="Arial" w:hAnsi="Arial" w:cs="Arial" w:eastAsia="Arial" w:hint="default"/>
          <w:spacing w:val="-1"/>
        </w:rPr>
        <w:t>25</w:t>
      </w:r>
      <w:r>
        <w:rPr>
          <w:rFonts w:ascii="Arial" w:hAnsi="Arial" w:cs="Arial" w:eastAsia="Arial" w:hint="default"/>
          <w:spacing w:val="1"/>
        </w:rPr>
        <w:t>.</w:t>
      </w:r>
      <w:r>
        <w:rPr>
          <w:rFonts w:ascii="Arial" w:hAnsi="Arial" w:cs="Arial" w:eastAsia="Arial" w:hint="default"/>
          <w:spacing w:val="-1"/>
        </w:rPr>
        <w:t>15%</w:t>
      </w:r>
      <w:r>
        <w:rPr>
          <w:spacing w:val="1"/>
        </w:rPr>
        <w:t>（</w:t>
      </w:r>
      <w:r>
        <w:rPr>
          <w:rFonts w:ascii="Arial" w:hAnsi="Arial" w:cs="Arial" w:eastAsia="Arial" w:hint="default"/>
          <w:spacing w:val="-1"/>
        </w:rPr>
        <w:t>20</w:t>
      </w:r>
      <w:r>
        <w:rPr>
          <w:rFonts w:ascii="Arial" w:hAnsi="Arial" w:cs="Arial" w:eastAsia="Arial" w:hint="default"/>
        </w:rPr>
        <w:t>18</w:t>
      </w:r>
      <w:r>
        <w:rPr>
          <w:rFonts w:ascii="Arial" w:hAnsi="Arial" w:cs="Arial" w:eastAsia="Arial" w:hint="default"/>
          <w:spacing w:val="-7"/>
        </w:rPr>
        <w:t> </w:t>
      </w:r>
      <w:r>
        <w:rPr>
          <w:spacing w:val="1"/>
        </w:rPr>
        <w:t>年</w:t>
      </w:r>
      <w:r>
        <w:rPr/>
        <w:t>：</w:t>
      </w:r>
      <w:r>
        <w:rPr>
          <w:rFonts w:ascii="Arial" w:hAnsi="Arial" w:cs="Arial" w:eastAsia="Arial" w:hint="default"/>
          <w:spacing w:val="-1"/>
        </w:rPr>
        <w:t>23.4</w:t>
      </w:r>
      <w:r>
        <w:rPr>
          <w:rFonts w:ascii="Arial" w:hAnsi="Arial" w:cs="Arial" w:eastAsia="Arial" w:hint="default"/>
        </w:rPr>
        <w:t>6</w:t>
      </w:r>
      <w:r>
        <w:rPr>
          <w:rFonts w:ascii="Arial" w:hAnsi="Arial" w:cs="Arial" w:eastAsia="Arial" w:hint="default"/>
          <w:spacing w:val="-1"/>
        </w:rPr>
        <w:t>%</w:t>
      </w:r>
      <w:r>
        <w:rPr>
          <w:spacing w:val="-90"/>
        </w:rPr>
        <w:t>）</w:t>
      </w:r>
      <w:r>
        <w:rPr/>
        <w:t>。</w:t>
      </w:r>
    </w:p>
    <w:p>
      <w:pPr>
        <w:pStyle w:val="BodyText"/>
        <w:spacing w:line="340" w:lineRule="auto" w:before="51"/>
        <w:ind w:left="514" w:right="2830"/>
        <w:jc w:val="left"/>
      </w:pPr>
      <w:r>
        <w:rPr/>
        <w:t>（</w:t>
      </w:r>
      <w:r>
        <w:rPr>
          <w:rFonts w:ascii="Arial" w:hAnsi="Arial" w:cs="Arial" w:eastAsia="Arial" w:hint="default"/>
        </w:rPr>
        <w:t>2</w:t>
      </w:r>
      <w:r>
        <w:rPr/>
        <w:t>）流动性风险 流动性风险，是指本集团在履行以交付现金或其他金融资产结算的义务时遇到资金短缺的风险。</w:t>
      </w:r>
    </w:p>
    <w:p>
      <w:pPr>
        <w:pStyle w:val="BodyText"/>
        <w:spacing w:line="319" w:lineRule="auto" w:before="39"/>
        <w:ind w:right="1131" w:firstLine="360"/>
        <w:jc w:val="both"/>
      </w:pPr>
      <w:r>
        <w:rPr>
          <w:spacing w:val="-2"/>
        </w:rPr>
        <w:t>管理流动风险时，本集团保持管理层认为充分的现金及现金等价物并对其进行监控，以满足本集团经营需要，并降低现</w:t>
      </w:r>
      <w:r>
        <w:rPr/>
        <w:t> </w:t>
      </w:r>
      <w:r>
        <w:rPr>
          <w:spacing w:val="-2"/>
        </w:rPr>
        <w:t>金流量波动的影响。本集团管理层对银行借款的使用情况进行监控并确保遵守借款协议。同时从主要金融机构获得提供足够</w:t>
      </w:r>
      <w:r>
        <w:rPr>
          <w:spacing w:val="-64"/>
        </w:rPr>
        <w:t> </w:t>
      </w:r>
      <w:r>
        <w:rPr>
          <w:spacing w:val="-64"/>
        </w:rPr>
      </w:r>
      <w:r>
        <w:rPr/>
        <w:t>备用资金的承诺，以满足短期和长期的资金需求。</w:t>
      </w:r>
    </w:p>
    <w:p>
      <w:pPr>
        <w:pStyle w:val="BodyText"/>
        <w:spacing w:line="240" w:lineRule="auto" w:before="55"/>
        <w:ind w:left="514" w:right="0"/>
        <w:jc w:val="left"/>
      </w:pPr>
      <w:r>
        <w:rPr/>
        <w:t>本集团通过经营业务产生的资金及银行及其他借款来筹措营运资金。于</w:t>
      </w:r>
      <w:r>
        <w:rPr>
          <w:spacing w:val="-52"/>
        </w:rPr>
        <w:t> </w:t>
      </w:r>
      <w:r>
        <w:rPr>
          <w:rFonts w:ascii="Arial" w:hAnsi="Arial" w:cs="Arial" w:eastAsia="Arial" w:hint="default"/>
        </w:rPr>
        <w:t>2019</w:t>
      </w:r>
      <w:r>
        <w:rPr>
          <w:rFonts w:ascii="Arial" w:hAnsi="Arial" w:cs="Arial" w:eastAsia="Arial" w:hint="default"/>
          <w:spacing w:val="-13"/>
        </w:rPr>
        <w:t> </w:t>
      </w:r>
      <w:r>
        <w:rPr/>
        <w:t>年</w:t>
      </w:r>
      <w:r>
        <w:rPr>
          <w:spacing w:val="-51"/>
        </w:rPr>
        <w:t> </w:t>
      </w:r>
      <w:r>
        <w:rPr>
          <w:rFonts w:ascii="Arial" w:hAnsi="Arial" w:cs="Arial" w:eastAsia="Arial" w:hint="default"/>
        </w:rPr>
        <w:t>12</w:t>
      </w:r>
      <w:r>
        <w:rPr>
          <w:rFonts w:ascii="Arial" w:hAnsi="Arial" w:cs="Arial" w:eastAsia="Arial" w:hint="default"/>
          <w:spacing w:val="-11"/>
        </w:rPr>
        <w:t> </w:t>
      </w:r>
      <w:r>
        <w:rPr/>
        <w:t>月</w:t>
      </w:r>
      <w:r>
        <w:rPr>
          <w:spacing w:val="-52"/>
        </w:rPr>
        <w:t> </w:t>
      </w:r>
      <w:r>
        <w:rPr>
          <w:rFonts w:ascii="Arial" w:hAnsi="Arial" w:cs="Arial" w:eastAsia="Arial" w:hint="default"/>
        </w:rPr>
        <w:t>31</w:t>
      </w:r>
      <w:r>
        <w:rPr>
          <w:rFonts w:ascii="Arial" w:hAnsi="Arial" w:cs="Arial" w:eastAsia="Arial" w:hint="default"/>
          <w:spacing w:val="-13"/>
        </w:rPr>
        <w:t> </w:t>
      </w:r>
      <w:r>
        <w:rPr>
          <w:spacing w:val="-3"/>
        </w:rPr>
        <w:t>日，本集团尚未使用的银行借</w:t>
      </w:r>
    </w:p>
    <w:p>
      <w:pPr>
        <w:pStyle w:val="BodyText"/>
        <w:spacing w:line="340" w:lineRule="auto" w:before="65"/>
        <w:ind w:left="514" w:right="1120" w:hanging="360"/>
        <w:jc w:val="left"/>
      </w:pPr>
      <w:r>
        <w:rPr/>
        <w:t>款额度为</w:t>
      </w:r>
      <w:r>
        <w:rPr>
          <w:spacing w:val="-46"/>
        </w:rPr>
        <w:t> </w:t>
      </w:r>
      <w:r>
        <w:rPr>
          <w:rFonts w:ascii="Arial" w:hAnsi="Arial" w:cs="Arial" w:eastAsia="Arial" w:hint="default"/>
          <w:spacing w:val="-1"/>
        </w:rPr>
        <w:t>2</w:t>
      </w:r>
      <w:r>
        <w:rPr>
          <w:rFonts w:ascii="Arial" w:hAnsi="Arial" w:cs="Arial" w:eastAsia="Arial" w:hint="default"/>
        </w:rPr>
        <w:t>0</w:t>
      </w:r>
      <w:r>
        <w:rPr>
          <w:rFonts w:ascii="Arial" w:hAnsi="Arial" w:cs="Arial" w:eastAsia="Arial" w:hint="default"/>
          <w:spacing w:val="-1"/>
        </w:rPr>
        <w:t>8,</w:t>
      </w:r>
      <w:r>
        <w:rPr>
          <w:rFonts w:ascii="Arial" w:hAnsi="Arial" w:cs="Arial" w:eastAsia="Arial" w:hint="default"/>
        </w:rPr>
        <w:t>4</w:t>
      </w:r>
      <w:r>
        <w:rPr>
          <w:rFonts w:ascii="Arial" w:hAnsi="Arial" w:cs="Arial" w:eastAsia="Arial" w:hint="default"/>
          <w:spacing w:val="-1"/>
        </w:rPr>
        <w:t>00.</w:t>
      </w:r>
      <w:r>
        <w:rPr>
          <w:rFonts w:ascii="Arial" w:hAnsi="Arial" w:cs="Arial" w:eastAsia="Arial" w:hint="default"/>
        </w:rPr>
        <w:t>00</w:t>
      </w:r>
      <w:r>
        <w:rPr>
          <w:rFonts w:ascii="Arial" w:hAnsi="Arial" w:cs="Arial" w:eastAsia="Arial" w:hint="default"/>
          <w:spacing w:val="-6"/>
        </w:rPr>
        <w:t> </w:t>
      </w:r>
      <w:r>
        <w:rPr/>
        <w:t>万元（</w:t>
      </w:r>
      <w:r>
        <w:rPr>
          <w:rFonts w:ascii="Arial" w:hAnsi="Arial" w:cs="Arial" w:eastAsia="Arial" w:hint="default"/>
        </w:rPr>
        <w:t>2</w:t>
      </w:r>
      <w:r>
        <w:rPr>
          <w:rFonts w:ascii="Arial" w:hAnsi="Arial" w:cs="Arial" w:eastAsia="Arial" w:hint="default"/>
          <w:spacing w:val="-1"/>
        </w:rPr>
        <w:t>0</w:t>
      </w:r>
      <w:r>
        <w:rPr>
          <w:rFonts w:ascii="Arial" w:hAnsi="Arial" w:cs="Arial" w:eastAsia="Arial" w:hint="default"/>
        </w:rPr>
        <w:t>18</w:t>
      </w:r>
      <w:r>
        <w:rPr>
          <w:rFonts w:ascii="Arial" w:hAnsi="Arial" w:cs="Arial" w:eastAsia="Arial" w:hint="default"/>
          <w:spacing w:val="-7"/>
        </w:rPr>
        <w:t> </w:t>
      </w:r>
      <w:r>
        <w:rPr/>
        <w:t>年</w:t>
      </w:r>
      <w:r>
        <w:rPr>
          <w:spacing w:val="-45"/>
        </w:rPr>
        <w:t> </w:t>
      </w:r>
      <w:r>
        <w:rPr>
          <w:rFonts w:ascii="Arial" w:hAnsi="Arial" w:cs="Arial" w:eastAsia="Arial" w:hint="default"/>
        </w:rPr>
        <w:t>12</w:t>
      </w:r>
      <w:r>
        <w:rPr>
          <w:rFonts w:ascii="Arial" w:hAnsi="Arial" w:cs="Arial" w:eastAsia="Arial" w:hint="default"/>
          <w:spacing w:val="-7"/>
        </w:rPr>
        <w:t> </w:t>
      </w:r>
      <w:r>
        <w:rPr/>
        <w:t>月</w:t>
      </w:r>
      <w:r>
        <w:rPr>
          <w:spacing w:val="-46"/>
        </w:rPr>
        <w:t> </w:t>
      </w:r>
      <w:r>
        <w:rPr>
          <w:rFonts w:ascii="Arial" w:hAnsi="Arial" w:cs="Arial" w:eastAsia="Arial" w:hint="default"/>
        </w:rPr>
        <w:t>31</w:t>
      </w:r>
      <w:r>
        <w:rPr>
          <w:rFonts w:ascii="Arial" w:hAnsi="Arial" w:cs="Arial" w:eastAsia="Arial" w:hint="default"/>
          <w:spacing w:val="-7"/>
        </w:rPr>
        <w:t> </w:t>
      </w:r>
      <w:r>
        <w:rPr/>
        <w:t>日：</w:t>
      </w:r>
      <w:r>
        <w:rPr>
          <w:rFonts w:ascii="Arial" w:hAnsi="Arial" w:cs="Arial" w:eastAsia="Arial" w:hint="default"/>
        </w:rPr>
        <w:t>2</w:t>
      </w:r>
      <w:r>
        <w:rPr>
          <w:rFonts w:ascii="Arial" w:hAnsi="Arial" w:cs="Arial" w:eastAsia="Arial" w:hint="default"/>
          <w:spacing w:val="-1"/>
        </w:rPr>
        <w:t>06,</w:t>
      </w:r>
      <w:r>
        <w:rPr>
          <w:rFonts w:ascii="Arial" w:hAnsi="Arial" w:cs="Arial" w:eastAsia="Arial" w:hint="default"/>
        </w:rPr>
        <w:t>5</w:t>
      </w:r>
      <w:r>
        <w:rPr>
          <w:rFonts w:ascii="Arial" w:hAnsi="Arial" w:cs="Arial" w:eastAsia="Arial" w:hint="default"/>
          <w:spacing w:val="-1"/>
        </w:rPr>
        <w:t>00</w:t>
      </w:r>
      <w:r>
        <w:rPr>
          <w:rFonts w:ascii="Arial" w:hAnsi="Arial" w:cs="Arial" w:eastAsia="Arial" w:hint="default"/>
          <w:spacing w:val="1"/>
        </w:rPr>
        <w:t>.</w:t>
      </w:r>
      <w:r>
        <w:rPr>
          <w:rFonts w:ascii="Arial" w:hAnsi="Arial" w:cs="Arial" w:eastAsia="Arial" w:hint="default"/>
          <w:spacing w:val="-1"/>
        </w:rPr>
        <w:t>0</w:t>
      </w:r>
      <w:r>
        <w:rPr>
          <w:rFonts w:ascii="Arial" w:hAnsi="Arial" w:cs="Arial" w:eastAsia="Arial" w:hint="default"/>
        </w:rPr>
        <w:t>0</w:t>
      </w:r>
      <w:r>
        <w:rPr>
          <w:rFonts w:ascii="Arial" w:hAnsi="Arial" w:cs="Arial" w:eastAsia="Arial" w:hint="default"/>
          <w:spacing w:val="-6"/>
        </w:rPr>
        <w:t> </w:t>
      </w:r>
      <w:r>
        <w:rPr/>
        <w:t>万元</w:t>
      </w:r>
      <w:r>
        <w:rPr>
          <w:spacing w:val="-90"/>
        </w:rPr>
        <w:t>）</w:t>
      </w:r>
      <w:r>
        <w:rPr/>
        <w:t>。</w:t>
      </w:r>
      <w:r>
        <w:rPr/>
        <w:t> 期末，本集团持有的金融负债和表外担保项目按未折现剩余合同现金流量的到期期限分析如下（单位：人民币万元</w:t>
      </w:r>
      <w:r>
        <w:rPr>
          <w:spacing w:val="-90"/>
        </w:rPr>
        <w:t>）</w:t>
      </w:r>
      <w:r>
        <w:rPr/>
        <w:t>：</w:t>
      </w:r>
    </w:p>
    <w:p>
      <w:pPr>
        <w:spacing w:line="240" w:lineRule="auto" w:before="3"/>
        <w:rPr>
          <w:rFonts w:ascii="宋体" w:hAnsi="宋体" w:cs="宋体" w:eastAsia="宋体" w:hint="default"/>
          <w:sz w:val="2"/>
          <w:szCs w:val="2"/>
        </w:rPr>
      </w:pPr>
    </w:p>
    <w:tbl>
      <w:tblPr>
        <w:tblW w:w="0" w:type="auto"/>
        <w:jc w:val="left"/>
        <w:tblInd w:w="322" w:type="dxa"/>
        <w:tblLayout w:type="fixed"/>
        <w:tblCellMar>
          <w:top w:w="0" w:type="dxa"/>
          <w:left w:w="0" w:type="dxa"/>
          <w:bottom w:w="0" w:type="dxa"/>
          <w:right w:w="0" w:type="dxa"/>
        </w:tblCellMar>
        <w:tblLook w:val="01E0"/>
      </w:tblPr>
      <w:tblGrid>
        <w:gridCol w:w="3653"/>
        <w:gridCol w:w="1417"/>
        <w:gridCol w:w="1416"/>
        <w:gridCol w:w="1418"/>
        <w:gridCol w:w="1378"/>
      </w:tblGrid>
      <w:tr>
        <w:trPr>
          <w:trHeight w:val="352" w:hRule="exact"/>
        </w:trPr>
        <w:tc>
          <w:tcPr>
            <w:tcW w:w="3653" w:type="dxa"/>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5629" w:type="dxa"/>
            <w:gridSpan w:val="4"/>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sz w:val="18"/>
              </w:rPr>
              <w:t>2019.12.31</w:t>
            </w:r>
          </w:p>
        </w:tc>
      </w:tr>
      <w:tr>
        <w:trPr>
          <w:trHeight w:val="352" w:hRule="exact"/>
        </w:trPr>
        <w:tc>
          <w:tcPr>
            <w:tcW w:w="3653" w:type="dxa"/>
            <w:vMerge/>
            <w:tcBorders>
              <w:left w:val="single" w:sz="8" w:space="0" w:color="000000"/>
              <w:bottom w:val="single" w:sz="8" w:space="0" w:color="000000"/>
              <w:right w:val="single" w:sz="8" w:space="0" w:color="000000"/>
            </w:tcBorders>
            <w:shd w:val="clear" w:color="auto" w:fill="D9D9D9"/>
          </w:tcPr>
          <w:p>
            <w:pPr/>
          </w:p>
        </w:tc>
        <w:tc>
          <w:tcPr>
            <w:tcW w:w="141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33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41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68" w:right="0"/>
              <w:jc w:val="left"/>
              <w:rPr>
                <w:rFonts w:ascii="宋体" w:hAnsi="宋体" w:cs="宋体" w:eastAsia="宋体" w:hint="default"/>
                <w:sz w:val="18"/>
                <w:szCs w:val="18"/>
              </w:rPr>
            </w:pPr>
            <w:r>
              <w:rPr>
                <w:rFonts w:ascii="宋体" w:hAnsi="宋体" w:cs="宋体" w:eastAsia="宋体" w:hint="default"/>
                <w:sz w:val="18"/>
                <w:szCs w:val="18"/>
              </w:rPr>
              <w:t>一年至五年以内</w:t>
            </w:r>
          </w:p>
        </w:tc>
        <w:tc>
          <w:tcPr>
            <w:tcW w:w="141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339"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37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408" w:right="0"/>
              <w:jc w:val="left"/>
              <w:rPr>
                <w:rFonts w:ascii="宋体" w:hAnsi="宋体" w:cs="宋体" w:eastAsia="宋体" w:hint="default"/>
                <w:sz w:val="18"/>
                <w:szCs w:val="18"/>
              </w:rPr>
            </w:pPr>
            <w:r>
              <w:rPr>
                <w:rFonts w:ascii="宋体" w:hAnsi="宋体" w:cs="宋体" w:eastAsia="宋体" w:hint="default"/>
                <w:sz w:val="18"/>
                <w:szCs w:val="18"/>
              </w:rPr>
              <w:t>合  计</w:t>
            </w:r>
          </w:p>
        </w:tc>
      </w:tr>
      <w:tr>
        <w:trPr>
          <w:trHeight w:val="352" w:hRule="exact"/>
        </w:trPr>
        <w:tc>
          <w:tcPr>
            <w:tcW w:w="36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2"/>
              <w:ind w:left="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417"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378" w:type="dxa"/>
            <w:tcBorders>
              <w:top w:val="single" w:sz="8" w:space="0" w:color="000000"/>
              <w:left w:val="single" w:sz="8" w:space="0" w:color="000000"/>
              <w:bottom w:val="single" w:sz="8" w:space="0" w:color="000000"/>
              <w:right w:val="single" w:sz="8" w:space="0" w:color="000000"/>
            </w:tcBorders>
          </w:tcPr>
          <w:p>
            <w:pPr/>
          </w:p>
        </w:tc>
      </w:tr>
      <w:tr>
        <w:trPr>
          <w:trHeight w:val="352" w:hRule="exact"/>
        </w:trPr>
        <w:tc>
          <w:tcPr>
            <w:tcW w:w="36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50,155.73</w:t>
            </w:r>
          </w:p>
        </w:tc>
        <w:tc>
          <w:tcPr>
            <w:tcW w:w="141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50,155.73</w:t>
            </w:r>
          </w:p>
        </w:tc>
      </w:tr>
      <w:tr>
        <w:trPr>
          <w:trHeight w:val="353" w:hRule="exact"/>
        </w:trPr>
        <w:tc>
          <w:tcPr>
            <w:tcW w:w="36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5,549.06</w:t>
            </w:r>
          </w:p>
        </w:tc>
        <w:tc>
          <w:tcPr>
            <w:tcW w:w="141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5,549.06</w:t>
            </w:r>
          </w:p>
        </w:tc>
      </w:tr>
      <w:tr>
        <w:trPr>
          <w:trHeight w:val="352" w:hRule="exact"/>
        </w:trPr>
        <w:tc>
          <w:tcPr>
            <w:tcW w:w="36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17,041.42</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4,864.14</w:t>
            </w:r>
          </w:p>
        </w:tc>
        <w:tc>
          <w:tcPr>
            <w:tcW w:w="1418" w:type="dxa"/>
            <w:tcBorders>
              <w:top w:val="single" w:sz="8" w:space="0" w:color="000000"/>
              <w:left w:val="single" w:sz="8" w:space="0" w:color="000000"/>
              <w:bottom w:val="single" w:sz="8" w:space="0" w:color="000000"/>
              <w:right w:val="single" w:sz="8" w:space="0" w:color="000000"/>
            </w:tcBorders>
          </w:tcPr>
          <w:p>
            <w:pP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21,905.56</w:t>
            </w:r>
          </w:p>
        </w:tc>
      </w:tr>
      <w:tr>
        <w:trPr>
          <w:trHeight w:val="352" w:hRule="exact"/>
        </w:trPr>
        <w:tc>
          <w:tcPr>
            <w:tcW w:w="36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2,279.77</w:t>
            </w:r>
          </w:p>
        </w:tc>
        <w:tc>
          <w:tcPr>
            <w:tcW w:w="141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2,279.77</w:t>
            </w:r>
          </w:p>
        </w:tc>
      </w:tr>
      <w:tr>
        <w:trPr>
          <w:trHeight w:val="353" w:hRule="exact"/>
        </w:trPr>
        <w:tc>
          <w:tcPr>
            <w:tcW w:w="36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13,589.37</w:t>
            </w:r>
          </w:p>
        </w:tc>
        <w:tc>
          <w:tcPr>
            <w:tcW w:w="141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13,589.37</w:t>
            </w:r>
          </w:p>
        </w:tc>
      </w:tr>
      <w:tr>
        <w:trPr>
          <w:trHeight w:val="353" w:hRule="exact"/>
        </w:trPr>
        <w:tc>
          <w:tcPr>
            <w:tcW w:w="36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金融负债合计</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88,615.35</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4,864.14</w:t>
            </w:r>
          </w:p>
        </w:tc>
        <w:tc>
          <w:tcPr>
            <w:tcW w:w="1418" w:type="dxa"/>
            <w:tcBorders>
              <w:top w:val="single" w:sz="8" w:space="0" w:color="000000"/>
              <w:left w:val="single" w:sz="8" w:space="0" w:color="000000"/>
              <w:bottom w:val="single" w:sz="8" w:space="0" w:color="000000"/>
              <w:right w:val="single" w:sz="8" w:space="0" w:color="000000"/>
            </w:tcBorders>
          </w:tcPr>
          <w:p>
            <w:pP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93,479.49</w:t>
            </w:r>
          </w:p>
        </w:tc>
      </w:tr>
    </w:tbl>
    <w:p>
      <w:pPr>
        <w:pStyle w:val="BodyText"/>
        <w:spacing w:line="240" w:lineRule="auto" w:before="51"/>
        <w:ind w:left="514" w:right="0"/>
        <w:jc w:val="left"/>
      </w:pPr>
      <w:r>
        <w:rPr/>
        <w:t>期初，本集团持有的金融负债和表外担保项目按未折现剩余合同现金流量的到期期限分析如下（单位：人民币万元</w:t>
      </w:r>
      <w:r>
        <w:rPr>
          <w:spacing w:val="-90"/>
        </w:rPr>
        <w:t>）</w:t>
      </w:r>
      <w:r>
        <w:rPr/>
        <w:t>：</w:t>
      </w:r>
    </w:p>
    <w:p>
      <w:pPr>
        <w:spacing w:line="240" w:lineRule="auto" w:before="13"/>
        <w:rPr>
          <w:rFonts w:ascii="宋体" w:hAnsi="宋体" w:cs="宋体" w:eastAsia="宋体" w:hint="default"/>
          <w:sz w:val="7"/>
          <w:szCs w:val="7"/>
        </w:rPr>
      </w:pPr>
    </w:p>
    <w:tbl>
      <w:tblPr>
        <w:tblW w:w="0" w:type="auto"/>
        <w:jc w:val="left"/>
        <w:tblInd w:w="322" w:type="dxa"/>
        <w:tblLayout w:type="fixed"/>
        <w:tblCellMar>
          <w:top w:w="0" w:type="dxa"/>
          <w:left w:w="0" w:type="dxa"/>
          <w:bottom w:w="0" w:type="dxa"/>
          <w:right w:w="0" w:type="dxa"/>
        </w:tblCellMar>
        <w:tblLook w:val="01E0"/>
      </w:tblPr>
      <w:tblGrid>
        <w:gridCol w:w="3652"/>
        <w:gridCol w:w="1417"/>
        <w:gridCol w:w="1416"/>
        <w:gridCol w:w="1418"/>
        <w:gridCol w:w="1378"/>
      </w:tblGrid>
      <w:tr>
        <w:trPr>
          <w:trHeight w:val="353" w:hRule="exact"/>
        </w:trPr>
        <w:tc>
          <w:tcPr>
            <w:tcW w:w="3652" w:type="dxa"/>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 目</w:t>
            </w:r>
          </w:p>
        </w:tc>
        <w:tc>
          <w:tcPr>
            <w:tcW w:w="5629" w:type="dxa"/>
            <w:gridSpan w:val="4"/>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sz w:val="18"/>
              </w:rPr>
              <w:t>2018.12.31</w:t>
            </w:r>
          </w:p>
        </w:tc>
      </w:tr>
      <w:tr>
        <w:trPr>
          <w:trHeight w:val="352" w:hRule="exact"/>
        </w:trPr>
        <w:tc>
          <w:tcPr>
            <w:tcW w:w="3652" w:type="dxa"/>
            <w:vMerge/>
            <w:tcBorders>
              <w:left w:val="single" w:sz="8" w:space="0" w:color="000000"/>
              <w:bottom w:val="single" w:sz="8" w:space="0" w:color="000000"/>
              <w:right w:val="single" w:sz="8" w:space="0" w:color="000000"/>
            </w:tcBorders>
            <w:shd w:val="clear" w:color="auto" w:fill="D9D9D9"/>
          </w:tcPr>
          <w:p>
            <w:pPr/>
          </w:p>
        </w:tc>
        <w:tc>
          <w:tcPr>
            <w:tcW w:w="1417"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338" w:right="0"/>
              <w:jc w:val="left"/>
              <w:rPr>
                <w:rFonts w:ascii="宋体" w:hAnsi="宋体" w:cs="宋体" w:eastAsia="宋体" w:hint="default"/>
                <w:sz w:val="18"/>
                <w:szCs w:val="18"/>
              </w:rPr>
            </w:pPr>
            <w:r>
              <w:rPr>
                <w:rFonts w:ascii="宋体" w:hAnsi="宋体" w:cs="宋体" w:eastAsia="宋体" w:hint="default"/>
                <w:sz w:val="18"/>
                <w:szCs w:val="18"/>
              </w:rPr>
              <w:t>一年以内</w:t>
            </w:r>
          </w:p>
        </w:tc>
        <w:tc>
          <w:tcPr>
            <w:tcW w:w="1416"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68" w:right="0"/>
              <w:jc w:val="left"/>
              <w:rPr>
                <w:rFonts w:ascii="宋体" w:hAnsi="宋体" w:cs="宋体" w:eastAsia="宋体" w:hint="default"/>
                <w:sz w:val="18"/>
                <w:szCs w:val="18"/>
              </w:rPr>
            </w:pPr>
            <w:r>
              <w:rPr>
                <w:rFonts w:ascii="宋体" w:hAnsi="宋体" w:cs="宋体" w:eastAsia="宋体" w:hint="default"/>
                <w:sz w:val="18"/>
                <w:szCs w:val="18"/>
              </w:rPr>
              <w:t>一年至五年以内</w:t>
            </w:r>
          </w:p>
        </w:tc>
        <w:tc>
          <w:tcPr>
            <w:tcW w:w="141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339" w:right="0"/>
              <w:jc w:val="left"/>
              <w:rPr>
                <w:rFonts w:ascii="宋体" w:hAnsi="宋体" w:cs="宋体" w:eastAsia="宋体" w:hint="default"/>
                <w:sz w:val="18"/>
                <w:szCs w:val="18"/>
              </w:rPr>
            </w:pPr>
            <w:r>
              <w:rPr>
                <w:rFonts w:ascii="宋体" w:hAnsi="宋体" w:cs="宋体" w:eastAsia="宋体" w:hint="default"/>
                <w:sz w:val="18"/>
                <w:szCs w:val="18"/>
              </w:rPr>
              <w:t>五年以上</w:t>
            </w:r>
          </w:p>
        </w:tc>
        <w:tc>
          <w:tcPr>
            <w:tcW w:w="1378"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408" w:right="0"/>
              <w:jc w:val="left"/>
              <w:rPr>
                <w:rFonts w:ascii="宋体" w:hAnsi="宋体" w:cs="宋体" w:eastAsia="宋体" w:hint="default"/>
                <w:sz w:val="18"/>
                <w:szCs w:val="18"/>
              </w:rPr>
            </w:pPr>
            <w:r>
              <w:rPr>
                <w:rFonts w:ascii="宋体" w:hAnsi="宋体" w:cs="宋体" w:eastAsia="宋体" w:hint="default"/>
                <w:sz w:val="18"/>
                <w:szCs w:val="18"/>
              </w:rPr>
              <w:t>合  计</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322" w:type="dxa"/>
        <w:tblLayout w:type="fixed"/>
        <w:tblCellMar>
          <w:top w:w="0" w:type="dxa"/>
          <w:left w:w="0" w:type="dxa"/>
          <w:bottom w:w="0" w:type="dxa"/>
          <w:right w:w="0" w:type="dxa"/>
        </w:tblCellMar>
        <w:tblLook w:val="01E0"/>
      </w:tblPr>
      <w:tblGrid>
        <w:gridCol w:w="3653"/>
        <w:gridCol w:w="1417"/>
        <w:gridCol w:w="1416"/>
        <w:gridCol w:w="1418"/>
        <w:gridCol w:w="1378"/>
      </w:tblGrid>
      <w:tr>
        <w:trPr>
          <w:trHeight w:val="352" w:hRule="exact"/>
        </w:trPr>
        <w:tc>
          <w:tcPr>
            <w:tcW w:w="36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417" w:type="dxa"/>
            <w:tcBorders>
              <w:top w:val="single" w:sz="8" w:space="0" w:color="000000"/>
              <w:left w:val="single" w:sz="8" w:space="0" w:color="000000"/>
              <w:bottom w:val="single" w:sz="8" w:space="0" w:color="000000"/>
              <w:right w:val="single" w:sz="8" w:space="0" w:color="000000"/>
            </w:tcBorders>
          </w:tcPr>
          <w:p>
            <w:pPr/>
          </w:p>
        </w:tc>
        <w:tc>
          <w:tcPr>
            <w:tcW w:w="141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378" w:type="dxa"/>
            <w:tcBorders>
              <w:top w:val="single" w:sz="8" w:space="0" w:color="000000"/>
              <w:left w:val="single" w:sz="8" w:space="0" w:color="000000"/>
              <w:bottom w:val="single" w:sz="8" w:space="0" w:color="000000"/>
              <w:right w:val="single" w:sz="8" w:space="0" w:color="000000"/>
            </w:tcBorders>
          </w:tcPr>
          <w:p>
            <w:pPr/>
          </w:p>
        </w:tc>
      </w:tr>
      <w:tr>
        <w:trPr>
          <w:trHeight w:val="353" w:hRule="exact"/>
        </w:trPr>
        <w:tc>
          <w:tcPr>
            <w:tcW w:w="36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43,000.00</w:t>
            </w:r>
          </w:p>
        </w:tc>
        <w:tc>
          <w:tcPr>
            <w:tcW w:w="141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43,000.00</w:t>
            </w:r>
          </w:p>
        </w:tc>
      </w:tr>
      <w:tr>
        <w:trPr>
          <w:trHeight w:val="352" w:hRule="exact"/>
        </w:trPr>
        <w:tc>
          <w:tcPr>
            <w:tcW w:w="36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918.99</w:t>
            </w:r>
          </w:p>
        </w:tc>
        <w:tc>
          <w:tcPr>
            <w:tcW w:w="141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918.99</w:t>
            </w:r>
          </w:p>
        </w:tc>
      </w:tr>
      <w:tr>
        <w:trPr>
          <w:trHeight w:val="352" w:hRule="exact"/>
        </w:trPr>
        <w:tc>
          <w:tcPr>
            <w:tcW w:w="36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17,755.30</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8,169.58</w:t>
            </w:r>
          </w:p>
        </w:tc>
        <w:tc>
          <w:tcPr>
            <w:tcW w:w="1418" w:type="dxa"/>
            <w:tcBorders>
              <w:top w:val="single" w:sz="8" w:space="0" w:color="000000"/>
              <w:left w:val="single" w:sz="8" w:space="0" w:color="000000"/>
              <w:bottom w:val="single" w:sz="8" w:space="0" w:color="000000"/>
              <w:right w:val="single" w:sz="8" w:space="0" w:color="000000"/>
            </w:tcBorders>
          </w:tcPr>
          <w:p>
            <w:pP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25,924.88</w:t>
            </w:r>
          </w:p>
        </w:tc>
      </w:tr>
      <w:tr>
        <w:trPr>
          <w:trHeight w:val="353" w:hRule="exact"/>
        </w:trPr>
        <w:tc>
          <w:tcPr>
            <w:tcW w:w="36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2,369.51</w:t>
            </w:r>
          </w:p>
        </w:tc>
        <w:tc>
          <w:tcPr>
            <w:tcW w:w="141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2,369.51</w:t>
            </w:r>
          </w:p>
        </w:tc>
      </w:tr>
      <w:tr>
        <w:trPr>
          <w:trHeight w:val="352" w:hRule="exact"/>
        </w:trPr>
        <w:tc>
          <w:tcPr>
            <w:tcW w:w="36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9,107.31</w:t>
            </w:r>
          </w:p>
        </w:tc>
        <w:tc>
          <w:tcPr>
            <w:tcW w:w="1416" w:type="dxa"/>
            <w:tcBorders>
              <w:top w:val="single" w:sz="8" w:space="0" w:color="000000"/>
              <w:left w:val="single" w:sz="8" w:space="0" w:color="000000"/>
              <w:bottom w:val="single" w:sz="8" w:space="0" w:color="000000"/>
              <w:right w:val="single" w:sz="8" w:space="0" w:color="000000"/>
            </w:tcBorders>
          </w:tcPr>
          <w:p>
            <w:pPr/>
          </w:p>
        </w:tc>
        <w:tc>
          <w:tcPr>
            <w:tcW w:w="1418" w:type="dxa"/>
            <w:tcBorders>
              <w:top w:val="single" w:sz="8" w:space="0" w:color="000000"/>
              <w:left w:val="single" w:sz="8" w:space="0" w:color="000000"/>
              <w:bottom w:val="single" w:sz="8" w:space="0" w:color="000000"/>
              <w:right w:val="single" w:sz="8" w:space="0" w:color="000000"/>
            </w:tcBorders>
          </w:tcPr>
          <w:p>
            <w:pP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9,107.31</w:t>
            </w:r>
          </w:p>
        </w:tc>
      </w:tr>
      <w:tr>
        <w:trPr>
          <w:trHeight w:val="353" w:hRule="exact"/>
        </w:trPr>
        <w:tc>
          <w:tcPr>
            <w:tcW w:w="3653"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金融负债合计</w:t>
            </w:r>
          </w:p>
        </w:tc>
        <w:tc>
          <w:tcPr>
            <w:tcW w:w="141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73,151.11</w:t>
            </w:r>
          </w:p>
        </w:tc>
        <w:tc>
          <w:tcPr>
            <w:tcW w:w="1416"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8,169.58</w:t>
            </w:r>
          </w:p>
        </w:tc>
        <w:tc>
          <w:tcPr>
            <w:tcW w:w="1418" w:type="dxa"/>
            <w:tcBorders>
              <w:top w:val="single" w:sz="8" w:space="0" w:color="000000"/>
              <w:left w:val="single" w:sz="8" w:space="0" w:color="000000"/>
              <w:bottom w:val="single" w:sz="8" w:space="0" w:color="000000"/>
              <w:right w:val="single" w:sz="8" w:space="0" w:color="000000"/>
            </w:tcBorders>
          </w:tcPr>
          <w:p>
            <w:pPr/>
          </w:p>
        </w:tc>
        <w:tc>
          <w:tcPr>
            <w:tcW w:w="1378"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81,320.69</w:t>
            </w:r>
          </w:p>
        </w:tc>
      </w:tr>
    </w:tbl>
    <w:p>
      <w:pPr>
        <w:pStyle w:val="BodyText"/>
        <w:spacing w:line="340" w:lineRule="auto" w:before="51"/>
        <w:ind w:left="513" w:right="0"/>
        <w:jc w:val="left"/>
      </w:pPr>
      <w:r>
        <w:rPr/>
        <w:t>（</w:t>
      </w:r>
      <w:r>
        <w:rPr>
          <w:rFonts w:ascii="Arial" w:hAnsi="Arial" w:cs="Arial" w:eastAsia="Arial" w:hint="default"/>
        </w:rPr>
        <w:t>3</w:t>
      </w:r>
      <w:r>
        <w:rPr/>
        <w:t>）市场风险 </w:t>
      </w:r>
      <w:r>
        <w:rPr>
          <w:spacing w:val="-2"/>
        </w:rPr>
        <w:t>金融工具的市场风险，是指金融工具的公允价值或未来现金流量因市场价格变动而发生波动的风险，包括利率风险和汇</w:t>
      </w:r>
    </w:p>
    <w:p>
      <w:pPr>
        <w:pStyle w:val="BodyText"/>
        <w:spacing w:line="240" w:lineRule="auto" w:before="2"/>
        <w:ind w:left="153" w:right="2239"/>
        <w:jc w:val="left"/>
      </w:pPr>
      <w:r>
        <w:rPr/>
        <w:t>率风险。</w:t>
      </w:r>
    </w:p>
    <w:p>
      <w:pPr>
        <w:pStyle w:val="BodyText"/>
        <w:spacing w:line="357" w:lineRule="auto" w:before="116"/>
        <w:ind w:left="513" w:right="1030"/>
        <w:jc w:val="left"/>
      </w:pPr>
      <w:r>
        <w:rPr/>
        <w:t>利率风险 </w:t>
      </w:r>
      <w:r>
        <w:rPr>
          <w:spacing w:val="-2"/>
        </w:rPr>
        <w:t>利率风险，是指金融工具的公允价值或未来现金流量因市场利率变动而发生波动的风险。利率风险可源于已确认的计息</w:t>
      </w:r>
    </w:p>
    <w:p>
      <w:pPr>
        <w:pStyle w:val="BodyText"/>
        <w:spacing w:line="360" w:lineRule="auto"/>
        <w:ind w:left="513" w:right="6703" w:hanging="360"/>
        <w:jc w:val="left"/>
      </w:pPr>
      <w:r>
        <w:rPr>
          <w:spacing w:val="-4"/>
        </w:rPr>
        <w:t>金融工具和未确认的金融工具（如某些贷款承诺）。</w:t>
      </w:r>
      <w:r>
        <w:rPr/>
        <w:t> 本集团所承担的利率变动风险不重大。 汇率风险</w:t>
      </w:r>
    </w:p>
    <w:p>
      <w:pPr>
        <w:pStyle w:val="BodyText"/>
        <w:spacing w:line="319" w:lineRule="auto" w:before="25"/>
        <w:ind w:left="153" w:right="0" w:firstLine="360"/>
        <w:jc w:val="left"/>
      </w:pPr>
      <w:r>
        <w:rPr>
          <w:spacing w:val="-2"/>
        </w:rPr>
        <w:t>汇率风险，是指金融工具的公允价值或未来现金流量因外汇汇率变动而发生波动的风险。汇率风险可源于以记账本位币</w:t>
      </w:r>
      <w:r>
        <w:rPr/>
        <w:t> 之外的外币进行计价的金融工具。</w:t>
      </w:r>
    </w:p>
    <w:p>
      <w:pPr>
        <w:pStyle w:val="BodyText"/>
        <w:spacing w:line="357" w:lineRule="auto" w:before="58"/>
        <w:ind w:left="513" w:right="2471"/>
        <w:jc w:val="left"/>
      </w:pPr>
      <w:r>
        <w:rPr/>
        <w:t>本集团的主要经营位于中国境内，主要业务以人民币结算。因此，本集团面临的汇率风险并不重大。 本集团期末外币金融资产和外币金融负债列示见本附注五之</w:t>
      </w:r>
      <w:r>
        <w:rPr>
          <w:spacing w:val="-47"/>
        </w:rPr>
        <w:t> </w:t>
      </w:r>
      <w:r>
        <w:rPr>
          <w:rFonts w:ascii="Arial" w:hAnsi="Arial" w:cs="Arial" w:eastAsia="Arial" w:hint="default"/>
        </w:rPr>
        <w:t>51</w:t>
      </w:r>
      <w:r>
        <w:rPr/>
        <w:t>、外币货币性项目。</w:t>
      </w:r>
    </w:p>
    <w:p>
      <w:pPr>
        <w:pStyle w:val="BodyText"/>
        <w:spacing w:line="340" w:lineRule="auto" w:before="4"/>
        <w:ind w:left="514" w:right="1030"/>
        <w:jc w:val="left"/>
      </w:pPr>
      <w:r>
        <w:rPr>
          <w:rFonts w:ascii="Arial" w:hAnsi="Arial" w:cs="Arial" w:eastAsia="Arial" w:hint="default"/>
        </w:rPr>
        <w:t>2</w:t>
      </w:r>
      <w:r>
        <w:rPr/>
        <w:t>、资本管理 </w:t>
      </w:r>
      <w:r>
        <w:rPr>
          <w:spacing w:val="-2"/>
        </w:rPr>
        <w:t>本集团资本管理政策的目标是为了保障本集团能够持续经营，从而为股东提供回报，并使其他利益相关者获益，同时维</w:t>
      </w:r>
    </w:p>
    <w:p>
      <w:pPr>
        <w:pStyle w:val="BodyText"/>
        <w:spacing w:line="357" w:lineRule="auto" w:before="2"/>
        <w:ind w:left="514" w:right="0" w:hanging="360"/>
        <w:jc w:val="left"/>
      </w:pPr>
      <w:r>
        <w:rPr/>
        <w:t>持最佳的资本结构以降低资本成本。 </w:t>
      </w:r>
      <w:r>
        <w:rPr>
          <w:spacing w:val="-2"/>
        </w:rPr>
        <w:t>为了维持或调整资本结构，本集团可能会调整融资方式、调整支付给股东的股利金额、向股东返还资本、发行新股与其</w:t>
      </w:r>
    </w:p>
    <w:p>
      <w:pPr>
        <w:pStyle w:val="BodyText"/>
        <w:spacing w:line="225" w:lineRule="exact"/>
        <w:ind w:right="2239"/>
        <w:jc w:val="left"/>
      </w:pPr>
      <w:r>
        <w:rPr/>
        <w:t>他权益工具或出售资产以减低债务。</w:t>
      </w:r>
    </w:p>
    <w:p>
      <w:pPr>
        <w:pStyle w:val="BodyText"/>
        <w:spacing w:line="302" w:lineRule="auto" w:before="115"/>
        <w:ind w:right="1117" w:firstLine="360"/>
        <w:jc w:val="left"/>
      </w:pPr>
      <w:r>
        <w:rPr/>
        <w:t>本集团以资产负债率（即总负债除以总资产）为基础对资本结构进行监控。于</w:t>
      </w:r>
      <w:r>
        <w:rPr>
          <w:spacing w:val="-58"/>
        </w:rPr>
        <w:t> </w:t>
      </w:r>
      <w:r>
        <w:rPr>
          <w:rFonts w:ascii="Arial" w:hAnsi="Arial" w:cs="Arial" w:eastAsia="Arial" w:hint="default"/>
        </w:rPr>
        <w:t>2019</w:t>
      </w:r>
      <w:r>
        <w:rPr>
          <w:rFonts w:ascii="Arial" w:hAnsi="Arial" w:cs="Arial" w:eastAsia="Arial" w:hint="default"/>
          <w:spacing w:val="-17"/>
        </w:rPr>
        <w:t> </w:t>
      </w:r>
      <w:r>
        <w:rPr/>
        <w:t>年</w:t>
      </w:r>
      <w:r>
        <w:rPr>
          <w:spacing w:val="-58"/>
        </w:rPr>
        <w:t> </w:t>
      </w:r>
      <w:r>
        <w:rPr>
          <w:rFonts w:ascii="Arial" w:hAnsi="Arial" w:cs="Arial" w:eastAsia="Arial" w:hint="default"/>
        </w:rPr>
        <w:t>12</w:t>
      </w:r>
      <w:r>
        <w:rPr>
          <w:rFonts w:ascii="Arial" w:hAnsi="Arial" w:cs="Arial" w:eastAsia="Arial" w:hint="default"/>
          <w:spacing w:val="-19"/>
        </w:rPr>
        <w:t> </w:t>
      </w:r>
      <w:r>
        <w:rPr/>
        <w:t>月</w:t>
      </w:r>
      <w:r>
        <w:rPr>
          <w:spacing w:val="-57"/>
        </w:rPr>
        <w:t> </w:t>
      </w:r>
      <w:r>
        <w:rPr>
          <w:rFonts w:ascii="Arial" w:hAnsi="Arial" w:cs="Arial" w:eastAsia="Arial" w:hint="default"/>
        </w:rPr>
        <w:t>31</w:t>
      </w:r>
      <w:r>
        <w:rPr>
          <w:rFonts w:ascii="Arial" w:hAnsi="Arial" w:cs="Arial" w:eastAsia="Arial" w:hint="default"/>
          <w:spacing w:val="-19"/>
        </w:rPr>
        <w:t> </w:t>
      </w:r>
      <w:r>
        <w:rPr/>
        <w:t>日，本集团的资产负债 率为</w:t>
      </w:r>
      <w:r>
        <w:rPr>
          <w:spacing w:val="-45"/>
        </w:rPr>
        <w:t> </w:t>
      </w:r>
      <w:r>
        <w:rPr>
          <w:rFonts w:ascii="Arial" w:hAnsi="Arial" w:cs="Arial" w:eastAsia="Arial" w:hint="default"/>
          <w:spacing w:val="-1"/>
        </w:rPr>
        <w:t>43.88%</w:t>
      </w:r>
      <w:r>
        <w:rPr>
          <w:spacing w:val="-1"/>
        </w:rPr>
        <w:t>（</w:t>
      </w:r>
      <w:r>
        <w:rPr>
          <w:rFonts w:ascii="Arial" w:hAnsi="Arial" w:cs="Arial" w:eastAsia="Arial" w:hint="default"/>
          <w:spacing w:val="-1"/>
        </w:rPr>
        <w:t>2018</w:t>
      </w:r>
      <w:r>
        <w:rPr>
          <w:rFonts w:ascii="Arial" w:hAnsi="Arial" w:cs="Arial" w:eastAsia="Arial" w:hint="default"/>
          <w:spacing w:val="-4"/>
        </w:rPr>
        <w:t> </w:t>
      </w:r>
      <w:r>
        <w:rPr/>
        <w:t>年</w:t>
      </w:r>
      <w:r>
        <w:rPr>
          <w:spacing w:val="-45"/>
        </w:rPr>
        <w:t> </w:t>
      </w:r>
      <w:r>
        <w:rPr>
          <w:rFonts w:ascii="Arial" w:hAnsi="Arial" w:cs="Arial" w:eastAsia="Arial" w:hint="default"/>
        </w:rPr>
        <w:t>12</w:t>
      </w:r>
      <w:r>
        <w:rPr>
          <w:rFonts w:ascii="Arial" w:hAnsi="Arial" w:cs="Arial" w:eastAsia="Arial" w:hint="default"/>
          <w:spacing w:val="-6"/>
        </w:rPr>
        <w:t> </w:t>
      </w:r>
      <w:r>
        <w:rPr/>
        <w:t>月</w:t>
      </w:r>
      <w:r>
        <w:rPr>
          <w:spacing w:val="-44"/>
        </w:rPr>
        <w:t> </w:t>
      </w:r>
      <w:r>
        <w:rPr>
          <w:rFonts w:ascii="Arial" w:hAnsi="Arial" w:cs="Arial" w:eastAsia="Arial" w:hint="default"/>
          <w:spacing w:val="-1"/>
        </w:rPr>
        <w:t>31</w:t>
      </w:r>
      <w:r>
        <w:rPr>
          <w:rFonts w:ascii="Arial" w:hAnsi="Arial" w:cs="Arial" w:eastAsia="Arial" w:hint="default"/>
          <w:spacing w:val="-6"/>
        </w:rPr>
        <w:t> </w:t>
      </w:r>
      <w:r>
        <w:rPr>
          <w:spacing w:val="-11"/>
        </w:rPr>
        <w:t>日：</w:t>
      </w:r>
      <w:r>
        <w:rPr>
          <w:rFonts w:ascii="Arial" w:hAnsi="Arial" w:cs="Arial" w:eastAsia="Arial" w:hint="default"/>
          <w:spacing w:val="-11"/>
        </w:rPr>
        <w:t>42.11%</w:t>
      </w:r>
      <w:r>
        <w:rPr>
          <w:spacing w:val="-11"/>
        </w:rPr>
        <w:t>）。</w:t>
      </w:r>
    </w:p>
    <w:p>
      <w:pPr>
        <w:spacing w:line="240" w:lineRule="auto" w:before="1"/>
        <w:rPr>
          <w:rFonts w:ascii="宋体" w:hAnsi="宋体" w:cs="宋体" w:eastAsia="宋体" w:hint="default"/>
          <w:sz w:val="20"/>
          <w:szCs w:val="20"/>
        </w:rPr>
      </w:pPr>
    </w:p>
    <w:p>
      <w:pPr>
        <w:pStyle w:val="Heading2"/>
        <w:spacing w:line="240" w:lineRule="auto"/>
        <w:ind w:right="2239"/>
        <w:jc w:val="left"/>
        <w:rPr>
          <w:b w:val="0"/>
          <w:bCs w:val="0"/>
        </w:rPr>
      </w:pPr>
      <w:r>
        <w:rPr/>
        <w:t>十一、公允价值的披露</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1</w:t>
      </w:r>
      <w:r>
        <w:rPr/>
        <w:t>、以公允价值计量的资产和负债的期末公允价值</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1"/>
        <w:gridCol w:w="1849"/>
        <w:gridCol w:w="1913"/>
        <w:gridCol w:w="1913"/>
        <w:gridCol w:w="1913"/>
      </w:tblGrid>
      <w:tr>
        <w:trPr>
          <w:trHeight w:val="402" w:hRule="exact"/>
        </w:trPr>
        <w:tc>
          <w:tcPr>
            <w:tcW w:w="1971" w:type="dxa"/>
            <w:tcBorders>
              <w:top w:val="single" w:sz="4" w:space="0" w:color="000000"/>
              <w:left w:val="single" w:sz="4" w:space="0" w:color="000000"/>
              <w:bottom w:val="nil" w:sz="6" w:space="0" w:color="auto"/>
              <w:right w:val="single" w:sz="4" w:space="0" w:color="000000"/>
            </w:tcBorders>
            <w:shd w:val="clear" w:color="auto" w:fill="D3D3D3"/>
          </w:tcPr>
          <w:p>
            <w:pPr/>
          </w:p>
        </w:tc>
        <w:tc>
          <w:tcPr>
            <w:tcW w:w="758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期末公允价值</w:t>
            </w:r>
          </w:p>
        </w:tc>
      </w:tr>
      <w:tr>
        <w:trPr>
          <w:trHeight w:val="160" w:hRule="exact"/>
        </w:trPr>
        <w:tc>
          <w:tcPr>
            <w:tcW w:w="197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84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5" w:right="0"/>
              <w:jc w:val="left"/>
              <w:rPr>
                <w:rFonts w:ascii="宋体" w:hAnsi="宋体" w:cs="宋体" w:eastAsia="宋体" w:hint="default"/>
                <w:sz w:val="18"/>
                <w:szCs w:val="18"/>
              </w:rPr>
            </w:pPr>
            <w:r>
              <w:rPr>
                <w:rFonts w:ascii="宋体" w:hAnsi="宋体" w:cs="宋体" w:eastAsia="宋体" w:hint="default"/>
                <w:sz w:val="18"/>
                <w:szCs w:val="18"/>
              </w:rPr>
              <w:t>第一层次公允价值计</w:t>
            </w:r>
          </w:p>
        </w:tc>
        <w:tc>
          <w:tcPr>
            <w:tcW w:w="1913"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3" w:type="dxa"/>
            <w:tcBorders>
              <w:top w:val="single" w:sz="4" w:space="0" w:color="000000"/>
              <w:left w:val="single" w:sz="4" w:space="0" w:color="000000"/>
              <w:bottom w:val="nil" w:sz="6" w:space="0" w:color="auto"/>
              <w:right w:val="single" w:sz="4" w:space="0" w:color="000000"/>
            </w:tcBorders>
            <w:shd w:val="clear" w:color="auto" w:fill="D3D3D3"/>
          </w:tcPr>
          <w:p>
            <w:pPr/>
          </w:p>
        </w:tc>
        <w:tc>
          <w:tcPr>
            <w:tcW w:w="1913"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192" w:hRule="exact"/>
        </w:trPr>
        <w:tc>
          <w:tcPr>
            <w:tcW w:w="1971" w:type="dxa"/>
            <w:vMerge/>
            <w:tcBorders>
              <w:left w:val="single" w:sz="4" w:space="0" w:color="000000"/>
              <w:bottom w:val="nil" w:sz="6" w:space="0" w:color="auto"/>
              <w:right w:val="single" w:sz="4" w:space="0" w:color="000000"/>
            </w:tcBorders>
            <w:shd w:val="clear" w:color="auto" w:fill="D3D3D3"/>
          </w:tcPr>
          <w:p>
            <w:pPr/>
          </w:p>
        </w:tc>
        <w:tc>
          <w:tcPr>
            <w:tcW w:w="1849" w:type="dxa"/>
            <w:vMerge/>
            <w:tcBorders>
              <w:left w:val="single" w:sz="4" w:space="0" w:color="000000"/>
              <w:bottom w:val="nil" w:sz="6" w:space="0" w:color="auto"/>
              <w:right w:val="single" w:sz="4" w:space="0" w:color="000000"/>
            </w:tcBorders>
            <w:shd w:val="clear" w:color="auto" w:fill="D3D3D3"/>
          </w:tcPr>
          <w:p>
            <w:pPr/>
          </w:p>
        </w:tc>
        <w:tc>
          <w:tcPr>
            <w:tcW w:w="191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52" w:right="0"/>
              <w:jc w:val="left"/>
              <w:rPr>
                <w:rFonts w:ascii="宋体" w:hAnsi="宋体" w:cs="宋体" w:eastAsia="宋体" w:hint="default"/>
                <w:sz w:val="18"/>
                <w:szCs w:val="18"/>
              </w:rPr>
            </w:pPr>
            <w:r>
              <w:rPr>
                <w:rFonts w:ascii="宋体" w:hAnsi="宋体" w:cs="宋体" w:eastAsia="宋体" w:hint="default"/>
                <w:sz w:val="18"/>
                <w:szCs w:val="18"/>
              </w:rPr>
              <w:t>第二层次公允价值计量</w:t>
            </w:r>
          </w:p>
        </w:tc>
        <w:tc>
          <w:tcPr>
            <w:tcW w:w="191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第三层次公允价值计量</w:t>
            </w:r>
          </w:p>
        </w:tc>
        <w:tc>
          <w:tcPr>
            <w:tcW w:w="1913"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200" w:hRule="exact"/>
        </w:trPr>
        <w:tc>
          <w:tcPr>
            <w:tcW w:w="1971" w:type="dxa"/>
            <w:vMerge w:val="restart"/>
            <w:tcBorders>
              <w:top w:val="nil" w:sz="6" w:space="0" w:color="auto"/>
              <w:left w:val="single" w:sz="4" w:space="0" w:color="000000"/>
              <w:right w:val="single" w:sz="4" w:space="0" w:color="000000"/>
            </w:tcBorders>
            <w:shd w:val="clear" w:color="auto" w:fill="D3D3D3"/>
          </w:tcPr>
          <w:p>
            <w:pPr/>
          </w:p>
        </w:tc>
        <w:tc>
          <w:tcPr>
            <w:tcW w:w="1849"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6"/>
              <w:ind w:left="11" w:right="0"/>
              <w:jc w:val="center"/>
              <w:rPr>
                <w:rFonts w:ascii="宋体" w:hAnsi="宋体" w:cs="宋体" w:eastAsia="宋体" w:hint="default"/>
                <w:sz w:val="18"/>
                <w:szCs w:val="18"/>
              </w:rPr>
            </w:pPr>
            <w:r>
              <w:rPr>
                <w:rFonts w:ascii="宋体" w:hAnsi="宋体" w:cs="宋体" w:eastAsia="宋体" w:hint="default"/>
                <w:sz w:val="18"/>
                <w:szCs w:val="18"/>
              </w:rPr>
              <w:t>量</w:t>
            </w:r>
          </w:p>
        </w:tc>
        <w:tc>
          <w:tcPr>
            <w:tcW w:w="1913" w:type="dxa"/>
            <w:vMerge/>
            <w:tcBorders>
              <w:left w:val="single" w:sz="4" w:space="0" w:color="000000"/>
              <w:bottom w:val="nil" w:sz="6" w:space="0" w:color="auto"/>
              <w:right w:val="single" w:sz="4" w:space="0" w:color="000000"/>
            </w:tcBorders>
            <w:shd w:val="clear" w:color="auto" w:fill="D3D3D3"/>
          </w:tcPr>
          <w:p>
            <w:pPr/>
          </w:p>
        </w:tc>
        <w:tc>
          <w:tcPr>
            <w:tcW w:w="1913" w:type="dxa"/>
            <w:vMerge/>
            <w:tcBorders>
              <w:left w:val="single" w:sz="4" w:space="0" w:color="000000"/>
              <w:bottom w:val="nil" w:sz="6" w:space="0" w:color="auto"/>
              <w:right w:val="single" w:sz="4" w:space="0" w:color="000000"/>
            </w:tcBorders>
            <w:shd w:val="clear" w:color="auto" w:fill="D3D3D3"/>
          </w:tcPr>
          <w:p>
            <w:pPr/>
          </w:p>
        </w:tc>
        <w:tc>
          <w:tcPr>
            <w:tcW w:w="1913" w:type="dxa"/>
            <w:vMerge/>
            <w:tcBorders>
              <w:left w:val="single" w:sz="4" w:space="0" w:color="000000"/>
              <w:bottom w:val="nil" w:sz="6" w:space="0" w:color="auto"/>
              <w:right w:val="single" w:sz="4" w:space="0" w:color="000000"/>
            </w:tcBorders>
            <w:shd w:val="clear" w:color="auto" w:fill="D3D3D3"/>
          </w:tcPr>
          <w:p>
            <w:pPr/>
          </w:p>
        </w:tc>
      </w:tr>
      <w:tr>
        <w:trPr>
          <w:trHeight w:val="162" w:hRule="exact"/>
        </w:trPr>
        <w:tc>
          <w:tcPr>
            <w:tcW w:w="1971" w:type="dxa"/>
            <w:vMerge/>
            <w:tcBorders>
              <w:left w:val="single" w:sz="4" w:space="0" w:color="000000"/>
              <w:bottom w:val="single" w:sz="4" w:space="0" w:color="000000"/>
              <w:right w:val="single" w:sz="4" w:space="0" w:color="000000"/>
            </w:tcBorders>
            <w:shd w:val="clear" w:color="auto" w:fill="D3D3D3"/>
          </w:tcPr>
          <w:p>
            <w:pPr/>
          </w:p>
        </w:tc>
        <w:tc>
          <w:tcPr>
            <w:tcW w:w="1849" w:type="dxa"/>
            <w:vMerge/>
            <w:tcBorders>
              <w:left w:val="single" w:sz="4" w:space="0" w:color="000000"/>
              <w:bottom w:val="single" w:sz="4" w:space="0" w:color="000000"/>
              <w:right w:val="single" w:sz="4" w:space="0" w:color="000000"/>
            </w:tcBorders>
            <w:shd w:val="clear" w:color="auto" w:fill="D3D3D3"/>
          </w:tcPr>
          <w:p>
            <w:pPr/>
          </w:p>
        </w:tc>
        <w:tc>
          <w:tcPr>
            <w:tcW w:w="1913"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一、持续的公允价值计量</w:t>
            </w:r>
          </w:p>
        </w:tc>
        <w:tc>
          <w:tcPr>
            <w:tcW w:w="184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left="11" w:right="0"/>
              <w:jc w:val="center"/>
              <w:rPr>
                <w:rFonts w:ascii="Arial" w:hAnsi="Arial" w:cs="Arial" w:eastAsia="Arial" w:hint="default"/>
                <w:sz w:val="18"/>
                <w:szCs w:val="18"/>
              </w:rPr>
            </w:pPr>
            <w:r>
              <w:rPr>
                <w:rFonts w:ascii="Arial"/>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Arial" w:hAnsi="Arial" w:cs="Arial" w:eastAsia="Arial" w:hint="default"/>
                <w:sz w:val="18"/>
                <w:szCs w:val="18"/>
              </w:rPr>
            </w:pPr>
            <w:r>
              <w:rPr>
                <w:rFonts w:ascii="Arial"/>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Arial" w:hAnsi="Arial" w:cs="Arial" w:eastAsia="Arial" w:hint="default"/>
                <w:sz w:val="18"/>
                <w:szCs w:val="18"/>
              </w:rPr>
            </w:pPr>
            <w:r>
              <w:rPr>
                <w:rFonts w:ascii="Arial"/>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0"/>
              <w:jc w:val="center"/>
              <w:rPr>
                <w:rFonts w:ascii="Arial" w:hAnsi="Arial" w:cs="Arial" w:eastAsia="Arial" w:hint="default"/>
                <w:sz w:val="18"/>
                <w:szCs w:val="18"/>
              </w:rPr>
            </w:pPr>
            <w:r>
              <w:rPr>
                <w:rFonts w:ascii="Arial"/>
                <w:sz w:val="18"/>
              </w:rPr>
              <w:t>--</w:t>
            </w:r>
          </w:p>
        </w:tc>
      </w:tr>
      <w:tr>
        <w:trPr>
          <w:trHeight w:val="362" w:hRule="exact"/>
        </w:trPr>
        <w:tc>
          <w:tcPr>
            <w:tcW w:w="1971"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以公允价值计量且其</w:t>
            </w:r>
          </w:p>
        </w:tc>
        <w:tc>
          <w:tcPr>
            <w:tcW w:w="1849" w:type="dxa"/>
            <w:tcBorders>
              <w:top w:val="single" w:sz="4" w:space="0" w:color="000000"/>
              <w:left w:val="single" w:sz="13" w:space="0" w:color="D3D3D3"/>
              <w:bottom w:val="nil" w:sz="6" w:space="0" w:color="auto"/>
              <w:right w:val="single" w:sz="4" w:space="0" w:color="000000"/>
            </w:tcBorders>
          </w:tcPr>
          <w:p>
            <w:pPr/>
          </w:p>
        </w:tc>
        <w:tc>
          <w:tcPr>
            <w:tcW w:w="1913" w:type="dxa"/>
            <w:vMerge w:val="restart"/>
            <w:tcBorders>
              <w:top w:val="single" w:sz="4" w:space="0" w:color="000000"/>
              <w:left w:val="single" w:sz="4" w:space="0" w:color="000000"/>
              <w:right w:val="single" w:sz="4" w:space="0" w:color="000000"/>
            </w:tcBorders>
          </w:tcPr>
          <w:p>
            <w:pPr/>
          </w:p>
        </w:tc>
        <w:tc>
          <w:tcPr>
            <w:tcW w:w="1913" w:type="dxa"/>
            <w:vMerge w:val="restart"/>
            <w:tcBorders>
              <w:top w:val="single" w:sz="4" w:space="0" w:color="000000"/>
              <w:left w:val="single" w:sz="4" w:space="0" w:color="000000"/>
              <w:right w:val="single" w:sz="4" w:space="0" w:color="000000"/>
            </w:tcBorders>
          </w:tcPr>
          <w:p>
            <w:pPr/>
          </w:p>
        </w:tc>
        <w:tc>
          <w:tcPr>
            <w:tcW w:w="1913"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1971"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5"/>
              <w:ind w:left="11" w:right="0"/>
              <w:jc w:val="left"/>
              <w:rPr>
                <w:rFonts w:ascii="宋体" w:hAnsi="宋体" w:cs="宋体" w:eastAsia="宋体" w:hint="default"/>
                <w:sz w:val="18"/>
                <w:szCs w:val="18"/>
              </w:rPr>
            </w:pPr>
            <w:r>
              <w:rPr>
                <w:rFonts w:ascii="宋体" w:hAnsi="宋体" w:cs="宋体" w:eastAsia="宋体" w:hint="default"/>
                <w:sz w:val="18"/>
                <w:szCs w:val="18"/>
              </w:rPr>
              <w:t>变动计入当期损益的金</w:t>
            </w:r>
          </w:p>
        </w:tc>
        <w:tc>
          <w:tcPr>
            <w:tcW w:w="1849" w:type="dxa"/>
            <w:tcBorders>
              <w:top w:val="nil" w:sz="6" w:space="0" w:color="auto"/>
              <w:left w:val="single" w:sz="13" w:space="0" w:color="D3D3D3"/>
              <w:bottom w:val="nil" w:sz="6" w:space="0" w:color="auto"/>
              <w:right w:val="single" w:sz="4" w:space="0" w:color="000000"/>
            </w:tcBorders>
          </w:tcPr>
          <w:p>
            <w:pPr>
              <w:pStyle w:val="TableParagraph"/>
              <w:spacing w:line="240" w:lineRule="auto" w:before="47"/>
              <w:ind w:left="553" w:right="0"/>
              <w:jc w:val="left"/>
              <w:rPr>
                <w:rFonts w:ascii="Arial" w:hAnsi="Arial" w:cs="Arial" w:eastAsia="Arial" w:hint="default"/>
                <w:sz w:val="18"/>
                <w:szCs w:val="18"/>
              </w:rPr>
            </w:pPr>
            <w:r>
              <w:rPr>
                <w:rFonts w:ascii="Arial"/>
                <w:sz w:val="18"/>
              </w:rPr>
              <w:t>320,820,000.00</w:t>
            </w:r>
          </w:p>
        </w:tc>
        <w:tc>
          <w:tcPr>
            <w:tcW w:w="1913" w:type="dxa"/>
            <w:vMerge/>
            <w:tcBorders>
              <w:left w:val="single" w:sz="4" w:space="0" w:color="000000"/>
              <w:right w:val="single" w:sz="4" w:space="0" w:color="000000"/>
            </w:tcBorders>
          </w:tcPr>
          <w:p>
            <w:pPr/>
          </w:p>
        </w:tc>
        <w:tc>
          <w:tcPr>
            <w:tcW w:w="1913" w:type="dxa"/>
            <w:vMerge/>
            <w:tcBorders>
              <w:left w:val="single" w:sz="4" w:space="0" w:color="000000"/>
              <w:right w:val="single" w:sz="4" w:space="0" w:color="000000"/>
            </w:tcBorders>
          </w:tcPr>
          <w:p>
            <w:pPr/>
          </w:p>
        </w:tc>
        <w:tc>
          <w:tcPr>
            <w:tcW w:w="1913"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right="20"/>
              <w:jc w:val="right"/>
              <w:rPr>
                <w:rFonts w:ascii="Arial" w:hAnsi="Arial" w:cs="Arial" w:eastAsia="Arial" w:hint="default"/>
                <w:sz w:val="18"/>
                <w:szCs w:val="18"/>
              </w:rPr>
            </w:pPr>
            <w:r>
              <w:rPr>
                <w:rFonts w:ascii="Arial"/>
                <w:spacing w:val="-1"/>
                <w:sz w:val="18"/>
              </w:rPr>
              <w:t>320,820,000.00</w:t>
            </w:r>
          </w:p>
        </w:tc>
      </w:tr>
      <w:tr>
        <w:trPr>
          <w:trHeight w:val="352" w:hRule="exact"/>
        </w:trPr>
        <w:tc>
          <w:tcPr>
            <w:tcW w:w="1971"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6"/>
              <w:ind w:left="11" w:right="0"/>
              <w:jc w:val="left"/>
              <w:rPr>
                <w:rFonts w:ascii="宋体" w:hAnsi="宋体" w:cs="宋体" w:eastAsia="宋体" w:hint="default"/>
                <w:sz w:val="18"/>
                <w:szCs w:val="18"/>
              </w:rPr>
            </w:pPr>
            <w:r>
              <w:rPr>
                <w:rFonts w:ascii="宋体" w:hAnsi="宋体" w:cs="宋体" w:eastAsia="宋体" w:hint="default"/>
                <w:sz w:val="18"/>
                <w:szCs w:val="18"/>
              </w:rPr>
              <w:t>融资产</w:t>
            </w:r>
          </w:p>
        </w:tc>
        <w:tc>
          <w:tcPr>
            <w:tcW w:w="1849" w:type="dxa"/>
            <w:tcBorders>
              <w:top w:val="nil" w:sz="6" w:space="0" w:color="auto"/>
              <w:left w:val="single" w:sz="13" w:space="0" w:color="D3D3D3"/>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c>
          <w:tcPr>
            <w:tcW w:w="1913" w:type="dxa"/>
            <w:vMerge/>
            <w:tcBorders>
              <w:left w:val="single" w:sz="4" w:space="0" w:color="000000"/>
              <w:bottom w:val="single" w:sz="4" w:space="0" w:color="000000"/>
              <w:right w:val="single" w:sz="4" w:space="0" w:color="000000"/>
            </w:tcBorders>
          </w:tcPr>
          <w:p>
            <w:pPr/>
          </w:p>
        </w:tc>
        <w:tc>
          <w:tcPr>
            <w:tcW w:w="1913" w:type="dxa"/>
            <w:tcBorders>
              <w:top w:val="nil" w:sz="6" w:space="0" w:color="auto"/>
              <w:left w:val="single" w:sz="4" w:space="0" w:color="000000"/>
              <w:bottom w:val="single" w:sz="4" w:space="0" w:color="000000"/>
              <w:right w:val="single" w:sz="4" w:space="0" w:color="000000"/>
            </w:tcBorders>
          </w:tcPr>
          <w:p>
            <w:pPr/>
          </w:p>
        </w:tc>
      </w:tr>
      <w:tr>
        <w:trPr>
          <w:trHeight w:val="402" w:hRule="exact"/>
        </w:trPr>
        <w:tc>
          <w:tcPr>
            <w:tcW w:w="197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pacing w:val="-4"/>
                <w:sz w:val="18"/>
                <w:szCs w:val="18"/>
              </w:rPr>
              <w:t>（三）其他权益工具投资</w:t>
            </w:r>
          </w:p>
        </w:tc>
        <w:tc>
          <w:tcPr>
            <w:tcW w:w="1849" w:type="dxa"/>
            <w:tcBorders>
              <w:top w:val="single" w:sz="4" w:space="0" w:color="000000"/>
              <w:left w:val="single" w:sz="13" w:space="0" w:color="D3D3D3"/>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0" w:right="0"/>
              <w:jc w:val="left"/>
              <w:rPr>
                <w:rFonts w:ascii="Arial" w:hAnsi="Arial" w:cs="Arial" w:eastAsia="Arial" w:hint="default"/>
                <w:sz w:val="18"/>
                <w:szCs w:val="18"/>
              </w:rPr>
            </w:pPr>
            <w:r>
              <w:rPr>
                <w:rFonts w:ascii="Arial"/>
                <w:sz w:val="18"/>
              </w:rPr>
              <w:t>95,906,363.50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95,906,363.50</w:t>
            </w:r>
            <w:r>
              <w:rPr>
                <w:rFonts w:ascii="Arial"/>
                <w:sz w:val="18"/>
              </w:rPr>
            </w:r>
          </w:p>
        </w:tc>
      </w:tr>
    </w:tbl>
    <w:p>
      <w:pPr>
        <w:spacing w:after="0" w:line="240" w:lineRule="auto"/>
        <w:jc w:val="right"/>
        <w:rPr>
          <w:rFonts w:ascii="Arial" w:hAnsi="Arial" w:cs="Arial" w:eastAsia="Arial"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94"/>
        <w:gridCol w:w="1837"/>
        <w:gridCol w:w="1913"/>
        <w:gridCol w:w="1913"/>
        <w:gridCol w:w="1913"/>
      </w:tblGrid>
      <w:tr>
        <w:trPr>
          <w:trHeight w:val="714" w:hRule="exact"/>
        </w:trPr>
        <w:tc>
          <w:tcPr>
            <w:tcW w:w="19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pacing w:val="-4"/>
                <w:sz w:val="18"/>
                <w:szCs w:val="18"/>
              </w:rPr>
              <w:t>二、非持续的公允价值计</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量</w:t>
            </w:r>
          </w:p>
        </w:tc>
        <w:tc>
          <w:tcPr>
            <w:tcW w:w="183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
              <w:jc w:val="center"/>
              <w:rPr>
                <w:rFonts w:ascii="Arial" w:hAnsi="Arial" w:cs="Arial" w:eastAsia="Arial" w:hint="default"/>
                <w:sz w:val="18"/>
                <w:szCs w:val="18"/>
              </w:rPr>
            </w:pPr>
            <w:r>
              <w:rPr>
                <w:rFonts w:ascii="Arial"/>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w:t>
            </w:r>
          </w:p>
        </w:tc>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Arial" w:hAnsi="Arial" w:cs="Arial" w:eastAsia="Arial" w:hint="default"/>
                <w:sz w:val="18"/>
                <w:szCs w:val="18"/>
              </w:rPr>
            </w:pPr>
            <w:r>
              <w:rPr>
                <w:rFonts w:ascii="Arial"/>
                <w:sz w:val="18"/>
              </w:rPr>
              <w:t>--</w:t>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rFonts w:ascii="Arial" w:hAnsi="Arial" w:cs="Arial" w:eastAsia="Arial" w:hint="default"/>
        </w:rPr>
        <w:t>2</w:t>
      </w:r>
      <w:r>
        <w:rPr/>
        <w:t>、持续和非持续第一层次公允价值计量项目市价的确定依据</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514" w:right="2239"/>
        <w:jc w:val="left"/>
      </w:pPr>
      <w:r>
        <w:rPr/>
        <w:t>相同资产或负债在活跃市场中的报价（未经调整的</w:t>
      </w:r>
      <w:r>
        <w:rPr>
          <w:spacing w:val="-90"/>
        </w:rPr>
        <w:t>）</w:t>
      </w:r>
      <w:r>
        <w:rPr/>
        <w:t>。</w:t>
      </w:r>
    </w:p>
    <w:p>
      <w:pPr>
        <w:spacing w:line="240" w:lineRule="auto" w:before="11"/>
        <w:rPr>
          <w:rFonts w:ascii="宋体" w:hAnsi="宋体" w:cs="宋体" w:eastAsia="宋体" w:hint="default"/>
          <w:sz w:val="26"/>
          <w:szCs w:val="26"/>
        </w:rPr>
      </w:pPr>
    </w:p>
    <w:p>
      <w:pPr>
        <w:pStyle w:val="Heading4"/>
        <w:spacing w:line="240" w:lineRule="auto"/>
        <w:ind w:right="0"/>
        <w:jc w:val="left"/>
        <w:rPr>
          <w:b w:val="0"/>
          <w:bCs w:val="0"/>
        </w:rPr>
      </w:pPr>
      <w:r>
        <w:rPr>
          <w:rFonts w:ascii="Arial" w:hAnsi="Arial" w:cs="Arial" w:eastAsia="Arial" w:hint="default"/>
        </w:rPr>
        <w:t>3</w:t>
      </w:r>
      <w:r>
        <w:rPr/>
        <w:t>、持续和非持续第二层次公允价值计量项目，采用的估值技术和重要参数的定性及定量信息</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直接（即价格）或间接（即从价格推导出）地使用除第一层次中的资产或负债的市场报价之外的可观察输入值。</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Arial" w:hAnsi="Arial" w:cs="Arial" w:eastAsia="Arial" w:hint="default"/>
        </w:rPr>
        <w:t>4</w:t>
      </w:r>
      <w:r>
        <w:rPr/>
        <w:t>、持续和非持续第三层次公允价值计量项目，采用的估值技术和重要参数的定性及定量信息</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right="2239"/>
        <w:jc w:val="left"/>
      </w:pPr>
      <w:r>
        <w:rPr/>
        <w:t>资产或负债使用了任何非基于可观察市场数据的输入值（不可观察输入值</w:t>
      </w:r>
      <w:r>
        <w:rPr>
          <w:spacing w:val="-90"/>
        </w:rPr>
        <w:t>）</w:t>
      </w:r>
      <w:r>
        <w:rPr/>
        <w:t>。</w:t>
      </w:r>
    </w:p>
    <w:p>
      <w:pPr>
        <w:spacing w:line="240" w:lineRule="auto" w:before="12"/>
        <w:rPr>
          <w:rFonts w:ascii="宋体" w:hAnsi="宋体" w:cs="宋体" w:eastAsia="宋体" w:hint="default"/>
          <w:sz w:val="26"/>
          <w:szCs w:val="26"/>
        </w:rPr>
      </w:pPr>
    </w:p>
    <w:p>
      <w:pPr>
        <w:pStyle w:val="Heading4"/>
        <w:spacing w:line="240" w:lineRule="auto"/>
        <w:ind w:right="0"/>
        <w:jc w:val="left"/>
        <w:rPr>
          <w:b w:val="0"/>
          <w:bCs w:val="0"/>
        </w:rPr>
      </w:pPr>
      <w:r>
        <w:rPr>
          <w:rFonts w:ascii="Arial" w:hAnsi="Arial" w:cs="Arial" w:eastAsia="Arial" w:hint="default"/>
        </w:rPr>
        <w:t>5</w:t>
      </w:r>
      <w:r>
        <w:rPr/>
        <w:t>、持续的第三层次公允价值计量项目，期初与期末账面价值间的调节信息及不可观察参数敏感性分析</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0"/>
        <w:jc w:val="left"/>
        <w:rPr>
          <w:b w:val="0"/>
          <w:bCs w:val="0"/>
        </w:rPr>
      </w:pPr>
      <w:r>
        <w:rPr>
          <w:rFonts w:ascii="Arial" w:hAnsi="Arial" w:cs="Arial" w:eastAsia="Arial" w:hint="default"/>
        </w:rPr>
        <w:t>6</w:t>
      </w:r>
      <w:r>
        <w:rPr/>
        <w:t>、持续的公允价值计量项目，本期内发生各层级之间转换的，转换的原因及确定转换时点的政策</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2239"/>
        <w:jc w:val="left"/>
        <w:rPr>
          <w:b w:val="0"/>
          <w:bCs w:val="0"/>
        </w:rPr>
      </w:pPr>
      <w:r>
        <w:rPr>
          <w:rFonts w:ascii="Arial" w:hAnsi="Arial" w:cs="Arial" w:eastAsia="Arial" w:hint="default"/>
        </w:rPr>
        <w:t>7</w:t>
      </w:r>
      <w:r>
        <w:rPr/>
        <w:t>、本期内发生的估值技术变更及变更原因</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2239"/>
        <w:jc w:val="left"/>
        <w:rPr>
          <w:b w:val="0"/>
          <w:bCs w:val="0"/>
        </w:rPr>
      </w:pPr>
      <w:r>
        <w:rPr>
          <w:rFonts w:ascii="Arial" w:hAnsi="Arial" w:cs="Arial" w:eastAsia="Arial" w:hint="default"/>
        </w:rPr>
        <w:t>8</w:t>
      </w:r>
      <w:r>
        <w:rPr/>
        <w:t>、不以公允价值计量的金融资产和金融负债的公允价值情况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本集团以摊余成本计量的金融资产和金融负债主要包括：货币资金、应收票据、应收账款、其他应收款、短期借款、应</w:t>
      </w:r>
      <w:r>
        <w:rPr/>
        <w:t> 付票据、应付账款、其他应付款等。</w:t>
      </w:r>
    </w:p>
    <w:p>
      <w:pPr>
        <w:pStyle w:val="BodyText"/>
        <w:spacing w:line="240" w:lineRule="auto" w:before="19"/>
        <w:ind w:left="513" w:right="2239"/>
        <w:jc w:val="left"/>
      </w:pPr>
      <w:r>
        <w:rPr/>
        <w:t>本集团上述不以公允价值计量的金融资产和金融负债的账面价值与公允价值相差很小。</w:t>
      </w:r>
    </w:p>
    <w:p>
      <w:pPr>
        <w:spacing w:line="240" w:lineRule="auto" w:before="12"/>
        <w:rPr>
          <w:rFonts w:ascii="宋体" w:hAnsi="宋体" w:cs="宋体" w:eastAsia="宋体" w:hint="default"/>
          <w:sz w:val="26"/>
          <w:szCs w:val="26"/>
        </w:rPr>
      </w:pPr>
    </w:p>
    <w:p>
      <w:pPr>
        <w:pStyle w:val="Heading4"/>
        <w:spacing w:line="240" w:lineRule="auto"/>
        <w:ind w:right="2239"/>
        <w:jc w:val="left"/>
        <w:rPr>
          <w:b w:val="0"/>
          <w:bCs w:val="0"/>
        </w:rPr>
      </w:pPr>
      <w:r>
        <w:rPr>
          <w:rFonts w:ascii="Arial" w:hAnsi="Arial" w:cs="Arial" w:eastAsia="Arial" w:hint="default"/>
        </w:rPr>
        <w:t>9</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t>第二层次公允价值计量的相关信息</w:t>
      </w:r>
    </w:p>
    <w:p>
      <w:pPr>
        <w:spacing w:line="240" w:lineRule="auto" w:before="0"/>
        <w:rPr>
          <w:rFonts w:ascii="宋体" w:hAnsi="宋体" w:cs="宋体" w:eastAsia="宋体" w:hint="default"/>
          <w:sz w:val="5"/>
          <w:szCs w:val="5"/>
        </w:rPr>
      </w:pPr>
    </w:p>
    <w:tbl>
      <w:tblPr>
        <w:tblW w:w="0" w:type="auto"/>
        <w:jc w:val="left"/>
        <w:tblInd w:w="322" w:type="dxa"/>
        <w:tblLayout w:type="fixed"/>
        <w:tblCellMar>
          <w:top w:w="0" w:type="dxa"/>
          <w:left w:w="0" w:type="dxa"/>
          <w:bottom w:w="0" w:type="dxa"/>
          <w:right w:w="0" w:type="dxa"/>
        </w:tblCellMar>
        <w:tblLook w:val="01E0"/>
      </w:tblPr>
      <w:tblGrid>
        <w:gridCol w:w="2321"/>
        <w:gridCol w:w="2320"/>
        <w:gridCol w:w="2320"/>
        <w:gridCol w:w="2322"/>
      </w:tblGrid>
      <w:tr>
        <w:trPr>
          <w:trHeight w:val="352" w:hRule="exact"/>
        </w:trPr>
        <w:tc>
          <w:tcPr>
            <w:tcW w:w="232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878"/>
              <w:jc w:val="right"/>
              <w:rPr>
                <w:rFonts w:ascii="宋体" w:hAnsi="宋体" w:cs="宋体" w:eastAsia="宋体" w:hint="default"/>
                <w:sz w:val="18"/>
                <w:szCs w:val="18"/>
              </w:rPr>
            </w:pPr>
            <w:r>
              <w:rPr>
                <w:rFonts w:ascii="宋体" w:hAnsi="宋体" w:cs="宋体" w:eastAsia="宋体" w:hint="default"/>
                <w:sz w:val="18"/>
                <w:szCs w:val="18"/>
              </w:rPr>
              <w:t>内  容</w:t>
            </w:r>
          </w:p>
        </w:tc>
        <w:tc>
          <w:tcPr>
            <w:tcW w:w="232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339" w:right="0"/>
              <w:jc w:val="left"/>
              <w:rPr>
                <w:rFonts w:ascii="宋体" w:hAnsi="宋体" w:cs="宋体" w:eastAsia="宋体" w:hint="default"/>
                <w:sz w:val="18"/>
                <w:szCs w:val="18"/>
              </w:rPr>
            </w:pPr>
            <w:r>
              <w:rPr>
                <w:rFonts w:ascii="宋体" w:hAnsi="宋体" w:cs="宋体" w:eastAsia="宋体" w:hint="default"/>
                <w:sz w:val="18"/>
                <w:szCs w:val="18"/>
              </w:rPr>
              <w:t>期末公允价值（元）</w:t>
            </w:r>
          </w:p>
        </w:tc>
        <w:tc>
          <w:tcPr>
            <w:tcW w:w="2320"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估值技术</w:t>
            </w:r>
          </w:p>
        </w:tc>
        <w:tc>
          <w:tcPr>
            <w:tcW w:w="232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1"/>
              <w:ind w:left="1" w:right="0"/>
              <w:jc w:val="center"/>
              <w:rPr>
                <w:rFonts w:ascii="宋体" w:hAnsi="宋体" w:cs="宋体" w:eastAsia="宋体" w:hint="default"/>
                <w:sz w:val="18"/>
                <w:szCs w:val="18"/>
              </w:rPr>
            </w:pPr>
            <w:r>
              <w:rPr>
                <w:rFonts w:ascii="宋体" w:hAnsi="宋体" w:cs="宋体" w:eastAsia="宋体" w:hint="default"/>
                <w:sz w:val="18"/>
                <w:szCs w:val="18"/>
              </w:rPr>
              <w:t>输入值</w:t>
            </w:r>
          </w:p>
        </w:tc>
      </w:tr>
      <w:tr>
        <w:trPr>
          <w:trHeight w:val="353" w:hRule="exact"/>
        </w:trPr>
        <w:tc>
          <w:tcPr>
            <w:tcW w:w="232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858"/>
              <w:jc w:val="right"/>
              <w:rPr>
                <w:rFonts w:ascii="宋体" w:hAnsi="宋体" w:cs="宋体" w:eastAsia="宋体" w:hint="default"/>
                <w:sz w:val="18"/>
                <w:szCs w:val="18"/>
              </w:rPr>
            </w:pPr>
            <w:r>
              <w:rPr>
                <w:rFonts w:ascii="宋体" w:hAnsi="宋体" w:cs="宋体" w:eastAsia="宋体" w:hint="default"/>
                <w:sz w:val="18"/>
                <w:szCs w:val="18"/>
              </w:rPr>
              <w:t>其他权益工具投资</w:t>
            </w:r>
          </w:p>
        </w:tc>
        <w:tc>
          <w:tcPr>
            <w:tcW w:w="2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130" w:right="-1"/>
              <w:jc w:val="left"/>
              <w:rPr>
                <w:rFonts w:ascii="宋体" w:hAnsi="宋体" w:cs="宋体" w:eastAsia="宋体" w:hint="default"/>
                <w:sz w:val="18"/>
                <w:szCs w:val="18"/>
              </w:rPr>
            </w:pPr>
            <w:r>
              <w:rPr>
                <w:rFonts w:ascii="宋体"/>
                <w:sz w:val="18"/>
              </w:rPr>
              <w:t>95,906,363.50</w:t>
            </w:r>
          </w:p>
        </w:tc>
        <w:tc>
          <w:tcPr>
            <w:tcW w:w="2320"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right="0"/>
              <w:jc w:val="left"/>
              <w:rPr>
                <w:rFonts w:ascii="宋体" w:hAnsi="宋体" w:cs="宋体" w:eastAsia="宋体" w:hint="default"/>
                <w:sz w:val="18"/>
                <w:szCs w:val="18"/>
              </w:rPr>
            </w:pPr>
            <w:r>
              <w:rPr>
                <w:rFonts w:ascii="宋体" w:hAnsi="宋体" w:cs="宋体" w:eastAsia="宋体" w:hint="default"/>
                <w:sz w:val="18"/>
                <w:szCs w:val="18"/>
              </w:rPr>
              <w:t>净资产法</w:t>
            </w:r>
          </w:p>
        </w:tc>
        <w:tc>
          <w:tcPr>
            <w:tcW w:w="232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21"/>
              <w:ind w:left="1" w:right="0"/>
              <w:jc w:val="left"/>
              <w:rPr>
                <w:rFonts w:ascii="宋体" w:hAnsi="宋体" w:cs="宋体" w:eastAsia="宋体" w:hint="default"/>
                <w:sz w:val="18"/>
                <w:szCs w:val="18"/>
              </w:rPr>
            </w:pPr>
            <w:r>
              <w:rPr>
                <w:rFonts w:ascii="宋体" w:hAnsi="宋体" w:cs="宋体" w:eastAsia="宋体" w:hint="default"/>
                <w:sz w:val="18"/>
                <w:szCs w:val="18"/>
              </w:rPr>
              <w:t>净资产</w:t>
            </w:r>
          </w:p>
        </w:tc>
      </w:tr>
    </w:tbl>
    <w:p>
      <w:pPr>
        <w:spacing w:line="240" w:lineRule="auto" w:before="2"/>
        <w:rPr>
          <w:rFonts w:ascii="宋体" w:hAnsi="宋体" w:cs="宋体" w:eastAsia="宋体" w:hint="default"/>
          <w:sz w:val="18"/>
          <w:szCs w:val="18"/>
        </w:rPr>
      </w:pPr>
    </w:p>
    <w:p>
      <w:pPr>
        <w:pStyle w:val="Heading2"/>
        <w:spacing w:line="240" w:lineRule="auto" w:before="26"/>
        <w:ind w:right="2239"/>
        <w:jc w:val="left"/>
        <w:rPr>
          <w:b w:val="0"/>
          <w:bCs w:val="0"/>
        </w:rPr>
      </w:pPr>
      <w:r>
        <w:rPr/>
        <w:t>十二、关联方及关联交易</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1</w:t>
      </w:r>
      <w:r>
        <w:rPr/>
        <w:t>、本企业的母公司情况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4"/>
        <w:gridCol w:w="1594"/>
        <w:gridCol w:w="1595"/>
        <w:gridCol w:w="1595"/>
      </w:tblGrid>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341" w:right="0"/>
              <w:jc w:val="left"/>
              <w:rPr>
                <w:rFonts w:ascii="宋体" w:hAnsi="宋体" w:cs="宋体" w:eastAsia="宋体" w:hint="default"/>
                <w:sz w:val="18"/>
                <w:szCs w:val="18"/>
              </w:rPr>
            </w:pPr>
            <w:r>
              <w:rPr>
                <w:rFonts w:ascii="宋体" w:hAnsi="宋体" w:cs="宋体" w:eastAsia="宋体" w:hint="default"/>
                <w:sz w:val="18"/>
                <w:szCs w:val="18"/>
              </w:rPr>
              <w:t>母公司名称</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b/>
                <w:bCs/>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432" w:right="71" w:hanging="360"/>
              <w:jc w:val="left"/>
              <w:rPr>
                <w:rFonts w:ascii="宋体" w:hAnsi="宋体" w:cs="宋体" w:eastAsia="宋体" w:hint="default"/>
                <w:sz w:val="18"/>
                <w:szCs w:val="18"/>
              </w:rPr>
            </w:pPr>
            <w:r>
              <w:rPr>
                <w:rFonts w:ascii="宋体" w:hAnsi="宋体" w:cs="宋体" w:eastAsia="宋体" w:hint="default"/>
                <w:sz w:val="18"/>
                <w:szCs w:val="18"/>
              </w:rPr>
              <w:t>母公司对本企业的 持股比例</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341" w:right="71" w:hanging="270"/>
              <w:jc w:val="left"/>
              <w:rPr>
                <w:rFonts w:ascii="宋体" w:hAnsi="宋体" w:cs="宋体" w:eastAsia="宋体" w:hint="default"/>
                <w:sz w:val="18"/>
                <w:szCs w:val="18"/>
              </w:rPr>
            </w:pPr>
            <w:r>
              <w:rPr>
                <w:rFonts w:ascii="宋体" w:hAnsi="宋体" w:cs="宋体" w:eastAsia="宋体" w:hint="default"/>
                <w:sz w:val="18"/>
                <w:szCs w:val="18"/>
              </w:rPr>
              <w:t>母公司对本企业的 表决权比例</w:t>
            </w:r>
          </w:p>
        </w:tc>
      </w:tr>
      <w:tr>
        <w:trPr>
          <w:trHeight w:val="403"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鲁峰</w:t>
            </w:r>
          </w:p>
        </w:tc>
        <w:tc>
          <w:tcPr>
            <w:tcW w:w="159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50" w:right="0"/>
              <w:jc w:val="left"/>
              <w:rPr>
                <w:rFonts w:ascii="Arial" w:hAnsi="Arial" w:cs="Arial" w:eastAsia="Arial" w:hint="default"/>
                <w:sz w:val="18"/>
                <w:szCs w:val="18"/>
              </w:rPr>
            </w:pPr>
            <w:r>
              <w:rPr>
                <w:rFonts w:ascii="Arial"/>
                <w:sz w:val="18"/>
              </w:rPr>
              <w:t>20.74%</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950" w:right="0"/>
              <w:jc w:val="left"/>
              <w:rPr>
                <w:rFonts w:ascii="Arial" w:hAnsi="Arial" w:cs="Arial" w:eastAsia="Arial" w:hint="default"/>
                <w:sz w:val="18"/>
                <w:szCs w:val="18"/>
              </w:rPr>
            </w:pPr>
            <w:r>
              <w:rPr>
                <w:rFonts w:ascii="Arial"/>
                <w:sz w:val="18"/>
              </w:rPr>
              <w:t>20.74%</w:t>
            </w:r>
          </w:p>
        </w:tc>
      </w:tr>
    </w:tbl>
    <w:p>
      <w:pPr>
        <w:pStyle w:val="BodyText"/>
        <w:spacing w:line="240" w:lineRule="auto" w:before="51"/>
        <w:ind w:right="2239"/>
        <w:jc w:val="left"/>
      </w:pPr>
      <w:r>
        <w:rPr/>
        <w:t>本企业的母公司情况的说明</w:t>
      </w:r>
    </w:p>
    <w:p>
      <w:pPr>
        <w:pStyle w:val="BodyText"/>
        <w:spacing w:line="302" w:lineRule="auto" w:before="115"/>
        <w:ind w:left="513" w:right="6000"/>
        <w:jc w:val="left"/>
      </w:pPr>
      <w:r>
        <w:rPr/>
        <w:t>本公司的控股股东为鲁峰，持有本公司</w:t>
      </w:r>
      <w:r>
        <w:rPr>
          <w:rFonts w:ascii="Arial" w:hAnsi="Arial" w:cs="Arial" w:eastAsia="Arial" w:hint="default"/>
        </w:rPr>
        <w:t>20.74%</w:t>
      </w:r>
      <w:r>
        <w:rPr/>
        <w:t>的股份。 本企业最终控制方是鲁峰。</w:t>
      </w:r>
    </w:p>
    <w:p>
      <w:pPr>
        <w:spacing w:after="0" w:line="302" w:lineRule="auto"/>
        <w:jc w:val="left"/>
        <w:sectPr>
          <w:pgSz w:w="11910" w:h="16840"/>
          <w:pgMar w:header="747" w:footer="982" w:top="1060" w:bottom="1180" w:left="980" w:right="0"/>
        </w:sectPr>
      </w:pPr>
    </w:p>
    <w:p>
      <w:pPr>
        <w:spacing w:line="240" w:lineRule="auto" w:before="13"/>
        <w:rPr>
          <w:rFonts w:ascii="宋体" w:hAnsi="宋体" w:cs="宋体" w:eastAsia="宋体" w:hint="default"/>
          <w:sz w:val="25"/>
          <w:szCs w:val="25"/>
        </w:rPr>
      </w:pPr>
    </w:p>
    <w:p>
      <w:pPr>
        <w:pStyle w:val="BodyText"/>
        <w:spacing w:line="357" w:lineRule="auto" w:before="44"/>
        <w:ind w:left="153" w:right="9851"/>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2239"/>
        <w:jc w:val="left"/>
        <w:rPr>
          <w:b w:val="0"/>
          <w:bCs w:val="0"/>
        </w:rPr>
      </w:pPr>
      <w:r>
        <w:rPr>
          <w:rFonts w:ascii="Arial" w:hAnsi="Arial" w:cs="Arial" w:eastAsia="Arial" w:hint="default"/>
        </w:rPr>
        <w:t>2</w:t>
      </w:r>
      <w:r>
        <w:rPr/>
        <w:t>、本企业的子公司情况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2239"/>
        <w:jc w:val="left"/>
      </w:pPr>
      <w:r>
        <w:rPr/>
        <w:t>本企业子公司的情况详见附注七、</w:t>
      </w:r>
      <w:r>
        <w:rPr>
          <w:rFonts w:ascii="Arial" w:hAnsi="Arial" w:cs="Arial" w:eastAsia="Arial" w:hint="default"/>
        </w:rPr>
        <w:t>1</w:t>
      </w:r>
      <w:r>
        <w:rPr/>
        <w:t>。</w:t>
      </w:r>
    </w:p>
    <w:p>
      <w:pPr>
        <w:spacing w:line="240" w:lineRule="auto" w:before="12"/>
        <w:rPr>
          <w:rFonts w:ascii="宋体" w:hAnsi="宋体" w:cs="宋体" w:eastAsia="宋体" w:hint="default"/>
          <w:sz w:val="25"/>
          <w:szCs w:val="25"/>
        </w:rPr>
      </w:pPr>
    </w:p>
    <w:p>
      <w:pPr>
        <w:pStyle w:val="Heading4"/>
        <w:spacing w:line="240" w:lineRule="auto"/>
        <w:ind w:right="2239"/>
        <w:jc w:val="left"/>
        <w:rPr>
          <w:b w:val="0"/>
          <w:bCs w:val="0"/>
        </w:rPr>
      </w:pPr>
      <w:r>
        <w:rPr>
          <w:rFonts w:ascii="Arial" w:hAnsi="Arial" w:cs="Arial" w:eastAsia="Arial" w:hint="default"/>
        </w:rPr>
        <w:t>3</w:t>
      </w:r>
      <w:r>
        <w:rPr/>
        <w:t>、本企业合营和联营企业情况</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left="513" w:right="1931"/>
        <w:jc w:val="left"/>
      </w:pPr>
      <w:r>
        <w:rPr/>
        <w:t>本企业重要的合营或联营企业详见附注。 本期与本公司发生关联方交易，或前期与本公司发生关联方交易形成余额的其他合营或联营企业情况如下：</w:t>
      </w:r>
    </w:p>
    <w:tbl>
      <w:tblPr>
        <w:tblW w:w="0" w:type="auto"/>
        <w:jc w:val="left"/>
        <w:tblInd w:w="149" w:type="dxa"/>
        <w:tblLayout w:type="fixed"/>
        <w:tblCellMar>
          <w:top w:w="0" w:type="dxa"/>
          <w:left w:w="0" w:type="dxa"/>
          <w:bottom w:w="0" w:type="dxa"/>
          <w:right w:w="0" w:type="dxa"/>
        </w:tblCellMar>
        <w:tblLook w:val="01E0"/>
      </w:tblPr>
      <w:tblGrid>
        <w:gridCol w:w="4782"/>
        <w:gridCol w:w="4786"/>
      </w:tblGrid>
      <w:tr>
        <w:trPr>
          <w:trHeight w:val="401" w:hRule="exact"/>
        </w:trPr>
        <w:tc>
          <w:tcPr>
            <w:tcW w:w="47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575" w:right="0"/>
              <w:jc w:val="left"/>
              <w:rPr>
                <w:rFonts w:ascii="宋体" w:hAnsi="宋体" w:cs="宋体" w:eastAsia="宋体" w:hint="default"/>
                <w:sz w:val="18"/>
                <w:szCs w:val="18"/>
              </w:rPr>
            </w:pPr>
            <w:r>
              <w:rPr>
                <w:rFonts w:ascii="宋体" w:hAnsi="宋体" w:cs="宋体" w:eastAsia="宋体" w:hint="default"/>
                <w:sz w:val="18"/>
                <w:szCs w:val="18"/>
              </w:rPr>
              <w:t>合营或联营企业名称</w:t>
            </w:r>
          </w:p>
        </w:tc>
        <w:tc>
          <w:tcPr>
            <w:tcW w:w="47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与本企业关系</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Arial" w:hAnsi="Arial" w:cs="Arial" w:eastAsia="Arial" w:hint="default"/>
                <w:sz w:val="18"/>
                <w:szCs w:val="18"/>
              </w:rPr>
            </w:pPr>
            <w:r>
              <w:rPr>
                <w:rFonts w:ascii="宋体" w:hAnsi="宋体" w:cs="宋体" w:eastAsia="宋体" w:hint="default"/>
                <w:sz w:val="18"/>
                <w:szCs w:val="18"/>
              </w:rPr>
              <w:t>本集团持股</w:t>
            </w:r>
            <w:r>
              <w:rPr>
                <w:rFonts w:ascii="宋体" w:hAnsi="宋体" w:cs="宋体" w:eastAsia="宋体" w:hint="default"/>
                <w:spacing w:val="-50"/>
                <w:sz w:val="18"/>
                <w:szCs w:val="18"/>
              </w:rPr>
              <w:t> </w:t>
            </w:r>
            <w:r>
              <w:rPr>
                <w:rFonts w:ascii="Arial" w:hAnsi="Arial" w:cs="Arial" w:eastAsia="Arial" w:hint="default"/>
                <w:sz w:val="18"/>
                <w:szCs w:val="18"/>
              </w:rPr>
              <w:t>40.70%</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福建文鑫莲业有限责任公司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Arial" w:hAnsi="Arial" w:cs="Arial" w:eastAsia="Arial" w:hint="default"/>
                <w:sz w:val="18"/>
                <w:szCs w:val="18"/>
              </w:rPr>
            </w:pPr>
            <w:r>
              <w:rPr>
                <w:rFonts w:ascii="宋体" w:hAnsi="宋体" w:cs="宋体" w:eastAsia="宋体" w:hint="default"/>
                <w:sz w:val="18"/>
                <w:szCs w:val="18"/>
              </w:rPr>
              <w:t>本集团持股</w:t>
            </w:r>
            <w:r>
              <w:rPr>
                <w:rFonts w:ascii="宋体" w:hAnsi="宋体" w:cs="宋体" w:eastAsia="宋体" w:hint="default"/>
                <w:spacing w:val="-50"/>
                <w:sz w:val="18"/>
                <w:szCs w:val="18"/>
              </w:rPr>
              <w:t> </w:t>
            </w:r>
            <w:r>
              <w:rPr>
                <w:rFonts w:ascii="Arial" w:hAnsi="Arial" w:cs="Arial" w:eastAsia="Arial" w:hint="default"/>
                <w:sz w:val="18"/>
                <w:szCs w:val="18"/>
              </w:rPr>
              <w:t>12.58%</w:t>
            </w:r>
          </w:p>
        </w:tc>
      </w:tr>
      <w:tr>
        <w:trPr>
          <w:trHeight w:val="402"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建宁县日升投资有限公司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Arial" w:hAnsi="Arial" w:cs="Arial" w:eastAsia="Arial" w:hint="default"/>
                <w:sz w:val="18"/>
                <w:szCs w:val="18"/>
              </w:rPr>
            </w:pPr>
            <w:r>
              <w:rPr>
                <w:rFonts w:ascii="宋体" w:hAnsi="宋体" w:cs="宋体" w:eastAsia="宋体" w:hint="default"/>
                <w:sz w:val="18"/>
                <w:szCs w:val="18"/>
              </w:rPr>
              <w:t>本集团持股</w:t>
            </w:r>
            <w:r>
              <w:rPr>
                <w:rFonts w:ascii="宋体" w:hAnsi="宋体" w:cs="宋体" w:eastAsia="宋体" w:hint="default"/>
                <w:spacing w:val="-50"/>
                <w:sz w:val="18"/>
                <w:szCs w:val="18"/>
              </w:rPr>
              <w:t> </w:t>
            </w:r>
            <w:r>
              <w:rPr>
                <w:rFonts w:ascii="Arial" w:hAnsi="Arial" w:cs="Arial" w:eastAsia="Arial" w:hint="default"/>
                <w:sz w:val="18"/>
                <w:szCs w:val="18"/>
              </w:rPr>
              <w:t>15.00%</w:t>
            </w:r>
          </w:p>
        </w:tc>
      </w:tr>
      <w:tr>
        <w:trPr>
          <w:trHeight w:val="403" w:hRule="exact"/>
        </w:trPr>
        <w:tc>
          <w:tcPr>
            <w:tcW w:w="47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福建闽光软件股份有限公司</w:t>
            </w:r>
          </w:p>
        </w:tc>
        <w:tc>
          <w:tcPr>
            <w:tcW w:w="4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Arial" w:hAnsi="Arial" w:cs="Arial" w:eastAsia="Arial" w:hint="default"/>
                <w:sz w:val="18"/>
                <w:szCs w:val="18"/>
              </w:rPr>
            </w:pPr>
            <w:r>
              <w:rPr>
                <w:rFonts w:ascii="宋体" w:hAnsi="宋体" w:cs="宋体" w:eastAsia="宋体" w:hint="default"/>
                <w:sz w:val="18"/>
                <w:szCs w:val="18"/>
              </w:rPr>
              <w:t>本集团持股</w:t>
            </w:r>
            <w:r>
              <w:rPr>
                <w:rFonts w:ascii="宋体" w:hAnsi="宋体" w:cs="宋体" w:eastAsia="宋体" w:hint="default"/>
                <w:spacing w:val="-50"/>
                <w:sz w:val="18"/>
                <w:szCs w:val="18"/>
              </w:rPr>
              <w:t> </w:t>
            </w:r>
            <w:r>
              <w:rPr>
                <w:rFonts w:ascii="Arial" w:hAnsi="Arial" w:cs="Arial" w:eastAsia="Arial" w:hint="default"/>
                <w:sz w:val="18"/>
                <w:szCs w:val="18"/>
              </w:rPr>
              <w:t>35.00%</w:t>
            </w:r>
          </w:p>
        </w:tc>
      </w:tr>
    </w:tbl>
    <w:p>
      <w:pPr>
        <w:pStyle w:val="BodyText"/>
        <w:spacing w:line="357" w:lineRule="auto" w:before="60"/>
        <w:ind w:right="10030"/>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2239"/>
        <w:jc w:val="left"/>
        <w:rPr>
          <w:b w:val="0"/>
          <w:bCs w:val="0"/>
        </w:rPr>
      </w:pPr>
      <w:r>
        <w:rPr>
          <w:rFonts w:ascii="Arial" w:hAnsi="Arial" w:cs="Arial" w:eastAsia="Arial" w:hint="default"/>
        </w:rPr>
        <w:t>4</w:t>
      </w:r>
      <w:r>
        <w:rPr/>
        <w:t>、其他关联方情况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111"/>
        <w:gridCol w:w="5456"/>
      </w:tblGrid>
      <w:tr>
        <w:trPr>
          <w:trHeight w:val="402" w:hRule="exact"/>
        </w:trPr>
        <w:tc>
          <w:tcPr>
            <w:tcW w:w="411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其他关联方名称</w:t>
            </w:r>
          </w:p>
        </w:tc>
        <w:tc>
          <w:tcPr>
            <w:tcW w:w="545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732" w:right="0"/>
              <w:jc w:val="left"/>
              <w:rPr>
                <w:rFonts w:ascii="宋体" w:hAnsi="宋体" w:cs="宋体" w:eastAsia="宋体" w:hint="default"/>
                <w:sz w:val="18"/>
                <w:szCs w:val="18"/>
              </w:rPr>
            </w:pPr>
            <w:r>
              <w:rPr>
                <w:rFonts w:ascii="宋体" w:hAnsi="宋体" w:cs="宋体" w:eastAsia="宋体" w:hint="default"/>
                <w:sz w:val="18"/>
                <w:szCs w:val="18"/>
              </w:rPr>
              <w:t>其他关联方与本企业关系</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福建省星云大数据应用服务有限公司</w:t>
            </w:r>
          </w:p>
        </w:tc>
        <w:tc>
          <w:tcPr>
            <w:tcW w:w="5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子公司福建星榕基信息科技有限责任公司的参股股东（持股</w:t>
            </w:r>
            <w:r>
              <w:rPr>
                <w:rFonts w:ascii="宋体" w:hAnsi="宋体" w:cs="宋体" w:eastAsia="宋体" w:hint="default"/>
                <w:spacing w:val="-48"/>
                <w:sz w:val="18"/>
                <w:szCs w:val="18"/>
              </w:rPr>
              <w:t> </w:t>
            </w:r>
            <w:r>
              <w:rPr>
                <w:rFonts w:ascii="Arial" w:hAnsi="Arial" w:cs="Arial" w:eastAsia="Arial" w:hint="default"/>
                <w:sz w:val="18"/>
                <w:szCs w:val="18"/>
              </w:rPr>
              <w:t>19%</w:t>
            </w:r>
            <w:r>
              <w:rPr>
                <w:rFonts w:ascii="宋体" w:hAnsi="宋体" w:cs="宋体" w:eastAsia="宋体" w:hint="default"/>
                <w:sz w:val="18"/>
                <w:szCs w:val="18"/>
              </w:rPr>
              <w:t>）</w:t>
            </w:r>
          </w:p>
        </w:tc>
      </w:tr>
      <w:tr>
        <w:trPr>
          <w:trHeight w:val="402" w:hRule="exact"/>
        </w:trPr>
        <w:tc>
          <w:tcPr>
            <w:tcW w:w="41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董事、经理、财务总监及董事会秘书</w:t>
            </w:r>
          </w:p>
        </w:tc>
        <w:tc>
          <w:tcPr>
            <w:tcW w:w="5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关键管理人员</w:t>
            </w:r>
          </w:p>
        </w:tc>
      </w:tr>
    </w:tbl>
    <w:p>
      <w:pPr>
        <w:pStyle w:val="BodyText"/>
        <w:spacing w:line="357" w:lineRule="auto" w:before="51"/>
        <w:ind w:right="10030"/>
        <w:jc w:val="left"/>
      </w:pPr>
      <w:r>
        <w:rPr/>
        <w:t>其他说明 无。</w:t>
      </w:r>
    </w:p>
    <w:p>
      <w:pPr>
        <w:spacing w:line="240" w:lineRule="auto" w:before="2"/>
        <w:rPr>
          <w:rFonts w:ascii="宋体" w:hAnsi="宋体" w:cs="宋体" w:eastAsia="宋体" w:hint="default"/>
          <w:sz w:val="20"/>
          <w:szCs w:val="20"/>
        </w:rPr>
      </w:pPr>
    </w:p>
    <w:p>
      <w:pPr>
        <w:pStyle w:val="Heading4"/>
        <w:spacing w:line="240" w:lineRule="auto"/>
        <w:ind w:right="2239"/>
        <w:jc w:val="left"/>
        <w:rPr>
          <w:b w:val="0"/>
          <w:bCs w:val="0"/>
        </w:rPr>
      </w:pPr>
      <w:r>
        <w:rPr>
          <w:rFonts w:ascii="Arial" w:hAnsi="Arial" w:cs="Arial" w:eastAsia="Arial" w:hint="default"/>
        </w:rPr>
        <w:t>5</w:t>
      </w:r>
      <w:r>
        <w:rPr/>
        <w:t>、关联交易情况</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2239"/>
        <w:jc w:val="left"/>
        <w:rPr>
          <w:b w:val="0"/>
          <w:bCs w:val="0"/>
        </w:rPr>
      </w:pPr>
      <w:r>
        <w:rPr/>
        <w:t>（</w:t>
      </w:r>
      <w:r>
        <w:rPr>
          <w:rFonts w:ascii="Arial" w:hAnsi="Arial" w:cs="Arial" w:eastAsia="Arial" w:hint="default"/>
        </w:rPr>
        <w:t>1</w:t>
      </w:r>
      <w:r>
        <w:rPr/>
        <w:t>）购销商品、提供和接受劳务的关联交易</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2239"/>
        <w:jc w:val="left"/>
      </w:pPr>
      <w:r>
        <w:rPr/>
        <w:t>采购商品</w:t>
      </w:r>
      <w:r>
        <w:rPr>
          <w:rFonts w:ascii="Arial" w:hAnsi="Arial" w:cs="Arial" w:eastAsia="Arial" w:hint="default"/>
        </w:rPr>
        <w:t>/</w:t>
      </w:r>
      <w:r>
        <w:rPr/>
        <w:t>接受劳务情况表</w:t>
      </w:r>
    </w:p>
    <w:p>
      <w:pPr>
        <w:pStyle w:val="BodyText"/>
        <w:spacing w:line="240" w:lineRule="auto" w:before="103"/>
        <w:ind w:left="0" w:right="113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40"/>
        <w:gridCol w:w="1454"/>
        <w:gridCol w:w="1454"/>
        <w:gridCol w:w="1706"/>
        <w:gridCol w:w="1708"/>
        <w:gridCol w:w="1706"/>
      </w:tblGrid>
      <w:tr>
        <w:trPr>
          <w:trHeight w:val="401" w:hRule="exact"/>
        </w:trPr>
        <w:tc>
          <w:tcPr>
            <w:tcW w:w="154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94"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8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5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7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18" w:right="0"/>
              <w:jc w:val="left"/>
              <w:rPr>
                <w:rFonts w:ascii="宋体" w:hAnsi="宋体" w:cs="宋体" w:eastAsia="宋体" w:hint="default"/>
                <w:sz w:val="18"/>
                <w:szCs w:val="18"/>
              </w:rPr>
            </w:pPr>
            <w:r>
              <w:rPr>
                <w:rFonts w:ascii="宋体" w:hAnsi="宋体" w:cs="宋体" w:eastAsia="宋体" w:hint="default"/>
                <w:sz w:val="18"/>
                <w:szCs w:val="18"/>
              </w:rPr>
              <w:t>获批的交易额度</w:t>
            </w:r>
          </w:p>
        </w:tc>
        <w:tc>
          <w:tcPr>
            <w:tcW w:w="170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28" w:right="0"/>
              <w:jc w:val="left"/>
              <w:rPr>
                <w:rFonts w:ascii="宋体" w:hAnsi="宋体" w:cs="宋体" w:eastAsia="宋体" w:hint="default"/>
                <w:sz w:val="18"/>
                <w:szCs w:val="18"/>
              </w:rPr>
            </w:pPr>
            <w:r>
              <w:rPr>
                <w:rFonts w:ascii="宋体" w:hAnsi="宋体" w:cs="宋体" w:eastAsia="宋体" w:hint="default"/>
                <w:sz w:val="18"/>
                <w:szCs w:val="18"/>
              </w:rPr>
              <w:t>是否超过交易额度</w:t>
            </w:r>
          </w:p>
        </w:tc>
        <w:tc>
          <w:tcPr>
            <w:tcW w:w="170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98"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54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65"/>
              <w:jc w:val="left"/>
              <w:rPr>
                <w:rFonts w:ascii="宋体" w:hAnsi="宋体" w:cs="宋体" w:eastAsia="宋体" w:hint="default"/>
                <w:sz w:val="18"/>
                <w:szCs w:val="18"/>
              </w:rPr>
            </w:pPr>
            <w:r>
              <w:rPr>
                <w:rFonts w:ascii="宋体" w:hAnsi="宋体" w:cs="宋体" w:eastAsia="宋体" w:hint="default"/>
                <w:sz w:val="18"/>
                <w:szCs w:val="18"/>
              </w:rPr>
              <w:t>福建亿榕信息技术 有限公司</w:t>
            </w:r>
          </w:p>
        </w:tc>
        <w:tc>
          <w:tcPr>
            <w:tcW w:w="1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技术服务费</w:t>
            </w:r>
          </w:p>
        </w:tc>
        <w:tc>
          <w:tcPr>
            <w:tcW w:w="1454" w:type="dxa"/>
            <w:tcBorders>
              <w:top w:val="single" w:sz="4" w:space="0" w:color="000000"/>
              <w:left w:val="single" w:sz="4" w:space="0" w:color="000000"/>
              <w:bottom w:val="single" w:sz="4" w:space="0" w:color="000000"/>
              <w:right w:val="single" w:sz="4" w:space="0" w:color="000000"/>
            </w:tcBorders>
          </w:tcPr>
          <w:p>
            <w:pP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523" w:right="0"/>
              <w:jc w:val="left"/>
              <w:rPr>
                <w:rFonts w:ascii="Arial" w:hAnsi="Arial" w:cs="Arial" w:eastAsia="Arial" w:hint="default"/>
                <w:sz w:val="18"/>
                <w:szCs w:val="18"/>
              </w:rPr>
            </w:pPr>
            <w:r>
              <w:rPr>
                <w:rFonts w:ascii="Arial"/>
                <w:sz w:val="18"/>
              </w:rPr>
              <w:t>20,000,000.00</w:t>
            </w:r>
          </w:p>
        </w:tc>
        <w:tc>
          <w:tcPr>
            <w:tcW w:w="1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否</w:t>
            </w:r>
          </w:p>
        </w:tc>
        <w:tc>
          <w:tcPr>
            <w:tcW w:w="17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72" w:right="0"/>
              <w:jc w:val="left"/>
              <w:rPr>
                <w:rFonts w:ascii="Arial" w:hAnsi="Arial" w:cs="Arial" w:eastAsia="Arial" w:hint="default"/>
                <w:sz w:val="18"/>
                <w:szCs w:val="18"/>
              </w:rPr>
            </w:pPr>
            <w:r>
              <w:rPr>
                <w:rFonts w:ascii="Arial"/>
                <w:sz w:val="18"/>
              </w:rPr>
              <w:t>377,358.49</w:t>
            </w:r>
          </w:p>
        </w:tc>
      </w:tr>
    </w:tbl>
    <w:p>
      <w:pPr>
        <w:spacing w:line="240" w:lineRule="auto" w:before="9"/>
        <w:rPr>
          <w:rFonts w:ascii="宋体" w:hAnsi="宋体" w:cs="宋体" w:eastAsia="宋体" w:hint="default"/>
          <w:sz w:val="6"/>
          <w:szCs w:val="6"/>
        </w:rPr>
      </w:pPr>
    </w:p>
    <w:p>
      <w:pPr>
        <w:pStyle w:val="BodyText"/>
        <w:spacing w:line="240" w:lineRule="auto" w:before="44"/>
        <w:ind w:right="2239"/>
        <w:jc w:val="left"/>
      </w:pPr>
      <w:r>
        <w:rPr/>
        <w:t>出售商品</w:t>
      </w:r>
      <w:r>
        <w:rPr>
          <w:rFonts w:ascii="Arial" w:hAnsi="Arial" w:cs="Arial" w:eastAsia="Arial" w:hint="default"/>
        </w:rPr>
        <w:t>/</w:t>
      </w:r>
      <w:r>
        <w:rPr/>
        <w:t>提供劳务情况表</w:t>
      </w:r>
    </w:p>
    <w:p>
      <w:pPr>
        <w:pStyle w:val="BodyText"/>
        <w:spacing w:line="240" w:lineRule="auto" w:before="103"/>
        <w:ind w:left="0" w:right="113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8"/>
        <w:gridCol w:w="2258"/>
        <w:gridCol w:w="2260"/>
        <w:gridCol w:w="2652"/>
      </w:tblGrid>
      <w:tr>
        <w:trPr>
          <w:trHeight w:val="402" w:hRule="exact"/>
        </w:trPr>
        <w:tc>
          <w:tcPr>
            <w:tcW w:w="23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26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871"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8"/>
        <w:gridCol w:w="2258"/>
        <w:gridCol w:w="2260"/>
        <w:gridCol w:w="2652"/>
      </w:tblGrid>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福建省星云大数据应用服务有 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集成收入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550,160.96</w:t>
            </w: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17,174,998.87</w:t>
            </w:r>
            <w:r>
              <w:rPr>
                <w:rFonts w:ascii="Arial"/>
                <w:sz w:val="18"/>
              </w:rPr>
            </w:r>
          </w:p>
        </w:tc>
      </w:tr>
      <w:tr>
        <w:trPr>
          <w:trHeight w:val="714"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福建省星云大数据应用服务有 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软件及技术服务</w:t>
            </w:r>
          </w:p>
        </w:tc>
        <w:tc>
          <w:tcPr>
            <w:tcW w:w="2260" w:type="dxa"/>
            <w:tcBorders>
              <w:top w:val="single" w:sz="4" w:space="0" w:color="000000"/>
              <w:left w:val="single" w:sz="4" w:space="0" w:color="000000"/>
              <w:bottom w:val="single" w:sz="4" w:space="0" w:color="000000"/>
              <w:right w:val="single" w:sz="4" w:space="0" w:color="000000"/>
            </w:tcBorders>
          </w:tcPr>
          <w:p>
            <w:pPr/>
          </w:p>
        </w:tc>
        <w:tc>
          <w:tcPr>
            <w:tcW w:w="2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4,694,487.13</w:t>
            </w:r>
          </w:p>
        </w:tc>
      </w:tr>
      <w:tr>
        <w:trPr>
          <w:trHeight w:val="402" w:hRule="exact"/>
        </w:trPr>
        <w:tc>
          <w:tcPr>
            <w:tcW w:w="23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福建闽光软件股份有限公司</w:t>
            </w: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集成收入</w:t>
            </w:r>
          </w:p>
        </w:tc>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4,103,735.90</w:t>
            </w:r>
          </w:p>
        </w:tc>
        <w:tc>
          <w:tcPr>
            <w:tcW w:w="2652"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51"/>
        <w:ind w:left="153" w:right="7331"/>
        <w:jc w:val="left"/>
      </w:pPr>
      <w:r>
        <w:rPr/>
        <w:t>购销商品、提供和接受劳务的关联交易说明 无。</w:t>
      </w:r>
    </w:p>
    <w:p>
      <w:pPr>
        <w:spacing w:line="240" w:lineRule="auto" w:before="2"/>
        <w:rPr>
          <w:rFonts w:ascii="宋体" w:hAnsi="宋体" w:cs="宋体" w:eastAsia="宋体" w:hint="default"/>
          <w:sz w:val="20"/>
          <w:szCs w:val="20"/>
        </w:rPr>
      </w:pPr>
    </w:p>
    <w:p>
      <w:pPr>
        <w:pStyle w:val="Heading4"/>
        <w:spacing w:line="240" w:lineRule="auto"/>
        <w:ind w:right="2239"/>
        <w:jc w:val="left"/>
        <w:rPr>
          <w:b w:val="0"/>
          <w:bCs w:val="0"/>
        </w:rPr>
      </w:pPr>
      <w:r>
        <w:rPr/>
        <w:t>（</w:t>
      </w:r>
      <w:r>
        <w:rPr>
          <w:rFonts w:ascii="Arial" w:hAnsi="Arial" w:cs="Arial" w:eastAsia="Arial" w:hint="default"/>
        </w:rPr>
        <w:t>2</w:t>
      </w:r>
      <w:r>
        <w:rPr/>
        <w:t>）关联受托管理</w:t>
      </w:r>
      <w:r>
        <w:rPr>
          <w:rFonts w:ascii="Arial" w:hAnsi="Arial" w:cs="Arial" w:eastAsia="Arial" w:hint="default"/>
        </w:rPr>
        <w:t>/</w:t>
      </w:r>
      <w:r>
        <w:rPr/>
        <w:t>承包及委托管理</w:t>
      </w:r>
      <w:r>
        <w:rPr>
          <w:rFonts w:ascii="Arial" w:hAnsi="Arial" w:cs="Arial" w:eastAsia="Arial" w:hint="default"/>
        </w:rPr>
        <w:t>/</w:t>
      </w:r>
      <w:r>
        <w:rPr/>
        <w:t>出包情况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2239"/>
        <w:jc w:val="left"/>
      </w:pPr>
      <w:r>
        <w:rPr/>
        <w:t>本公司受托管理</w:t>
      </w:r>
      <w:r>
        <w:rPr>
          <w:rFonts w:ascii="Arial" w:hAnsi="Arial" w:cs="Arial" w:eastAsia="Arial" w:hint="default"/>
        </w:rPr>
        <w:t>/</w:t>
      </w:r>
      <w:r>
        <w:rPr/>
        <w:t>承包情况表：</w:t>
      </w:r>
    </w:p>
    <w:p>
      <w:pPr>
        <w:pStyle w:val="BodyText"/>
        <w:spacing w:line="240" w:lineRule="auto" w:before="103"/>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Arial" w:hAnsi="Arial" w:cs="Arial" w:eastAsia="Arial"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Arial" w:hAnsi="Arial" w:cs="Arial" w:eastAsia="Arial"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受托</w:t>
            </w:r>
            <w:r>
              <w:rPr>
                <w:rFonts w:ascii="Arial" w:hAnsi="Arial" w:cs="Arial" w:eastAsia="Arial" w:hint="default"/>
                <w:sz w:val="18"/>
                <w:szCs w:val="18"/>
              </w:rPr>
              <w:t>/</w:t>
            </w:r>
            <w:r>
              <w:rPr>
                <w:rFonts w:ascii="宋体" w:hAnsi="宋体" w:cs="宋体" w:eastAsia="宋体" w:hint="default"/>
                <w:sz w:val="18"/>
                <w:szCs w:val="18"/>
              </w:rPr>
              <w:t>承包资产类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Arial" w:hAnsi="Arial" w:cs="Arial" w:eastAsia="Arial"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Arial" w:hAnsi="Arial" w:cs="Arial" w:eastAsia="Arial" w:hint="default"/>
                <w:sz w:val="18"/>
                <w:szCs w:val="18"/>
              </w:rPr>
              <w:t>/</w:t>
            </w:r>
            <w:r>
              <w:rPr>
                <w:rFonts w:ascii="宋体" w:hAnsi="宋体" w:cs="宋体" w:eastAsia="宋体" w:hint="default"/>
                <w:sz w:val="18"/>
                <w:szCs w:val="18"/>
              </w:rPr>
              <w:t>承包终止日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227" w:right="23" w:hanging="206"/>
              <w:jc w:val="left"/>
              <w:rPr>
                <w:rFonts w:ascii="宋体" w:hAnsi="宋体" w:cs="宋体" w:eastAsia="宋体" w:hint="default"/>
                <w:sz w:val="18"/>
                <w:szCs w:val="18"/>
              </w:rPr>
            </w:pPr>
            <w:r>
              <w:rPr>
                <w:rFonts w:ascii="宋体" w:hAnsi="宋体" w:cs="宋体" w:eastAsia="宋体" w:hint="default"/>
                <w:sz w:val="18"/>
                <w:szCs w:val="18"/>
              </w:rPr>
              <w:t>托管收益</w:t>
            </w:r>
            <w:r>
              <w:rPr>
                <w:rFonts w:ascii="Arial" w:hAnsi="Arial" w:cs="Arial" w:eastAsia="Arial" w:hint="default"/>
                <w:sz w:val="18"/>
                <w:szCs w:val="18"/>
              </w:rPr>
              <w:t>/</w:t>
            </w:r>
            <w:r>
              <w:rPr>
                <w:rFonts w:ascii="宋体" w:hAnsi="宋体" w:cs="宋体" w:eastAsia="宋体" w:hint="default"/>
                <w:sz w:val="18"/>
                <w:szCs w:val="18"/>
              </w:rPr>
              <w:t>承包收 益定价依据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12" w:right="47" w:hanging="65"/>
              <w:jc w:val="left"/>
              <w:rPr>
                <w:rFonts w:ascii="宋体" w:hAnsi="宋体" w:cs="宋体" w:eastAsia="宋体" w:hint="default"/>
                <w:sz w:val="18"/>
                <w:szCs w:val="18"/>
              </w:rPr>
            </w:pPr>
            <w:r>
              <w:rPr>
                <w:rFonts w:ascii="宋体" w:hAnsi="宋体" w:cs="宋体" w:eastAsia="宋体" w:hint="default"/>
                <w:sz w:val="18"/>
                <w:szCs w:val="18"/>
              </w:rPr>
              <w:t>本期确认的托管 收益</w:t>
            </w:r>
            <w:r>
              <w:rPr>
                <w:rFonts w:ascii="Arial" w:hAnsi="Arial" w:cs="Arial" w:eastAsia="Arial" w:hint="default"/>
                <w:sz w:val="18"/>
                <w:szCs w:val="18"/>
              </w:rPr>
              <w:t>/</w:t>
            </w:r>
            <w:r>
              <w:rPr>
                <w:rFonts w:ascii="宋体" w:hAnsi="宋体" w:cs="宋体" w:eastAsia="宋体" w:hint="default"/>
                <w:sz w:val="18"/>
                <w:szCs w:val="18"/>
              </w:rPr>
              <w:t>承包收益</w:t>
            </w:r>
          </w:p>
        </w:tc>
      </w:tr>
    </w:tbl>
    <w:p>
      <w:pPr>
        <w:spacing w:after="0" w:line="316" w:lineRule="auto"/>
        <w:jc w:val="left"/>
        <w:rPr>
          <w:rFonts w:ascii="宋体" w:hAnsi="宋体" w:cs="宋体" w:eastAsia="宋体" w:hint="default"/>
          <w:sz w:val="18"/>
          <w:szCs w:val="18"/>
        </w:rPr>
        <w:sectPr>
          <w:footerReference w:type="default" r:id="rId24"/>
          <w:pgSz w:w="11910" w:h="16840"/>
          <w:pgMar w:footer="982" w:header="747" w:top="1060" w:bottom="1180" w:left="980" w:right="0"/>
        </w:sectPr>
      </w:pPr>
    </w:p>
    <w:p>
      <w:pPr>
        <w:pStyle w:val="BodyText"/>
        <w:spacing w:line="340" w:lineRule="auto" w:before="51"/>
        <w:ind w:right="520"/>
        <w:jc w:val="left"/>
      </w:pPr>
      <w:r>
        <w:rPr/>
        <w:t>关联托管</w:t>
      </w:r>
      <w:r>
        <w:rPr>
          <w:rFonts w:ascii="Arial" w:hAnsi="Arial" w:cs="Arial" w:eastAsia="Arial" w:hint="default"/>
        </w:rPr>
        <w:t>/</w:t>
      </w:r>
      <w:r>
        <w:rPr/>
        <w:t>承包情况说明 无。</w:t>
      </w:r>
    </w:p>
    <w:p>
      <w:pPr>
        <w:pStyle w:val="BodyText"/>
        <w:spacing w:line="240" w:lineRule="auto" w:before="41"/>
        <w:ind w:right="-20"/>
        <w:jc w:val="left"/>
      </w:pPr>
      <w:r>
        <w:rPr/>
        <w:t>本公司委托管理</w:t>
      </w:r>
      <w:r>
        <w:rPr>
          <w:rFonts w:ascii="Arial" w:hAnsi="Arial" w:cs="Arial" w:eastAsia="Arial" w:hint="default"/>
        </w:rPr>
        <w:t>/</w:t>
      </w:r>
      <w:r>
        <w:rPr/>
        <w:t>出包情况表：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0"/>
          <w:cols w:num="2" w:equalWidth="0">
            <w:col w:w="2545" w:space="6284"/>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7"/>
        <w:gridCol w:w="1368"/>
        <w:gridCol w:w="1367"/>
        <w:gridCol w:w="1368"/>
        <w:gridCol w:w="1367"/>
        <w:gridCol w:w="1367"/>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委托方</w:t>
            </w:r>
            <w:r>
              <w:rPr>
                <w:rFonts w:ascii="Arial" w:hAnsi="Arial" w:cs="Arial" w:eastAsia="Arial" w:hint="default"/>
                <w:sz w:val="18"/>
                <w:szCs w:val="18"/>
              </w:rPr>
              <w:t>/</w:t>
            </w:r>
            <w:r>
              <w:rPr>
                <w:rFonts w:ascii="宋体" w:hAnsi="宋体" w:cs="宋体" w:eastAsia="宋体" w:hint="default"/>
                <w:sz w:val="18"/>
                <w:szCs w:val="18"/>
              </w:rPr>
              <w:t>出包方名 称</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588" w:right="23" w:hanging="566"/>
              <w:jc w:val="left"/>
              <w:rPr>
                <w:rFonts w:ascii="宋体" w:hAnsi="宋体" w:cs="宋体" w:eastAsia="宋体" w:hint="default"/>
                <w:sz w:val="18"/>
                <w:szCs w:val="18"/>
              </w:rPr>
            </w:pPr>
            <w:r>
              <w:rPr>
                <w:rFonts w:ascii="宋体" w:hAnsi="宋体" w:cs="宋体" w:eastAsia="宋体" w:hint="default"/>
                <w:sz w:val="18"/>
                <w:szCs w:val="18"/>
              </w:rPr>
              <w:t>受托方</w:t>
            </w:r>
            <w:r>
              <w:rPr>
                <w:rFonts w:ascii="Arial" w:hAnsi="Arial" w:cs="Arial" w:eastAsia="Arial" w:hint="default"/>
                <w:sz w:val="18"/>
                <w:szCs w:val="18"/>
              </w:rPr>
              <w:t>/</w:t>
            </w:r>
            <w:r>
              <w:rPr>
                <w:rFonts w:ascii="宋体" w:hAnsi="宋体" w:cs="宋体" w:eastAsia="宋体" w:hint="default"/>
                <w:sz w:val="18"/>
                <w:szCs w:val="18"/>
              </w:rPr>
              <w:t>承包方名 称</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587" w:right="23" w:hanging="566"/>
              <w:jc w:val="left"/>
              <w:rPr>
                <w:rFonts w:ascii="宋体" w:hAnsi="宋体" w:cs="宋体" w:eastAsia="宋体" w:hint="default"/>
                <w:sz w:val="18"/>
                <w:szCs w:val="18"/>
              </w:rPr>
            </w:pPr>
            <w:r>
              <w:rPr>
                <w:rFonts w:ascii="宋体" w:hAnsi="宋体" w:cs="宋体" w:eastAsia="宋体" w:hint="default"/>
                <w:sz w:val="18"/>
                <w:szCs w:val="18"/>
              </w:rPr>
              <w:t>委托</w:t>
            </w:r>
            <w:r>
              <w:rPr>
                <w:rFonts w:ascii="Arial" w:hAnsi="Arial" w:cs="Arial" w:eastAsia="Arial" w:hint="default"/>
                <w:sz w:val="18"/>
                <w:szCs w:val="18"/>
              </w:rPr>
              <w:t>/</w:t>
            </w:r>
            <w:r>
              <w:rPr>
                <w:rFonts w:ascii="宋体" w:hAnsi="宋体" w:cs="宋体" w:eastAsia="宋体" w:hint="default"/>
                <w:sz w:val="18"/>
                <w:szCs w:val="18"/>
              </w:rPr>
              <w:t>出包资产类 型</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Arial" w:hAnsi="Arial" w:cs="Arial" w:eastAsia="Arial"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Arial" w:hAnsi="Arial" w:cs="Arial" w:eastAsia="Arial" w:hint="default"/>
                <w:sz w:val="18"/>
                <w:szCs w:val="18"/>
              </w:rPr>
              <w:t>/</w:t>
            </w:r>
            <w:r>
              <w:rPr>
                <w:rFonts w:ascii="宋体" w:hAnsi="宋体" w:cs="宋体" w:eastAsia="宋体" w:hint="default"/>
                <w:sz w:val="18"/>
                <w:szCs w:val="18"/>
              </w:rPr>
              <w:t>出包终止日</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02" w:lineRule="auto" w:before="51"/>
              <w:ind w:left="407" w:right="23" w:hanging="386"/>
              <w:jc w:val="left"/>
              <w:rPr>
                <w:rFonts w:ascii="宋体" w:hAnsi="宋体" w:cs="宋体" w:eastAsia="宋体" w:hint="default"/>
                <w:sz w:val="18"/>
                <w:szCs w:val="18"/>
              </w:rPr>
            </w:pPr>
            <w:r>
              <w:rPr>
                <w:rFonts w:ascii="宋体" w:hAnsi="宋体" w:cs="宋体" w:eastAsia="宋体" w:hint="default"/>
                <w:sz w:val="18"/>
                <w:szCs w:val="18"/>
              </w:rPr>
              <w:t>托管费</w:t>
            </w:r>
            <w:r>
              <w:rPr>
                <w:rFonts w:ascii="Arial" w:hAnsi="Arial" w:cs="Arial" w:eastAsia="Arial" w:hint="default"/>
                <w:sz w:val="18"/>
                <w:szCs w:val="18"/>
              </w:rPr>
              <w:t>/</w:t>
            </w:r>
            <w:r>
              <w:rPr>
                <w:rFonts w:ascii="宋体" w:hAnsi="宋体" w:cs="宋体" w:eastAsia="宋体" w:hint="default"/>
                <w:sz w:val="18"/>
                <w:szCs w:val="18"/>
              </w:rPr>
              <w:t>出包费定 价依据</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92" w:right="47" w:hanging="245"/>
              <w:jc w:val="left"/>
              <w:rPr>
                <w:rFonts w:ascii="宋体" w:hAnsi="宋体" w:cs="宋体" w:eastAsia="宋体" w:hint="default"/>
                <w:sz w:val="18"/>
                <w:szCs w:val="18"/>
              </w:rPr>
            </w:pPr>
            <w:r>
              <w:rPr>
                <w:rFonts w:ascii="宋体" w:hAnsi="宋体" w:cs="宋体" w:eastAsia="宋体" w:hint="default"/>
                <w:sz w:val="18"/>
                <w:szCs w:val="18"/>
              </w:rPr>
              <w:t>本期确认的托管 费</w:t>
            </w:r>
            <w:r>
              <w:rPr>
                <w:rFonts w:ascii="Arial" w:hAnsi="Arial" w:cs="Arial" w:eastAsia="Arial" w:hint="default"/>
                <w:sz w:val="18"/>
                <w:szCs w:val="18"/>
              </w:rPr>
              <w:t>/</w:t>
            </w:r>
            <w:r>
              <w:rPr>
                <w:rFonts w:ascii="宋体" w:hAnsi="宋体" w:cs="宋体" w:eastAsia="宋体" w:hint="default"/>
                <w:sz w:val="18"/>
                <w:szCs w:val="18"/>
              </w:rPr>
              <w:t>出包费</w:t>
            </w:r>
          </w:p>
        </w:tc>
      </w:tr>
    </w:tbl>
    <w:p>
      <w:pPr>
        <w:pStyle w:val="BodyText"/>
        <w:spacing w:line="340" w:lineRule="auto" w:before="51"/>
        <w:ind w:right="8900"/>
        <w:jc w:val="left"/>
      </w:pPr>
      <w:r>
        <w:rPr/>
        <w:t>关联管理</w:t>
      </w:r>
      <w:r>
        <w:rPr>
          <w:rFonts w:ascii="Arial" w:hAnsi="Arial" w:cs="Arial" w:eastAsia="Arial" w:hint="default"/>
        </w:rPr>
        <w:t>/</w:t>
      </w:r>
      <w:r>
        <w:rPr/>
        <w:t>出包情况说明 无。</w:t>
      </w:r>
    </w:p>
    <w:p>
      <w:pPr>
        <w:spacing w:line="240" w:lineRule="auto" w:before="2"/>
        <w:rPr>
          <w:rFonts w:ascii="宋体" w:hAnsi="宋体" w:cs="宋体" w:eastAsia="宋体" w:hint="default"/>
          <w:sz w:val="21"/>
          <w:szCs w:val="21"/>
        </w:rPr>
      </w:pPr>
    </w:p>
    <w:p>
      <w:pPr>
        <w:pStyle w:val="Heading4"/>
        <w:spacing w:line="240" w:lineRule="auto"/>
        <w:ind w:right="2239"/>
        <w:jc w:val="left"/>
        <w:rPr>
          <w:b w:val="0"/>
          <w:bCs w:val="0"/>
        </w:rPr>
      </w:pPr>
      <w:r>
        <w:rPr/>
        <w:t>（</w:t>
      </w:r>
      <w:r>
        <w:rPr>
          <w:rFonts w:ascii="Arial" w:hAnsi="Arial" w:cs="Arial" w:eastAsia="Arial" w:hint="default"/>
        </w:rPr>
        <w:t>3</w:t>
      </w:r>
      <w:r>
        <w:rPr/>
        <w:t>）关联租赁情况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2239"/>
        <w:jc w:val="left"/>
      </w:pPr>
      <w:r>
        <w:rPr/>
        <w:t>本公司作为出租方：</w:t>
      </w:r>
    </w:p>
    <w:p>
      <w:pPr>
        <w:pStyle w:val="BodyText"/>
        <w:spacing w:line="240" w:lineRule="auto" w:before="116"/>
        <w:ind w:left="0" w:right="113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88"/>
        <w:gridCol w:w="2394"/>
        <w:gridCol w:w="2393"/>
        <w:gridCol w:w="2393"/>
      </w:tblGrid>
      <w:tr>
        <w:trPr>
          <w:trHeight w:val="402" w:hRule="exact"/>
        </w:trPr>
        <w:tc>
          <w:tcPr>
            <w:tcW w:w="23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37"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23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本期确认的租赁收入</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81" w:right="0"/>
              <w:jc w:val="left"/>
              <w:rPr>
                <w:rFonts w:ascii="宋体" w:hAnsi="宋体" w:cs="宋体" w:eastAsia="宋体" w:hint="default"/>
                <w:sz w:val="18"/>
                <w:szCs w:val="18"/>
              </w:rPr>
            </w:pPr>
            <w:r>
              <w:rPr>
                <w:rFonts w:ascii="宋体" w:hAnsi="宋体" w:cs="宋体" w:eastAsia="宋体" w:hint="default"/>
                <w:sz w:val="18"/>
                <w:szCs w:val="18"/>
              </w:rPr>
              <w:t>上期确认的租赁收入</w:t>
            </w:r>
          </w:p>
        </w:tc>
      </w:tr>
    </w:tbl>
    <w:p>
      <w:pPr>
        <w:pStyle w:val="BodyText"/>
        <w:spacing w:line="240" w:lineRule="auto" w:before="52"/>
        <w:ind w:right="2239"/>
        <w:jc w:val="left"/>
      </w:pPr>
      <w:r>
        <w:rPr/>
        <w:t>本公司作为承租方：</w:t>
      </w:r>
    </w:p>
    <w:p>
      <w:pPr>
        <w:pStyle w:val="BodyText"/>
        <w:spacing w:line="240" w:lineRule="auto" w:before="116"/>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5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本期确认的租赁费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70" w:right="0"/>
              <w:jc w:val="left"/>
              <w:rPr>
                <w:rFonts w:ascii="宋体" w:hAnsi="宋体" w:cs="宋体" w:eastAsia="宋体" w:hint="default"/>
                <w:sz w:val="18"/>
                <w:szCs w:val="18"/>
              </w:rPr>
            </w:pPr>
            <w:r>
              <w:rPr>
                <w:rFonts w:ascii="宋体" w:hAnsi="宋体" w:cs="宋体" w:eastAsia="宋体" w:hint="default"/>
                <w:sz w:val="18"/>
                <w:szCs w:val="18"/>
              </w:rPr>
              <w:t>上期确认的租赁费</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福建省星云大数据应用服务 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房屋租赁</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7" w:right="0"/>
              <w:jc w:val="left"/>
              <w:rPr>
                <w:rFonts w:ascii="Arial" w:hAnsi="Arial" w:cs="Arial" w:eastAsia="Arial" w:hint="default"/>
                <w:sz w:val="18"/>
                <w:szCs w:val="18"/>
              </w:rPr>
            </w:pPr>
            <w:r>
              <w:rPr>
                <w:rFonts w:ascii="Arial"/>
                <w:sz w:val="18"/>
              </w:rPr>
              <w:t>272,797.00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457" w:right="0"/>
              <w:jc w:val="left"/>
              <w:rPr>
                <w:rFonts w:ascii="Arial" w:hAnsi="Arial" w:cs="Arial" w:eastAsia="Arial" w:hint="default"/>
                <w:sz w:val="18"/>
                <w:szCs w:val="18"/>
              </w:rPr>
            </w:pPr>
            <w:r>
              <w:rPr>
                <w:rFonts w:ascii="Arial"/>
                <w:sz w:val="18"/>
              </w:rPr>
              <w:t>969,309.84</w:t>
            </w:r>
          </w:p>
        </w:tc>
      </w:tr>
    </w:tbl>
    <w:p>
      <w:pPr>
        <w:pStyle w:val="BodyText"/>
        <w:spacing w:line="357" w:lineRule="auto" w:before="51"/>
        <w:ind w:left="153" w:right="9311"/>
        <w:jc w:val="left"/>
      </w:pPr>
      <w:r>
        <w:rPr/>
        <w:t>关联租赁情况说明 无。</w:t>
      </w:r>
    </w:p>
    <w:p>
      <w:pPr>
        <w:spacing w:line="240" w:lineRule="auto" w:before="2"/>
        <w:rPr>
          <w:rFonts w:ascii="宋体" w:hAnsi="宋体" w:cs="宋体" w:eastAsia="宋体" w:hint="default"/>
          <w:sz w:val="20"/>
          <w:szCs w:val="20"/>
        </w:rPr>
      </w:pPr>
    </w:p>
    <w:p>
      <w:pPr>
        <w:pStyle w:val="Heading4"/>
        <w:spacing w:line="240" w:lineRule="auto"/>
        <w:ind w:right="2239"/>
        <w:jc w:val="left"/>
        <w:rPr>
          <w:b w:val="0"/>
          <w:bCs w:val="0"/>
        </w:rPr>
      </w:pPr>
      <w:r>
        <w:rPr/>
        <w:t>（</w:t>
      </w:r>
      <w:r>
        <w:rPr>
          <w:rFonts w:ascii="Arial" w:hAnsi="Arial" w:cs="Arial" w:eastAsia="Arial" w:hint="default"/>
        </w:rPr>
        <w:t>4</w:t>
      </w:r>
      <w:r>
        <w:rPr/>
        <w:t>）关联担保情况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2239"/>
        <w:jc w:val="left"/>
      </w:pPr>
      <w:r>
        <w:rPr/>
        <w:t>本公司作为担保方</w:t>
      </w:r>
    </w:p>
    <w:p>
      <w:pPr>
        <w:pStyle w:val="BodyText"/>
        <w:spacing w:line="240" w:lineRule="auto" w:before="116"/>
        <w:ind w:left="0" w:right="1131"/>
        <w:jc w:val="right"/>
      </w:pPr>
      <w:r>
        <w:rPr/>
        <w:t>单位： 元</w:t>
      </w:r>
    </w:p>
    <w:p>
      <w:pPr>
        <w:spacing w:after="0" w:line="240" w:lineRule="auto"/>
        <w:jc w:val="right"/>
        <w:sectPr>
          <w:type w:val="continuous"/>
          <w:pgSz w:w="11910" w:h="16840"/>
          <w:pgMar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240" w:lineRule="auto" w:before="51"/>
        <w:ind w:right="2239"/>
        <w:jc w:val="left"/>
      </w:pPr>
      <w:r>
        <w:rPr/>
        <w:t>本公司作为被担保方</w:t>
      </w:r>
    </w:p>
    <w:p>
      <w:pPr>
        <w:pStyle w:val="BodyText"/>
        <w:spacing w:line="240" w:lineRule="auto" w:before="117"/>
        <w:ind w:left="0" w:right="113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担保方</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9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01"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51" w:right="0"/>
              <w:jc w:val="left"/>
              <w:rPr>
                <w:rFonts w:ascii="宋体" w:hAnsi="宋体" w:cs="宋体" w:eastAsia="宋体" w:hint="default"/>
                <w:sz w:val="18"/>
                <w:szCs w:val="18"/>
              </w:rPr>
            </w:pPr>
            <w:r>
              <w:rPr>
                <w:rFonts w:ascii="宋体" w:hAnsi="宋体" w:cs="宋体" w:eastAsia="宋体" w:hint="default"/>
                <w:sz w:val="18"/>
                <w:szCs w:val="18"/>
              </w:rPr>
              <w:t>担保是否已经履行完毕</w:t>
            </w:r>
          </w:p>
        </w:tc>
      </w:tr>
    </w:tbl>
    <w:p>
      <w:pPr>
        <w:pStyle w:val="BodyText"/>
        <w:spacing w:line="357" w:lineRule="auto" w:before="52"/>
        <w:ind w:left="153" w:right="9311"/>
        <w:jc w:val="left"/>
      </w:pPr>
      <w:r>
        <w:rPr/>
        <w:t>关联担保情况说明 无。</w:t>
      </w:r>
    </w:p>
    <w:p>
      <w:pPr>
        <w:spacing w:line="240" w:lineRule="auto" w:before="2"/>
        <w:rPr>
          <w:rFonts w:ascii="宋体" w:hAnsi="宋体" w:cs="宋体" w:eastAsia="宋体" w:hint="default"/>
          <w:sz w:val="20"/>
          <w:szCs w:val="20"/>
        </w:rPr>
      </w:pPr>
    </w:p>
    <w:p>
      <w:pPr>
        <w:pStyle w:val="Heading4"/>
        <w:spacing w:line="240" w:lineRule="auto"/>
        <w:ind w:right="2239"/>
        <w:jc w:val="left"/>
        <w:rPr>
          <w:b w:val="0"/>
          <w:bCs w:val="0"/>
        </w:rPr>
      </w:pPr>
      <w:r>
        <w:rPr/>
        <w:t>（</w:t>
      </w:r>
      <w:r>
        <w:rPr>
          <w:rFonts w:ascii="Arial" w:hAnsi="Arial" w:cs="Arial" w:eastAsia="Arial" w:hint="default"/>
        </w:rPr>
        <w:t>5</w:t>
      </w:r>
      <w:r>
        <w:rPr/>
        <w:t>）关联方资金拆借</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3"/>
        <w:gridCol w:w="1914"/>
        <w:gridCol w:w="1915"/>
        <w:gridCol w:w="1914"/>
        <w:gridCol w:w="1903"/>
      </w:tblGrid>
      <w:tr>
        <w:trPr>
          <w:trHeight w:val="402" w:hRule="exact"/>
        </w:trPr>
        <w:tc>
          <w:tcPr>
            <w:tcW w:w="191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t>（</w:t>
      </w:r>
      <w:r>
        <w:rPr>
          <w:rFonts w:ascii="Arial" w:hAnsi="Arial" w:cs="Arial" w:eastAsia="Arial" w:hint="default"/>
        </w:rPr>
        <w:t>6</w:t>
      </w:r>
      <w:r>
        <w:rPr/>
        <w:t>）关联方资产转让、债务重组情况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740"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4"/>
        <w:spacing w:line="240" w:lineRule="auto" w:before="35"/>
        <w:ind w:right="2239"/>
        <w:jc w:val="left"/>
        <w:rPr>
          <w:b w:val="0"/>
          <w:bCs w:val="0"/>
        </w:rPr>
      </w:pPr>
      <w:r>
        <w:rPr/>
        <w:t>（</w:t>
      </w:r>
      <w:r>
        <w:rPr>
          <w:rFonts w:ascii="Arial" w:hAnsi="Arial" w:cs="Arial" w:eastAsia="Arial" w:hint="default"/>
        </w:rPr>
        <w:t>7</w:t>
      </w:r>
      <w:r>
        <w:rPr/>
        <w:t>）关键管理人员报酬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8"/>
        <w:gridCol w:w="3190"/>
        <w:gridCol w:w="3191"/>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关键管理人员薪酬</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06" w:right="0"/>
              <w:jc w:val="left"/>
              <w:rPr>
                <w:rFonts w:ascii="Arial" w:hAnsi="Arial" w:cs="Arial" w:eastAsia="Arial" w:hint="default"/>
                <w:sz w:val="18"/>
                <w:szCs w:val="18"/>
              </w:rPr>
            </w:pPr>
            <w:r>
              <w:rPr>
                <w:rFonts w:ascii="Arial"/>
                <w:sz w:val="18"/>
              </w:rPr>
              <w:t>5,490,000.00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2107" w:right="0"/>
              <w:jc w:val="left"/>
              <w:rPr>
                <w:rFonts w:ascii="Arial" w:hAnsi="Arial" w:cs="Arial" w:eastAsia="Arial" w:hint="default"/>
                <w:sz w:val="18"/>
                <w:szCs w:val="18"/>
              </w:rPr>
            </w:pPr>
            <w:r>
              <w:rPr>
                <w:rFonts w:ascii="Arial"/>
                <w:sz w:val="18"/>
              </w:rPr>
              <w:t>4,570,000.00</w:t>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t>（</w:t>
      </w:r>
      <w:r>
        <w:rPr>
          <w:rFonts w:ascii="Arial" w:hAnsi="Arial" w:cs="Arial" w:eastAsia="Arial" w:hint="default"/>
        </w:rPr>
        <w:t>8</w:t>
      </w:r>
      <w:r>
        <w:rPr/>
        <w:t>）其他关联交易</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2239"/>
        <w:jc w:val="left"/>
        <w:rPr>
          <w:b w:val="0"/>
          <w:bCs w:val="0"/>
        </w:rPr>
      </w:pPr>
      <w:r>
        <w:rPr>
          <w:rFonts w:ascii="Arial" w:hAnsi="Arial" w:cs="Arial" w:eastAsia="Arial" w:hint="default"/>
        </w:rPr>
        <w:t>6</w:t>
      </w:r>
      <w:r>
        <w:rPr/>
        <w:t>、关联方应收应付款项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2239"/>
        <w:jc w:val="left"/>
        <w:rPr>
          <w:b w:val="0"/>
          <w:bCs w:val="0"/>
        </w:rPr>
      </w:pPr>
      <w:r>
        <w:rPr/>
        <w:t>（</w:t>
      </w:r>
      <w:r>
        <w:rPr>
          <w:rFonts w:ascii="Arial" w:hAnsi="Arial" w:cs="Arial" w:eastAsia="Arial" w:hint="default"/>
        </w:rPr>
        <w:t>1</w:t>
      </w:r>
      <w:r>
        <w:rPr/>
        <w:t>）应收项目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95"/>
        <w:gridCol w:w="1595"/>
        <w:gridCol w:w="1595"/>
        <w:gridCol w:w="1594"/>
        <w:gridCol w:w="1594"/>
        <w:gridCol w:w="1595"/>
      </w:tblGrid>
      <w:tr>
        <w:trPr>
          <w:trHeight w:val="402" w:hRule="exact"/>
        </w:trPr>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5"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521"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gridSpan w:val="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1595" w:type="dxa"/>
            <w:vMerge/>
            <w:tcBorders>
              <w:left w:val="single" w:sz="4" w:space="0" w:color="000000"/>
              <w:bottom w:val="single" w:sz="4" w:space="0" w:color="000000"/>
              <w:right w:val="single" w:sz="4" w:space="0" w:color="000000"/>
            </w:tcBorders>
            <w:shd w:val="clear" w:color="auto" w:fill="D3D3D3"/>
          </w:tcPr>
          <w:p>
            <w:pPr/>
          </w:p>
        </w:tc>
        <w:tc>
          <w:tcPr>
            <w:tcW w:w="1595" w:type="dxa"/>
            <w:vMerge/>
            <w:tcBorders>
              <w:left w:val="single" w:sz="4" w:space="0" w:color="000000"/>
              <w:bottom w:val="single" w:sz="4" w:space="0" w:color="000000"/>
              <w:right w:val="single" w:sz="4" w:space="0" w:color="000000"/>
            </w:tcBorders>
            <w:shd w:val="clear" w:color="auto" w:fill="D3D3D3"/>
          </w:tcPr>
          <w:p>
            <w:pP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5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433"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福建省星云大数据 应用服务有限公司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6,266,065.22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808,350.95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15,200,038.02</w:t>
            </w:r>
            <w:r>
              <w:rPr>
                <w:rFonts w:ascii="Arial"/>
                <w:sz w:val="18"/>
              </w:rPr>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61" w:right="0"/>
              <w:jc w:val="left"/>
              <w:rPr>
                <w:rFonts w:ascii="Arial" w:hAnsi="Arial" w:cs="Arial" w:eastAsia="Arial" w:hint="default"/>
                <w:sz w:val="18"/>
                <w:szCs w:val="18"/>
              </w:rPr>
            </w:pPr>
            <w:r>
              <w:rPr>
                <w:rFonts w:ascii="Arial"/>
                <w:sz w:val="18"/>
              </w:rPr>
              <w:t>784,066.75</w:t>
            </w: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福建亿榕信息技术 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9,605,000.00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9,605,000.00</w:t>
            </w:r>
          </w:p>
        </w:tc>
        <w:tc>
          <w:tcPr>
            <w:tcW w:w="159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51"/>
              <w:ind w:left="22" w:right="120"/>
              <w:jc w:val="left"/>
              <w:rPr>
                <w:rFonts w:ascii="宋体" w:hAnsi="宋体" w:cs="宋体" w:eastAsia="宋体" w:hint="default"/>
                <w:sz w:val="18"/>
                <w:szCs w:val="18"/>
              </w:rPr>
            </w:pPr>
            <w:r>
              <w:rPr>
                <w:rFonts w:ascii="宋体" w:hAnsi="宋体" w:cs="宋体" w:eastAsia="宋体" w:hint="default"/>
                <w:sz w:val="18"/>
                <w:szCs w:val="18"/>
              </w:rPr>
              <w:t>福建省星云大数据 应用服务有限公司</w:t>
            </w:r>
          </w:p>
        </w:tc>
        <w:tc>
          <w:tcPr>
            <w:tcW w:w="15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92,700.00</w:t>
            </w:r>
            <w:r>
              <w:rPr>
                <w:rFonts w:ascii="Arial"/>
                <w:sz w:val="18"/>
              </w:rPr>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10,400.94</w:t>
            </w:r>
            <w:r>
              <w:rPr>
                <w:rFonts w:ascii="Arial"/>
                <w:sz w:val="18"/>
              </w:rPr>
            </w:r>
          </w:p>
        </w:tc>
        <w:tc>
          <w:tcPr>
            <w:tcW w:w="1594" w:type="dxa"/>
            <w:tcBorders>
              <w:top w:val="single" w:sz="4" w:space="0" w:color="000000"/>
              <w:left w:val="single" w:sz="4" w:space="0" w:color="000000"/>
              <w:bottom w:val="single" w:sz="4" w:space="0" w:color="000000"/>
              <w:right w:val="single" w:sz="4" w:space="0" w:color="000000"/>
            </w:tcBorders>
          </w:tcPr>
          <w:p>
            <w:pPr/>
          </w:p>
        </w:tc>
        <w:tc>
          <w:tcPr>
            <w:tcW w:w="1595"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25"/>
          <w:pgSz w:w="11910" w:h="16840"/>
          <w:pgMar w:footer="982" w:header="747" w:top="1060" w:bottom="1180" w:left="980" w:right="0"/>
          <w:pgNumType w:start="201"/>
        </w:sectPr>
      </w:pPr>
    </w:p>
    <w:p>
      <w:pPr>
        <w:spacing w:line="240" w:lineRule="auto" w:before="10"/>
        <w:rPr>
          <w:rFonts w:ascii="宋体" w:hAnsi="宋体" w:cs="宋体" w:eastAsia="宋体" w:hint="default"/>
          <w:sz w:val="24"/>
          <w:szCs w:val="24"/>
        </w:rPr>
      </w:pPr>
    </w:p>
    <w:p>
      <w:pPr>
        <w:pStyle w:val="Heading4"/>
        <w:spacing w:line="240" w:lineRule="auto" w:before="35"/>
        <w:ind w:right="2239"/>
        <w:jc w:val="left"/>
        <w:rPr>
          <w:b w:val="0"/>
          <w:bCs w:val="0"/>
        </w:rPr>
      </w:pPr>
      <w:r>
        <w:rPr/>
        <w:t>（</w:t>
      </w:r>
      <w:r>
        <w:rPr>
          <w:rFonts w:ascii="Arial" w:hAnsi="Arial" w:cs="Arial" w:eastAsia="Arial" w:hint="default"/>
        </w:rPr>
        <w:t>2</w:t>
      </w:r>
      <w:r>
        <w:rPr/>
        <w:t>）应付项目</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6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福建亿榕信息技术有限公司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3,152,980.00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3,152,980.00</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198"/>
              <w:jc w:val="left"/>
              <w:rPr>
                <w:rFonts w:ascii="宋体" w:hAnsi="宋体" w:cs="宋体" w:eastAsia="宋体" w:hint="default"/>
                <w:sz w:val="18"/>
                <w:szCs w:val="18"/>
              </w:rPr>
            </w:pPr>
            <w:r>
              <w:rPr>
                <w:rFonts w:ascii="宋体" w:hAnsi="宋体" w:cs="宋体" w:eastAsia="宋体" w:hint="default"/>
                <w:sz w:val="18"/>
                <w:szCs w:val="18"/>
              </w:rPr>
              <w:t>福建省星云大数据应用服务 有限公司</w:t>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292,170.80</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福建闽光软件股份有限公司</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679,241.80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3,767,521.20</w:t>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rFonts w:ascii="Arial" w:hAnsi="Arial" w:cs="Arial" w:eastAsia="Arial" w:hint="default"/>
        </w:rPr>
        <w:t>7</w:t>
      </w:r>
      <w:r>
        <w:rPr/>
        <w:t>、关联方承诺</w:t>
      </w:r>
      <w:r>
        <w:rPr>
          <w:b w:val="0"/>
          <w:bCs w:val="0"/>
        </w:rPr>
      </w:r>
    </w:p>
    <w:p>
      <w:pPr>
        <w:spacing w:line="240" w:lineRule="auto" w:before="9"/>
        <w:rPr>
          <w:rFonts w:ascii="宋体" w:hAnsi="宋体" w:cs="宋体" w:eastAsia="宋体" w:hint="default"/>
          <w:b/>
          <w:bCs/>
          <w:sz w:val="24"/>
          <w:szCs w:val="24"/>
        </w:rPr>
      </w:pPr>
    </w:p>
    <w:p>
      <w:pPr>
        <w:spacing w:line="487" w:lineRule="auto" w:before="0"/>
        <w:ind w:left="154" w:right="8736" w:firstLine="0"/>
        <w:jc w:val="left"/>
        <w:rPr>
          <w:rFonts w:ascii="宋体" w:hAnsi="宋体" w:cs="宋体" w:eastAsia="宋体" w:hint="default"/>
          <w:sz w:val="21"/>
          <w:szCs w:val="21"/>
        </w:rPr>
      </w:pPr>
      <w:r>
        <w:rPr>
          <w:rFonts w:ascii="Arial" w:hAnsi="Arial" w:cs="Arial" w:eastAsia="Arial" w:hint="default"/>
          <w:b/>
          <w:bCs/>
          <w:sz w:val="21"/>
          <w:szCs w:val="21"/>
        </w:rPr>
        <w:t>8</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十三、股份支付</w:t>
      </w:r>
      <w:r>
        <w:rPr>
          <w:rFonts w:ascii="宋体" w:hAnsi="宋体" w:cs="宋体" w:eastAsia="宋体" w:hint="default"/>
          <w:b/>
          <w:bCs/>
          <w:spacing w:val="1"/>
          <w:w w:val="99"/>
          <w:sz w:val="24"/>
          <w:szCs w:val="24"/>
        </w:rPr>
        <w:t> </w:t>
      </w:r>
      <w:r>
        <w:rPr>
          <w:rFonts w:ascii="Arial" w:hAnsi="Arial" w:cs="Arial" w:eastAsia="Arial" w:hint="default"/>
          <w:b/>
          <w:bCs/>
          <w:sz w:val="21"/>
          <w:szCs w:val="21"/>
        </w:rPr>
        <w:t>1</w:t>
      </w:r>
      <w:r>
        <w:rPr>
          <w:rFonts w:ascii="宋体" w:hAnsi="宋体" w:cs="宋体" w:eastAsia="宋体" w:hint="default"/>
          <w:b/>
          <w:bCs/>
          <w:sz w:val="21"/>
          <w:szCs w:val="21"/>
        </w:rPr>
        <w:t>、股份支付总体情况</w:t>
      </w:r>
      <w:r>
        <w:rPr>
          <w:rFonts w:ascii="宋体" w:hAnsi="宋体" w:cs="宋体" w:eastAsia="宋体" w:hint="default"/>
          <w:sz w:val="21"/>
          <w:szCs w:val="21"/>
        </w:rPr>
      </w:r>
    </w:p>
    <w:p>
      <w:pPr>
        <w:pStyle w:val="BodyText"/>
        <w:spacing w:line="240" w:lineRule="auto" w:before="107"/>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2239"/>
        <w:jc w:val="left"/>
        <w:rPr>
          <w:b w:val="0"/>
          <w:bCs w:val="0"/>
        </w:rPr>
      </w:pPr>
      <w:r>
        <w:rPr>
          <w:rFonts w:ascii="Arial" w:hAnsi="Arial" w:cs="Arial" w:eastAsia="Arial" w:hint="default"/>
        </w:rPr>
        <w:t>2</w:t>
      </w:r>
      <w:r>
        <w:rPr/>
        <w:t>、以权益结算的股份支付情况</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2239"/>
        <w:jc w:val="left"/>
        <w:rPr>
          <w:b w:val="0"/>
          <w:bCs w:val="0"/>
        </w:rPr>
      </w:pPr>
      <w:r>
        <w:rPr>
          <w:rFonts w:ascii="Arial" w:hAnsi="Arial" w:cs="Arial" w:eastAsia="Arial" w:hint="default"/>
        </w:rPr>
        <w:t>3</w:t>
      </w:r>
      <w:r>
        <w:rPr/>
        <w:t>、以现金结算的股份支付情况</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11"/>
        <w:rPr>
          <w:rFonts w:ascii="宋体" w:hAnsi="宋体" w:cs="宋体" w:eastAsia="宋体" w:hint="default"/>
          <w:sz w:val="25"/>
          <w:szCs w:val="25"/>
        </w:rPr>
      </w:pPr>
    </w:p>
    <w:p>
      <w:pPr>
        <w:pStyle w:val="Heading4"/>
        <w:spacing w:line="240" w:lineRule="auto"/>
        <w:ind w:right="2239"/>
        <w:jc w:val="left"/>
        <w:rPr>
          <w:b w:val="0"/>
          <w:bCs w:val="0"/>
        </w:rPr>
      </w:pPr>
      <w:r>
        <w:rPr>
          <w:rFonts w:ascii="Arial" w:hAnsi="Arial" w:cs="Arial" w:eastAsia="Arial" w:hint="default"/>
        </w:rPr>
        <w:t>4</w:t>
      </w:r>
      <w:r>
        <w:rPr/>
        <w:t>、股份支付的修改、终止情况</w:t>
      </w:r>
      <w:r>
        <w:rPr>
          <w:b w:val="0"/>
          <w:bCs w:val="0"/>
        </w:rPr>
      </w:r>
    </w:p>
    <w:p>
      <w:pPr>
        <w:spacing w:line="240" w:lineRule="auto" w:before="9"/>
        <w:rPr>
          <w:rFonts w:ascii="宋体" w:hAnsi="宋体" w:cs="宋体" w:eastAsia="宋体" w:hint="default"/>
          <w:b/>
          <w:bCs/>
          <w:sz w:val="24"/>
          <w:szCs w:val="24"/>
        </w:rPr>
      </w:pPr>
    </w:p>
    <w:p>
      <w:pPr>
        <w:spacing w:line="487" w:lineRule="auto" w:before="0"/>
        <w:ind w:left="154" w:right="8341" w:firstLine="0"/>
        <w:jc w:val="left"/>
        <w:rPr>
          <w:rFonts w:ascii="宋体" w:hAnsi="宋体" w:cs="宋体" w:eastAsia="宋体" w:hint="default"/>
          <w:sz w:val="21"/>
          <w:szCs w:val="21"/>
        </w:rPr>
      </w:pPr>
      <w:r>
        <w:rPr>
          <w:rFonts w:ascii="Arial" w:hAnsi="Arial" w:cs="Arial" w:eastAsia="Arial" w:hint="default"/>
          <w:b/>
          <w:bCs/>
          <w:sz w:val="21"/>
          <w:szCs w:val="21"/>
        </w:rPr>
        <w:t>5</w:t>
      </w:r>
      <w:r>
        <w:rPr>
          <w:rFonts w:ascii="宋体" w:hAnsi="宋体" w:cs="宋体" w:eastAsia="宋体" w:hint="default"/>
          <w:b/>
          <w:bCs/>
          <w:sz w:val="21"/>
          <w:szCs w:val="21"/>
        </w:rPr>
        <w:t>、其他</w:t>
      </w:r>
      <w:r>
        <w:rPr>
          <w:rFonts w:ascii="宋体" w:hAnsi="宋体" w:cs="宋体" w:eastAsia="宋体" w:hint="default"/>
          <w:b/>
          <w:bCs/>
          <w:spacing w:val="1"/>
          <w:w w:val="99"/>
          <w:sz w:val="21"/>
          <w:szCs w:val="21"/>
        </w:rPr>
        <w:t> </w:t>
      </w:r>
      <w:r>
        <w:rPr>
          <w:rFonts w:ascii="宋体" w:hAnsi="宋体" w:cs="宋体" w:eastAsia="宋体" w:hint="default"/>
          <w:b/>
          <w:bCs/>
          <w:sz w:val="24"/>
          <w:szCs w:val="24"/>
        </w:rPr>
        <w:t>十四、承诺及或有事项</w:t>
      </w:r>
      <w:r>
        <w:rPr>
          <w:rFonts w:ascii="宋体" w:hAnsi="宋体" w:cs="宋体" w:eastAsia="宋体" w:hint="default"/>
          <w:b/>
          <w:bCs/>
          <w:spacing w:val="1"/>
          <w:w w:val="99"/>
          <w:sz w:val="24"/>
          <w:szCs w:val="24"/>
        </w:rPr>
        <w:t> </w:t>
      </w:r>
      <w:r>
        <w:rPr>
          <w:rFonts w:ascii="Arial" w:hAnsi="Arial" w:cs="Arial" w:eastAsia="Arial" w:hint="default"/>
          <w:b/>
          <w:bCs/>
          <w:sz w:val="21"/>
          <w:szCs w:val="21"/>
        </w:rPr>
        <w:t>1</w:t>
      </w:r>
      <w:r>
        <w:rPr>
          <w:rFonts w:ascii="宋体" w:hAnsi="宋体" w:cs="宋体" w:eastAsia="宋体" w:hint="default"/>
          <w:b/>
          <w:bCs/>
          <w:sz w:val="21"/>
          <w:szCs w:val="21"/>
        </w:rPr>
        <w:t>、重要承诺事项</w:t>
      </w:r>
      <w:r>
        <w:rPr>
          <w:rFonts w:ascii="宋体" w:hAnsi="宋体" w:cs="宋体" w:eastAsia="宋体" w:hint="default"/>
          <w:sz w:val="21"/>
          <w:szCs w:val="21"/>
        </w:rPr>
      </w:r>
    </w:p>
    <w:p>
      <w:pPr>
        <w:pStyle w:val="BodyText"/>
        <w:spacing w:line="357" w:lineRule="auto" w:before="108"/>
        <w:ind w:right="6250"/>
        <w:jc w:val="left"/>
      </w:pPr>
      <w:r>
        <w:rPr/>
        <w:t>资产负债表日存在的重要承诺 截至2019年12月31日，本集团不存在应披露的承诺事项。</w:t>
      </w:r>
    </w:p>
    <w:p>
      <w:pPr>
        <w:spacing w:line="240" w:lineRule="auto" w:before="2"/>
        <w:rPr>
          <w:rFonts w:ascii="宋体" w:hAnsi="宋体" w:cs="宋体" w:eastAsia="宋体" w:hint="default"/>
          <w:sz w:val="20"/>
          <w:szCs w:val="20"/>
        </w:rPr>
      </w:pPr>
    </w:p>
    <w:p>
      <w:pPr>
        <w:pStyle w:val="Heading4"/>
        <w:spacing w:line="240" w:lineRule="auto"/>
        <w:ind w:right="2239"/>
        <w:jc w:val="left"/>
        <w:rPr>
          <w:b w:val="0"/>
          <w:bCs w:val="0"/>
        </w:rPr>
      </w:pPr>
      <w:r>
        <w:rPr>
          <w:rFonts w:ascii="Arial" w:hAnsi="Arial" w:cs="Arial" w:eastAsia="Arial" w:hint="default"/>
        </w:rPr>
        <w:t>2</w:t>
      </w:r>
      <w:r>
        <w:rPr/>
        <w:t>、或有事项</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t>（</w:t>
      </w:r>
      <w:r>
        <w:rPr>
          <w:rFonts w:ascii="Arial" w:hAnsi="Arial" w:cs="Arial" w:eastAsia="Arial" w:hint="default"/>
        </w:rPr>
        <w:t>1</w:t>
      </w:r>
      <w:r>
        <w:rPr/>
        <w:t>）资产负债表日存在的重要或有事项</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2239"/>
        <w:jc w:val="left"/>
      </w:pPr>
      <w:r>
        <w:rPr/>
        <w:t>截至2019年12月31日，本集团不存在应披露的未决诉讼、对外担保等或有事项。</w:t>
      </w:r>
    </w:p>
    <w:p>
      <w:pPr>
        <w:spacing w:after="0" w:line="240" w:lineRule="auto"/>
        <w:jc w:val="left"/>
        <w:sectPr>
          <w:pgSz w:w="11910" w:h="16840"/>
          <w:pgMar w:header="747" w:footer="982" w:top="1060" w:bottom="118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2239"/>
        <w:jc w:val="left"/>
        <w:rPr>
          <w:b w:val="0"/>
          <w:bCs w:val="0"/>
        </w:rPr>
      </w:pPr>
      <w:r>
        <w:rPr/>
        <w:t>（</w:t>
      </w:r>
      <w:r>
        <w:rPr>
          <w:rFonts w:ascii="Arial" w:hAnsi="Arial" w:cs="Arial" w:eastAsia="Arial" w:hint="default"/>
        </w:rPr>
        <w:t>2</w:t>
      </w:r>
      <w:r>
        <w:rPr/>
        <w:t>）公司没有需要披露的重要或有事项，也应予以说明</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left="514" w:right="2239"/>
        <w:jc w:val="left"/>
      </w:pPr>
      <w:r>
        <w:rPr/>
        <w:t>公司不存在需要披露的重要或有事项。</w:t>
      </w:r>
    </w:p>
    <w:p>
      <w:pPr>
        <w:spacing w:line="240" w:lineRule="auto" w:before="12"/>
        <w:rPr>
          <w:rFonts w:ascii="宋体" w:hAnsi="宋体" w:cs="宋体" w:eastAsia="宋体" w:hint="default"/>
          <w:sz w:val="26"/>
          <w:szCs w:val="26"/>
        </w:rPr>
      </w:pPr>
    </w:p>
    <w:p>
      <w:pPr>
        <w:pStyle w:val="Heading4"/>
        <w:spacing w:line="240" w:lineRule="auto"/>
        <w:ind w:right="2239"/>
        <w:jc w:val="left"/>
        <w:rPr>
          <w:b w:val="0"/>
          <w:bCs w:val="0"/>
        </w:rPr>
      </w:pPr>
      <w:r>
        <w:rPr>
          <w:rFonts w:ascii="Arial" w:hAnsi="Arial" w:cs="Arial" w:eastAsia="Arial" w:hint="default"/>
        </w:rPr>
        <w:t>3</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t>无。</w:t>
      </w:r>
    </w:p>
    <w:p>
      <w:pPr>
        <w:spacing w:line="240" w:lineRule="auto" w:before="2"/>
        <w:rPr>
          <w:rFonts w:ascii="宋体" w:hAnsi="宋体" w:cs="宋体" w:eastAsia="宋体" w:hint="default"/>
          <w:sz w:val="25"/>
          <w:szCs w:val="25"/>
        </w:rPr>
      </w:pPr>
    </w:p>
    <w:p>
      <w:pPr>
        <w:pStyle w:val="Heading2"/>
        <w:spacing w:line="240" w:lineRule="auto"/>
        <w:ind w:right="2239"/>
        <w:jc w:val="left"/>
        <w:rPr>
          <w:b w:val="0"/>
          <w:bCs w:val="0"/>
        </w:rPr>
      </w:pPr>
      <w:r>
        <w:rPr/>
        <w:t>十五、资产负债表日后事项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1</w:t>
      </w:r>
      <w:r>
        <w:rPr/>
        <w:t>、重要的非调整事项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1009" w:right="109" w:hanging="900"/>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89"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rFonts w:ascii="Arial" w:hAnsi="Arial" w:cs="Arial" w:eastAsia="Arial" w:hint="default"/>
        </w:rPr>
        <w:t>2</w:t>
      </w:r>
      <w:r>
        <w:rPr/>
        <w:t>、利润分配情况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4983"/>
        <w:gridCol w:w="4585"/>
      </w:tblGrid>
      <w:tr>
        <w:trPr>
          <w:trHeight w:val="402"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0.00</w:t>
            </w:r>
            <w:r>
              <w:rPr>
                <w:rFonts w:ascii="Arial"/>
                <w:w w:val="95"/>
                <w:sz w:val="18"/>
              </w:rPr>
            </w:r>
          </w:p>
        </w:tc>
      </w:tr>
      <w:tr>
        <w:trPr>
          <w:trHeight w:val="403" w:hRule="exact"/>
        </w:trPr>
        <w:tc>
          <w:tcPr>
            <w:tcW w:w="498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经审议批准宣告发放的利润或股利</w:t>
            </w:r>
          </w:p>
        </w:tc>
        <w:tc>
          <w:tcPr>
            <w:tcW w:w="4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0.00</w:t>
            </w:r>
            <w:r>
              <w:rPr>
                <w:rFonts w:ascii="Arial"/>
                <w:w w:val="95"/>
                <w:sz w:val="18"/>
              </w:rPr>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rFonts w:ascii="Arial" w:hAnsi="Arial" w:cs="Arial" w:eastAsia="Arial" w:hint="default"/>
        </w:rPr>
        <w:t>3</w:t>
      </w:r>
      <w:r>
        <w:rPr/>
        <w:t>、销售退回</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4</w:t>
      </w:r>
      <w:r>
        <w:rPr/>
        <w:t>、其他资产负债表日后事项说明</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1131" w:firstLine="360"/>
        <w:jc w:val="both"/>
      </w:pPr>
      <w:r>
        <w:rPr>
          <w:spacing w:val="-2"/>
        </w:rPr>
        <w:t>（1）新型冠状病毒感染的肺炎疫情于2020年1月份爆发以来，本公司密切关注肺炎疫情发展情况，评估和积极应对其对</w:t>
      </w:r>
      <w:r>
        <w:rPr/>
        <w:t> </w:t>
      </w:r>
      <w:r>
        <w:rPr>
          <w:spacing w:val="-2"/>
        </w:rPr>
        <w:t>本公司财务状况、经营成果等方面的影响。本公司预计此次疫情将对本公司的生产和经营造成一定的暂时性影响，影响程度</w:t>
      </w:r>
      <w:r>
        <w:rPr>
          <w:spacing w:val="-66"/>
        </w:rPr>
        <w:t> </w:t>
      </w:r>
      <w:r>
        <w:rPr>
          <w:spacing w:val="-66"/>
        </w:rPr>
      </w:r>
      <w:r>
        <w:rPr/>
        <w:t>取决于疫情防控的进展情况、持续时间以及各地防控政策的实施情况。</w:t>
      </w:r>
    </w:p>
    <w:p>
      <w:pPr>
        <w:spacing w:line="240" w:lineRule="auto" w:before="12"/>
        <w:rPr>
          <w:rFonts w:ascii="宋体" w:hAnsi="宋体" w:cs="宋体" w:eastAsia="宋体" w:hint="default"/>
          <w:sz w:val="17"/>
          <w:szCs w:val="17"/>
        </w:rPr>
      </w:pPr>
    </w:p>
    <w:p>
      <w:pPr>
        <w:pStyle w:val="BodyText"/>
        <w:spacing w:line="240" w:lineRule="auto"/>
        <w:ind w:left="514" w:right="2239"/>
        <w:jc w:val="left"/>
      </w:pPr>
      <w:r>
        <w:rPr/>
        <w:t>（2）截至2020年4月27日，本公司不存在其他应披露的资产负债表日后事项。</w:t>
      </w:r>
    </w:p>
    <w:p>
      <w:pPr>
        <w:spacing w:line="240" w:lineRule="auto" w:before="2"/>
        <w:rPr>
          <w:rFonts w:ascii="宋体" w:hAnsi="宋体" w:cs="宋体" w:eastAsia="宋体" w:hint="default"/>
          <w:sz w:val="25"/>
          <w:szCs w:val="25"/>
        </w:rPr>
      </w:pPr>
    </w:p>
    <w:p>
      <w:pPr>
        <w:pStyle w:val="Heading2"/>
        <w:spacing w:line="240" w:lineRule="auto"/>
        <w:ind w:right="2239"/>
        <w:jc w:val="left"/>
        <w:rPr>
          <w:b w:val="0"/>
          <w:bCs w:val="0"/>
        </w:rPr>
      </w:pPr>
      <w:r>
        <w:rPr/>
        <w:t>十六、其他重要事项</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1</w:t>
      </w:r>
      <w:r>
        <w:rPr/>
        <w:t>、前期会计差错更正</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2239"/>
        <w:jc w:val="left"/>
        <w:rPr>
          <w:b w:val="0"/>
          <w:bCs w:val="0"/>
        </w:rPr>
      </w:pPr>
      <w:r>
        <w:rPr/>
        <w:t>（</w:t>
      </w:r>
      <w:r>
        <w:rPr>
          <w:rFonts w:ascii="Arial" w:hAnsi="Arial" w:cs="Arial" w:eastAsia="Arial" w:hint="default"/>
        </w:rPr>
        <w:t>1</w:t>
      </w:r>
      <w:r>
        <w:rPr/>
        <w:t>）追溯重述法</w:t>
      </w:r>
      <w:r>
        <w:rPr>
          <w:b w:val="0"/>
          <w:bCs w:val="0"/>
        </w:rPr>
      </w:r>
    </w:p>
    <w:p>
      <w:pPr>
        <w:spacing w:line="240" w:lineRule="auto" w:before="9"/>
        <w:rPr>
          <w:rFonts w:ascii="宋体" w:hAnsi="宋体" w:cs="宋体" w:eastAsia="宋体" w:hint="default"/>
          <w:b/>
          <w:bCs/>
          <w:sz w:val="26"/>
          <w:szCs w:val="26"/>
        </w:rPr>
      </w:pPr>
    </w:p>
    <w:p>
      <w:pPr>
        <w:pStyle w:val="BodyText"/>
        <w:spacing w:line="240" w:lineRule="auto"/>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94"/>
        <w:gridCol w:w="2294"/>
        <w:gridCol w:w="2390"/>
        <w:gridCol w:w="2389"/>
      </w:tblGrid>
      <w:tr>
        <w:trPr>
          <w:trHeight w:val="714" w:hRule="exact"/>
        </w:trPr>
        <w:tc>
          <w:tcPr>
            <w:tcW w:w="24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3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29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处理程序</w:t>
            </w:r>
          </w:p>
        </w:tc>
        <w:tc>
          <w:tcPr>
            <w:tcW w:w="23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29" w:right="109"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38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739"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2239"/>
        <w:jc w:val="left"/>
        <w:rPr>
          <w:b w:val="0"/>
          <w:bCs w:val="0"/>
        </w:rPr>
      </w:pPr>
      <w:r>
        <w:rPr/>
        <w:t>（</w:t>
      </w:r>
      <w:r>
        <w:rPr>
          <w:rFonts w:ascii="Arial" w:hAnsi="Arial" w:cs="Arial" w:eastAsia="Arial" w:hint="default"/>
        </w:rPr>
        <w:t>2</w:t>
      </w:r>
      <w:r>
        <w:rPr/>
        <w:t>）未来适用法</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45"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批准程序</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687" w:right="0"/>
              <w:jc w:val="left"/>
              <w:rPr>
                <w:rFonts w:ascii="宋体" w:hAnsi="宋体" w:cs="宋体" w:eastAsia="宋体" w:hint="default"/>
                <w:sz w:val="18"/>
                <w:szCs w:val="18"/>
              </w:rPr>
            </w:pPr>
            <w:r>
              <w:rPr>
                <w:rFonts w:ascii="宋体" w:hAnsi="宋体" w:cs="宋体" w:eastAsia="宋体" w:hint="default"/>
                <w:sz w:val="18"/>
                <w:szCs w:val="18"/>
              </w:rPr>
              <w:t>采用未来适用法的原因</w:t>
            </w:r>
          </w:p>
        </w:tc>
      </w:tr>
    </w:tbl>
    <w:p>
      <w:pPr>
        <w:spacing w:line="240" w:lineRule="auto" w:before="2"/>
        <w:rPr>
          <w:rFonts w:ascii="宋体" w:hAnsi="宋体" w:cs="宋体" w:eastAsia="宋体" w:hint="default"/>
          <w:b/>
          <w:bCs/>
          <w:sz w:val="19"/>
          <w:szCs w:val="19"/>
        </w:rPr>
      </w:pPr>
    </w:p>
    <w:p>
      <w:pPr>
        <w:pStyle w:val="Heading4"/>
        <w:spacing w:line="240" w:lineRule="auto" w:before="35"/>
        <w:ind w:right="2239"/>
        <w:jc w:val="left"/>
        <w:rPr>
          <w:b w:val="0"/>
          <w:bCs w:val="0"/>
        </w:rPr>
      </w:pPr>
      <w:r>
        <w:rPr>
          <w:rFonts w:ascii="Arial" w:hAnsi="Arial" w:cs="Arial" w:eastAsia="Arial" w:hint="default"/>
        </w:rPr>
        <w:t>2</w:t>
      </w:r>
      <w:r>
        <w:rPr/>
        <w:t>、债务重组</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3</w:t>
      </w:r>
      <w:r>
        <w:rPr/>
        <w:t>、资产置换</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2239"/>
        <w:jc w:val="left"/>
        <w:rPr>
          <w:b w:val="0"/>
          <w:bCs w:val="0"/>
        </w:rPr>
      </w:pPr>
      <w:r>
        <w:rPr/>
        <w:t>（</w:t>
      </w:r>
      <w:r>
        <w:rPr>
          <w:rFonts w:ascii="Arial" w:hAnsi="Arial" w:cs="Arial" w:eastAsia="Arial" w:hint="default"/>
        </w:rPr>
        <w:t>1</w:t>
      </w:r>
      <w:r>
        <w:rPr/>
        <w:t>）非货币性资产交换</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t>（</w:t>
      </w:r>
      <w:r>
        <w:rPr>
          <w:rFonts w:ascii="Arial" w:hAnsi="Arial" w:cs="Arial" w:eastAsia="Arial" w:hint="default"/>
        </w:rPr>
        <w:t>2</w:t>
      </w:r>
      <w:r>
        <w:rPr/>
        <w:t>）其他资产置换</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4</w:t>
      </w:r>
      <w:r>
        <w:rPr/>
        <w:t>、年金计划</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5</w:t>
      </w:r>
      <w:r>
        <w:rPr/>
        <w:t>、终止经营</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8"/>
        <w:gridCol w:w="1368"/>
        <w:gridCol w:w="1367"/>
        <w:gridCol w:w="1367"/>
        <w:gridCol w:w="1368"/>
        <w:gridCol w:w="1367"/>
        <w:gridCol w:w="1367"/>
      </w:tblGrid>
      <w:tr>
        <w:trPr>
          <w:trHeight w:val="358" w:hRule="exact"/>
        </w:trPr>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8"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
        </w:tc>
        <w:tc>
          <w:tcPr>
            <w:tcW w:w="1367" w:type="dxa"/>
            <w:tcBorders>
              <w:top w:val="single" w:sz="4" w:space="0" w:color="000000"/>
              <w:left w:val="single" w:sz="4" w:space="0" w:color="000000"/>
              <w:bottom w:val="nil" w:sz="6" w:space="0" w:color="auto"/>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归属于母公司所</w:t>
            </w:r>
          </w:p>
        </w:tc>
      </w:tr>
      <w:tr>
        <w:trPr>
          <w:trHeight w:val="313" w:hRule="exact"/>
        </w:trPr>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费用</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317" w:right="0"/>
              <w:jc w:val="left"/>
              <w:rPr>
                <w:rFonts w:ascii="宋体" w:hAnsi="宋体" w:cs="宋体" w:eastAsia="宋体" w:hint="default"/>
                <w:sz w:val="18"/>
                <w:szCs w:val="18"/>
              </w:rPr>
            </w:pPr>
            <w:r>
              <w:rPr>
                <w:rFonts w:ascii="宋体" w:hAnsi="宋体" w:cs="宋体" w:eastAsia="宋体" w:hint="default"/>
                <w:sz w:val="18"/>
                <w:szCs w:val="18"/>
              </w:rPr>
              <w:t>利润总额</w:t>
            </w:r>
          </w:p>
        </w:tc>
        <w:tc>
          <w:tcPr>
            <w:tcW w:w="1368"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229"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407"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1367"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有者的终止经营</w:t>
            </w:r>
          </w:p>
        </w:tc>
      </w:tr>
      <w:tr>
        <w:trPr>
          <w:trHeight w:val="356" w:hRule="exact"/>
        </w:trPr>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8"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
        </w:tc>
        <w:tc>
          <w:tcPr>
            <w:tcW w:w="1367" w:type="dxa"/>
            <w:tcBorders>
              <w:top w:val="nil" w:sz="6" w:space="0" w:color="auto"/>
              <w:left w:val="single" w:sz="4" w:space="0" w:color="000000"/>
              <w:bottom w:val="single" w:sz="4" w:space="0" w:color="000000"/>
              <w:right w:val="single" w:sz="4" w:space="0" w:color="000000"/>
            </w:tcBorders>
            <w:shd w:val="clear" w:color="auto" w:fill="D3D3D3"/>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利润</w:t>
            </w:r>
          </w:p>
        </w:tc>
      </w:tr>
    </w:tbl>
    <w:p>
      <w:pPr>
        <w:pStyle w:val="BodyText"/>
        <w:spacing w:line="357" w:lineRule="auto" w:before="52"/>
        <w:ind w:right="10030"/>
        <w:jc w:val="left"/>
      </w:pPr>
      <w:r>
        <w:rPr/>
        <w:t>其他说明 无。</w:t>
      </w:r>
    </w:p>
    <w:p>
      <w:pPr>
        <w:spacing w:line="240" w:lineRule="auto" w:before="1"/>
        <w:rPr>
          <w:rFonts w:ascii="宋体" w:hAnsi="宋体" w:cs="宋体" w:eastAsia="宋体" w:hint="default"/>
          <w:sz w:val="20"/>
          <w:szCs w:val="20"/>
        </w:rPr>
      </w:pPr>
    </w:p>
    <w:p>
      <w:pPr>
        <w:pStyle w:val="Heading4"/>
        <w:spacing w:line="240" w:lineRule="auto"/>
        <w:ind w:right="2239"/>
        <w:jc w:val="left"/>
        <w:rPr>
          <w:b w:val="0"/>
          <w:bCs w:val="0"/>
        </w:rPr>
      </w:pPr>
      <w:r>
        <w:rPr>
          <w:rFonts w:ascii="Arial" w:hAnsi="Arial" w:cs="Arial" w:eastAsia="Arial" w:hint="default"/>
        </w:rPr>
        <w:t>6</w:t>
      </w:r>
      <w:r>
        <w:rPr/>
        <w:t>、分部信息</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t>（</w:t>
      </w:r>
      <w:r>
        <w:rPr>
          <w:rFonts w:ascii="Arial" w:hAnsi="Arial" w:cs="Arial" w:eastAsia="Arial" w:hint="default"/>
        </w:rPr>
        <w:t>1</w:t>
      </w:r>
      <w:r>
        <w:rPr/>
        <w:t>）报告分部的确定依据与会计政策</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t>（</w:t>
      </w:r>
      <w:r>
        <w:rPr>
          <w:rFonts w:ascii="Arial" w:hAnsi="Arial" w:cs="Arial" w:eastAsia="Arial" w:hint="default"/>
        </w:rPr>
        <w:t>2</w:t>
      </w:r>
      <w:r>
        <w:rPr/>
        <w:t>）报告分部的财务信息</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740" w:right="0"/>
              <w:jc w:val="left"/>
              <w:rPr>
                <w:rFonts w:ascii="宋体" w:hAnsi="宋体" w:cs="宋体" w:eastAsia="宋体" w:hint="default"/>
                <w:sz w:val="18"/>
                <w:szCs w:val="18"/>
              </w:rPr>
            </w:pPr>
            <w:r>
              <w:rPr>
                <w:rFonts w:ascii="宋体" w:hAnsi="宋体" w:cs="宋体" w:eastAsia="宋体" w:hint="default"/>
                <w:sz w:val="18"/>
                <w:szCs w:val="18"/>
              </w:rPr>
              <w:t>分部间抵销</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t>（</w:t>
      </w:r>
      <w:r>
        <w:rPr>
          <w:rFonts w:ascii="Arial" w:hAnsi="Arial" w:cs="Arial" w:eastAsia="Arial" w:hint="default"/>
        </w:rPr>
        <w:t>3</w:t>
      </w:r>
      <w:r>
        <w:rPr/>
        <w:t>）公司无报告分部的，或者不能披露各报告分部的资产总额和负债总额的，应说明原因</w:t>
      </w:r>
      <w:r>
        <w:rPr>
          <w:b w:val="0"/>
          <w:bCs w:val="0"/>
        </w:rPr>
      </w:r>
    </w:p>
    <w:p>
      <w:pPr>
        <w:spacing w:line="240" w:lineRule="auto" w:before="7"/>
        <w:rPr>
          <w:rFonts w:ascii="宋体" w:hAnsi="宋体" w:cs="宋体" w:eastAsia="宋体" w:hint="default"/>
          <w:b/>
          <w:bCs/>
          <w:sz w:val="26"/>
          <w:szCs w:val="26"/>
        </w:rPr>
      </w:pPr>
    </w:p>
    <w:p>
      <w:pPr>
        <w:pStyle w:val="BodyText"/>
        <w:spacing w:line="316" w:lineRule="auto"/>
        <w:ind w:right="0" w:firstLine="360"/>
        <w:jc w:val="left"/>
      </w:pPr>
      <w:r>
        <w:rPr>
          <w:spacing w:val="-2"/>
        </w:rPr>
        <w:t>除系统集成业务、软件产品及服务业务外，本集团未经营其他对经营成果有重大影响的业务。同时，由于本集团仅于一</w:t>
      </w:r>
      <w:r>
        <w:rPr/>
        <w:t> 个地域内经营业务，收入主要来自中国境内，其主要资产亦位于中国境内，因此本集团无需披露分部数据。</w:t>
      </w:r>
    </w:p>
    <w:p>
      <w:pPr>
        <w:spacing w:line="240" w:lineRule="auto" w:before="7"/>
        <w:rPr>
          <w:rFonts w:ascii="宋体" w:hAnsi="宋体" w:cs="宋体" w:eastAsia="宋体" w:hint="default"/>
          <w:sz w:val="22"/>
          <w:szCs w:val="22"/>
        </w:rPr>
      </w:pPr>
    </w:p>
    <w:p>
      <w:pPr>
        <w:pStyle w:val="Heading4"/>
        <w:spacing w:line="240" w:lineRule="auto"/>
        <w:ind w:right="2239"/>
        <w:jc w:val="left"/>
        <w:rPr>
          <w:b w:val="0"/>
          <w:bCs w:val="0"/>
        </w:rPr>
      </w:pPr>
      <w:r>
        <w:rPr/>
        <w:t>（</w:t>
      </w:r>
      <w:r>
        <w:rPr>
          <w:rFonts w:ascii="Arial" w:hAnsi="Arial" w:cs="Arial" w:eastAsia="Arial" w:hint="default"/>
        </w:rPr>
        <w:t>4</w:t>
      </w:r>
      <w:r>
        <w:rPr/>
        <w:t>）其他说明</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2239"/>
        <w:jc w:val="left"/>
        <w:rPr>
          <w:b w:val="0"/>
          <w:bCs w:val="0"/>
        </w:rPr>
      </w:pPr>
      <w:r>
        <w:rPr>
          <w:rFonts w:ascii="Arial" w:hAnsi="Arial" w:cs="Arial" w:eastAsia="Arial" w:hint="default"/>
        </w:rPr>
        <w:t>7</w:t>
      </w:r>
      <w:r>
        <w:rPr/>
        <w:t>、其他对投资者决策有影响的重要交易和事项</w:t>
      </w:r>
      <w:r>
        <w:rPr>
          <w:b w:val="0"/>
          <w:bCs w:val="0"/>
        </w:rPr>
      </w:r>
    </w:p>
    <w:p>
      <w:pPr>
        <w:spacing w:line="240" w:lineRule="auto" w:before="7"/>
        <w:rPr>
          <w:rFonts w:ascii="宋体" w:hAnsi="宋体" w:cs="宋体" w:eastAsia="宋体" w:hint="default"/>
          <w:b/>
          <w:bCs/>
          <w:sz w:val="26"/>
          <w:szCs w:val="26"/>
        </w:rPr>
      </w:pPr>
    </w:p>
    <w:p>
      <w:pPr>
        <w:pStyle w:val="BodyText"/>
        <w:spacing w:line="537" w:lineRule="auto"/>
        <w:ind w:left="514" w:right="1120"/>
        <w:jc w:val="left"/>
      </w:pPr>
      <w:r>
        <w:rPr/>
        <w:t>1、重要资产转让及出售 本公司于2018年7月19日召开第四届董事会第十一次会议，审议通过了《关于签订全资子公司股权转让合同的议案》。</w:t>
      </w:r>
    </w:p>
    <w:p>
      <w:pPr>
        <w:spacing w:after="0" w:line="537" w:lineRule="auto"/>
        <w:jc w:val="left"/>
        <w:sectPr>
          <w:pgSz w:w="11910" w:h="16840"/>
          <w:pgMar w:header="747" w:footer="982" w:top="1060" w:bottom="1180" w:left="980" w:right="0"/>
        </w:sectPr>
      </w:pPr>
    </w:p>
    <w:p>
      <w:pPr>
        <w:spacing w:line="240" w:lineRule="auto" w:before="12"/>
        <w:rPr>
          <w:rFonts w:ascii="宋体" w:hAnsi="宋体" w:cs="宋体" w:eastAsia="宋体" w:hint="default"/>
          <w:sz w:val="25"/>
          <w:szCs w:val="25"/>
        </w:rPr>
      </w:pPr>
    </w:p>
    <w:p>
      <w:pPr>
        <w:pStyle w:val="BodyText"/>
        <w:spacing w:line="316" w:lineRule="auto" w:before="44"/>
        <w:ind w:left="153" w:right="1030"/>
        <w:jc w:val="left"/>
      </w:pPr>
      <w:r>
        <w:rPr>
          <w:spacing w:val="-2"/>
        </w:rPr>
        <w:t>根据合同约定，本公司将持有的马鞍山榕基软件信息科技有限公司100%的股权以9,300.00万元转让给北京海圣投资基金管理</w:t>
      </w:r>
      <w:r>
        <w:rPr>
          <w:spacing w:val="-52"/>
        </w:rPr>
        <w:t> </w:t>
      </w:r>
      <w:r>
        <w:rPr>
          <w:spacing w:val="-52"/>
        </w:rPr>
      </w:r>
      <w:r>
        <w:rPr/>
        <w:t>有限公司。</w:t>
      </w:r>
    </w:p>
    <w:p>
      <w:pPr>
        <w:spacing w:line="240" w:lineRule="auto" w:before="12"/>
        <w:rPr>
          <w:rFonts w:ascii="宋体" w:hAnsi="宋体" w:cs="宋体" w:eastAsia="宋体" w:hint="default"/>
          <w:sz w:val="17"/>
          <w:szCs w:val="17"/>
        </w:rPr>
      </w:pPr>
    </w:p>
    <w:p>
      <w:pPr>
        <w:pStyle w:val="BodyText"/>
        <w:spacing w:line="316" w:lineRule="auto"/>
        <w:ind w:left="153" w:right="1031" w:firstLine="360"/>
        <w:jc w:val="left"/>
      </w:pPr>
      <w:r>
        <w:rPr>
          <w:spacing w:val="-2"/>
        </w:rPr>
        <w:t>因北京海圣投资基金管理有限公司无法按照原股权转让合同约定继续履行付款义务，现经各方协商一致，上述股权转让</w:t>
      </w:r>
      <w:r>
        <w:rPr/>
        <w:t> 合同终止。本公司于2019年12月31日召开第五届董事会第一次会议，审议通过了《关于终止出售全资子公司股权的议案》。 </w:t>
      </w:r>
      <w:r>
        <w:rPr>
          <w:spacing w:val="-2"/>
        </w:rPr>
        <w:t>根据有关协议约定，本公司从北京海圣投资基金管理有限公司已支付的款项中扣除2,300.00万元作为赔偿金，剩余款项予以</w:t>
      </w:r>
      <w:r>
        <w:rPr>
          <w:spacing w:val="-56"/>
        </w:rPr>
        <w:t> </w:t>
      </w:r>
      <w:r>
        <w:rPr>
          <w:spacing w:val="-56"/>
        </w:rPr>
      </w:r>
      <w:r>
        <w:rPr/>
        <w:t>退还。截至2020年4月27日，本公司已退还剩余7,000.00万元股权转让款。</w:t>
      </w:r>
    </w:p>
    <w:p>
      <w:pPr>
        <w:spacing w:line="240" w:lineRule="auto" w:before="12"/>
        <w:rPr>
          <w:rFonts w:ascii="宋体" w:hAnsi="宋体" w:cs="宋体" w:eastAsia="宋体" w:hint="default"/>
          <w:sz w:val="17"/>
          <w:szCs w:val="17"/>
        </w:rPr>
      </w:pPr>
    </w:p>
    <w:p>
      <w:pPr>
        <w:pStyle w:val="BodyText"/>
        <w:spacing w:line="316" w:lineRule="auto"/>
        <w:ind w:left="153" w:right="1131" w:firstLine="360"/>
        <w:jc w:val="both"/>
      </w:pPr>
      <w:r>
        <w:rPr/>
        <w:t>按照《企业会计准则第2号——长期股权投资》的规定，持有待售的对联营企业或合营企业的权益性投资不再符合持有 </w:t>
      </w:r>
      <w:r>
        <w:rPr>
          <w:spacing w:val="-2"/>
        </w:rPr>
        <w:t>待售类别划分条件的，应当自划分为持有待售类别日起采用权益法进行追溯调整。持有待售的对子公司、共同经营的权益性</w:t>
      </w:r>
      <w:r>
        <w:rPr>
          <w:spacing w:val="-66"/>
        </w:rPr>
        <w:t> </w:t>
      </w:r>
      <w:r>
        <w:rPr>
          <w:spacing w:val="-66"/>
        </w:rPr>
      </w:r>
      <w:r>
        <w:rPr>
          <w:spacing w:val="-2"/>
        </w:rPr>
        <w:t>投资不再符合持有待售类别划分条件的，同样应当自划分为持有待售类别日起追溯调整。本年度，公司对马鞍山榕基软件信</w:t>
      </w:r>
      <w:r>
        <w:rPr>
          <w:spacing w:val="-66"/>
        </w:rPr>
        <w:t> </w:t>
      </w:r>
      <w:r>
        <w:rPr>
          <w:spacing w:val="-66"/>
        </w:rPr>
      </w:r>
      <w:r>
        <w:rPr/>
        <w:t>息科技有限公司的投资，自其划分为持有待售类别日起追溯调整。</w:t>
      </w:r>
    </w:p>
    <w:p>
      <w:pPr>
        <w:spacing w:line="240" w:lineRule="auto" w:before="12"/>
        <w:rPr>
          <w:rFonts w:ascii="宋体" w:hAnsi="宋体" w:cs="宋体" w:eastAsia="宋体" w:hint="default"/>
          <w:sz w:val="17"/>
          <w:szCs w:val="17"/>
        </w:rPr>
      </w:pPr>
    </w:p>
    <w:p>
      <w:pPr>
        <w:pStyle w:val="BodyText"/>
        <w:spacing w:line="240" w:lineRule="auto"/>
        <w:ind w:left="513" w:right="2239"/>
        <w:jc w:val="left"/>
      </w:pPr>
      <w:r>
        <w:rPr/>
        <w:t>以上追溯调整事项，对2018年度财务报表项目的影响如下：</w:t>
      </w:r>
    </w:p>
    <w:p>
      <w:pPr>
        <w:spacing w:line="240" w:lineRule="auto" w:before="5"/>
        <w:rPr>
          <w:rFonts w:ascii="宋体" w:hAnsi="宋体" w:cs="宋体" w:eastAsia="宋体" w:hint="default"/>
          <w:sz w:val="22"/>
          <w:szCs w:val="22"/>
        </w:rPr>
      </w:pPr>
    </w:p>
    <w:p>
      <w:pPr>
        <w:pStyle w:val="BodyText"/>
        <w:spacing w:line="240" w:lineRule="auto"/>
        <w:ind w:left="0" w:right="1670"/>
        <w:jc w:val="right"/>
      </w:pPr>
      <w:r>
        <w:rPr/>
        <w:t>单位： 元</w:t>
      </w:r>
    </w:p>
    <w:p>
      <w:pPr>
        <w:spacing w:line="240" w:lineRule="auto" w:before="7"/>
        <w:rPr>
          <w:rFonts w:ascii="宋体" w:hAnsi="宋体" w:cs="宋体" w:eastAsia="宋体" w:hint="default"/>
          <w:sz w:val="21"/>
          <w:szCs w:val="21"/>
        </w:rPr>
      </w:pPr>
    </w:p>
    <w:tbl>
      <w:tblPr>
        <w:tblW w:w="0" w:type="auto"/>
        <w:jc w:val="left"/>
        <w:tblInd w:w="467" w:type="dxa"/>
        <w:tblLayout w:type="fixed"/>
        <w:tblCellMar>
          <w:top w:w="0" w:type="dxa"/>
          <w:left w:w="0" w:type="dxa"/>
          <w:bottom w:w="0" w:type="dxa"/>
          <w:right w:w="0" w:type="dxa"/>
        </w:tblCellMar>
        <w:tblLook w:val="01E0"/>
      </w:tblPr>
      <w:tblGrid>
        <w:gridCol w:w="1768"/>
        <w:gridCol w:w="2552"/>
        <w:gridCol w:w="2125"/>
        <w:gridCol w:w="2552"/>
      </w:tblGrid>
      <w:tr>
        <w:trPr>
          <w:trHeight w:val="346" w:hRule="exact"/>
        </w:trPr>
        <w:tc>
          <w:tcPr>
            <w:tcW w:w="176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515" w:right="0"/>
              <w:jc w:val="left"/>
              <w:rPr>
                <w:rFonts w:ascii="宋体" w:hAnsi="宋体" w:cs="宋体" w:eastAsia="宋体" w:hint="default"/>
                <w:sz w:val="18"/>
                <w:szCs w:val="18"/>
              </w:rPr>
            </w:pPr>
            <w:r>
              <w:rPr>
                <w:rFonts w:ascii="宋体" w:hAnsi="宋体" w:cs="宋体" w:eastAsia="宋体" w:hint="default"/>
                <w:sz w:val="18"/>
                <w:szCs w:val="18"/>
              </w:rPr>
              <w:t>报表项目</w:t>
            </w:r>
          </w:p>
        </w:tc>
        <w:tc>
          <w:tcPr>
            <w:tcW w:w="25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368" w:right="0"/>
              <w:jc w:val="left"/>
              <w:rPr>
                <w:rFonts w:ascii="宋体" w:hAnsi="宋体" w:cs="宋体" w:eastAsia="宋体" w:hint="default"/>
                <w:sz w:val="18"/>
                <w:szCs w:val="18"/>
              </w:rPr>
            </w:pPr>
            <w:r>
              <w:rPr>
                <w:rFonts w:ascii="宋体" w:hAnsi="宋体" w:cs="宋体" w:eastAsia="宋体" w:hint="default"/>
                <w:sz w:val="18"/>
                <w:szCs w:val="18"/>
              </w:rPr>
              <w:t>2018.12.31追溯调整前</w:t>
            </w:r>
          </w:p>
        </w:tc>
        <w:tc>
          <w:tcPr>
            <w:tcW w:w="21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514" w:right="0"/>
              <w:jc w:val="left"/>
              <w:rPr>
                <w:rFonts w:ascii="宋体" w:hAnsi="宋体" w:cs="宋体" w:eastAsia="宋体" w:hint="default"/>
                <w:sz w:val="18"/>
                <w:szCs w:val="18"/>
              </w:rPr>
            </w:pPr>
            <w:r>
              <w:rPr>
                <w:rFonts w:ascii="宋体" w:hAnsi="宋体" w:cs="宋体" w:eastAsia="宋体" w:hint="default"/>
                <w:sz w:val="18"/>
                <w:szCs w:val="18"/>
              </w:rPr>
              <w:t>追溯调整金额</w:t>
            </w:r>
          </w:p>
        </w:tc>
        <w:tc>
          <w:tcPr>
            <w:tcW w:w="255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1"/>
              <w:ind w:left="369" w:right="0"/>
              <w:jc w:val="left"/>
              <w:rPr>
                <w:rFonts w:ascii="宋体" w:hAnsi="宋体" w:cs="宋体" w:eastAsia="宋体" w:hint="default"/>
                <w:sz w:val="18"/>
                <w:szCs w:val="18"/>
              </w:rPr>
            </w:pPr>
            <w:r>
              <w:rPr>
                <w:rFonts w:ascii="宋体" w:hAnsi="宋体" w:cs="宋体" w:eastAsia="宋体" w:hint="default"/>
                <w:sz w:val="18"/>
                <w:szCs w:val="18"/>
              </w:rPr>
              <w:t>2018.12.31追溯调整后</w:t>
            </w:r>
          </w:p>
        </w:tc>
      </w:tr>
      <w:tr>
        <w:trPr>
          <w:trHeight w:val="347" w:hRule="exact"/>
        </w:trPr>
        <w:tc>
          <w:tcPr>
            <w:tcW w:w="1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328,903,731.81</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1,599,544.53</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330,503,276.34</w:t>
            </w:r>
          </w:p>
        </w:tc>
      </w:tr>
      <w:tr>
        <w:trPr>
          <w:trHeight w:val="347" w:hRule="exact"/>
        </w:trPr>
        <w:tc>
          <w:tcPr>
            <w:tcW w:w="1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176,359,422.88</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2,066,298.17</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178,425,721.05</w:t>
            </w:r>
          </w:p>
        </w:tc>
      </w:tr>
      <w:tr>
        <w:trPr>
          <w:trHeight w:val="348" w:hRule="exact"/>
        </w:trPr>
        <w:tc>
          <w:tcPr>
            <w:tcW w:w="1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54,676,009.17</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373,406.35</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55,049,415.52</w:t>
            </w:r>
          </w:p>
        </w:tc>
      </w:tr>
      <w:tr>
        <w:trPr>
          <w:trHeight w:val="347" w:hRule="exact"/>
        </w:trPr>
        <w:tc>
          <w:tcPr>
            <w:tcW w:w="1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726,307,455.54</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87,907,971.61</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814,215,427.15</w:t>
            </w:r>
          </w:p>
        </w:tc>
      </w:tr>
      <w:tr>
        <w:trPr>
          <w:trHeight w:val="347" w:hRule="exact"/>
        </w:trPr>
        <w:tc>
          <w:tcPr>
            <w:tcW w:w="1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持有待售资产</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175,650,333.43</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-175,650,333.43</w:t>
            </w: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450,893,418.56</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35,088.61</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450,928,507.17</w:t>
            </w:r>
          </w:p>
        </w:tc>
      </w:tr>
      <w:tr>
        <w:trPr>
          <w:trHeight w:val="347" w:hRule="exact"/>
        </w:trPr>
        <w:tc>
          <w:tcPr>
            <w:tcW w:w="1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2552" w:type="dxa"/>
            <w:tcBorders>
              <w:top w:val="single" w:sz="6" w:space="0" w:color="000000"/>
              <w:left w:val="single" w:sz="6" w:space="0" w:color="000000"/>
              <w:bottom w:val="single" w:sz="6" w:space="0" w:color="000000"/>
              <w:right w:val="single" w:sz="6" w:space="0" w:color="000000"/>
            </w:tcBorders>
          </w:tcPr>
          <w:p>
            <w:pP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74,816,244.95</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74,816,244.95</w:t>
            </w:r>
          </w:p>
        </w:tc>
      </w:tr>
      <w:tr>
        <w:trPr>
          <w:trHeight w:val="347" w:hRule="exact"/>
        </w:trPr>
        <w:tc>
          <w:tcPr>
            <w:tcW w:w="1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20,211,068.83</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3,237,468.26</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23,448,537.09</w:t>
            </w:r>
          </w:p>
        </w:tc>
      </w:tr>
      <w:tr>
        <w:trPr>
          <w:trHeight w:val="348" w:hRule="exact"/>
        </w:trPr>
        <w:tc>
          <w:tcPr>
            <w:tcW w:w="1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18,851,382.78</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4,037,886.77</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22,889,269.55</w:t>
            </w:r>
          </w:p>
        </w:tc>
      </w:tr>
      <w:tr>
        <w:trPr>
          <w:trHeight w:val="347" w:hRule="exact"/>
        </w:trPr>
        <w:tc>
          <w:tcPr>
            <w:tcW w:w="1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252,831,228.23</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6,417,612.96</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259,248,841.19</w:t>
            </w:r>
          </w:p>
        </w:tc>
      </w:tr>
      <w:tr>
        <w:trPr>
          <w:trHeight w:val="347" w:hRule="exact"/>
        </w:trPr>
        <w:tc>
          <w:tcPr>
            <w:tcW w:w="1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150,763,602.00</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472,146.51</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151,235,748.51</w:t>
            </w:r>
          </w:p>
        </w:tc>
      </w:tr>
      <w:tr>
        <w:trPr>
          <w:trHeight w:val="347" w:hRule="exact"/>
        </w:trPr>
        <w:tc>
          <w:tcPr>
            <w:tcW w:w="1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23,642,089.45</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53,054.59</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23,695,144.04</w:t>
            </w:r>
          </w:p>
        </w:tc>
      </w:tr>
      <w:tr>
        <w:trPr>
          <w:trHeight w:val="347" w:hRule="exact"/>
        </w:trPr>
        <w:tc>
          <w:tcPr>
            <w:tcW w:w="1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10,003,364.51</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414,991.36</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10,418,355.87</w:t>
            </w:r>
          </w:p>
        </w:tc>
      </w:tr>
      <w:tr>
        <w:trPr>
          <w:trHeight w:val="347" w:hRule="exact"/>
        </w:trPr>
        <w:tc>
          <w:tcPr>
            <w:tcW w:w="1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72,803,556.54</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18,771,544.88</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91,575,101.42</w:t>
            </w:r>
          </w:p>
        </w:tc>
      </w:tr>
      <w:tr>
        <w:trPr>
          <w:trHeight w:val="348" w:hRule="exact"/>
        </w:trPr>
        <w:tc>
          <w:tcPr>
            <w:tcW w:w="1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持有待售负债</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54,267,481.12</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-54,267,481.12</w:t>
            </w:r>
          </w:p>
        </w:tc>
        <w:tc>
          <w:tcPr>
            <w:tcW w:w="2552" w:type="dxa"/>
            <w:tcBorders>
              <w:top w:val="single" w:sz="6" w:space="0" w:color="000000"/>
              <w:left w:val="single" w:sz="6" w:space="0" w:color="000000"/>
              <w:bottom w:val="single" w:sz="6" w:space="0" w:color="000000"/>
              <w:right w:val="single" w:sz="6" w:space="0" w:color="000000"/>
            </w:tcBorders>
          </w:tcPr>
          <w:p>
            <w:pPr/>
          </w:p>
        </w:tc>
      </w:tr>
      <w:tr>
        <w:trPr>
          <w:trHeight w:val="347" w:hRule="exact"/>
        </w:trPr>
        <w:tc>
          <w:tcPr>
            <w:tcW w:w="1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19,900,891.16</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2,948.92</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19,903,840.08</w:t>
            </w:r>
          </w:p>
        </w:tc>
      </w:tr>
      <w:tr>
        <w:trPr>
          <w:trHeight w:val="347" w:hRule="exact"/>
        </w:trPr>
        <w:tc>
          <w:tcPr>
            <w:tcW w:w="1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递延收益</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40,332,777.79</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28,135,181.90</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68,467,959.69</w:t>
            </w:r>
          </w:p>
        </w:tc>
      </w:tr>
      <w:tr>
        <w:trPr>
          <w:trHeight w:val="347" w:hRule="exact"/>
        </w:trPr>
        <w:tc>
          <w:tcPr>
            <w:tcW w:w="1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390,446,966.99</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-1,576,424.18</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388,870,542.81</w:t>
            </w:r>
          </w:p>
        </w:tc>
      </w:tr>
      <w:tr>
        <w:trPr>
          <w:trHeight w:val="347" w:hRule="exact"/>
        </w:trPr>
        <w:tc>
          <w:tcPr>
            <w:tcW w:w="1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545,142,075.16</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1,884,339.30</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547,026,414.46</w:t>
            </w:r>
          </w:p>
        </w:tc>
      </w:tr>
      <w:tr>
        <w:trPr>
          <w:trHeight w:val="347" w:hRule="exact"/>
        </w:trPr>
        <w:tc>
          <w:tcPr>
            <w:tcW w:w="1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124,754,738.33</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206,286.58</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124,961,024.91</w:t>
            </w:r>
          </w:p>
        </w:tc>
      </w:tr>
      <w:tr>
        <w:trPr>
          <w:trHeight w:val="348" w:hRule="exact"/>
        </w:trPr>
        <w:tc>
          <w:tcPr>
            <w:tcW w:w="1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77,633,613.76</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420.84</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77,634,034.60</w:t>
            </w:r>
          </w:p>
        </w:tc>
      </w:tr>
      <w:tr>
        <w:trPr>
          <w:trHeight w:val="347" w:hRule="exact"/>
        </w:trPr>
        <w:tc>
          <w:tcPr>
            <w:tcW w:w="17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所得税费用</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2,430,598.77</w:t>
            </w:r>
          </w:p>
        </w:tc>
        <w:tc>
          <w:tcPr>
            <w:tcW w:w="21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-514,622.54</w:t>
            </w:r>
          </w:p>
        </w:tc>
        <w:tc>
          <w:tcPr>
            <w:tcW w:w="25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1,915,976.23</w:t>
            </w:r>
          </w:p>
        </w:tc>
      </w:tr>
    </w:tbl>
    <w:p>
      <w:pPr>
        <w:spacing w:line="240" w:lineRule="auto" w:before="2"/>
        <w:rPr>
          <w:rFonts w:ascii="宋体" w:hAnsi="宋体" w:cs="宋体" w:eastAsia="宋体" w:hint="default"/>
          <w:sz w:val="12"/>
          <w:szCs w:val="12"/>
        </w:rPr>
      </w:pPr>
    </w:p>
    <w:p>
      <w:pPr>
        <w:pStyle w:val="BodyText"/>
        <w:spacing w:line="240" w:lineRule="auto" w:before="44"/>
        <w:ind w:left="514" w:right="2239"/>
        <w:jc w:val="left"/>
      </w:pPr>
      <w:r>
        <w:rPr/>
        <w:t>2、政府补助</w:t>
      </w:r>
    </w:p>
    <w:p>
      <w:pPr>
        <w:spacing w:line="240" w:lineRule="auto" w:before="3"/>
        <w:rPr>
          <w:rFonts w:ascii="宋体" w:hAnsi="宋体" w:cs="宋体" w:eastAsia="宋体" w:hint="default"/>
          <w:sz w:val="22"/>
          <w:szCs w:val="22"/>
        </w:rPr>
      </w:pPr>
    </w:p>
    <w:p>
      <w:pPr>
        <w:pStyle w:val="BodyText"/>
        <w:spacing w:line="240" w:lineRule="auto"/>
        <w:ind w:left="514" w:right="2239"/>
        <w:jc w:val="left"/>
      </w:pPr>
      <w:r>
        <w:rPr/>
        <w:t>（1）计入递延收益的政府补助，后续采用总额法计量</w:t>
      </w:r>
    </w:p>
    <w:p>
      <w:pPr>
        <w:spacing w:after="0" w:line="240" w:lineRule="auto"/>
        <w:jc w:val="left"/>
        <w:sectPr>
          <w:pgSz w:w="11910" w:h="16840"/>
          <w:pgMar w:header="747" w:footer="982" w:top="1060" w:bottom="118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6"/>
          <w:szCs w:val="26"/>
        </w:rPr>
      </w:pPr>
    </w:p>
    <w:p>
      <w:pPr>
        <w:pStyle w:val="BodyText"/>
        <w:spacing w:line="240" w:lineRule="auto" w:before="44"/>
        <w:ind w:left="0" w:right="1310"/>
        <w:jc w:val="right"/>
      </w:pPr>
      <w:r>
        <w:rPr/>
        <w:t>单位： 元</w:t>
      </w:r>
    </w:p>
    <w:p>
      <w:pPr>
        <w:spacing w:line="240" w:lineRule="auto" w:before="8"/>
        <w:rPr>
          <w:rFonts w:ascii="宋体" w:hAnsi="宋体" w:cs="宋体" w:eastAsia="宋体" w:hint="default"/>
          <w:sz w:val="21"/>
          <w:szCs w:val="21"/>
        </w:rPr>
      </w:pPr>
    </w:p>
    <w:tbl>
      <w:tblPr>
        <w:tblW w:w="0" w:type="auto"/>
        <w:jc w:val="left"/>
        <w:tblInd w:w="146" w:type="dxa"/>
        <w:tblLayout w:type="fixed"/>
        <w:tblCellMar>
          <w:top w:w="0" w:type="dxa"/>
          <w:left w:w="0" w:type="dxa"/>
          <w:bottom w:w="0" w:type="dxa"/>
          <w:right w:w="0" w:type="dxa"/>
        </w:tblCellMar>
        <w:tblLook w:val="01E0"/>
      </w:tblPr>
      <w:tblGrid>
        <w:gridCol w:w="1783"/>
        <w:gridCol w:w="1403"/>
        <w:gridCol w:w="1403"/>
        <w:gridCol w:w="1288"/>
        <w:gridCol w:w="503"/>
        <w:gridCol w:w="1272"/>
        <w:gridCol w:w="938"/>
        <w:gridCol w:w="1192"/>
      </w:tblGrid>
      <w:tr>
        <w:trPr>
          <w:trHeight w:val="970" w:hRule="exact"/>
        </w:trPr>
        <w:tc>
          <w:tcPr>
            <w:tcW w:w="178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4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243" w:right="0"/>
              <w:jc w:val="left"/>
              <w:rPr>
                <w:rFonts w:ascii="宋体" w:hAnsi="宋体" w:cs="宋体" w:eastAsia="宋体" w:hint="default"/>
                <w:sz w:val="18"/>
                <w:szCs w:val="18"/>
              </w:rPr>
            </w:pPr>
            <w:r>
              <w:rPr>
                <w:rFonts w:ascii="宋体"/>
                <w:sz w:val="18"/>
              </w:rPr>
              <w:t>2018.12.31</w:t>
            </w:r>
          </w:p>
        </w:tc>
        <w:tc>
          <w:tcPr>
            <w:tcW w:w="14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603" w:right="62" w:hanging="540"/>
              <w:jc w:val="left"/>
              <w:rPr>
                <w:rFonts w:ascii="宋体" w:hAnsi="宋体" w:cs="宋体" w:eastAsia="宋体" w:hint="default"/>
                <w:sz w:val="18"/>
                <w:szCs w:val="18"/>
              </w:rPr>
            </w:pPr>
            <w:r>
              <w:rPr>
                <w:rFonts w:ascii="宋体" w:hAnsi="宋体" w:cs="宋体" w:eastAsia="宋体" w:hint="default"/>
                <w:sz w:val="18"/>
                <w:szCs w:val="18"/>
              </w:rPr>
              <w:t>本期新增补助金 额</w:t>
            </w:r>
          </w:p>
        </w:tc>
        <w:tc>
          <w:tcPr>
            <w:tcW w:w="12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276" w:right="5" w:hanging="270"/>
              <w:jc w:val="left"/>
              <w:rPr>
                <w:rFonts w:ascii="宋体" w:hAnsi="宋体" w:cs="宋体" w:eastAsia="宋体" w:hint="default"/>
                <w:sz w:val="18"/>
                <w:szCs w:val="18"/>
              </w:rPr>
            </w:pPr>
            <w:r>
              <w:rPr>
                <w:rFonts w:ascii="宋体" w:hAnsi="宋体" w:cs="宋体" w:eastAsia="宋体" w:hint="default"/>
                <w:sz w:val="18"/>
                <w:szCs w:val="18"/>
              </w:rPr>
              <w:t>本期结转计入损 益的金额</w:t>
            </w:r>
          </w:p>
        </w:tc>
        <w:tc>
          <w:tcPr>
            <w:tcW w:w="5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63" w:right="62"/>
              <w:jc w:val="left"/>
              <w:rPr>
                <w:rFonts w:ascii="宋体" w:hAnsi="宋体" w:cs="宋体" w:eastAsia="宋体" w:hint="default"/>
                <w:sz w:val="18"/>
                <w:szCs w:val="18"/>
              </w:rPr>
            </w:pPr>
            <w:r>
              <w:rPr>
                <w:rFonts w:ascii="宋体" w:hAnsi="宋体" w:cs="宋体" w:eastAsia="宋体" w:hint="default"/>
                <w:sz w:val="18"/>
                <w:szCs w:val="18"/>
              </w:rPr>
              <w:t>其他 变动</w:t>
            </w:r>
          </w:p>
        </w:tc>
        <w:tc>
          <w:tcPr>
            <w:tcW w:w="127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left="177" w:right="0"/>
              <w:jc w:val="left"/>
              <w:rPr>
                <w:rFonts w:ascii="宋体" w:hAnsi="宋体" w:cs="宋体" w:eastAsia="宋体" w:hint="default"/>
                <w:sz w:val="18"/>
                <w:szCs w:val="18"/>
              </w:rPr>
            </w:pPr>
            <w:r>
              <w:rPr>
                <w:rFonts w:ascii="宋体"/>
                <w:sz w:val="18"/>
              </w:rPr>
              <w:t>2019.12.31</w:t>
            </w:r>
          </w:p>
        </w:tc>
        <w:tc>
          <w:tcPr>
            <w:tcW w:w="93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0"/>
              <w:ind w:left="11" w:right="11"/>
              <w:jc w:val="center"/>
              <w:rPr>
                <w:rFonts w:ascii="宋体" w:hAnsi="宋体" w:cs="宋体" w:eastAsia="宋体" w:hint="default"/>
                <w:sz w:val="18"/>
                <w:szCs w:val="18"/>
              </w:rPr>
            </w:pPr>
            <w:r>
              <w:rPr>
                <w:rFonts w:ascii="宋体" w:hAnsi="宋体" w:cs="宋体" w:eastAsia="宋体" w:hint="default"/>
                <w:sz w:val="18"/>
                <w:szCs w:val="18"/>
              </w:rPr>
              <w:t>本期结转计 入损益的列 报项目</w:t>
            </w:r>
          </w:p>
        </w:tc>
        <w:tc>
          <w:tcPr>
            <w:tcW w:w="119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229" w:right="1" w:hanging="226"/>
              <w:jc w:val="left"/>
              <w:rPr>
                <w:rFonts w:ascii="宋体" w:hAnsi="宋体" w:cs="宋体" w:eastAsia="宋体" w:hint="default"/>
                <w:sz w:val="18"/>
                <w:szCs w:val="18"/>
              </w:rPr>
            </w:pPr>
            <w:r>
              <w:rPr>
                <w:rFonts w:ascii="宋体" w:hAnsi="宋体" w:cs="宋体" w:eastAsia="宋体" w:hint="default"/>
                <w:sz w:val="18"/>
                <w:szCs w:val="18"/>
              </w:rPr>
              <w:t>与资产相关/与 收益相关</w:t>
            </w:r>
          </w:p>
        </w:tc>
      </w:tr>
      <w:tr>
        <w:trPr>
          <w:trHeight w:val="659" w:hRule="exact"/>
        </w:trPr>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
              <w:jc w:val="left"/>
              <w:rPr>
                <w:rFonts w:ascii="宋体" w:hAnsi="宋体" w:cs="宋体" w:eastAsia="宋体" w:hint="default"/>
                <w:sz w:val="18"/>
                <w:szCs w:val="18"/>
              </w:rPr>
            </w:pPr>
            <w:r>
              <w:rPr>
                <w:rFonts w:ascii="宋体" w:hAnsi="宋体" w:cs="宋体" w:eastAsia="宋体" w:hint="default"/>
                <w:spacing w:val="-4"/>
                <w:sz w:val="18"/>
                <w:szCs w:val="18"/>
              </w:rPr>
              <w:t>“信阳榕基软件园”项</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目补助资金</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z w:val="18"/>
              </w:rPr>
              <w:t>38,000,000.00</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z w:val="18"/>
              </w:rPr>
              <w:t>10,000,000.00</w:t>
            </w:r>
          </w:p>
        </w:tc>
        <w:tc>
          <w:tcPr>
            <w:tcW w:w="1288" w:type="dxa"/>
            <w:tcBorders>
              <w:top w:val="single" w:sz="6" w:space="0" w:color="000000"/>
              <w:left w:val="single" w:sz="6" w:space="0" w:color="000000"/>
              <w:bottom w:val="single" w:sz="6" w:space="0" w:color="000000"/>
              <w:right w:val="single" w:sz="6" w:space="0" w:color="000000"/>
            </w:tcBorders>
          </w:tcPr>
          <w:p>
            <w:pPr/>
          </w:p>
        </w:tc>
        <w:tc>
          <w:tcPr>
            <w:tcW w:w="503"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z w:val="18"/>
              </w:rPr>
              <w:t>48,000,000.00</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59" w:hRule="exact"/>
        </w:trPr>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34"/>
              <w:jc w:val="left"/>
              <w:rPr>
                <w:rFonts w:ascii="宋体" w:hAnsi="宋体" w:cs="宋体" w:eastAsia="宋体" w:hint="default"/>
                <w:sz w:val="18"/>
                <w:szCs w:val="18"/>
              </w:rPr>
            </w:pPr>
            <w:r>
              <w:rPr>
                <w:rFonts w:ascii="宋体" w:hAnsi="宋体" w:cs="宋体" w:eastAsia="宋体" w:hint="default"/>
                <w:sz w:val="18"/>
                <w:szCs w:val="18"/>
              </w:rPr>
              <w:t>“榕基马鞍山智慧园” 项目补助资金</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z w:val="18"/>
              </w:rPr>
              <w:t>28,135,181.90</w:t>
            </w:r>
          </w:p>
        </w:tc>
        <w:tc>
          <w:tcPr>
            <w:tcW w:w="1403" w:type="dxa"/>
            <w:tcBorders>
              <w:top w:val="single" w:sz="6" w:space="0" w:color="000000"/>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z w:val="18"/>
              </w:rPr>
              <w:t>1,168,503.24</w:t>
            </w:r>
          </w:p>
        </w:tc>
        <w:tc>
          <w:tcPr>
            <w:tcW w:w="503"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z w:val="18"/>
              </w:rPr>
              <w:t>26,966,678.66</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84" w:hRule="exact"/>
        </w:trPr>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7"/>
              <w:jc w:val="both"/>
              <w:rPr>
                <w:rFonts w:ascii="宋体" w:hAnsi="宋体" w:cs="宋体" w:eastAsia="宋体" w:hint="default"/>
                <w:sz w:val="18"/>
                <w:szCs w:val="18"/>
              </w:rPr>
            </w:pPr>
            <w:r>
              <w:rPr>
                <w:rFonts w:ascii="宋体" w:hAnsi="宋体" w:cs="宋体" w:eastAsia="宋体" w:hint="default"/>
                <w:spacing w:val="12"/>
                <w:sz w:val="18"/>
                <w:szCs w:val="18"/>
              </w:rPr>
              <w:t>2017年福建省互联网</w:t>
            </w:r>
            <w:r>
              <w:rPr>
                <w:rFonts w:ascii="宋体" w:hAnsi="宋体" w:cs="宋体" w:eastAsia="宋体" w:hint="default"/>
                <w:spacing w:val="-82"/>
                <w:sz w:val="18"/>
                <w:szCs w:val="18"/>
              </w:rPr>
              <w:t> </w:t>
            </w:r>
            <w:r>
              <w:rPr>
                <w:rFonts w:ascii="宋体" w:hAnsi="宋体" w:cs="宋体" w:eastAsia="宋体" w:hint="default"/>
                <w:spacing w:val="5"/>
                <w:sz w:val="18"/>
                <w:szCs w:val="18"/>
              </w:rPr>
              <w:t>经济新增引导资金-星</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榕基中小企业信息化</w:t>
            </w:r>
            <w:r>
              <w:rPr>
                <w:rFonts w:ascii="宋体" w:hAnsi="宋体" w:cs="宋体" w:eastAsia="宋体" w:hint="default"/>
                <w:spacing w:val="-84"/>
                <w:sz w:val="18"/>
                <w:szCs w:val="18"/>
              </w:rPr>
              <w:t> </w:t>
            </w:r>
            <w:r>
              <w:rPr>
                <w:rFonts w:ascii="宋体" w:hAnsi="宋体" w:cs="宋体" w:eastAsia="宋体" w:hint="default"/>
                <w:sz w:val="18"/>
                <w:szCs w:val="18"/>
              </w:rPr>
              <w:t>公共服务平台</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1,444,444.46</w:t>
            </w:r>
          </w:p>
        </w:tc>
        <w:tc>
          <w:tcPr>
            <w:tcW w:w="1403" w:type="dxa"/>
            <w:tcBorders>
              <w:top w:val="single" w:sz="6" w:space="0" w:color="000000"/>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666,666.60</w:t>
            </w:r>
          </w:p>
        </w:tc>
        <w:tc>
          <w:tcPr>
            <w:tcW w:w="503"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777,777.86</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59" w:hRule="exact"/>
        </w:trPr>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7"/>
              <w:jc w:val="left"/>
              <w:rPr>
                <w:rFonts w:ascii="宋体" w:hAnsi="宋体" w:cs="宋体" w:eastAsia="宋体" w:hint="default"/>
                <w:sz w:val="18"/>
                <w:szCs w:val="18"/>
              </w:rPr>
            </w:pPr>
            <w:r>
              <w:rPr>
                <w:rFonts w:ascii="宋体" w:hAnsi="宋体" w:cs="宋体" w:eastAsia="宋体" w:hint="default"/>
                <w:spacing w:val="12"/>
                <w:sz w:val="18"/>
                <w:szCs w:val="18"/>
              </w:rPr>
              <w:t>2017年福州市软件产</w:t>
            </w:r>
            <w:r>
              <w:rPr>
                <w:rFonts w:ascii="宋体" w:hAnsi="宋体" w:cs="宋体" w:eastAsia="宋体" w:hint="default"/>
                <w:spacing w:val="-82"/>
                <w:sz w:val="18"/>
                <w:szCs w:val="18"/>
              </w:rPr>
              <w:t> </w:t>
            </w:r>
            <w:r>
              <w:rPr>
                <w:rFonts w:ascii="宋体" w:hAnsi="宋体" w:cs="宋体" w:eastAsia="宋体" w:hint="default"/>
                <w:sz w:val="18"/>
                <w:szCs w:val="18"/>
              </w:rPr>
              <w:t>业发展专项资金项目</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z w:val="18"/>
              </w:rPr>
              <w:t>725,000.00</w:t>
            </w:r>
          </w:p>
        </w:tc>
        <w:tc>
          <w:tcPr>
            <w:tcW w:w="1403" w:type="dxa"/>
            <w:tcBorders>
              <w:top w:val="single" w:sz="6" w:space="0" w:color="000000"/>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z w:val="18"/>
              </w:rPr>
              <w:t>300,000.00</w:t>
            </w:r>
          </w:p>
        </w:tc>
        <w:tc>
          <w:tcPr>
            <w:tcW w:w="503"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z w:val="18"/>
              </w:rPr>
              <w:t>425,000.00</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659" w:hRule="exact"/>
        </w:trPr>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5"/>
              <w:jc w:val="left"/>
              <w:rPr>
                <w:rFonts w:ascii="宋体" w:hAnsi="宋体" w:cs="宋体" w:eastAsia="宋体" w:hint="default"/>
                <w:sz w:val="18"/>
                <w:szCs w:val="18"/>
              </w:rPr>
            </w:pPr>
            <w:r>
              <w:rPr>
                <w:rFonts w:ascii="宋体" w:hAnsi="宋体" w:cs="宋体" w:eastAsia="宋体" w:hint="default"/>
                <w:spacing w:val="15"/>
                <w:sz w:val="18"/>
                <w:szCs w:val="18"/>
              </w:rPr>
              <w:t>首届福州市政府质量</w:t>
            </w:r>
            <w:r>
              <w:rPr>
                <w:rFonts w:ascii="宋体" w:hAnsi="宋体" w:cs="宋体" w:eastAsia="宋体" w:hint="default"/>
                <w:spacing w:val="-84"/>
                <w:sz w:val="18"/>
                <w:szCs w:val="18"/>
              </w:rPr>
              <w:t> </w:t>
            </w:r>
            <w:r>
              <w:rPr>
                <w:rFonts w:ascii="宋体" w:hAnsi="宋体" w:cs="宋体" w:eastAsia="宋体" w:hint="default"/>
                <w:sz w:val="18"/>
                <w:szCs w:val="18"/>
              </w:rPr>
              <w:t>奖奖励金</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z w:val="18"/>
              </w:rPr>
              <w:t>163,333.33</w:t>
            </w:r>
          </w:p>
        </w:tc>
        <w:tc>
          <w:tcPr>
            <w:tcW w:w="1403" w:type="dxa"/>
            <w:tcBorders>
              <w:top w:val="single" w:sz="6" w:space="0" w:color="000000"/>
              <w:left w:val="single" w:sz="6" w:space="0" w:color="000000"/>
              <w:bottom w:val="single" w:sz="6" w:space="0" w:color="000000"/>
              <w:right w:val="single" w:sz="6" w:space="0" w:color="000000"/>
            </w:tcBorders>
          </w:tcPr>
          <w:p>
            <w:pP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z w:val="18"/>
              </w:rPr>
              <w:t>40,000.00</w:t>
            </w:r>
          </w:p>
        </w:tc>
        <w:tc>
          <w:tcPr>
            <w:tcW w:w="503"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
              <w:jc w:val="right"/>
              <w:rPr>
                <w:rFonts w:ascii="宋体" w:hAnsi="宋体" w:cs="宋体" w:eastAsia="宋体" w:hint="default"/>
                <w:sz w:val="18"/>
                <w:szCs w:val="18"/>
              </w:rPr>
            </w:pPr>
            <w:r>
              <w:rPr>
                <w:rFonts w:ascii="宋体"/>
                <w:sz w:val="18"/>
              </w:rPr>
              <w:t>123,333.33</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0"/>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83" w:hRule="exact"/>
        </w:trPr>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7"/>
              <w:jc w:val="both"/>
              <w:rPr>
                <w:rFonts w:ascii="宋体" w:hAnsi="宋体" w:cs="宋体" w:eastAsia="宋体" w:hint="default"/>
                <w:sz w:val="18"/>
                <w:szCs w:val="18"/>
              </w:rPr>
            </w:pPr>
            <w:r>
              <w:rPr>
                <w:rFonts w:ascii="宋体" w:hAnsi="宋体" w:cs="宋体" w:eastAsia="宋体" w:hint="default"/>
                <w:spacing w:val="12"/>
                <w:sz w:val="18"/>
                <w:szCs w:val="18"/>
              </w:rPr>
              <w:t>2018年福建省数字经</w:t>
            </w:r>
            <w:r>
              <w:rPr>
                <w:rFonts w:ascii="宋体" w:hAnsi="宋体" w:cs="宋体" w:eastAsia="宋体" w:hint="default"/>
                <w:spacing w:val="-82"/>
                <w:sz w:val="18"/>
                <w:szCs w:val="18"/>
              </w:rPr>
              <w:t> </w:t>
            </w:r>
            <w:r>
              <w:rPr>
                <w:rFonts w:ascii="宋体" w:hAnsi="宋体" w:cs="宋体" w:eastAsia="宋体" w:hint="default"/>
                <w:spacing w:val="5"/>
                <w:sz w:val="18"/>
                <w:szCs w:val="18"/>
              </w:rPr>
              <w:t>济发展专项资金-星榕</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5"/>
                <w:sz w:val="18"/>
                <w:szCs w:val="18"/>
              </w:rPr>
              <w:t>基教育物联网示范工</w:t>
            </w:r>
            <w:r>
              <w:rPr>
                <w:rFonts w:ascii="宋体" w:hAnsi="宋体" w:cs="宋体" w:eastAsia="宋体" w:hint="default"/>
                <w:spacing w:val="-84"/>
                <w:sz w:val="18"/>
                <w:szCs w:val="18"/>
              </w:rPr>
              <w:t> </w:t>
            </w:r>
            <w:r>
              <w:rPr>
                <w:rFonts w:ascii="宋体" w:hAnsi="宋体" w:cs="宋体" w:eastAsia="宋体" w:hint="default"/>
                <w:sz w:val="18"/>
                <w:szCs w:val="18"/>
              </w:rPr>
              <w:t>程</w:t>
            </w:r>
          </w:p>
        </w:tc>
        <w:tc>
          <w:tcPr>
            <w:tcW w:w="1403"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1,000,000.00</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250,000.02</w:t>
            </w:r>
          </w:p>
        </w:tc>
        <w:tc>
          <w:tcPr>
            <w:tcW w:w="503"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749,999.98</w:t>
            </w: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1283" w:hRule="exact"/>
        </w:trPr>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1"/>
              <w:ind w:left="2" w:right="-17"/>
              <w:jc w:val="both"/>
              <w:rPr>
                <w:rFonts w:ascii="宋体" w:hAnsi="宋体" w:cs="宋体" w:eastAsia="宋体" w:hint="default"/>
                <w:sz w:val="18"/>
                <w:szCs w:val="18"/>
              </w:rPr>
            </w:pPr>
            <w:r>
              <w:rPr>
                <w:rFonts w:ascii="宋体" w:hAnsi="宋体" w:cs="宋体" w:eastAsia="宋体" w:hint="default"/>
                <w:spacing w:val="12"/>
                <w:sz w:val="18"/>
                <w:szCs w:val="18"/>
              </w:rPr>
              <w:t>2017年省级新型研发</w:t>
            </w:r>
            <w:r>
              <w:rPr>
                <w:rFonts w:ascii="宋体" w:hAnsi="宋体" w:cs="宋体" w:eastAsia="宋体" w:hint="default"/>
                <w:spacing w:val="-82"/>
                <w:sz w:val="18"/>
                <w:szCs w:val="18"/>
              </w:rPr>
              <w:t> </w:t>
            </w:r>
            <w:r>
              <w:rPr>
                <w:rFonts w:ascii="宋体" w:hAnsi="宋体" w:cs="宋体" w:eastAsia="宋体" w:hint="default"/>
                <w:spacing w:val="15"/>
                <w:sz w:val="18"/>
                <w:szCs w:val="18"/>
              </w:rPr>
              <w:t>机构非财政资金购买</w:t>
            </w:r>
            <w:r>
              <w:rPr>
                <w:rFonts w:ascii="宋体" w:hAnsi="宋体" w:cs="宋体" w:eastAsia="宋体" w:hint="default"/>
                <w:spacing w:val="-84"/>
                <w:sz w:val="18"/>
                <w:szCs w:val="18"/>
              </w:rPr>
              <w:t> </w:t>
            </w:r>
            <w:r>
              <w:rPr>
                <w:rFonts w:ascii="宋体" w:hAnsi="宋体" w:cs="宋体" w:eastAsia="宋体" w:hint="default"/>
                <w:spacing w:val="15"/>
                <w:sz w:val="18"/>
                <w:szCs w:val="18"/>
              </w:rPr>
              <w:t>科研仪器设备软件后</w:t>
            </w:r>
            <w:r>
              <w:rPr>
                <w:rFonts w:ascii="宋体" w:hAnsi="宋体" w:cs="宋体" w:eastAsia="宋体" w:hint="default"/>
                <w:spacing w:val="-84"/>
                <w:sz w:val="18"/>
                <w:szCs w:val="18"/>
              </w:rPr>
              <w:t> </w:t>
            </w:r>
            <w:r>
              <w:rPr>
                <w:rFonts w:ascii="宋体" w:hAnsi="宋体" w:cs="宋体" w:eastAsia="宋体" w:hint="default"/>
                <w:sz w:val="18"/>
                <w:szCs w:val="18"/>
              </w:rPr>
              <w:t>补助市级配套经费</w:t>
            </w:r>
          </w:p>
        </w:tc>
        <w:tc>
          <w:tcPr>
            <w:tcW w:w="1403" w:type="dxa"/>
            <w:tcBorders>
              <w:top w:val="single" w:sz="6" w:space="0" w:color="000000"/>
              <w:left w:val="single" w:sz="6" w:space="0" w:color="000000"/>
              <w:bottom w:val="single" w:sz="6" w:space="0" w:color="000000"/>
              <w:right w:val="single" w:sz="6" w:space="0" w:color="000000"/>
            </w:tcBorders>
          </w:tcPr>
          <w:p>
            <w:pP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4,623,594.00</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1"/>
              <w:jc w:val="right"/>
              <w:rPr>
                <w:rFonts w:ascii="宋体" w:hAnsi="宋体" w:cs="宋体" w:eastAsia="宋体" w:hint="default"/>
                <w:sz w:val="18"/>
                <w:szCs w:val="18"/>
              </w:rPr>
            </w:pPr>
            <w:r>
              <w:rPr>
                <w:rFonts w:ascii="宋体"/>
                <w:sz w:val="18"/>
              </w:rPr>
              <w:t>4,623,594.00</w:t>
            </w:r>
          </w:p>
        </w:tc>
        <w:tc>
          <w:tcPr>
            <w:tcW w:w="503"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9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1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9"/>
                <w:szCs w:val="19"/>
              </w:rPr>
            </w:pPr>
          </w:p>
          <w:p>
            <w:pPr>
              <w:pStyle w:val="TableParagraph"/>
              <w:spacing w:line="240" w:lineRule="auto"/>
              <w:ind w:right="0"/>
              <w:jc w:val="right"/>
              <w:rPr>
                <w:rFonts w:ascii="宋体" w:hAnsi="宋体" w:cs="宋体" w:eastAsia="宋体" w:hint="default"/>
                <w:sz w:val="18"/>
                <w:szCs w:val="18"/>
              </w:rPr>
            </w:pPr>
            <w:r>
              <w:rPr>
                <w:rFonts w:ascii="宋体" w:hAnsi="宋体" w:cs="宋体" w:eastAsia="宋体" w:hint="default"/>
                <w:sz w:val="18"/>
                <w:szCs w:val="18"/>
              </w:rPr>
              <w:t>与资产相关</w:t>
            </w:r>
          </w:p>
        </w:tc>
      </w:tr>
      <w:tr>
        <w:trPr>
          <w:trHeight w:val="348" w:hRule="exact"/>
        </w:trPr>
        <w:tc>
          <w:tcPr>
            <w:tcW w:w="178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center"/>
              <w:rPr>
                <w:rFonts w:ascii="宋体" w:hAnsi="宋体" w:cs="宋体" w:eastAsia="宋体" w:hint="default"/>
                <w:sz w:val="18"/>
                <w:szCs w:val="18"/>
              </w:rPr>
            </w:pPr>
            <w:r>
              <w:rPr>
                <w:rFonts w:ascii="宋体" w:hAnsi="宋体" w:cs="宋体" w:eastAsia="宋体" w:hint="default"/>
                <w:sz w:val="18"/>
                <w:szCs w:val="18"/>
              </w:rPr>
              <w:t>合 计</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68,467,959.69</w:t>
            </w:r>
          </w:p>
        </w:tc>
        <w:tc>
          <w:tcPr>
            <w:tcW w:w="14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15,623,594.00</w:t>
            </w:r>
          </w:p>
        </w:tc>
        <w:tc>
          <w:tcPr>
            <w:tcW w:w="1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7,048,763.86</w:t>
            </w:r>
          </w:p>
        </w:tc>
        <w:tc>
          <w:tcPr>
            <w:tcW w:w="503"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77,042,789.83</w:t>
            </w:r>
          </w:p>
        </w:tc>
        <w:tc>
          <w:tcPr>
            <w:tcW w:w="938" w:type="dxa"/>
            <w:tcBorders>
              <w:top w:val="single" w:sz="6" w:space="0" w:color="000000"/>
              <w:left w:val="single" w:sz="6" w:space="0" w:color="000000"/>
              <w:bottom w:val="single" w:sz="6" w:space="0" w:color="000000"/>
              <w:right w:val="single" w:sz="6" w:space="0" w:color="000000"/>
            </w:tcBorders>
          </w:tcPr>
          <w:p>
            <w:pPr/>
          </w:p>
        </w:tc>
        <w:tc>
          <w:tcPr>
            <w:tcW w:w="1192"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2"/>
          <w:szCs w:val="12"/>
        </w:rPr>
      </w:pPr>
    </w:p>
    <w:p>
      <w:pPr>
        <w:pStyle w:val="BodyText"/>
        <w:spacing w:line="240" w:lineRule="auto" w:before="44"/>
        <w:ind w:left="514" w:right="2239"/>
        <w:jc w:val="left"/>
      </w:pPr>
      <w:r>
        <w:rPr/>
        <w:t>（2）采用总额法计入当期损益的政府补助情况</w:t>
      </w:r>
    </w:p>
    <w:p>
      <w:pPr>
        <w:spacing w:line="240" w:lineRule="auto" w:before="11"/>
        <w:rPr>
          <w:rFonts w:ascii="宋体" w:hAnsi="宋体" w:cs="宋体" w:eastAsia="宋体" w:hint="default"/>
          <w:sz w:val="18"/>
          <w:szCs w:val="18"/>
        </w:rPr>
      </w:pPr>
    </w:p>
    <w:p>
      <w:pPr>
        <w:pStyle w:val="BodyText"/>
        <w:spacing w:line="240" w:lineRule="auto" w:before="44"/>
        <w:ind w:left="0" w:right="1131"/>
        <w:jc w:val="right"/>
      </w:pPr>
      <w:r>
        <w:rPr/>
        <w:t>单位： 元</w:t>
      </w:r>
    </w:p>
    <w:p>
      <w:pPr>
        <w:spacing w:line="240" w:lineRule="auto" w:before="8"/>
        <w:rPr>
          <w:rFonts w:ascii="宋体" w:hAnsi="宋体" w:cs="宋体" w:eastAsia="宋体" w:hint="default"/>
          <w:sz w:val="21"/>
          <w:szCs w:val="21"/>
        </w:rPr>
      </w:pPr>
    </w:p>
    <w:tbl>
      <w:tblPr>
        <w:tblW w:w="0" w:type="auto"/>
        <w:jc w:val="left"/>
        <w:tblInd w:w="146" w:type="dxa"/>
        <w:tblLayout w:type="fixed"/>
        <w:tblCellMar>
          <w:top w:w="0" w:type="dxa"/>
          <w:left w:w="0" w:type="dxa"/>
          <w:bottom w:w="0" w:type="dxa"/>
          <w:right w:w="0" w:type="dxa"/>
        </w:tblCellMar>
        <w:tblLook w:val="01E0"/>
      </w:tblPr>
      <w:tblGrid>
        <w:gridCol w:w="4820"/>
        <w:gridCol w:w="1276"/>
        <w:gridCol w:w="1276"/>
        <w:gridCol w:w="1134"/>
        <w:gridCol w:w="1276"/>
      </w:tblGrid>
      <w:tr>
        <w:trPr>
          <w:trHeight w:val="658" w:hRule="exact"/>
        </w:trPr>
        <w:tc>
          <w:tcPr>
            <w:tcW w:w="482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补助项目</w:t>
            </w:r>
          </w:p>
        </w:tc>
        <w:tc>
          <w:tcPr>
            <w:tcW w:w="12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0"/>
              <w:ind w:left="359" w:right="89" w:hanging="270"/>
              <w:jc w:val="left"/>
              <w:rPr>
                <w:rFonts w:ascii="宋体" w:hAnsi="宋体" w:cs="宋体" w:eastAsia="宋体" w:hint="default"/>
                <w:sz w:val="18"/>
                <w:szCs w:val="18"/>
              </w:rPr>
            </w:pPr>
            <w:r>
              <w:rPr>
                <w:rFonts w:ascii="宋体" w:hAnsi="宋体" w:cs="宋体" w:eastAsia="宋体" w:hint="default"/>
                <w:sz w:val="18"/>
                <w:szCs w:val="18"/>
              </w:rPr>
              <w:t>上期计入损益 的金额</w:t>
            </w:r>
          </w:p>
        </w:tc>
        <w:tc>
          <w:tcPr>
            <w:tcW w:w="12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0"/>
              <w:ind w:left="360" w:right="89" w:hanging="270"/>
              <w:jc w:val="left"/>
              <w:rPr>
                <w:rFonts w:ascii="宋体" w:hAnsi="宋体" w:cs="宋体" w:eastAsia="宋体" w:hint="default"/>
                <w:sz w:val="18"/>
                <w:szCs w:val="18"/>
              </w:rPr>
            </w:pPr>
            <w:r>
              <w:rPr>
                <w:rFonts w:ascii="宋体" w:hAnsi="宋体" w:cs="宋体" w:eastAsia="宋体" w:hint="default"/>
                <w:sz w:val="18"/>
                <w:szCs w:val="18"/>
              </w:rPr>
              <w:t>本期计入损益 的金额</w:t>
            </w:r>
          </w:p>
        </w:tc>
        <w:tc>
          <w:tcPr>
            <w:tcW w:w="11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0"/>
              <w:ind w:left="289" w:right="18" w:hanging="270"/>
              <w:jc w:val="left"/>
              <w:rPr>
                <w:rFonts w:ascii="宋体" w:hAnsi="宋体" w:cs="宋体" w:eastAsia="宋体" w:hint="default"/>
                <w:sz w:val="18"/>
                <w:szCs w:val="18"/>
              </w:rPr>
            </w:pPr>
            <w:r>
              <w:rPr>
                <w:rFonts w:ascii="宋体" w:hAnsi="宋体" w:cs="宋体" w:eastAsia="宋体" w:hint="default"/>
                <w:sz w:val="18"/>
                <w:szCs w:val="18"/>
              </w:rPr>
              <w:t>计入损益的列 报项目</w:t>
            </w:r>
          </w:p>
        </w:tc>
        <w:tc>
          <w:tcPr>
            <w:tcW w:w="127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316" w:lineRule="auto" w:before="20"/>
              <w:ind w:left="270" w:right="43" w:hanging="225"/>
              <w:jc w:val="left"/>
              <w:rPr>
                <w:rFonts w:ascii="宋体" w:hAnsi="宋体" w:cs="宋体" w:eastAsia="宋体" w:hint="default"/>
                <w:sz w:val="18"/>
                <w:szCs w:val="18"/>
              </w:rPr>
            </w:pPr>
            <w:r>
              <w:rPr>
                <w:rFonts w:ascii="宋体" w:hAnsi="宋体" w:cs="宋体" w:eastAsia="宋体" w:hint="default"/>
                <w:sz w:val="18"/>
                <w:szCs w:val="18"/>
              </w:rPr>
              <w:t>与资产相关/与 收益相关</w:t>
            </w:r>
          </w:p>
        </w:tc>
      </w:tr>
      <w:tr>
        <w:trPr>
          <w:trHeight w:val="347"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2018年度福建省数字经济发展专项资金</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3,000,000.00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79"/>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7"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2019年福州市软件产业发展专项资金</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900,000.00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79"/>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2018年鼓楼区科技计划项目经费</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400,000.00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79"/>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7"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2019年市级软件产业发展专项资金项目</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
              <w:jc w:val="right"/>
              <w:rPr>
                <w:rFonts w:ascii="宋体" w:hAnsi="宋体" w:cs="宋体" w:eastAsia="宋体" w:hint="default"/>
                <w:sz w:val="18"/>
                <w:szCs w:val="18"/>
              </w:rPr>
            </w:pPr>
            <w:r>
              <w:rPr>
                <w:rFonts w:ascii="宋体"/>
                <w:sz w:val="18"/>
              </w:rPr>
              <w:t>400,000.00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9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79"/>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7"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增值税税收返还</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358" w:right="0"/>
              <w:jc w:val="left"/>
              <w:rPr>
                <w:rFonts w:ascii="宋体" w:hAnsi="宋体" w:cs="宋体" w:eastAsia="宋体" w:hint="default"/>
                <w:sz w:val="18"/>
                <w:szCs w:val="18"/>
              </w:rPr>
            </w:pPr>
            <w:r>
              <w:rPr>
                <w:rFonts w:ascii="宋体"/>
                <w:sz w:val="18"/>
              </w:rPr>
              <w:t>492,659.52</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390,750.30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79"/>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7"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2019年省级软件产业发展专项资金（省级补助）</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311,000.00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79"/>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2019年中小微企业研发费用投入补助区配套资金</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250,000.00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79"/>
              <w:jc w:val="right"/>
              <w:rPr>
                <w:rFonts w:ascii="宋体" w:hAnsi="宋体" w:cs="宋体" w:eastAsia="宋体" w:hint="default"/>
                <w:sz w:val="18"/>
                <w:szCs w:val="18"/>
              </w:rPr>
            </w:pPr>
            <w:r>
              <w:rPr>
                <w:rFonts w:ascii="宋体" w:hAnsi="宋体" w:cs="宋体" w:eastAsia="宋体" w:hint="default"/>
                <w:sz w:val="18"/>
                <w:szCs w:val="18"/>
              </w:rPr>
              <w:t>与收益相关</w:t>
            </w:r>
          </w:p>
        </w:tc>
      </w:tr>
    </w:tbl>
    <w:p>
      <w:pPr>
        <w:spacing w:after="0" w:line="240" w:lineRule="auto"/>
        <w:jc w:val="right"/>
        <w:rPr>
          <w:rFonts w:ascii="宋体" w:hAnsi="宋体" w:cs="宋体" w:eastAsia="宋体"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4820"/>
        <w:gridCol w:w="1276"/>
        <w:gridCol w:w="1276"/>
        <w:gridCol w:w="1134"/>
        <w:gridCol w:w="1276"/>
      </w:tblGrid>
      <w:tr>
        <w:trPr>
          <w:trHeight w:val="347"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2019年度科技小巨人领军企业研发加计扣除奖励经费</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179,000.00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79"/>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7"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2019年省级软件产业发展专项资金（市级补助）</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155,000.00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79"/>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7"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企业知识产权贯标资助经费</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150,000.00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79"/>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2019年福建省“专精特新”中小企业认定奖励资金</w:t>
            </w:r>
          </w:p>
        </w:tc>
        <w:tc>
          <w:tcPr>
            <w:tcW w:w="1276"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150,000.00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79"/>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7"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2018年福州市战略性新兴产业科技重大项目经费</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1,000,000.00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9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79"/>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7"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2018年市区域重大项目经费</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500,000.00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79"/>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7"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2018年产学研专项补助资金</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300,000.00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79"/>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7"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2017年度鼓楼区服务业统计市区级奖励金</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300,000.00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79"/>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7"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2018年度科技小巨人领军企业研发费用加计扣除奖励</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273,000.00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79"/>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福建省第三批企业高级经营管理人才首期补助资金</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250,000.00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79"/>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7"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宋体" w:hAnsi="宋体" w:cs="宋体" w:eastAsia="宋体" w:hint="default"/>
                <w:sz w:val="18"/>
                <w:szCs w:val="18"/>
              </w:rPr>
              <w:t>2017年就业见习补贴</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0"/>
              <w:jc w:val="right"/>
              <w:rPr>
                <w:rFonts w:ascii="宋体" w:hAnsi="宋体" w:cs="宋体" w:eastAsia="宋体" w:hint="default"/>
                <w:sz w:val="18"/>
                <w:szCs w:val="18"/>
              </w:rPr>
            </w:pPr>
            <w:r>
              <w:rPr>
                <w:rFonts w:ascii="宋体"/>
                <w:sz w:val="18"/>
              </w:rPr>
              <w:t>158,880.00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9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right="179"/>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7"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2018年度企业研发经费投入分段补助专项资金</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153,100.00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79"/>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7"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2016年度服务业奖励金</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150,000.00</w:t>
            </w:r>
          </w:p>
        </w:tc>
        <w:tc>
          <w:tcPr>
            <w:tcW w:w="1276" w:type="dxa"/>
            <w:tcBorders>
              <w:top w:val="single" w:sz="6" w:space="0" w:color="000000"/>
              <w:left w:val="single" w:sz="6" w:space="0" w:color="000000"/>
              <w:bottom w:val="single" w:sz="6" w:space="0" w:color="000000"/>
              <w:right w:val="single" w:sz="6" w:space="0" w:color="000000"/>
            </w:tcBorders>
          </w:tcPr>
          <w:p>
            <w:pP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79"/>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7"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left="2" w:right="0"/>
              <w:jc w:val="left"/>
              <w:rPr>
                <w:rFonts w:ascii="宋体" w:hAnsi="宋体" w:cs="宋体" w:eastAsia="宋体" w:hint="default"/>
                <w:sz w:val="18"/>
                <w:szCs w:val="18"/>
              </w:rPr>
            </w:pPr>
            <w:r>
              <w:rPr>
                <w:rFonts w:ascii="宋体" w:hAnsi="宋体" w:cs="宋体" w:eastAsia="宋体" w:hint="default"/>
                <w:sz w:val="18"/>
                <w:szCs w:val="18"/>
              </w:rPr>
              <w:t>十五万元以下零星补助</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335,486.48</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783,902.60</w:t>
            </w:r>
          </w:p>
        </w:tc>
        <w:tc>
          <w:tcPr>
            <w:tcW w:w="11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98"/>
              <w:jc w:val="right"/>
              <w:rPr>
                <w:rFonts w:ascii="宋体" w:hAnsi="宋体" w:cs="宋体" w:eastAsia="宋体" w:hint="default"/>
                <w:sz w:val="18"/>
                <w:szCs w:val="18"/>
              </w:rPr>
            </w:pPr>
            <w:r>
              <w:rPr>
                <w:rFonts w:ascii="宋体" w:hAnsi="宋体" w:cs="宋体" w:eastAsia="宋体" w:hint="default"/>
                <w:sz w:val="18"/>
                <w:szCs w:val="18"/>
              </w:rPr>
              <w:t>其他收益</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79"/>
              <w:jc w:val="right"/>
              <w:rPr>
                <w:rFonts w:ascii="宋体" w:hAnsi="宋体" w:cs="宋体" w:eastAsia="宋体" w:hint="default"/>
                <w:sz w:val="18"/>
                <w:szCs w:val="18"/>
              </w:rPr>
            </w:pPr>
            <w:r>
              <w:rPr>
                <w:rFonts w:ascii="宋体" w:hAnsi="宋体" w:cs="宋体" w:eastAsia="宋体" w:hint="default"/>
                <w:sz w:val="18"/>
                <w:szCs w:val="18"/>
              </w:rPr>
              <w:t>与收益相关</w:t>
            </w:r>
          </w:p>
        </w:tc>
      </w:tr>
      <w:tr>
        <w:trPr>
          <w:trHeight w:val="348" w:hRule="exact"/>
        </w:trPr>
        <w:tc>
          <w:tcPr>
            <w:tcW w:w="4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center"/>
              <w:rPr>
                <w:rFonts w:ascii="宋体" w:hAnsi="宋体" w:cs="宋体" w:eastAsia="宋体" w:hint="default"/>
                <w:sz w:val="18"/>
                <w:szCs w:val="18"/>
              </w:rPr>
            </w:pPr>
            <w:r>
              <w:rPr>
                <w:rFonts w:ascii="宋体" w:hAnsi="宋体" w:cs="宋体" w:eastAsia="宋体" w:hint="default"/>
                <w:sz w:val="18"/>
                <w:szCs w:val="18"/>
              </w:rPr>
              <w:t>合 计</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0"/>
              <w:jc w:val="right"/>
              <w:rPr>
                <w:rFonts w:ascii="宋体" w:hAnsi="宋体" w:cs="宋体" w:eastAsia="宋体" w:hint="default"/>
                <w:sz w:val="18"/>
                <w:szCs w:val="18"/>
              </w:rPr>
            </w:pPr>
            <w:r>
              <w:rPr>
                <w:rFonts w:ascii="宋体"/>
                <w:sz w:val="18"/>
              </w:rPr>
              <w:t>3,913,126.00</w:t>
            </w:r>
          </w:p>
        </w:tc>
        <w:tc>
          <w:tcPr>
            <w:tcW w:w="12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1"/>
              <w:ind w:right="1"/>
              <w:jc w:val="right"/>
              <w:rPr>
                <w:rFonts w:ascii="宋体" w:hAnsi="宋体" w:cs="宋体" w:eastAsia="宋体" w:hint="default"/>
                <w:sz w:val="18"/>
                <w:szCs w:val="18"/>
              </w:rPr>
            </w:pPr>
            <w:r>
              <w:rPr>
                <w:rFonts w:ascii="宋体"/>
                <w:sz w:val="18"/>
              </w:rPr>
              <w:t>7,069,652.90</w:t>
            </w:r>
          </w:p>
        </w:tc>
        <w:tc>
          <w:tcPr>
            <w:tcW w:w="1134" w:type="dxa"/>
            <w:tcBorders>
              <w:top w:val="single" w:sz="6" w:space="0" w:color="000000"/>
              <w:left w:val="single" w:sz="6" w:space="0" w:color="000000"/>
              <w:bottom w:val="single" w:sz="6" w:space="0" w:color="000000"/>
              <w:right w:val="single" w:sz="6" w:space="0" w:color="000000"/>
            </w:tcBorders>
          </w:tcPr>
          <w:p>
            <w:pPr/>
          </w:p>
        </w:tc>
        <w:tc>
          <w:tcPr>
            <w:tcW w:w="127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rFonts w:ascii="Arial" w:hAnsi="Arial" w:cs="Arial" w:eastAsia="Arial" w:hint="default"/>
        </w:rPr>
        <w:t>8</w:t>
      </w:r>
      <w:r>
        <w:rPr/>
        <w:t>、其他</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2239"/>
        <w:jc w:val="left"/>
      </w:pPr>
      <w:r>
        <w:rPr/>
        <w:t>截至2019年12月31日，本集团不存在其他应披露的其他重要事项。</w:t>
      </w:r>
    </w:p>
    <w:p>
      <w:pPr>
        <w:spacing w:line="240" w:lineRule="auto" w:before="2"/>
        <w:rPr>
          <w:rFonts w:ascii="宋体" w:hAnsi="宋体" w:cs="宋体" w:eastAsia="宋体" w:hint="default"/>
          <w:sz w:val="25"/>
          <w:szCs w:val="25"/>
        </w:rPr>
      </w:pPr>
    </w:p>
    <w:p>
      <w:pPr>
        <w:pStyle w:val="Heading2"/>
        <w:spacing w:line="240" w:lineRule="auto"/>
        <w:ind w:right="2239"/>
        <w:jc w:val="left"/>
        <w:rPr>
          <w:b w:val="0"/>
          <w:bCs w:val="0"/>
        </w:rPr>
      </w:pPr>
      <w:r>
        <w:rPr/>
        <w:t>十七、母公司财务报表主要项目注释</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1</w:t>
      </w:r>
      <w:r>
        <w:rPr/>
        <w:t>、应收账款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t>（</w:t>
      </w:r>
      <w:r>
        <w:rPr>
          <w:rFonts w:ascii="Arial" w:hAnsi="Arial" w:cs="Arial" w:eastAsia="Arial" w:hint="default"/>
        </w:rPr>
        <w:t>1</w:t>
      </w:r>
      <w:r>
        <w:rPr/>
        <w:t>）应收账款分类披露</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74"/>
        <w:gridCol w:w="740"/>
        <w:gridCol w:w="812"/>
        <w:gridCol w:w="764"/>
        <w:gridCol w:w="798"/>
        <w:gridCol w:w="798"/>
        <w:gridCol w:w="801"/>
        <w:gridCol w:w="921"/>
      </w:tblGrid>
      <w:tr>
        <w:trPr>
          <w:trHeight w:val="402" w:hRule="exact"/>
        </w:trPr>
        <w:tc>
          <w:tcPr>
            <w:tcW w:w="1635" w:type="dxa"/>
            <w:vMerge w:val="restart"/>
            <w:tcBorders>
              <w:top w:val="single" w:sz="4" w:space="0" w:color="000000"/>
              <w:left w:val="single" w:sz="4" w:space="0" w:color="000000"/>
              <w:right w:val="single" w:sz="4" w:space="0" w:color="000000"/>
            </w:tcBorders>
            <w:shd w:val="clear" w:color="auto" w:fill="D3D3D3"/>
          </w:tcPr>
          <w:p>
            <w:pPr/>
          </w:p>
        </w:tc>
        <w:tc>
          <w:tcPr>
            <w:tcW w:w="3851"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082" w:type="dxa"/>
            <w:gridSpan w:val="5"/>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61" w:hRule="exact"/>
        </w:trPr>
        <w:tc>
          <w:tcPr>
            <w:tcW w:w="1635" w:type="dxa"/>
            <w:vMerge/>
            <w:tcBorders>
              <w:left w:val="single" w:sz="4" w:space="0" w:color="000000"/>
              <w:bottom w:val="nil" w:sz="6" w:space="0" w:color="auto"/>
              <w:right w:val="single" w:sz="4" w:space="0" w:color="000000"/>
            </w:tcBorders>
            <w:shd w:val="clear" w:color="auto" w:fill="D3D3D3"/>
          </w:tcPr>
          <w:p>
            <w:pPr/>
          </w:p>
        </w:tc>
        <w:tc>
          <w:tcPr>
            <w:tcW w:w="152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9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14"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9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812" w:type="dxa"/>
            <w:vMerge w:val="restart"/>
            <w:tcBorders>
              <w:top w:val="single" w:sz="4" w:space="0" w:color="000000"/>
              <w:left w:val="single" w:sz="4" w:space="0" w:color="000000"/>
              <w:right w:val="single" w:sz="4" w:space="0" w:color="000000"/>
            </w:tcBorders>
            <w:shd w:val="clear" w:color="auto" w:fill="D3D3D3"/>
          </w:tcPr>
          <w:p>
            <w:pPr/>
          </w:p>
        </w:tc>
        <w:tc>
          <w:tcPr>
            <w:tcW w:w="1562"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0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9"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4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921" w:type="dxa"/>
            <w:vMerge w:val="restart"/>
            <w:tcBorders>
              <w:top w:val="single" w:sz="4" w:space="0" w:color="000000"/>
              <w:left w:val="single" w:sz="4" w:space="0" w:color="000000"/>
              <w:right w:val="single" w:sz="4" w:space="0" w:color="000000"/>
            </w:tcBorders>
            <w:shd w:val="clear" w:color="auto" w:fill="D3D3D3"/>
          </w:tcPr>
          <w:p>
            <w:pPr/>
          </w:p>
        </w:tc>
      </w:tr>
      <w:tr>
        <w:trPr>
          <w:trHeight w:val="241" w:hRule="exact"/>
        </w:trPr>
        <w:tc>
          <w:tcPr>
            <w:tcW w:w="163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525" w:type="dxa"/>
            <w:gridSpan w:val="2"/>
            <w:vMerge/>
            <w:tcBorders>
              <w:left w:val="single" w:sz="4" w:space="0" w:color="000000"/>
              <w:bottom w:val="single" w:sz="4" w:space="0" w:color="000000"/>
              <w:right w:val="single" w:sz="4" w:space="0" w:color="000000"/>
            </w:tcBorders>
            <w:shd w:val="clear" w:color="auto" w:fill="D3D3D3"/>
          </w:tcPr>
          <w:p>
            <w:pPr/>
          </w:p>
        </w:tc>
        <w:tc>
          <w:tcPr>
            <w:tcW w:w="1514" w:type="dxa"/>
            <w:gridSpan w:val="2"/>
            <w:vMerge/>
            <w:tcBorders>
              <w:left w:val="single" w:sz="4" w:space="0" w:color="000000"/>
              <w:bottom w:val="single" w:sz="4" w:space="0" w:color="000000"/>
              <w:right w:val="single" w:sz="4" w:space="0" w:color="000000"/>
            </w:tcBorders>
            <w:shd w:val="clear" w:color="auto" w:fill="D3D3D3"/>
          </w:tcPr>
          <w:p>
            <w:pPr/>
          </w:p>
        </w:tc>
        <w:tc>
          <w:tcPr>
            <w:tcW w:w="812" w:type="dxa"/>
            <w:vMerge/>
            <w:tcBorders>
              <w:left w:val="single" w:sz="4" w:space="0" w:color="000000"/>
              <w:bottom w:val="nil" w:sz="6" w:space="0" w:color="auto"/>
              <w:right w:val="single" w:sz="4" w:space="0" w:color="000000"/>
            </w:tcBorders>
            <w:shd w:val="clear" w:color="auto" w:fill="D3D3D3"/>
          </w:tcPr>
          <w:p>
            <w:pPr/>
          </w:p>
        </w:tc>
        <w:tc>
          <w:tcPr>
            <w:tcW w:w="1562" w:type="dxa"/>
            <w:gridSpan w:val="2"/>
            <w:vMerge/>
            <w:tcBorders>
              <w:left w:val="single" w:sz="4" w:space="0" w:color="000000"/>
              <w:bottom w:val="single" w:sz="4" w:space="0" w:color="000000"/>
              <w:right w:val="single" w:sz="4" w:space="0" w:color="000000"/>
            </w:tcBorders>
            <w:shd w:val="clear" w:color="auto" w:fill="D3D3D3"/>
          </w:tcPr>
          <w:p>
            <w:pPr/>
          </w:p>
        </w:tc>
        <w:tc>
          <w:tcPr>
            <w:tcW w:w="1599" w:type="dxa"/>
            <w:gridSpan w:val="2"/>
            <w:vMerge/>
            <w:tcBorders>
              <w:left w:val="single" w:sz="4" w:space="0" w:color="000000"/>
              <w:bottom w:val="single" w:sz="4" w:space="0" w:color="000000"/>
              <w:right w:val="single" w:sz="4" w:space="0" w:color="000000"/>
            </w:tcBorders>
            <w:shd w:val="clear" w:color="auto" w:fill="D3D3D3"/>
          </w:tcPr>
          <w:p>
            <w:pPr/>
          </w:p>
        </w:tc>
        <w:tc>
          <w:tcPr>
            <w:tcW w:w="921" w:type="dxa"/>
            <w:vMerge/>
            <w:tcBorders>
              <w:left w:val="single" w:sz="4" w:space="0" w:color="000000"/>
              <w:bottom w:val="nil" w:sz="6" w:space="0" w:color="auto"/>
              <w:right w:val="single" w:sz="4" w:space="0" w:color="000000"/>
            </w:tcBorders>
            <w:shd w:val="clear" w:color="auto" w:fill="D3D3D3"/>
          </w:tcPr>
          <w:p>
            <w:pPr/>
          </w:p>
        </w:tc>
      </w:tr>
      <w:tr>
        <w:trPr>
          <w:trHeight w:val="159" w:hRule="exact"/>
        </w:trPr>
        <w:tc>
          <w:tcPr>
            <w:tcW w:w="1635" w:type="dxa"/>
            <w:vMerge/>
            <w:tcBorders>
              <w:left w:val="single" w:sz="4" w:space="0" w:color="000000"/>
              <w:bottom w:val="single" w:sz="4" w:space="0" w:color="FFFFFF"/>
              <w:right w:val="single" w:sz="4" w:space="0" w:color="000000"/>
            </w:tcBorders>
            <w:shd w:val="clear" w:color="auto" w:fill="D3D3D3"/>
          </w:tcPr>
          <w:p>
            <w:pPr/>
          </w:p>
        </w:tc>
        <w:tc>
          <w:tcPr>
            <w:tcW w:w="763"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762"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774" w:type="dxa"/>
            <w:tcBorders>
              <w:top w:val="single" w:sz="4" w:space="0" w:color="000000"/>
              <w:left w:val="single" w:sz="4" w:space="0" w:color="000000"/>
              <w:bottom w:val="single" w:sz="4" w:space="0" w:color="FFFFFF"/>
              <w:right w:val="single" w:sz="4" w:space="0" w:color="000000"/>
            </w:tcBorders>
            <w:shd w:val="clear" w:color="auto" w:fill="D3D3D3"/>
          </w:tcPr>
          <w:p>
            <w:pPr/>
          </w:p>
        </w:tc>
        <w:tc>
          <w:tcPr>
            <w:tcW w:w="740"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51"/>
              <w:ind w:left="274" w:right="93" w:hanging="180"/>
              <w:jc w:val="left"/>
              <w:rPr>
                <w:rFonts w:ascii="宋体" w:hAnsi="宋体" w:cs="宋体" w:eastAsia="宋体" w:hint="default"/>
                <w:sz w:val="18"/>
                <w:szCs w:val="18"/>
              </w:rPr>
            </w:pPr>
            <w:r>
              <w:rPr>
                <w:rFonts w:ascii="宋体" w:hAnsi="宋体" w:cs="宋体" w:eastAsia="宋体" w:hint="default"/>
                <w:sz w:val="18"/>
                <w:szCs w:val="18"/>
              </w:rPr>
              <w:t>计提比 例</w:t>
            </w:r>
          </w:p>
        </w:tc>
        <w:tc>
          <w:tcPr>
            <w:tcW w:w="81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left="4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764"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798" w:type="dxa"/>
            <w:tcBorders>
              <w:top w:val="single" w:sz="4" w:space="0" w:color="000000"/>
              <w:left w:val="single" w:sz="4" w:space="0" w:color="000000"/>
              <w:bottom w:val="nil" w:sz="6" w:space="0" w:color="auto"/>
              <w:right w:val="single" w:sz="4" w:space="0" w:color="000000"/>
            </w:tcBorders>
            <w:shd w:val="clear" w:color="auto" w:fill="D3D3D3"/>
          </w:tcPr>
          <w:p>
            <w:pPr/>
          </w:p>
        </w:tc>
        <w:tc>
          <w:tcPr>
            <w:tcW w:w="801" w:type="dxa"/>
            <w:tcBorders>
              <w:top w:val="single" w:sz="4" w:space="0" w:color="000000"/>
              <w:left w:val="single" w:sz="4" w:space="0" w:color="000000"/>
              <w:bottom w:val="nil" w:sz="6" w:space="0" w:color="auto"/>
              <w:right w:val="single" w:sz="4" w:space="0" w:color="000000"/>
            </w:tcBorders>
            <w:shd w:val="clear" w:color="auto" w:fill="D3D3D3"/>
          </w:tcPr>
          <w:p>
            <w:pPr/>
          </w:p>
        </w:tc>
        <w:tc>
          <w:tcPr>
            <w:tcW w:w="92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10"/>
              <w:ind w:left="89"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193" w:hRule="exact"/>
        </w:trPr>
        <w:tc>
          <w:tcPr>
            <w:tcW w:w="1635" w:type="dxa"/>
            <w:vMerge w:val="restart"/>
            <w:tcBorders>
              <w:top w:val="single" w:sz="4" w:space="0" w:color="FFFFFF"/>
              <w:left w:val="single" w:sz="4" w:space="0" w:color="000000"/>
              <w:right w:val="single" w:sz="4" w:space="0" w:color="000000"/>
            </w:tcBorders>
            <w:shd w:val="clear" w:color="auto" w:fill="D3D3D3"/>
          </w:tcPr>
          <w:p>
            <w:pPr/>
          </w:p>
        </w:tc>
        <w:tc>
          <w:tcPr>
            <w:tcW w:w="763" w:type="dxa"/>
            <w:vMerge w:val="restart"/>
            <w:tcBorders>
              <w:top w:val="single" w:sz="4" w:space="0" w:color="FFFFFF"/>
              <w:left w:val="single" w:sz="4" w:space="0" w:color="000000"/>
              <w:right w:val="single" w:sz="4" w:space="0" w:color="000000"/>
            </w:tcBorders>
            <w:shd w:val="clear" w:color="auto" w:fill="D3D3D3"/>
          </w:tcPr>
          <w:p>
            <w:pPr>
              <w:pStyle w:val="TableParagraph"/>
              <w:spacing w:line="240" w:lineRule="auto" w:before="48"/>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62" w:type="dxa"/>
            <w:vMerge w:val="restart"/>
            <w:tcBorders>
              <w:top w:val="single" w:sz="4" w:space="0" w:color="FFFFFF"/>
              <w:left w:val="single" w:sz="4" w:space="0" w:color="000000"/>
              <w:right w:val="single" w:sz="4" w:space="0" w:color="000000"/>
            </w:tcBorders>
            <w:shd w:val="clear" w:color="auto" w:fill="D3D3D3"/>
          </w:tcPr>
          <w:p>
            <w:pPr>
              <w:pStyle w:val="TableParagraph"/>
              <w:spacing w:line="240" w:lineRule="auto" w:before="48"/>
              <w:ind w:left="196"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74" w:type="dxa"/>
            <w:vMerge w:val="restart"/>
            <w:tcBorders>
              <w:top w:val="single" w:sz="4" w:space="0" w:color="FFFFFF"/>
              <w:left w:val="single" w:sz="4" w:space="0" w:color="000000"/>
              <w:right w:val="single" w:sz="4" w:space="0" w:color="000000"/>
            </w:tcBorders>
            <w:shd w:val="clear" w:color="auto" w:fill="D3D3D3"/>
          </w:tcPr>
          <w:p>
            <w:pPr>
              <w:pStyle w:val="TableParagraph"/>
              <w:spacing w:line="240" w:lineRule="auto" w:before="48"/>
              <w:ind w:left="196"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40" w:type="dxa"/>
            <w:vMerge/>
            <w:tcBorders>
              <w:left w:val="single" w:sz="4" w:space="0" w:color="000000"/>
              <w:right w:val="single" w:sz="4" w:space="0" w:color="000000"/>
            </w:tcBorders>
            <w:shd w:val="clear" w:color="auto" w:fill="D3D3D3"/>
          </w:tcPr>
          <w:p>
            <w:pPr/>
          </w:p>
        </w:tc>
        <w:tc>
          <w:tcPr>
            <w:tcW w:w="812" w:type="dxa"/>
            <w:vMerge/>
            <w:tcBorders>
              <w:left w:val="single" w:sz="4" w:space="0" w:color="000000"/>
              <w:bottom w:val="nil" w:sz="6" w:space="0" w:color="auto"/>
              <w:right w:val="single" w:sz="4" w:space="0" w:color="000000"/>
            </w:tcBorders>
            <w:shd w:val="clear" w:color="auto" w:fill="D3D3D3"/>
          </w:tcPr>
          <w:p>
            <w:pPr/>
          </w:p>
        </w:tc>
        <w:tc>
          <w:tcPr>
            <w:tcW w:w="764"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left="191"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left="214"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798"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801"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3"/>
              <w:ind w:left="30"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921" w:type="dxa"/>
            <w:vMerge/>
            <w:tcBorders>
              <w:left w:val="single" w:sz="4" w:space="0" w:color="000000"/>
              <w:bottom w:val="nil" w:sz="6" w:space="0" w:color="auto"/>
              <w:right w:val="single" w:sz="4" w:space="0" w:color="000000"/>
            </w:tcBorders>
            <w:shd w:val="clear" w:color="auto" w:fill="D3D3D3"/>
          </w:tcPr>
          <w:p>
            <w:pPr/>
          </w:p>
        </w:tc>
      </w:tr>
      <w:tr>
        <w:trPr>
          <w:trHeight w:val="202" w:hRule="exact"/>
        </w:trPr>
        <w:tc>
          <w:tcPr>
            <w:tcW w:w="1635" w:type="dxa"/>
            <w:vMerge/>
            <w:tcBorders>
              <w:left w:val="single" w:sz="4" w:space="0" w:color="000000"/>
              <w:right w:val="single" w:sz="4" w:space="0" w:color="000000"/>
            </w:tcBorders>
            <w:shd w:val="clear" w:color="auto" w:fill="D3D3D3"/>
          </w:tcPr>
          <w:p>
            <w:pPr/>
          </w:p>
        </w:tc>
        <w:tc>
          <w:tcPr>
            <w:tcW w:w="763" w:type="dxa"/>
            <w:vMerge/>
            <w:tcBorders>
              <w:left w:val="single" w:sz="4" w:space="0" w:color="000000"/>
              <w:bottom w:val="nil" w:sz="6" w:space="0" w:color="auto"/>
              <w:right w:val="single" w:sz="4" w:space="0" w:color="000000"/>
            </w:tcBorders>
            <w:shd w:val="clear" w:color="auto" w:fill="D3D3D3"/>
          </w:tcPr>
          <w:p>
            <w:pPr/>
          </w:p>
        </w:tc>
        <w:tc>
          <w:tcPr>
            <w:tcW w:w="762" w:type="dxa"/>
            <w:vMerge/>
            <w:tcBorders>
              <w:left w:val="single" w:sz="4" w:space="0" w:color="000000"/>
              <w:bottom w:val="nil" w:sz="6" w:space="0" w:color="auto"/>
              <w:right w:val="single" w:sz="4" w:space="0" w:color="000000"/>
            </w:tcBorders>
            <w:shd w:val="clear" w:color="auto" w:fill="D3D3D3"/>
          </w:tcPr>
          <w:p>
            <w:pPr/>
          </w:p>
        </w:tc>
        <w:tc>
          <w:tcPr>
            <w:tcW w:w="774" w:type="dxa"/>
            <w:vMerge/>
            <w:tcBorders>
              <w:left w:val="single" w:sz="4" w:space="0" w:color="000000"/>
              <w:bottom w:val="nil" w:sz="6" w:space="0" w:color="auto"/>
              <w:right w:val="single" w:sz="4" w:space="0" w:color="000000"/>
            </w:tcBorders>
            <w:shd w:val="clear" w:color="auto" w:fill="D3D3D3"/>
          </w:tcPr>
          <w:p>
            <w:pPr/>
          </w:p>
        </w:tc>
        <w:tc>
          <w:tcPr>
            <w:tcW w:w="740" w:type="dxa"/>
            <w:vMerge/>
            <w:tcBorders>
              <w:left w:val="single" w:sz="4" w:space="0" w:color="000000"/>
              <w:right w:val="single" w:sz="4" w:space="0" w:color="000000"/>
            </w:tcBorders>
            <w:shd w:val="clear" w:color="auto" w:fill="D3D3D3"/>
          </w:tcPr>
          <w:p>
            <w:pPr/>
          </w:p>
        </w:tc>
        <w:tc>
          <w:tcPr>
            <w:tcW w:w="812" w:type="dxa"/>
            <w:vMerge w:val="restart"/>
            <w:tcBorders>
              <w:top w:val="nil" w:sz="6" w:space="0" w:color="auto"/>
              <w:left w:val="single" w:sz="4" w:space="0" w:color="000000"/>
              <w:right w:val="single" w:sz="4" w:space="0" w:color="000000"/>
            </w:tcBorders>
            <w:shd w:val="clear" w:color="auto" w:fill="D3D3D3"/>
          </w:tcPr>
          <w:p>
            <w:pPr/>
          </w:p>
        </w:tc>
        <w:tc>
          <w:tcPr>
            <w:tcW w:w="764" w:type="dxa"/>
            <w:vMerge/>
            <w:tcBorders>
              <w:left w:val="single" w:sz="4" w:space="0" w:color="000000"/>
              <w:bottom w:val="nil" w:sz="6" w:space="0" w:color="auto"/>
              <w:right w:val="single" w:sz="4" w:space="0" w:color="000000"/>
            </w:tcBorders>
            <w:shd w:val="clear" w:color="auto" w:fill="D3D3D3"/>
          </w:tcPr>
          <w:p>
            <w:pPr/>
          </w:p>
        </w:tc>
        <w:tc>
          <w:tcPr>
            <w:tcW w:w="798" w:type="dxa"/>
            <w:vMerge/>
            <w:tcBorders>
              <w:left w:val="single" w:sz="4" w:space="0" w:color="000000"/>
              <w:bottom w:val="nil" w:sz="6" w:space="0" w:color="auto"/>
              <w:right w:val="single" w:sz="4" w:space="0" w:color="000000"/>
            </w:tcBorders>
            <w:shd w:val="clear" w:color="auto" w:fill="D3D3D3"/>
          </w:tcPr>
          <w:p>
            <w:pPr/>
          </w:p>
        </w:tc>
        <w:tc>
          <w:tcPr>
            <w:tcW w:w="798" w:type="dxa"/>
            <w:vMerge/>
            <w:tcBorders>
              <w:left w:val="single" w:sz="4" w:space="0" w:color="000000"/>
              <w:bottom w:val="nil" w:sz="6" w:space="0" w:color="auto"/>
              <w:right w:val="single" w:sz="4" w:space="0" w:color="000000"/>
            </w:tcBorders>
            <w:shd w:val="clear" w:color="auto" w:fill="D3D3D3"/>
          </w:tcPr>
          <w:p>
            <w:pPr/>
          </w:p>
        </w:tc>
        <w:tc>
          <w:tcPr>
            <w:tcW w:w="801" w:type="dxa"/>
            <w:vMerge/>
            <w:tcBorders>
              <w:left w:val="single" w:sz="4" w:space="0" w:color="000000"/>
              <w:bottom w:val="nil" w:sz="6" w:space="0" w:color="auto"/>
              <w:right w:val="single" w:sz="4" w:space="0" w:color="000000"/>
            </w:tcBorders>
            <w:shd w:val="clear" w:color="auto" w:fill="D3D3D3"/>
          </w:tcPr>
          <w:p>
            <w:pPr/>
          </w:p>
        </w:tc>
        <w:tc>
          <w:tcPr>
            <w:tcW w:w="921" w:type="dxa"/>
            <w:vMerge w:val="restart"/>
            <w:tcBorders>
              <w:top w:val="nil" w:sz="6" w:space="0" w:color="auto"/>
              <w:left w:val="single" w:sz="4" w:space="0" w:color="000000"/>
              <w:right w:val="single" w:sz="4" w:space="0" w:color="000000"/>
            </w:tcBorders>
            <w:shd w:val="clear" w:color="auto" w:fill="D3D3D3"/>
          </w:tcPr>
          <w:p>
            <w:pPr/>
          </w:p>
        </w:tc>
      </w:tr>
      <w:tr>
        <w:trPr>
          <w:trHeight w:val="160" w:hRule="exact"/>
        </w:trPr>
        <w:tc>
          <w:tcPr>
            <w:tcW w:w="1635" w:type="dxa"/>
            <w:vMerge/>
            <w:tcBorders>
              <w:left w:val="single" w:sz="4" w:space="0" w:color="000000"/>
              <w:bottom w:val="single" w:sz="4" w:space="0" w:color="000000"/>
              <w:right w:val="single" w:sz="4" w:space="0" w:color="000000"/>
            </w:tcBorders>
            <w:shd w:val="clear" w:color="auto" w:fill="D3D3D3"/>
          </w:tcPr>
          <w:p>
            <w:pPr/>
          </w:p>
        </w:tc>
        <w:tc>
          <w:tcPr>
            <w:tcW w:w="763" w:type="dxa"/>
            <w:tcBorders>
              <w:top w:val="nil" w:sz="6" w:space="0" w:color="auto"/>
              <w:left w:val="single" w:sz="4" w:space="0" w:color="000000"/>
              <w:bottom w:val="single" w:sz="4" w:space="0" w:color="000000"/>
              <w:right w:val="single" w:sz="4" w:space="0" w:color="000000"/>
            </w:tcBorders>
            <w:shd w:val="clear" w:color="auto" w:fill="D3D3D3"/>
          </w:tcPr>
          <w:p>
            <w:pPr/>
          </w:p>
        </w:tc>
        <w:tc>
          <w:tcPr>
            <w:tcW w:w="762" w:type="dxa"/>
            <w:tcBorders>
              <w:top w:val="nil" w:sz="6" w:space="0" w:color="auto"/>
              <w:left w:val="single" w:sz="4" w:space="0" w:color="000000"/>
              <w:bottom w:val="single" w:sz="4" w:space="0" w:color="000000"/>
              <w:right w:val="single" w:sz="4" w:space="0" w:color="000000"/>
            </w:tcBorders>
            <w:shd w:val="clear" w:color="auto" w:fill="D3D3D3"/>
          </w:tcPr>
          <w:p>
            <w:pPr/>
          </w:p>
        </w:tc>
        <w:tc>
          <w:tcPr>
            <w:tcW w:w="774" w:type="dxa"/>
            <w:tcBorders>
              <w:top w:val="nil" w:sz="6" w:space="0" w:color="auto"/>
              <w:left w:val="single" w:sz="4" w:space="0" w:color="000000"/>
              <w:bottom w:val="single" w:sz="4" w:space="0" w:color="000000"/>
              <w:right w:val="single" w:sz="4" w:space="0" w:color="000000"/>
            </w:tcBorders>
            <w:shd w:val="clear" w:color="auto" w:fill="D3D3D3"/>
          </w:tcPr>
          <w:p>
            <w:pPr/>
          </w:p>
        </w:tc>
        <w:tc>
          <w:tcPr>
            <w:tcW w:w="740" w:type="dxa"/>
            <w:vMerge/>
            <w:tcBorders>
              <w:left w:val="single" w:sz="4" w:space="0" w:color="000000"/>
              <w:bottom w:val="single" w:sz="4" w:space="0" w:color="000000"/>
              <w:right w:val="single" w:sz="4" w:space="0" w:color="000000"/>
            </w:tcBorders>
            <w:shd w:val="clear" w:color="auto" w:fill="D3D3D3"/>
          </w:tcPr>
          <w:p>
            <w:pPr/>
          </w:p>
        </w:tc>
        <w:tc>
          <w:tcPr>
            <w:tcW w:w="812" w:type="dxa"/>
            <w:vMerge/>
            <w:tcBorders>
              <w:left w:val="single" w:sz="4" w:space="0" w:color="000000"/>
              <w:bottom w:val="single" w:sz="4" w:space="0" w:color="000000"/>
              <w:right w:val="single" w:sz="4" w:space="0" w:color="000000"/>
            </w:tcBorders>
            <w:shd w:val="clear" w:color="auto" w:fill="D3D3D3"/>
          </w:tcPr>
          <w:p>
            <w:pPr/>
          </w:p>
        </w:tc>
        <w:tc>
          <w:tcPr>
            <w:tcW w:w="764"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798" w:type="dxa"/>
            <w:tcBorders>
              <w:top w:val="nil" w:sz="6" w:space="0" w:color="auto"/>
              <w:left w:val="single" w:sz="4" w:space="0" w:color="000000"/>
              <w:bottom w:val="single" w:sz="4" w:space="0" w:color="000000"/>
              <w:right w:val="single" w:sz="4" w:space="0" w:color="000000"/>
            </w:tcBorders>
            <w:shd w:val="clear" w:color="auto" w:fill="D3D3D3"/>
          </w:tcPr>
          <w:p>
            <w:pPr/>
          </w:p>
        </w:tc>
        <w:tc>
          <w:tcPr>
            <w:tcW w:w="801" w:type="dxa"/>
            <w:tcBorders>
              <w:top w:val="nil" w:sz="6" w:space="0" w:color="auto"/>
              <w:left w:val="single" w:sz="4" w:space="0" w:color="000000"/>
              <w:bottom w:val="single" w:sz="4" w:space="0" w:color="000000"/>
              <w:right w:val="single" w:sz="4" w:space="0" w:color="000000"/>
            </w:tcBorders>
            <w:shd w:val="clear" w:color="auto" w:fill="D3D3D3"/>
          </w:tcPr>
          <w:p>
            <w:pPr/>
          </w:p>
        </w:tc>
        <w:tc>
          <w:tcPr>
            <w:tcW w:w="921"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4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2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按组合计提坏账准 备的应收账款</w:t>
            </w:r>
          </w:p>
        </w:tc>
        <w:tc>
          <w:tcPr>
            <w:tcW w:w="76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5"/>
              <w:jc w:val="center"/>
              <w:rPr>
                <w:rFonts w:ascii="Arial" w:hAnsi="Arial" w:cs="Arial" w:eastAsia="Arial" w:hint="default"/>
                <w:sz w:val="18"/>
                <w:szCs w:val="18"/>
              </w:rPr>
            </w:pPr>
            <w:r>
              <w:rPr>
                <w:rFonts w:ascii="Arial"/>
                <w:sz w:val="18"/>
              </w:rPr>
              <w:t>161,796,</w:t>
            </w:r>
          </w:p>
          <w:p>
            <w:pPr>
              <w:pStyle w:val="TableParagraph"/>
              <w:spacing w:line="240" w:lineRule="auto" w:before="105"/>
              <w:ind w:left="143" w:right="0"/>
              <w:jc w:val="center"/>
              <w:rPr>
                <w:rFonts w:ascii="Arial" w:hAnsi="Arial" w:cs="Arial" w:eastAsia="Arial" w:hint="default"/>
                <w:sz w:val="18"/>
                <w:szCs w:val="18"/>
              </w:rPr>
            </w:pPr>
            <w:r>
              <w:rPr>
                <w:rFonts w:ascii="Arial"/>
                <w:sz w:val="18"/>
              </w:rPr>
              <w:t>959.81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100%</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Arial" w:hAnsi="Arial" w:cs="Arial" w:eastAsia="Arial" w:hint="default"/>
                <w:sz w:val="18"/>
                <w:szCs w:val="18"/>
              </w:rPr>
            </w:pPr>
            <w:r>
              <w:rPr>
                <w:rFonts w:ascii="Arial"/>
                <w:sz w:val="18"/>
              </w:rPr>
              <w:t>20,046,8</w:t>
            </w:r>
          </w:p>
          <w:p>
            <w:pPr>
              <w:pStyle w:val="TableParagraph"/>
              <w:spacing w:line="240" w:lineRule="auto" w:before="105"/>
              <w:ind w:left="279" w:right="0"/>
              <w:jc w:val="left"/>
              <w:rPr>
                <w:rFonts w:ascii="Arial" w:hAnsi="Arial" w:cs="Arial" w:eastAsia="Arial" w:hint="default"/>
                <w:sz w:val="18"/>
                <w:szCs w:val="18"/>
              </w:rPr>
            </w:pPr>
            <w:r>
              <w:rPr>
                <w:rFonts w:ascii="Arial"/>
                <w:sz w:val="18"/>
              </w:rPr>
              <w:t>66.40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Arial" w:hAnsi="Arial" w:cs="Arial" w:eastAsia="Arial" w:hint="default"/>
                <w:sz w:val="18"/>
                <w:szCs w:val="18"/>
              </w:rPr>
            </w:pPr>
            <w:r>
              <w:rPr>
                <w:rFonts w:ascii="Arial"/>
                <w:spacing w:val="-1"/>
                <w:sz w:val="18"/>
              </w:rPr>
              <w:t>12.39%</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Arial" w:hAnsi="Arial" w:cs="Arial" w:eastAsia="Arial" w:hint="default"/>
                <w:sz w:val="18"/>
                <w:szCs w:val="18"/>
              </w:rPr>
            </w:pPr>
            <w:r>
              <w:rPr>
                <w:rFonts w:ascii="Arial"/>
                <w:sz w:val="18"/>
              </w:rPr>
              <w:t>141,750,</w:t>
            </w:r>
          </w:p>
          <w:p>
            <w:pPr>
              <w:pStyle w:val="TableParagraph"/>
              <w:spacing w:line="240" w:lineRule="auto" w:before="105"/>
              <w:ind w:left="180" w:right="0"/>
              <w:jc w:val="center"/>
              <w:rPr>
                <w:rFonts w:ascii="Arial" w:hAnsi="Arial" w:cs="Arial" w:eastAsia="Arial" w:hint="default"/>
                <w:sz w:val="18"/>
                <w:szCs w:val="18"/>
              </w:rPr>
            </w:pPr>
            <w:r>
              <w:rPr>
                <w:rFonts w:ascii="Arial"/>
                <w:sz w:val="18"/>
              </w:rPr>
              <w:t>093.41</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 w:right="0"/>
              <w:jc w:val="center"/>
              <w:rPr>
                <w:rFonts w:ascii="Arial" w:hAnsi="Arial" w:cs="Arial" w:eastAsia="Arial" w:hint="default"/>
                <w:sz w:val="18"/>
                <w:szCs w:val="18"/>
              </w:rPr>
            </w:pPr>
            <w:r>
              <w:rPr>
                <w:rFonts w:ascii="Arial"/>
                <w:sz w:val="18"/>
              </w:rPr>
              <w:t>182,012,</w:t>
            </w:r>
          </w:p>
          <w:p>
            <w:pPr>
              <w:pStyle w:val="TableParagraph"/>
              <w:spacing w:line="240" w:lineRule="auto" w:before="105"/>
              <w:ind w:left="156" w:right="0"/>
              <w:jc w:val="center"/>
              <w:rPr>
                <w:rFonts w:ascii="Arial" w:hAnsi="Arial" w:cs="Arial" w:eastAsia="Arial" w:hint="default"/>
                <w:sz w:val="18"/>
                <w:szCs w:val="18"/>
              </w:rPr>
            </w:pPr>
            <w:r>
              <w:rPr>
                <w:rFonts w:ascii="Arial"/>
                <w:sz w:val="18"/>
              </w:rPr>
              <w:t>844.42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Arial" w:hAnsi="Arial" w:cs="Arial" w:eastAsia="Arial" w:hint="default"/>
                <w:sz w:val="18"/>
                <w:szCs w:val="18"/>
              </w:rPr>
            </w:pPr>
            <w:r>
              <w:rPr>
                <w:rFonts w:ascii="Arial"/>
                <w:sz w:val="18"/>
              </w:rPr>
              <w:t>17,273,2</w:t>
            </w:r>
          </w:p>
          <w:p>
            <w:pPr>
              <w:pStyle w:val="TableParagraph"/>
              <w:spacing w:line="240" w:lineRule="auto" w:before="105"/>
              <w:ind w:left="314" w:right="0"/>
              <w:jc w:val="left"/>
              <w:rPr>
                <w:rFonts w:ascii="Arial" w:hAnsi="Arial" w:cs="Arial" w:eastAsia="Arial" w:hint="default"/>
                <w:sz w:val="18"/>
                <w:szCs w:val="18"/>
              </w:rPr>
            </w:pPr>
            <w:r>
              <w:rPr>
                <w:rFonts w:ascii="Arial"/>
                <w:sz w:val="18"/>
              </w:rPr>
              <w:t>00.18</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3"/>
              <w:jc w:val="right"/>
              <w:rPr>
                <w:rFonts w:ascii="Arial" w:hAnsi="Arial" w:cs="Arial" w:eastAsia="Arial" w:hint="default"/>
                <w:sz w:val="18"/>
                <w:szCs w:val="18"/>
              </w:rPr>
            </w:pPr>
            <w:r>
              <w:rPr>
                <w:rFonts w:ascii="Arial"/>
                <w:spacing w:val="-1"/>
                <w:w w:val="95"/>
                <w:sz w:val="18"/>
              </w:rPr>
              <w:t>9.49%</w:t>
            </w:r>
            <w:r>
              <w:rPr>
                <w:rFonts w:ascii="Arial"/>
                <w:w w:val="95"/>
                <w:sz w:val="18"/>
              </w:rPr>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Arial" w:hAnsi="Arial" w:cs="Arial" w:eastAsia="Arial" w:hint="default"/>
                <w:sz w:val="18"/>
                <w:szCs w:val="18"/>
              </w:rPr>
            </w:pPr>
            <w:r>
              <w:rPr>
                <w:rFonts w:ascii="Arial"/>
                <w:sz w:val="18"/>
              </w:rPr>
              <w:t>164,739,6</w:t>
            </w:r>
          </w:p>
          <w:p>
            <w:pPr>
              <w:pStyle w:val="TableParagraph"/>
              <w:spacing w:line="240" w:lineRule="auto" w:before="105"/>
              <w:ind w:left="437" w:right="0"/>
              <w:jc w:val="left"/>
              <w:rPr>
                <w:rFonts w:ascii="Arial" w:hAnsi="Arial" w:cs="Arial" w:eastAsia="Arial" w:hint="default"/>
                <w:sz w:val="18"/>
                <w:szCs w:val="18"/>
              </w:rPr>
            </w:pPr>
            <w:r>
              <w:rPr>
                <w:rFonts w:ascii="Arial"/>
                <w:sz w:val="18"/>
              </w:rPr>
              <w:t>44.24</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763"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7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40"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12"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64"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801" w:type="dxa"/>
            <w:tcBorders>
              <w:top w:val="single" w:sz="4" w:space="0" w:color="000000"/>
              <w:left w:val="single" w:sz="4" w:space="0" w:color="000000"/>
              <w:bottom w:val="single" w:sz="4" w:space="0" w:color="000000"/>
              <w:right w:val="single" w:sz="4" w:space="0" w:color="000000"/>
            </w:tcBorders>
            <w:shd w:val="clear" w:color="auto" w:fill="D3D3D3"/>
          </w:tcPr>
          <w:p>
            <w:pPr/>
          </w:p>
        </w:tc>
        <w:tc>
          <w:tcPr>
            <w:tcW w:w="921" w:type="dxa"/>
            <w:tcBorders>
              <w:top w:val="single" w:sz="4" w:space="0" w:color="000000"/>
              <w:left w:val="single" w:sz="4" w:space="0" w:color="000000"/>
              <w:bottom w:val="single" w:sz="4" w:space="0" w:color="000000"/>
              <w:right w:val="single" w:sz="4" w:space="0" w:color="000000"/>
            </w:tcBorders>
            <w:shd w:val="clear" w:color="auto" w:fill="D3D3D3"/>
          </w:tcPr>
          <w:p>
            <w:pP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60"/>
              <w:jc w:val="left"/>
              <w:rPr>
                <w:rFonts w:ascii="宋体" w:hAnsi="宋体" w:cs="宋体" w:eastAsia="宋体" w:hint="default"/>
                <w:sz w:val="18"/>
                <w:szCs w:val="18"/>
              </w:rPr>
            </w:pPr>
            <w:r>
              <w:rPr>
                <w:rFonts w:ascii="宋体" w:hAnsi="宋体" w:cs="宋体" w:eastAsia="宋体" w:hint="default"/>
                <w:sz w:val="18"/>
                <w:szCs w:val="18"/>
              </w:rPr>
              <w:t>应收合并报表范围 内客户</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left"/>
              <w:rPr>
                <w:rFonts w:ascii="Arial" w:hAnsi="Arial" w:cs="Arial" w:eastAsia="Arial" w:hint="default"/>
                <w:sz w:val="18"/>
                <w:szCs w:val="18"/>
              </w:rPr>
            </w:pPr>
            <w:r>
              <w:rPr>
                <w:rFonts w:ascii="Arial"/>
                <w:sz w:val="18"/>
              </w:rPr>
              <w:t>36,364,0</w:t>
            </w:r>
          </w:p>
          <w:p>
            <w:pPr>
              <w:pStyle w:val="TableParagraph"/>
              <w:spacing w:line="240" w:lineRule="auto" w:before="105"/>
              <w:ind w:left="280" w:right="0"/>
              <w:jc w:val="left"/>
              <w:rPr>
                <w:rFonts w:ascii="Arial" w:hAnsi="Arial" w:cs="Arial" w:eastAsia="Arial" w:hint="default"/>
                <w:sz w:val="18"/>
                <w:szCs w:val="18"/>
              </w:rPr>
            </w:pPr>
            <w:r>
              <w:rPr>
                <w:rFonts w:ascii="Arial"/>
                <w:sz w:val="18"/>
              </w:rPr>
              <w:t>58.80</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22.48%</w:t>
            </w:r>
          </w:p>
        </w:tc>
        <w:tc>
          <w:tcPr>
            <w:tcW w:w="774" w:type="dxa"/>
            <w:tcBorders>
              <w:top w:val="single" w:sz="4" w:space="0" w:color="000000"/>
              <w:left w:val="single" w:sz="4" w:space="0" w:color="000000"/>
              <w:bottom w:val="single" w:sz="4" w:space="0" w:color="000000"/>
              <w:right w:val="single" w:sz="4" w:space="0" w:color="000000"/>
            </w:tcBorders>
          </w:tcPr>
          <w:p>
            <w:pPr/>
          </w:p>
        </w:tc>
        <w:tc>
          <w:tcPr>
            <w:tcW w:w="740" w:type="dxa"/>
            <w:tcBorders>
              <w:top w:val="single" w:sz="4" w:space="0" w:color="000000"/>
              <w:left w:val="single" w:sz="4" w:space="0" w:color="000000"/>
              <w:bottom w:val="single" w:sz="4" w:space="0" w:color="000000"/>
              <w:right w:val="single" w:sz="4" w:space="0" w:color="000000"/>
            </w:tcBorders>
          </w:tcPr>
          <w:p>
            <w:pP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6" w:right="0"/>
              <w:jc w:val="left"/>
              <w:rPr>
                <w:rFonts w:ascii="Arial" w:hAnsi="Arial" w:cs="Arial" w:eastAsia="Arial" w:hint="default"/>
                <w:sz w:val="18"/>
                <w:szCs w:val="18"/>
              </w:rPr>
            </w:pPr>
            <w:r>
              <w:rPr>
                <w:rFonts w:ascii="Arial"/>
                <w:sz w:val="18"/>
              </w:rPr>
              <w:t>36,364,0</w:t>
            </w:r>
          </w:p>
          <w:p>
            <w:pPr>
              <w:pStyle w:val="TableParagraph"/>
              <w:spacing w:line="240" w:lineRule="auto" w:before="105"/>
              <w:ind w:left="317" w:right="0"/>
              <w:jc w:val="left"/>
              <w:rPr>
                <w:rFonts w:ascii="Arial" w:hAnsi="Arial" w:cs="Arial" w:eastAsia="Arial" w:hint="default"/>
                <w:sz w:val="18"/>
                <w:szCs w:val="18"/>
              </w:rPr>
            </w:pPr>
            <w:r>
              <w:rPr>
                <w:rFonts w:ascii="Arial"/>
                <w:sz w:val="18"/>
              </w:rPr>
              <w:t>58.80</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Arial" w:hAnsi="Arial" w:cs="Arial" w:eastAsia="Arial" w:hint="default"/>
                <w:sz w:val="18"/>
                <w:szCs w:val="18"/>
              </w:rPr>
            </w:pPr>
            <w:r>
              <w:rPr>
                <w:rFonts w:ascii="Arial"/>
                <w:sz w:val="18"/>
              </w:rPr>
              <w:t>46,882,5</w:t>
            </w:r>
          </w:p>
          <w:p>
            <w:pPr>
              <w:pStyle w:val="TableParagraph"/>
              <w:spacing w:line="240" w:lineRule="auto" w:before="105"/>
              <w:ind w:left="281" w:right="0"/>
              <w:jc w:val="left"/>
              <w:rPr>
                <w:rFonts w:ascii="Arial" w:hAnsi="Arial" w:cs="Arial" w:eastAsia="Arial" w:hint="default"/>
                <w:sz w:val="18"/>
                <w:szCs w:val="18"/>
              </w:rPr>
            </w:pPr>
            <w:r>
              <w:rPr>
                <w:rFonts w:ascii="Arial"/>
                <w:sz w:val="18"/>
              </w:rPr>
              <w:t>21.31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25.76%</w:t>
            </w:r>
          </w:p>
        </w:tc>
        <w:tc>
          <w:tcPr>
            <w:tcW w:w="798" w:type="dxa"/>
            <w:tcBorders>
              <w:top w:val="single" w:sz="4" w:space="0" w:color="000000"/>
              <w:left w:val="single" w:sz="4" w:space="0" w:color="000000"/>
              <w:bottom w:val="single" w:sz="4" w:space="0" w:color="000000"/>
              <w:right w:val="single" w:sz="4" w:space="0" w:color="000000"/>
            </w:tcBorders>
          </w:tcPr>
          <w:p>
            <w:pPr/>
          </w:p>
        </w:tc>
        <w:tc>
          <w:tcPr>
            <w:tcW w:w="801" w:type="dxa"/>
            <w:tcBorders>
              <w:top w:val="single" w:sz="4" w:space="0" w:color="000000"/>
              <w:left w:val="single" w:sz="4" w:space="0" w:color="000000"/>
              <w:bottom w:val="single" w:sz="4" w:space="0" w:color="000000"/>
              <w:right w:val="single" w:sz="4" w:space="0" w:color="000000"/>
            </w:tcBorders>
          </w:tcPr>
          <w:p>
            <w:pP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Arial" w:hAnsi="Arial" w:cs="Arial" w:eastAsia="Arial" w:hint="default"/>
                <w:sz w:val="18"/>
                <w:szCs w:val="18"/>
              </w:rPr>
            </w:pPr>
            <w:r>
              <w:rPr>
                <w:rFonts w:ascii="Arial"/>
                <w:sz w:val="18"/>
              </w:rPr>
              <w:t>46,882,52</w:t>
            </w:r>
          </w:p>
          <w:p>
            <w:pPr>
              <w:pStyle w:val="TableParagraph"/>
              <w:spacing w:line="240" w:lineRule="auto" w:before="105"/>
              <w:ind w:left="536" w:right="0"/>
              <w:jc w:val="left"/>
              <w:rPr>
                <w:rFonts w:ascii="Arial" w:hAnsi="Arial" w:cs="Arial" w:eastAsia="Arial" w:hint="default"/>
                <w:sz w:val="18"/>
                <w:szCs w:val="18"/>
              </w:rPr>
            </w:pPr>
            <w:r>
              <w:rPr>
                <w:rFonts w:ascii="Arial"/>
                <w:sz w:val="18"/>
              </w:rPr>
              <w:t>1.31</w:t>
            </w: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1"/>
              <w:jc w:val="left"/>
              <w:rPr>
                <w:rFonts w:ascii="宋体" w:hAnsi="宋体" w:cs="宋体" w:eastAsia="宋体" w:hint="default"/>
                <w:sz w:val="18"/>
                <w:szCs w:val="18"/>
              </w:rPr>
            </w:pPr>
            <w:r>
              <w:rPr>
                <w:rFonts w:ascii="宋体" w:hAnsi="宋体" w:cs="宋体" w:eastAsia="宋体" w:hint="default"/>
                <w:spacing w:val="-5"/>
                <w:sz w:val="18"/>
                <w:szCs w:val="18"/>
              </w:rPr>
              <w:t>应收政府部门、事业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单位客户</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9" w:right="0"/>
              <w:jc w:val="left"/>
              <w:rPr>
                <w:rFonts w:ascii="Arial" w:hAnsi="Arial" w:cs="Arial" w:eastAsia="Arial" w:hint="default"/>
                <w:sz w:val="18"/>
                <w:szCs w:val="18"/>
              </w:rPr>
            </w:pPr>
            <w:r>
              <w:rPr>
                <w:rFonts w:ascii="Arial"/>
                <w:sz w:val="18"/>
              </w:rPr>
              <w:t>72,124,6</w:t>
            </w:r>
          </w:p>
          <w:p>
            <w:pPr>
              <w:pStyle w:val="TableParagraph"/>
              <w:spacing w:line="240" w:lineRule="auto" w:before="105"/>
              <w:ind w:left="280" w:right="0"/>
              <w:jc w:val="left"/>
              <w:rPr>
                <w:rFonts w:ascii="Arial" w:hAnsi="Arial" w:cs="Arial" w:eastAsia="Arial" w:hint="default"/>
                <w:sz w:val="18"/>
                <w:szCs w:val="18"/>
              </w:rPr>
            </w:pPr>
            <w:r>
              <w:rPr>
                <w:rFonts w:ascii="Arial"/>
                <w:sz w:val="18"/>
              </w:rPr>
              <w:t>87.51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44.57%</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Arial" w:hAnsi="Arial" w:cs="Arial" w:eastAsia="Arial" w:hint="default"/>
                <w:sz w:val="18"/>
                <w:szCs w:val="18"/>
              </w:rPr>
            </w:pPr>
            <w:r>
              <w:rPr>
                <w:rFonts w:ascii="Arial"/>
                <w:sz w:val="18"/>
              </w:rPr>
              <w:t>13,612,8</w:t>
            </w:r>
          </w:p>
          <w:p>
            <w:pPr>
              <w:pStyle w:val="TableParagraph"/>
              <w:spacing w:line="240" w:lineRule="auto" w:before="105"/>
              <w:ind w:left="279" w:right="0"/>
              <w:jc w:val="left"/>
              <w:rPr>
                <w:rFonts w:ascii="Arial" w:hAnsi="Arial" w:cs="Arial" w:eastAsia="Arial" w:hint="default"/>
                <w:sz w:val="18"/>
                <w:szCs w:val="18"/>
              </w:rPr>
            </w:pPr>
            <w:r>
              <w:rPr>
                <w:rFonts w:ascii="Arial"/>
                <w:sz w:val="18"/>
              </w:rPr>
              <w:t>57.47</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0"/>
              <w:jc w:val="right"/>
              <w:rPr>
                <w:rFonts w:ascii="Arial" w:hAnsi="Arial" w:cs="Arial" w:eastAsia="Arial" w:hint="default"/>
                <w:sz w:val="18"/>
                <w:szCs w:val="18"/>
              </w:rPr>
            </w:pPr>
            <w:r>
              <w:rPr>
                <w:rFonts w:ascii="Arial"/>
                <w:spacing w:val="-1"/>
                <w:sz w:val="18"/>
              </w:rPr>
              <w:t>18.87%</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9" w:right="0"/>
              <w:jc w:val="left"/>
              <w:rPr>
                <w:rFonts w:ascii="Arial" w:hAnsi="Arial" w:cs="Arial" w:eastAsia="Arial" w:hint="default"/>
                <w:sz w:val="18"/>
                <w:szCs w:val="18"/>
              </w:rPr>
            </w:pPr>
            <w:r>
              <w:rPr>
                <w:rFonts w:ascii="Arial"/>
                <w:spacing w:val="-3"/>
                <w:sz w:val="18"/>
              </w:rPr>
              <w:t>58,511,8</w:t>
            </w:r>
            <w:r>
              <w:rPr>
                <w:rFonts w:ascii="Arial"/>
                <w:sz w:val="18"/>
              </w:rPr>
            </w:r>
          </w:p>
          <w:p>
            <w:pPr>
              <w:pStyle w:val="TableParagraph"/>
              <w:spacing w:line="240" w:lineRule="auto" w:before="105"/>
              <w:ind w:left="317" w:right="0"/>
              <w:jc w:val="left"/>
              <w:rPr>
                <w:rFonts w:ascii="Arial" w:hAnsi="Arial" w:cs="Arial" w:eastAsia="Arial" w:hint="default"/>
                <w:sz w:val="18"/>
                <w:szCs w:val="18"/>
              </w:rPr>
            </w:pPr>
            <w:r>
              <w:rPr>
                <w:rFonts w:ascii="Arial"/>
                <w:sz w:val="18"/>
              </w:rPr>
              <w:t>30.04</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0" w:right="0"/>
              <w:jc w:val="left"/>
              <w:rPr>
                <w:rFonts w:ascii="Arial" w:hAnsi="Arial" w:cs="Arial" w:eastAsia="Arial" w:hint="default"/>
                <w:sz w:val="18"/>
                <w:szCs w:val="18"/>
              </w:rPr>
            </w:pPr>
            <w:r>
              <w:rPr>
                <w:rFonts w:ascii="Arial"/>
                <w:sz w:val="18"/>
              </w:rPr>
              <w:t>71,175,1</w:t>
            </w:r>
          </w:p>
          <w:p>
            <w:pPr>
              <w:pStyle w:val="TableParagraph"/>
              <w:spacing w:line="240" w:lineRule="auto" w:before="105"/>
              <w:ind w:left="281" w:right="0"/>
              <w:jc w:val="left"/>
              <w:rPr>
                <w:rFonts w:ascii="Arial" w:hAnsi="Arial" w:cs="Arial" w:eastAsia="Arial" w:hint="default"/>
                <w:sz w:val="18"/>
                <w:szCs w:val="18"/>
              </w:rPr>
            </w:pPr>
            <w:r>
              <w:rPr>
                <w:rFonts w:ascii="Arial"/>
                <w:sz w:val="18"/>
              </w:rPr>
              <w:t>74.23</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39.10%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Arial" w:hAnsi="Arial" w:cs="Arial" w:eastAsia="Arial" w:hint="default"/>
                <w:sz w:val="18"/>
                <w:szCs w:val="18"/>
              </w:rPr>
            </w:pPr>
            <w:r>
              <w:rPr>
                <w:rFonts w:ascii="Arial"/>
                <w:sz w:val="18"/>
              </w:rPr>
              <w:t>9,255,82</w:t>
            </w:r>
          </w:p>
          <w:p>
            <w:pPr>
              <w:pStyle w:val="TableParagraph"/>
              <w:spacing w:line="240" w:lineRule="auto" w:before="105"/>
              <w:ind w:left="413" w:right="0"/>
              <w:jc w:val="left"/>
              <w:rPr>
                <w:rFonts w:ascii="Arial" w:hAnsi="Arial" w:cs="Arial" w:eastAsia="Arial" w:hint="default"/>
                <w:sz w:val="18"/>
                <w:szCs w:val="18"/>
              </w:rPr>
            </w:pPr>
            <w:r>
              <w:rPr>
                <w:rFonts w:ascii="Arial"/>
                <w:sz w:val="18"/>
              </w:rPr>
              <w:t>2.53</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3"/>
              <w:jc w:val="right"/>
              <w:rPr>
                <w:rFonts w:ascii="Arial" w:hAnsi="Arial" w:cs="Arial" w:eastAsia="Arial" w:hint="default"/>
                <w:sz w:val="18"/>
                <w:szCs w:val="18"/>
              </w:rPr>
            </w:pPr>
            <w:r>
              <w:rPr>
                <w:rFonts w:ascii="Arial"/>
                <w:spacing w:val="-1"/>
                <w:sz w:val="18"/>
              </w:rPr>
              <w:t>13.00%</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6" w:right="0"/>
              <w:jc w:val="left"/>
              <w:rPr>
                <w:rFonts w:ascii="Arial" w:hAnsi="Arial" w:cs="Arial" w:eastAsia="Arial" w:hint="default"/>
                <w:sz w:val="18"/>
                <w:szCs w:val="18"/>
              </w:rPr>
            </w:pPr>
            <w:r>
              <w:rPr>
                <w:rFonts w:ascii="Arial"/>
                <w:sz w:val="18"/>
              </w:rPr>
              <w:t>61,919,35</w:t>
            </w:r>
          </w:p>
          <w:p>
            <w:pPr>
              <w:pStyle w:val="TableParagraph"/>
              <w:spacing w:line="240" w:lineRule="auto" w:before="105"/>
              <w:ind w:left="536" w:right="0"/>
              <w:jc w:val="left"/>
              <w:rPr>
                <w:rFonts w:ascii="Arial" w:hAnsi="Arial" w:cs="Arial" w:eastAsia="Arial" w:hint="default"/>
                <w:sz w:val="18"/>
                <w:szCs w:val="18"/>
              </w:rPr>
            </w:pPr>
            <w:r>
              <w:rPr>
                <w:rFonts w:ascii="Arial"/>
                <w:sz w:val="18"/>
              </w:rPr>
              <w:t>1.70</w:t>
            </w:r>
          </w:p>
        </w:tc>
      </w:tr>
      <w:tr>
        <w:trPr>
          <w:trHeight w:val="402" w:hRule="exact"/>
        </w:trPr>
        <w:tc>
          <w:tcPr>
            <w:tcW w:w="16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应收其他客户</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9" w:right="0"/>
              <w:jc w:val="left"/>
              <w:rPr>
                <w:rFonts w:ascii="Arial" w:hAnsi="Arial" w:cs="Arial" w:eastAsia="Arial" w:hint="default"/>
                <w:sz w:val="18"/>
                <w:szCs w:val="18"/>
              </w:rPr>
            </w:pPr>
            <w:r>
              <w:rPr>
                <w:rFonts w:ascii="Arial"/>
                <w:sz w:val="18"/>
              </w:rPr>
              <w:t>53,308,2</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32.95%</w:t>
            </w:r>
          </w:p>
        </w:tc>
        <w:tc>
          <w:tcPr>
            <w:tcW w:w="7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8" w:right="0"/>
              <w:jc w:val="left"/>
              <w:rPr>
                <w:rFonts w:ascii="Arial" w:hAnsi="Arial" w:cs="Arial" w:eastAsia="Arial" w:hint="default"/>
                <w:sz w:val="18"/>
                <w:szCs w:val="18"/>
              </w:rPr>
            </w:pPr>
            <w:r>
              <w:rPr>
                <w:rFonts w:ascii="Arial"/>
                <w:sz w:val="18"/>
              </w:rPr>
              <w:t>6,434,00</w:t>
            </w:r>
          </w:p>
        </w:tc>
        <w:tc>
          <w:tcPr>
            <w:tcW w:w="7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Arial" w:hAnsi="Arial" w:cs="Arial" w:eastAsia="Arial" w:hint="default"/>
                <w:sz w:val="18"/>
                <w:szCs w:val="18"/>
              </w:rPr>
            </w:pPr>
            <w:r>
              <w:rPr>
                <w:rFonts w:ascii="Arial"/>
                <w:spacing w:val="-1"/>
                <w:sz w:val="18"/>
              </w:rPr>
              <w:t>12.07%</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6" w:right="0"/>
              <w:jc w:val="left"/>
              <w:rPr>
                <w:rFonts w:ascii="Arial" w:hAnsi="Arial" w:cs="Arial" w:eastAsia="Arial" w:hint="default"/>
                <w:sz w:val="18"/>
                <w:szCs w:val="18"/>
              </w:rPr>
            </w:pPr>
            <w:r>
              <w:rPr>
                <w:rFonts w:ascii="Arial"/>
                <w:sz w:val="18"/>
              </w:rPr>
              <w:t>46,874,2</w:t>
            </w:r>
          </w:p>
        </w:tc>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30" w:right="0"/>
              <w:jc w:val="left"/>
              <w:rPr>
                <w:rFonts w:ascii="Arial" w:hAnsi="Arial" w:cs="Arial" w:eastAsia="Arial" w:hint="default"/>
                <w:sz w:val="18"/>
                <w:szCs w:val="18"/>
              </w:rPr>
            </w:pPr>
            <w:r>
              <w:rPr>
                <w:rFonts w:ascii="Arial"/>
                <w:sz w:val="18"/>
              </w:rPr>
              <w:t>63,955,1</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35.14%</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63" w:right="0"/>
              <w:jc w:val="left"/>
              <w:rPr>
                <w:rFonts w:ascii="Arial" w:hAnsi="Arial" w:cs="Arial" w:eastAsia="Arial" w:hint="default"/>
                <w:sz w:val="18"/>
                <w:szCs w:val="18"/>
              </w:rPr>
            </w:pPr>
            <w:r>
              <w:rPr>
                <w:rFonts w:ascii="Arial"/>
                <w:sz w:val="18"/>
              </w:rPr>
              <w:t>8,017,37</w:t>
            </w:r>
          </w:p>
        </w:tc>
        <w:tc>
          <w:tcPr>
            <w:tcW w:w="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3"/>
              <w:jc w:val="right"/>
              <w:rPr>
                <w:rFonts w:ascii="Arial" w:hAnsi="Arial" w:cs="Arial" w:eastAsia="Arial" w:hint="default"/>
                <w:sz w:val="18"/>
                <w:szCs w:val="18"/>
              </w:rPr>
            </w:pPr>
            <w:r>
              <w:rPr>
                <w:rFonts w:ascii="Arial"/>
                <w:spacing w:val="-1"/>
                <w:sz w:val="18"/>
              </w:rPr>
              <w:t>12.54%</w:t>
            </w:r>
          </w:p>
        </w:tc>
        <w:tc>
          <w:tcPr>
            <w:tcW w:w="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86" w:right="0"/>
              <w:jc w:val="left"/>
              <w:rPr>
                <w:rFonts w:ascii="Arial" w:hAnsi="Arial" w:cs="Arial" w:eastAsia="Arial" w:hint="default"/>
                <w:sz w:val="18"/>
                <w:szCs w:val="18"/>
              </w:rPr>
            </w:pPr>
            <w:r>
              <w:rPr>
                <w:rFonts w:ascii="Arial"/>
                <w:sz w:val="18"/>
              </w:rPr>
              <w:t>55,937,77</w:t>
            </w:r>
          </w:p>
        </w:tc>
      </w:tr>
    </w:tbl>
    <w:p>
      <w:pPr>
        <w:spacing w:after="0" w:line="240" w:lineRule="auto"/>
        <w:jc w:val="left"/>
        <w:rPr>
          <w:rFonts w:ascii="Arial" w:hAnsi="Arial" w:cs="Arial" w:eastAsia="Arial" w:hint="default"/>
          <w:sz w:val="18"/>
          <w:szCs w:val="18"/>
        </w:rPr>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635"/>
        <w:gridCol w:w="763"/>
        <w:gridCol w:w="762"/>
        <w:gridCol w:w="762"/>
        <w:gridCol w:w="763"/>
        <w:gridCol w:w="790"/>
        <w:gridCol w:w="775"/>
        <w:gridCol w:w="798"/>
        <w:gridCol w:w="798"/>
        <w:gridCol w:w="790"/>
        <w:gridCol w:w="932"/>
      </w:tblGrid>
      <w:tr>
        <w:trPr>
          <w:trHeight w:val="362" w:hRule="exact"/>
        </w:trPr>
        <w:tc>
          <w:tcPr>
            <w:tcW w:w="1635" w:type="dxa"/>
            <w:tcBorders>
              <w:top w:val="single" w:sz="4" w:space="0" w:color="000000"/>
              <w:left w:val="single" w:sz="4" w:space="0" w:color="000000"/>
              <w:bottom w:val="single" w:sz="4" w:space="0" w:color="000000"/>
              <w:right w:val="single" w:sz="4" w:space="0" w:color="000000"/>
            </w:tcBorders>
          </w:tcPr>
          <w:p>
            <w:pP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80" w:right="0"/>
              <w:jc w:val="left"/>
              <w:rPr>
                <w:rFonts w:ascii="Arial" w:hAnsi="Arial" w:cs="Arial" w:eastAsia="Arial" w:hint="default"/>
                <w:sz w:val="18"/>
                <w:szCs w:val="18"/>
              </w:rPr>
            </w:pPr>
            <w:r>
              <w:rPr>
                <w:rFonts w:ascii="Arial"/>
                <w:sz w:val="18"/>
              </w:rPr>
              <w:t>13.50</w:t>
            </w:r>
          </w:p>
        </w:tc>
        <w:tc>
          <w:tcPr>
            <w:tcW w:w="762" w:type="dxa"/>
            <w:tcBorders>
              <w:top w:val="single" w:sz="4" w:space="0" w:color="000000"/>
              <w:left w:val="single" w:sz="4" w:space="0" w:color="000000"/>
              <w:bottom w:val="single" w:sz="4" w:space="0" w:color="000000"/>
              <w:right w:val="single" w:sz="4" w:space="0" w:color="000000"/>
            </w:tcBorders>
          </w:tcPr>
          <w:p>
            <w:pP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79" w:right="0"/>
              <w:jc w:val="left"/>
              <w:rPr>
                <w:rFonts w:ascii="Arial" w:hAnsi="Arial" w:cs="Arial" w:eastAsia="Arial" w:hint="default"/>
                <w:sz w:val="18"/>
                <w:szCs w:val="18"/>
              </w:rPr>
            </w:pPr>
            <w:r>
              <w:rPr>
                <w:rFonts w:ascii="Arial"/>
                <w:sz w:val="18"/>
              </w:rPr>
              <w:t>8.93</w:t>
            </w:r>
          </w:p>
        </w:tc>
        <w:tc>
          <w:tcPr>
            <w:tcW w:w="763"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306" w:right="0"/>
              <w:jc w:val="left"/>
              <w:rPr>
                <w:rFonts w:ascii="Arial" w:hAnsi="Arial" w:cs="Arial" w:eastAsia="Arial" w:hint="default"/>
                <w:sz w:val="18"/>
                <w:szCs w:val="18"/>
              </w:rPr>
            </w:pPr>
            <w:r>
              <w:rPr>
                <w:rFonts w:ascii="Arial"/>
                <w:sz w:val="18"/>
              </w:rPr>
              <w:t>04.57</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92" w:right="0"/>
              <w:jc w:val="left"/>
              <w:rPr>
                <w:rFonts w:ascii="Arial" w:hAnsi="Arial" w:cs="Arial" w:eastAsia="Arial" w:hint="default"/>
                <w:sz w:val="18"/>
                <w:szCs w:val="18"/>
              </w:rPr>
            </w:pPr>
            <w:r>
              <w:rPr>
                <w:rFonts w:ascii="Arial"/>
                <w:sz w:val="18"/>
              </w:rPr>
              <w:t>48.88</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413" w:right="0"/>
              <w:jc w:val="left"/>
              <w:rPr>
                <w:rFonts w:ascii="Arial" w:hAnsi="Arial" w:cs="Arial" w:eastAsia="Arial" w:hint="default"/>
                <w:sz w:val="18"/>
                <w:szCs w:val="18"/>
              </w:rPr>
            </w:pPr>
            <w:r>
              <w:rPr>
                <w:rFonts w:ascii="Arial"/>
                <w:sz w:val="18"/>
              </w:rPr>
              <w:t>7.65</w:t>
            </w:r>
          </w:p>
        </w:tc>
        <w:tc>
          <w:tcPr>
            <w:tcW w:w="790" w:type="dxa"/>
            <w:tcBorders>
              <w:top w:val="single" w:sz="4" w:space="0" w:color="000000"/>
              <w:left w:val="single" w:sz="4" w:space="0" w:color="000000"/>
              <w:bottom w:val="single" w:sz="4" w:space="0" w:color="000000"/>
              <w:right w:val="single" w:sz="4" w:space="0" w:color="000000"/>
            </w:tcBorders>
          </w:tcPr>
          <w:p>
            <w:pP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548" w:right="0"/>
              <w:jc w:val="left"/>
              <w:rPr>
                <w:rFonts w:ascii="Arial" w:hAnsi="Arial" w:cs="Arial" w:eastAsia="Arial" w:hint="default"/>
                <w:sz w:val="18"/>
                <w:szCs w:val="18"/>
              </w:rPr>
            </w:pPr>
            <w:r>
              <w:rPr>
                <w:rFonts w:ascii="Arial"/>
                <w:sz w:val="18"/>
              </w:rPr>
              <w:t>1.23</w:t>
            </w:r>
          </w:p>
        </w:tc>
      </w:tr>
      <w:tr>
        <w:trPr>
          <w:trHeight w:val="714" w:hRule="exact"/>
        </w:trPr>
        <w:tc>
          <w:tcPr>
            <w:tcW w:w="163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Arial" w:hAnsi="Arial" w:cs="Arial" w:eastAsia="Arial" w:hint="default"/>
                <w:sz w:val="18"/>
                <w:szCs w:val="18"/>
              </w:rPr>
            </w:pPr>
            <w:r>
              <w:rPr>
                <w:rFonts w:ascii="Arial"/>
                <w:sz w:val="18"/>
              </w:rPr>
              <w:t>161,796,</w:t>
            </w:r>
          </w:p>
          <w:p>
            <w:pPr>
              <w:pStyle w:val="TableParagraph"/>
              <w:spacing w:line="240" w:lineRule="auto" w:before="105"/>
              <w:ind w:left="155" w:right="0"/>
              <w:jc w:val="center"/>
              <w:rPr>
                <w:rFonts w:ascii="Arial" w:hAnsi="Arial" w:cs="Arial" w:eastAsia="Arial" w:hint="default"/>
                <w:sz w:val="18"/>
                <w:szCs w:val="18"/>
              </w:rPr>
            </w:pPr>
            <w:r>
              <w:rPr>
                <w:rFonts w:ascii="Arial"/>
                <w:sz w:val="18"/>
              </w:rPr>
              <w:t>959.81</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100.00</w:t>
            </w:r>
          </w:p>
          <w:p>
            <w:pPr>
              <w:pStyle w:val="TableParagraph"/>
              <w:spacing w:line="240" w:lineRule="auto" w:before="105"/>
              <w:ind w:right="20"/>
              <w:jc w:val="right"/>
              <w:rPr>
                <w:rFonts w:ascii="Arial" w:hAnsi="Arial" w:cs="Arial" w:eastAsia="Arial" w:hint="default"/>
                <w:sz w:val="18"/>
                <w:szCs w:val="18"/>
              </w:rPr>
            </w:pPr>
            <w:r>
              <w:rPr>
                <w:rFonts w:ascii="Arial"/>
                <w:sz w:val="18"/>
              </w:rPr>
              <w:t>%</w:t>
            </w:r>
          </w:p>
        </w:tc>
        <w:tc>
          <w:tcPr>
            <w:tcW w:w="7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Arial" w:hAnsi="Arial" w:cs="Arial" w:eastAsia="Arial" w:hint="default"/>
                <w:sz w:val="18"/>
                <w:szCs w:val="18"/>
              </w:rPr>
            </w:pPr>
            <w:r>
              <w:rPr>
                <w:rFonts w:ascii="Arial"/>
                <w:sz w:val="18"/>
              </w:rPr>
              <w:t>20,046,8</w:t>
            </w:r>
          </w:p>
          <w:p>
            <w:pPr>
              <w:pStyle w:val="TableParagraph"/>
              <w:spacing w:line="240" w:lineRule="auto" w:before="105"/>
              <w:ind w:left="279" w:right="0"/>
              <w:jc w:val="left"/>
              <w:rPr>
                <w:rFonts w:ascii="Arial" w:hAnsi="Arial" w:cs="Arial" w:eastAsia="Arial" w:hint="default"/>
                <w:sz w:val="18"/>
                <w:szCs w:val="18"/>
              </w:rPr>
            </w:pPr>
            <w:r>
              <w:rPr>
                <w:rFonts w:ascii="Arial"/>
                <w:sz w:val="18"/>
              </w:rPr>
              <w:t>66.40</w:t>
            </w:r>
          </w:p>
        </w:tc>
        <w:tc>
          <w:tcPr>
            <w:tcW w:w="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20" w:right="0"/>
              <w:jc w:val="left"/>
              <w:rPr>
                <w:rFonts w:ascii="Arial" w:hAnsi="Arial" w:cs="Arial" w:eastAsia="Arial" w:hint="default"/>
                <w:sz w:val="18"/>
                <w:szCs w:val="18"/>
              </w:rPr>
            </w:pPr>
            <w:r>
              <w:rPr>
                <w:rFonts w:ascii="Arial"/>
                <w:sz w:val="18"/>
              </w:rPr>
              <w:t>12.39%</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center"/>
              <w:rPr>
                <w:rFonts w:ascii="Arial" w:hAnsi="Arial" w:cs="Arial" w:eastAsia="Arial" w:hint="default"/>
                <w:sz w:val="18"/>
                <w:szCs w:val="18"/>
              </w:rPr>
            </w:pPr>
            <w:r>
              <w:rPr>
                <w:rFonts w:ascii="Arial"/>
                <w:sz w:val="18"/>
              </w:rPr>
              <w:t>141,750,</w:t>
            </w:r>
          </w:p>
          <w:p>
            <w:pPr>
              <w:pStyle w:val="TableParagraph"/>
              <w:spacing w:line="240" w:lineRule="auto" w:before="105"/>
              <w:ind w:left="180" w:right="0"/>
              <w:jc w:val="center"/>
              <w:rPr>
                <w:rFonts w:ascii="Arial" w:hAnsi="Arial" w:cs="Arial" w:eastAsia="Arial" w:hint="default"/>
                <w:sz w:val="18"/>
                <w:szCs w:val="18"/>
              </w:rPr>
            </w:pPr>
            <w:r>
              <w:rPr>
                <w:rFonts w:ascii="Arial"/>
                <w:sz w:val="18"/>
              </w:rPr>
              <w:t>093.41</w:t>
            </w:r>
          </w:p>
        </w:tc>
        <w:tc>
          <w:tcPr>
            <w:tcW w:w="7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 w:right="0"/>
              <w:jc w:val="center"/>
              <w:rPr>
                <w:rFonts w:ascii="Arial" w:hAnsi="Arial" w:cs="Arial" w:eastAsia="Arial" w:hint="default"/>
                <w:sz w:val="18"/>
                <w:szCs w:val="18"/>
              </w:rPr>
            </w:pPr>
            <w:r>
              <w:rPr>
                <w:rFonts w:ascii="Arial"/>
                <w:sz w:val="18"/>
              </w:rPr>
              <w:t>182,012,</w:t>
            </w:r>
          </w:p>
          <w:p>
            <w:pPr>
              <w:pStyle w:val="TableParagraph"/>
              <w:spacing w:line="240" w:lineRule="auto" w:before="105"/>
              <w:ind w:left="168" w:right="0"/>
              <w:jc w:val="center"/>
              <w:rPr>
                <w:rFonts w:ascii="Arial" w:hAnsi="Arial" w:cs="Arial" w:eastAsia="Arial" w:hint="default"/>
                <w:sz w:val="18"/>
                <w:szCs w:val="18"/>
              </w:rPr>
            </w:pPr>
            <w:r>
              <w:rPr>
                <w:rFonts w:ascii="Arial"/>
                <w:sz w:val="18"/>
              </w:rPr>
              <w:t>844.42</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5" w:right="0"/>
              <w:jc w:val="left"/>
              <w:rPr>
                <w:rFonts w:ascii="Arial" w:hAnsi="Arial" w:cs="Arial" w:eastAsia="Arial" w:hint="default"/>
                <w:sz w:val="18"/>
                <w:szCs w:val="18"/>
              </w:rPr>
            </w:pPr>
            <w:r>
              <w:rPr>
                <w:rFonts w:ascii="Arial"/>
                <w:sz w:val="18"/>
              </w:rPr>
              <w:t>100.00%</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3" w:right="0"/>
              <w:jc w:val="left"/>
              <w:rPr>
                <w:rFonts w:ascii="Arial" w:hAnsi="Arial" w:cs="Arial" w:eastAsia="Arial" w:hint="default"/>
                <w:sz w:val="18"/>
                <w:szCs w:val="18"/>
              </w:rPr>
            </w:pPr>
            <w:r>
              <w:rPr>
                <w:rFonts w:ascii="Arial"/>
                <w:sz w:val="18"/>
              </w:rPr>
              <w:t>17,273,2</w:t>
            </w:r>
          </w:p>
          <w:p>
            <w:pPr>
              <w:pStyle w:val="TableParagraph"/>
              <w:spacing w:line="240" w:lineRule="auto" w:before="105"/>
              <w:ind w:left="314" w:right="0"/>
              <w:jc w:val="left"/>
              <w:rPr>
                <w:rFonts w:ascii="Arial" w:hAnsi="Arial" w:cs="Arial" w:eastAsia="Arial" w:hint="default"/>
                <w:sz w:val="18"/>
                <w:szCs w:val="18"/>
              </w:rPr>
            </w:pPr>
            <w:r>
              <w:rPr>
                <w:rFonts w:ascii="Arial"/>
                <w:sz w:val="18"/>
              </w:rPr>
              <w:t>00.18</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7" w:right="0"/>
              <w:jc w:val="left"/>
              <w:rPr>
                <w:rFonts w:ascii="Arial" w:hAnsi="Arial" w:cs="Arial" w:eastAsia="Arial" w:hint="default"/>
                <w:sz w:val="18"/>
                <w:szCs w:val="18"/>
              </w:rPr>
            </w:pPr>
            <w:r>
              <w:rPr>
                <w:rFonts w:ascii="Arial"/>
                <w:sz w:val="18"/>
              </w:rPr>
              <w:t>9.49%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Arial" w:hAnsi="Arial" w:cs="Arial" w:eastAsia="Arial" w:hint="default"/>
                <w:sz w:val="18"/>
                <w:szCs w:val="18"/>
              </w:rPr>
            </w:pPr>
            <w:r>
              <w:rPr>
                <w:rFonts w:ascii="Arial"/>
                <w:sz w:val="18"/>
              </w:rPr>
              <w:t>164,739,6</w:t>
            </w:r>
          </w:p>
          <w:p>
            <w:pPr>
              <w:pStyle w:val="TableParagraph"/>
              <w:spacing w:line="240" w:lineRule="auto" w:before="105"/>
              <w:ind w:left="448" w:right="0"/>
              <w:jc w:val="left"/>
              <w:rPr>
                <w:rFonts w:ascii="Arial" w:hAnsi="Arial" w:cs="Arial" w:eastAsia="Arial" w:hint="default"/>
                <w:sz w:val="18"/>
                <w:szCs w:val="18"/>
              </w:rPr>
            </w:pPr>
            <w:r>
              <w:rPr>
                <w:rFonts w:ascii="Arial"/>
                <w:sz w:val="18"/>
              </w:rPr>
              <w:t>44.24</w:t>
            </w:r>
          </w:p>
        </w:tc>
      </w:tr>
    </w:tbl>
    <w:p>
      <w:pPr>
        <w:pStyle w:val="BodyText"/>
        <w:spacing w:line="240" w:lineRule="auto" w:before="51"/>
        <w:ind w:right="2239"/>
        <w:jc w:val="left"/>
      </w:pPr>
      <w:r>
        <w:rPr/>
        <w:t>按单项计提坏账准备：</w:t>
      </w:r>
    </w:p>
    <w:p>
      <w:pPr>
        <w:pStyle w:val="BodyText"/>
        <w:spacing w:line="240" w:lineRule="auto" w:before="117"/>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3"/>
        <w:gridCol w:w="1915"/>
        <w:gridCol w:w="1914"/>
        <w:gridCol w:w="1914"/>
        <w:gridCol w:w="1903"/>
      </w:tblGrid>
      <w:tr>
        <w:trPr>
          <w:trHeight w:val="402" w:hRule="exact"/>
        </w:trPr>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7646"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913" w:type="dxa"/>
            <w:vMerge/>
            <w:tcBorders>
              <w:left w:val="single" w:sz="4" w:space="0" w:color="000000"/>
              <w:bottom w:val="single" w:sz="4" w:space="0" w:color="000000"/>
              <w:right w:val="single" w:sz="4" w:space="0" w:color="000000"/>
            </w:tcBorders>
            <w:shd w:val="clear" w:color="auto" w:fill="D3D3D3"/>
          </w:tcPr>
          <w:p>
            <w:pPr/>
          </w:p>
        </w:tc>
        <w:tc>
          <w:tcPr>
            <w:tcW w:w="19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计提比例</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591" w:right="0"/>
              <w:jc w:val="left"/>
              <w:rPr>
                <w:rFonts w:ascii="宋体" w:hAnsi="宋体" w:cs="宋体" w:eastAsia="宋体" w:hint="default"/>
                <w:sz w:val="18"/>
                <w:szCs w:val="18"/>
              </w:rPr>
            </w:pPr>
            <w:r>
              <w:rPr>
                <w:rFonts w:ascii="宋体" w:hAnsi="宋体" w:cs="宋体" w:eastAsia="宋体" w:hint="default"/>
                <w:sz w:val="18"/>
                <w:szCs w:val="18"/>
              </w:rPr>
              <w:t>计提理由</w:t>
            </w:r>
          </w:p>
        </w:tc>
      </w:tr>
    </w:tbl>
    <w:p>
      <w:pPr>
        <w:pStyle w:val="BodyText"/>
        <w:spacing w:line="240" w:lineRule="auto" w:before="51"/>
        <w:ind w:right="2239"/>
        <w:jc w:val="left"/>
      </w:pPr>
      <w:r>
        <w:rPr/>
        <w:t>按组合计提坏账准备：应收政府部门、事业单位客户</w:t>
      </w:r>
    </w:p>
    <w:p>
      <w:pPr>
        <w:pStyle w:val="BodyText"/>
        <w:spacing w:line="240" w:lineRule="auto" w:before="117"/>
        <w:ind w:left="0" w:right="113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39,576,787.98</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2,770,375.16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w w:val="95"/>
                <w:sz w:val="18"/>
              </w:rPr>
              <w:t>7.00%</w:t>
            </w:r>
            <w:r>
              <w:rPr>
                <w:rFonts w:ascii="Arial"/>
                <w:w w:val="95"/>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2</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18,840,165.91</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3,477,894.63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18.46%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7"/>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7,790,710.77</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3,265,865.95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41.92%</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5,917,022.85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4,098,721.73</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69.27%</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72,124,687.51</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13,612,857.47</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Arial" w:hAnsi="Arial" w:cs="Arial" w:eastAsia="Arial" w:hint="default"/>
                <w:sz w:val="18"/>
                <w:szCs w:val="18"/>
              </w:rPr>
            </w:pPr>
            <w:r>
              <w:rPr>
                <w:rFonts w:ascii="Arial"/>
                <w:sz w:val="18"/>
              </w:rPr>
              <w:t>--</w:t>
            </w:r>
          </w:p>
        </w:tc>
      </w:tr>
    </w:tbl>
    <w:p>
      <w:pPr>
        <w:spacing w:after="0" w:line="240" w:lineRule="auto"/>
        <w:jc w:val="center"/>
        <w:rPr>
          <w:rFonts w:ascii="Arial" w:hAnsi="Arial" w:cs="Arial" w:eastAsia="Arial" w:hint="default"/>
          <w:sz w:val="18"/>
          <w:szCs w:val="18"/>
        </w:rPr>
        <w:sectPr>
          <w:pgSz w:w="11910" w:h="16840"/>
          <w:pgMar w:header="747" w:footer="982" w:top="1060" w:bottom="1180" w:left="980" w:right="0"/>
        </w:sectPr>
      </w:pPr>
    </w:p>
    <w:p>
      <w:pPr>
        <w:pStyle w:val="BodyText"/>
        <w:spacing w:line="357" w:lineRule="auto" w:before="51"/>
        <w:ind w:left="153" w:right="-19"/>
        <w:jc w:val="left"/>
      </w:pPr>
      <w:r>
        <w:rPr/>
        <w:t>确定该组合依据的说明： 按组合计提坏账准备：应收其他客户</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0"/>
          <w:cols w:num="2" w:equalWidth="0">
            <w:col w:w="3035" w:space="5794"/>
            <w:col w:w="2101"/>
          </w:cols>
        </w:sectPr>
      </w:pP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33,671,568.14</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744,141.66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2.21%</w:t>
            </w:r>
            <w:r>
              <w:rPr>
                <w:rFonts w:ascii="Arial"/>
                <w:w w:val="95"/>
                <w:sz w:val="18"/>
              </w:rPr>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2</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12,550,034.06</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1,726,884.69</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13.76%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7"/>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2,539,107.65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450,945.52</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17.76%</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年以上</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4,547,503.65</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3,512,037.06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77.23%</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53,308,213.50</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6,434,008.93</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Arial" w:hAnsi="Arial" w:cs="Arial" w:eastAsia="Arial" w:hint="default"/>
                <w:sz w:val="18"/>
                <w:szCs w:val="18"/>
              </w:rPr>
            </w:pPr>
            <w:r>
              <w:rPr>
                <w:rFonts w:ascii="Arial"/>
                <w:sz w:val="18"/>
              </w:rPr>
              <w:t>--</w:t>
            </w:r>
          </w:p>
        </w:tc>
      </w:tr>
    </w:tbl>
    <w:p>
      <w:pPr>
        <w:spacing w:after="0" w:line="240" w:lineRule="auto"/>
        <w:jc w:val="center"/>
        <w:rPr>
          <w:rFonts w:ascii="Arial" w:hAnsi="Arial" w:cs="Arial" w:eastAsia="Arial" w:hint="default"/>
          <w:sz w:val="18"/>
          <w:szCs w:val="18"/>
        </w:rPr>
        <w:sectPr>
          <w:type w:val="continuous"/>
          <w:pgSz w:w="11910" w:h="16840"/>
          <w:pgMar w:top="1060" w:bottom="1180" w:left="980" w:right="0"/>
        </w:sectPr>
      </w:pPr>
    </w:p>
    <w:p>
      <w:pPr>
        <w:pStyle w:val="BodyText"/>
        <w:spacing w:line="360" w:lineRule="auto" w:before="51"/>
        <w:ind w:left="153" w:right="-19"/>
        <w:jc w:val="left"/>
      </w:pPr>
      <w:r>
        <w:rPr/>
        <w:t>确定该组合依据的说明： 按组合计提坏账准备：应收合并报表范围内客户</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0"/>
          <w:cols w:num="2" w:equalWidth="0">
            <w:col w:w="3935" w:space="4894"/>
            <w:col w:w="2101"/>
          </w:cols>
        </w:sectPr>
      </w:pP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年以内</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36,364,058.80</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36,364,058.80</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1"/>
              <w:ind w:right="1"/>
              <w:jc w:val="center"/>
              <w:rPr>
                <w:rFonts w:ascii="Arial" w:hAnsi="Arial" w:cs="Arial" w:eastAsia="Arial" w:hint="default"/>
                <w:sz w:val="18"/>
                <w:szCs w:val="18"/>
              </w:rPr>
            </w:pPr>
            <w:r>
              <w:rPr>
                <w:rFonts w:ascii="Arial"/>
                <w:sz w:val="18"/>
              </w:rPr>
              <w:t>--</w:t>
            </w:r>
          </w:p>
        </w:tc>
      </w:tr>
    </w:tbl>
    <w:p>
      <w:pPr>
        <w:spacing w:after="0" w:line="240" w:lineRule="auto"/>
        <w:jc w:val="center"/>
        <w:rPr>
          <w:rFonts w:ascii="Arial" w:hAnsi="Arial" w:cs="Arial" w:eastAsia="Arial" w:hint="default"/>
          <w:sz w:val="18"/>
          <w:szCs w:val="18"/>
        </w:rPr>
        <w:sectPr>
          <w:type w:val="continuous"/>
          <w:pgSz w:w="11910" w:h="16840"/>
          <w:pgMar w:top="1060" w:bottom="1180" w:left="980" w:right="0"/>
        </w:sectPr>
      </w:pPr>
    </w:p>
    <w:p>
      <w:pPr>
        <w:pStyle w:val="BodyText"/>
        <w:spacing w:line="360" w:lineRule="auto" w:before="51"/>
        <w:ind w:left="153" w:right="-19"/>
        <w:jc w:val="left"/>
      </w:pPr>
      <w:r>
        <w:rPr/>
        <w:t>确定该组合依据的说明： 按组合计提坏账准备：</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21"/>
          <w:szCs w:val="21"/>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0"/>
          <w:cols w:num="2" w:equalWidth="0">
            <w:col w:w="2135" w:space="6694"/>
            <w:col w:w="2101"/>
          </w:cols>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402" w:hRule="exact"/>
        </w:trPr>
        <w:tc>
          <w:tcPr>
            <w:tcW w:w="239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7176" w:type="dxa"/>
            <w:gridSpan w:val="3"/>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2392" w:type="dxa"/>
            <w:vMerge/>
            <w:tcBorders>
              <w:left w:val="single" w:sz="4" w:space="0" w:color="000000"/>
              <w:bottom w:val="single" w:sz="4" w:space="0" w:color="000000"/>
              <w:right w:val="single" w:sz="4" w:space="0" w:color="000000"/>
            </w:tcBorders>
            <w:shd w:val="clear" w:color="auto" w:fill="D3D3D3"/>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坏账准备</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计提比例</w:t>
            </w:r>
          </w:p>
        </w:tc>
      </w:tr>
    </w:tbl>
    <w:p>
      <w:pPr>
        <w:pStyle w:val="BodyText"/>
        <w:spacing w:line="360" w:lineRule="auto" w:before="51"/>
        <w:ind w:left="153" w:right="1751"/>
        <w:jc w:val="left"/>
      </w:pPr>
      <w:r>
        <w:rPr/>
        <w:t>确定该组合依据的说明： 如是按照预期信用损失一般模型计提应收账款坏账准备，请参照其他应收款的披露方式披露坏账准备的相关信息：</w:t>
      </w:r>
    </w:p>
    <w:p>
      <w:pPr>
        <w:pStyle w:val="BodyText"/>
        <w:spacing w:line="340" w:lineRule="auto" w:before="26"/>
        <w:ind w:right="890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按账龄披露</w:t>
      </w:r>
    </w:p>
    <w:p>
      <w:pPr>
        <w:pStyle w:val="BodyText"/>
        <w:spacing w:line="240" w:lineRule="auto" w:before="40"/>
        <w:ind w:left="0" w:right="1129"/>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1"/>
        <w:gridCol w:w="4795"/>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47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109,612,414.92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2</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47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31,390,199.97</w:t>
            </w:r>
            <w:r>
              <w:rPr>
                <w:rFonts w:ascii="Arial"/>
                <w:sz w:val="18"/>
              </w:rPr>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7"/>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47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10,329,818.42</w:t>
            </w:r>
            <w:r>
              <w:rPr>
                <w:rFonts w:ascii="Arial"/>
                <w:sz w:val="18"/>
              </w:rPr>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年以上</w:t>
            </w:r>
          </w:p>
        </w:tc>
        <w:tc>
          <w:tcPr>
            <w:tcW w:w="47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10,464,526.50</w:t>
            </w:r>
            <w:r>
              <w:rPr>
                <w:rFonts w:ascii="Arial"/>
                <w:sz w:val="18"/>
              </w:rPr>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91"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47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4,709,036.92</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91"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7"/>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5</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47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2,616,131.63</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91"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7"/>
                <w:sz w:val="18"/>
                <w:szCs w:val="18"/>
              </w:rPr>
              <w:t> </w:t>
            </w:r>
            <w:r>
              <w:rPr>
                <w:rFonts w:ascii="宋体" w:hAnsi="宋体" w:cs="宋体" w:eastAsia="宋体" w:hint="default"/>
                <w:sz w:val="18"/>
                <w:szCs w:val="18"/>
              </w:rPr>
              <w:t>年以上</w:t>
            </w:r>
          </w:p>
        </w:tc>
        <w:tc>
          <w:tcPr>
            <w:tcW w:w="47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3,139,357.95</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161,796,959.81</w:t>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t>（</w:t>
      </w:r>
      <w:r>
        <w:rPr>
          <w:rFonts w:ascii="Arial" w:hAnsi="Arial" w:cs="Arial" w:eastAsia="Arial" w:hint="default"/>
        </w:rPr>
        <w:t>2</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2239"/>
        <w:jc w:val="left"/>
      </w:pPr>
      <w:r>
        <w:rPr/>
        <w:t>本期计提坏账准备情况：</w:t>
      </w:r>
    </w:p>
    <w:p>
      <w:pPr>
        <w:pStyle w:val="BodyText"/>
        <w:spacing w:line="240" w:lineRule="auto" w:before="116"/>
        <w:ind w:left="0" w:right="113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9"/>
        <w:gridCol w:w="1367"/>
        <w:gridCol w:w="1367"/>
        <w:gridCol w:w="1367"/>
        <w:gridCol w:w="1368"/>
        <w:gridCol w:w="1367"/>
        <w:gridCol w:w="1367"/>
      </w:tblGrid>
      <w:tr>
        <w:trPr>
          <w:trHeight w:val="401" w:hRule="exact"/>
        </w:trPr>
        <w:tc>
          <w:tcPr>
            <w:tcW w:w="136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46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2" w:hRule="exact"/>
        </w:trPr>
        <w:tc>
          <w:tcPr>
            <w:tcW w:w="136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计提</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核销</w:t>
            </w:r>
          </w:p>
        </w:tc>
        <w:tc>
          <w:tcPr>
            <w:tcW w:w="13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其他</w:t>
            </w: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坏账准备金额</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17,273,200.18</w:t>
            </w:r>
            <w:r>
              <w:rPr>
                <w:rFonts w:ascii="Arial"/>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2,773,666.22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20,046,866.40</w:t>
            </w:r>
            <w:r>
              <w:rPr>
                <w:rFonts w:ascii="Arial"/>
                <w:sz w:val="18"/>
              </w:rPr>
            </w:r>
          </w:p>
        </w:tc>
      </w:tr>
      <w:tr>
        <w:trPr>
          <w:trHeight w:val="403" w:hRule="exact"/>
        </w:trPr>
        <w:tc>
          <w:tcPr>
            <w:tcW w:w="136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17,273,200.18</w:t>
            </w:r>
            <w:r>
              <w:rPr>
                <w:rFonts w:ascii="Arial"/>
                <w:sz w:val="18"/>
              </w:rPr>
            </w: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2,773,666.22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20,046,866.40</w:t>
            </w:r>
            <w:r>
              <w:rPr>
                <w:rFonts w:ascii="Arial"/>
                <w:sz w:val="18"/>
              </w:rPr>
            </w:r>
          </w:p>
        </w:tc>
      </w:tr>
    </w:tbl>
    <w:p>
      <w:pPr>
        <w:pStyle w:val="BodyText"/>
        <w:spacing w:line="240" w:lineRule="auto" w:before="51"/>
        <w:ind w:right="2239"/>
        <w:jc w:val="left"/>
      </w:pPr>
      <w:r>
        <w:rPr/>
        <w:t>其中本期坏账准备收回或转回金额重要的：</w:t>
      </w:r>
    </w:p>
    <w:p>
      <w:pPr>
        <w:pStyle w:val="BodyText"/>
        <w:spacing w:line="240" w:lineRule="auto" w:before="116"/>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68"/>
        <w:gridCol w:w="3100"/>
        <w:gridCol w:w="3100"/>
      </w:tblGrid>
      <w:tr>
        <w:trPr>
          <w:trHeight w:val="402" w:hRule="exact"/>
        </w:trPr>
        <w:tc>
          <w:tcPr>
            <w:tcW w:w="336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14" w:right="0"/>
              <w:jc w:val="left"/>
              <w:rPr>
                <w:rFonts w:ascii="宋体" w:hAnsi="宋体" w:cs="宋体" w:eastAsia="宋体" w:hint="default"/>
                <w:sz w:val="18"/>
                <w:szCs w:val="18"/>
              </w:rPr>
            </w:pPr>
            <w:r>
              <w:rPr>
                <w:rFonts w:ascii="宋体" w:hAnsi="宋体" w:cs="宋体" w:eastAsia="宋体" w:hint="default"/>
                <w:sz w:val="18"/>
                <w:szCs w:val="18"/>
              </w:rPr>
              <w:t>收回或转回金额</w:t>
            </w:r>
          </w:p>
        </w:tc>
        <w:tc>
          <w:tcPr>
            <w:tcW w:w="310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t>（</w:t>
      </w:r>
      <w:r>
        <w:rPr>
          <w:rFonts w:ascii="Arial" w:hAnsi="Arial" w:cs="Arial" w:eastAsia="Arial" w:hint="default"/>
        </w:rPr>
        <w:t>3</w:t>
      </w:r>
      <w:r>
        <w:rPr/>
        <w:t>）本期实际核销的应收账款情况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8"/>
        <w:rPr>
          <w:rFonts w:ascii="宋体" w:hAnsi="宋体" w:cs="宋体" w:eastAsia="宋体" w:hint="default"/>
          <w:sz w:val="7"/>
          <w:szCs w:val="7"/>
        </w:rPr>
      </w:pPr>
    </w:p>
    <w:p>
      <w:pPr>
        <w:spacing w:line="422"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5pt;mso-position-horizontal-relative:char;mso-position-vertical-relative:line" coordorigin="0,0" coordsize="9587,423">
            <v:group style="position:absolute;left:26;top:16;width:2;height:392" coordorigin="26,16" coordsize="2,392">
              <v:shape style="position:absolute;left:26;top:16;width:2;height:392" coordorigin="26,16" coordsize="0,392" path="m26,16l26,407e" filled="false" stroked="true" strokeweight="1.140pt" strokecolor="#d3d3d3">
                <v:path arrowok="t"/>
              </v:shape>
            </v:group>
            <v:group style="position:absolute;left:4976;top:16;width:2;height:392" coordorigin="4976,16" coordsize="2,392">
              <v:shape style="position:absolute;left:4976;top:16;width:2;height:392" coordorigin="4976,16" coordsize="0,392" path="m4976,16l4976,407e" filled="false" stroked="true" strokeweight="1.140pt" strokecolor="#d3d3d3">
                <v:path arrowok="t"/>
              </v:shape>
            </v:group>
            <v:group style="position:absolute;left:37;top:16;width:4928;height:392" coordorigin="37,16" coordsize="4928,392">
              <v:shape style="position:absolute;left:37;top:16;width:4928;height:392" coordorigin="37,16" coordsize="4928,392" path="m37,407l4964,407,4964,16,37,16,37,407xe" filled="true" fillcolor="#d3d3d3" stroked="false">
                <v:path arrowok="t"/>
                <v:fill type="solid"/>
              </v:shape>
            </v:group>
            <v:group style="position:absolute;left:5009;top:16;width:2;height:392" coordorigin="5009,16" coordsize="2,392">
              <v:shape style="position:absolute;left:5009;top:16;width:2;height:392" coordorigin="5009,16" coordsize="0,392" path="m5009,16l5009,407e" filled="false" stroked="true" strokeweight="1.140pt" strokecolor="#d3d3d3">
                <v:path arrowok="t"/>
              </v:shape>
            </v:group>
            <v:group style="position:absolute;left:9561;top:16;width:2;height:392" coordorigin="9561,16" coordsize="2,392">
              <v:shape style="position:absolute;left:9561;top:16;width:2;height:392" coordorigin="9561,16" coordsize="0,392" path="m9561,16l9561,407e" filled="false" stroked="true" strokeweight="1.140pt" strokecolor="#d3d3d3">
                <v:path arrowok="t"/>
              </v:shape>
            </v:group>
            <v:group style="position:absolute;left:5021;top:16;width:4529;height:392" coordorigin="5021,16" coordsize="4529,392">
              <v:shape style="position:absolute;left:5021;top:16;width:4529;height:392" coordorigin="5021,16" coordsize="4529,392" path="m5021,407l9550,407,9550,16,5021,16,5021,407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pt" strokecolor="#000000">
                <v:path arrowok="t"/>
              </v:shape>
            </v:group>
            <v:group style="position:absolute;left:10;top:5;width:2;height:413" coordorigin="10,5" coordsize="2,413">
              <v:shape style="position:absolute;left:10;top:5;width:2;height:413" coordorigin="10,5" coordsize="0,413" path="m10,5l10,418e" filled="false" stroked="true" strokeweight=".48001pt" strokecolor="#000000">
                <v:path arrowok="t"/>
              </v:shape>
            </v:group>
            <v:group style="position:absolute;left:5;top:413;width:4984;height:2" coordorigin="5,413" coordsize="4984,2">
              <v:shape style="position:absolute;left:5;top:413;width:4984;height:2" coordorigin="5,413" coordsize="4984,0" path="m5,413l4988,413e" filled="false" stroked="true" strokeweight=".48001pt" strokecolor="#000000">
                <v:path arrowok="t"/>
              </v:shape>
            </v:group>
            <v:group style="position:absolute;left:4993;top:14;width:2;height:404" coordorigin="4993,14" coordsize="2,404">
              <v:shape style="position:absolute;left:4993;top:14;width:2;height:404" coordorigin="4993,14" coordsize="0,404" path="m4993,14l4993,418e" filled="false" stroked="true" strokeweight=".47998pt" strokecolor="#000000">
                <v:path arrowok="t"/>
              </v:shape>
            </v:group>
            <v:group style="position:absolute;left:4998;top:413;width:4575;height:2" coordorigin="4998,413" coordsize="4575,2">
              <v:shape style="position:absolute;left:4998;top:413;width:4575;height:2" coordorigin="4998,413" coordsize="4575,0" path="m4998,413l9572,413e" filled="false" stroked="true" strokeweight=".48001pt" strokecolor="#000000">
                <v:path arrowok="t"/>
              </v:shape>
            </v:group>
            <v:group style="position:absolute;left:9577;top:5;width:2;height:413" coordorigin="9577,5" coordsize="2,413">
              <v:shape style="position:absolute;left:9577;top:5;width:2;height:413" coordorigin="9577,5" coordsize="0,413" path="m9577,5l9577,418e" filled="false" stroked="true" strokeweight=".47998pt" strokecolor="#000000">
                <v:path arrowok="t"/>
              </v:shape>
              <v:shape style="position:absolute;left:2321;top:123;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993;top:10;width:4584;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pStyle w:val="BodyText"/>
        <w:spacing w:line="240" w:lineRule="auto" w:before="47"/>
        <w:ind w:right="2239"/>
        <w:jc w:val="left"/>
      </w:pPr>
      <w:r>
        <w:rPr/>
        <w:t>其中重要的应收账款核销情况：</w:t>
      </w:r>
    </w:p>
    <w:p>
      <w:pPr>
        <w:pStyle w:val="BodyText"/>
        <w:spacing w:line="240" w:lineRule="auto" w:before="116"/>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1"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532"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spacing w:after="0" w:line="316"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13"/>
        <w:rPr>
          <w:rFonts w:ascii="宋体" w:hAnsi="宋体" w:cs="宋体" w:eastAsia="宋体" w:hint="default"/>
          <w:sz w:val="25"/>
          <w:szCs w:val="25"/>
        </w:rPr>
      </w:pPr>
    </w:p>
    <w:p>
      <w:pPr>
        <w:pStyle w:val="BodyText"/>
        <w:spacing w:line="357" w:lineRule="auto" w:before="44"/>
        <w:ind w:left="153" w:right="8411"/>
        <w:jc w:val="left"/>
      </w:pPr>
      <w:r>
        <w:rPr/>
        <w:t>应收账款核销说明： 本期无实际核销的应收账款。</w:t>
      </w:r>
    </w:p>
    <w:p>
      <w:pPr>
        <w:spacing w:line="240" w:lineRule="auto" w:before="2"/>
        <w:rPr>
          <w:rFonts w:ascii="宋体" w:hAnsi="宋体" w:cs="宋体" w:eastAsia="宋体" w:hint="default"/>
          <w:sz w:val="20"/>
          <w:szCs w:val="20"/>
        </w:rPr>
      </w:pPr>
    </w:p>
    <w:p>
      <w:pPr>
        <w:pStyle w:val="Heading4"/>
        <w:spacing w:line="240" w:lineRule="auto"/>
        <w:ind w:right="2239"/>
        <w:jc w:val="left"/>
        <w:rPr>
          <w:b w:val="0"/>
          <w:bCs w:val="0"/>
        </w:rPr>
      </w:pPr>
      <w:r>
        <w:rPr/>
        <w:t>（</w:t>
      </w:r>
      <w:r>
        <w:rPr>
          <w:rFonts w:ascii="Arial" w:hAnsi="Arial" w:cs="Arial" w:eastAsia="Arial" w:hint="default"/>
        </w:rPr>
        <w:t>4</w:t>
      </w:r>
      <w:r>
        <w:rPr/>
        <w:t>）按欠款方归集的期末余额前五名的应收账款情况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3"/>
        <w:gridCol w:w="2392"/>
        <w:gridCol w:w="2392"/>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1" w:right="0"/>
              <w:jc w:val="left"/>
              <w:rPr>
                <w:rFonts w:ascii="宋体" w:hAnsi="宋体" w:cs="宋体" w:eastAsia="宋体" w:hint="default"/>
                <w:sz w:val="18"/>
                <w:szCs w:val="18"/>
              </w:rPr>
            </w:pPr>
            <w:r>
              <w:rPr>
                <w:rFonts w:ascii="宋体" w:hAnsi="宋体" w:cs="宋体" w:eastAsia="宋体" w:hint="default"/>
                <w:sz w:val="18"/>
                <w:szCs w:val="18"/>
              </w:rPr>
              <w:t>应收账款期末余额</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920" w:right="109" w:hanging="810"/>
              <w:jc w:val="left"/>
              <w:rPr>
                <w:rFonts w:ascii="宋体" w:hAnsi="宋体" w:cs="宋体" w:eastAsia="宋体" w:hint="default"/>
                <w:sz w:val="18"/>
                <w:szCs w:val="18"/>
              </w:rPr>
            </w:pPr>
            <w:r>
              <w:rPr>
                <w:rFonts w:ascii="宋体" w:hAnsi="宋体" w:cs="宋体" w:eastAsia="宋体" w:hint="default"/>
                <w:sz w:val="18"/>
                <w:szCs w:val="18"/>
              </w:rPr>
              <w:t>占应收账款期末余额合计数 的比例</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470"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榕基五一（北京）信息技术有 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2"/>
                <w:sz w:val="18"/>
              </w:rPr>
              <w:t>20,624,960.11</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12.75%</w:t>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上海榕基软件开发有限公司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8,633,279.38</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5.34%</w:t>
            </w:r>
            <w:r>
              <w:rPr>
                <w:rFonts w:ascii="Arial"/>
                <w:w w:val="95"/>
                <w:sz w:val="18"/>
              </w:rPr>
            </w:r>
          </w:p>
        </w:tc>
        <w:tc>
          <w:tcPr>
            <w:tcW w:w="2392"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华润建筑有限公司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7,528,989.56</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4.65%</w:t>
            </w:r>
            <w:r>
              <w:rPr>
                <w:rFonts w:ascii="Arial"/>
                <w:w w:val="95"/>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166,390.67</w:t>
            </w:r>
          </w:p>
        </w:tc>
      </w:tr>
      <w:tr>
        <w:trPr>
          <w:trHeight w:val="714"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中国共产党信阳市纪律检查 委员会</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7,209,000.00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w w:val="95"/>
                <w:sz w:val="18"/>
              </w:rPr>
              <w:t>4.46%</w:t>
            </w:r>
            <w:r>
              <w:rPr>
                <w:rFonts w:ascii="Arial"/>
                <w:w w:val="95"/>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504,630.00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福州市大数据服务中心</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7,074,070.50</w:t>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4.37%</w:t>
            </w:r>
            <w:r>
              <w:rPr>
                <w:rFonts w:ascii="Arial"/>
                <w:w w:val="95"/>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799,244.00</w:t>
            </w:r>
          </w:p>
        </w:tc>
      </w:tr>
      <w:tr>
        <w:trPr>
          <w:trHeight w:val="402" w:hRule="exact"/>
        </w:trPr>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393"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51,070,299.55</w:t>
            </w:r>
            <w:r>
              <w:rPr>
                <w:rFonts w:ascii="Arial"/>
                <w:sz w:val="18"/>
              </w:rPr>
            </w:r>
          </w:p>
        </w:tc>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31.57%</w:t>
            </w:r>
          </w:p>
        </w:tc>
        <w:tc>
          <w:tcPr>
            <w:tcW w:w="2392" w:type="dxa"/>
            <w:tcBorders>
              <w:top w:val="single" w:sz="4" w:space="0" w:color="000000"/>
              <w:left w:val="single" w:sz="4" w:space="0" w:color="000000"/>
              <w:bottom w:val="single" w:sz="4" w:space="0" w:color="000000"/>
              <w:right w:val="single" w:sz="4" w:space="0" w:color="000000"/>
            </w:tcBorders>
            <w:shd w:val="clear" w:color="auto" w:fill="D3D3D3"/>
          </w:tcPr>
          <w:p>
            <w:pP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t>（</w:t>
      </w:r>
      <w:r>
        <w:rPr>
          <w:rFonts w:ascii="Arial" w:hAnsi="Arial" w:cs="Arial" w:eastAsia="Arial" w:hint="default"/>
        </w:rPr>
        <w:t>5</w:t>
      </w:r>
      <w:r>
        <w:rPr/>
        <w:t>）因金融资产转移而终止确认的应收账款</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t>（</w:t>
      </w:r>
      <w:r>
        <w:rPr>
          <w:rFonts w:ascii="Arial" w:hAnsi="Arial" w:cs="Arial" w:eastAsia="Arial" w:hint="default"/>
        </w:rPr>
        <w:t>6</w:t>
      </w:r>
      <w:r>
        <w:rPr/>
        <w:t>）转移应收账款且继续涉入形成的资产、负债金额</w:t>
      </w:r>
      <w:r>
        <w:rPr>
          <w:b w:val="0"/>
          <w:bCs w:val="0"/>
        </w:rPr>
      </w:r>
    </w:p>
    <w:p>
      <w:pPr>
        <w:spacing w:line="240" w:lineRule="auto" w:before="9"/>
        <w:rPr>
          <w:rFonts w:ascii="宋体" w:hAnsi="宋体" w:cs="宋体" w:eastAsia="宋体" w:hint="default"/>
          <w:b/>
          <w:bCs/>
          <w:sz w:val="26"/>
          <w:szCs w:val="26"/>
        </w:rPr>
      </w:pPr>
    </w:p>
    <w:p>
      <w:pPr>
        <w:pStyle w:val="BodyText"/>
        <w:spacing w:line="360" w:lineRule="auto"/>
        <w:ind w:right="9850"/>
        <w:jc w:val="left"/>
      </w:pPr>
      <w:r>
        <w:rPr/>
        <w:t>其他说明： 无。</w:t>
      </w:r>
    </w:p>
    <w:p>
      <w:pPr>
        <w:spacing w:line="240" w:lineRule="auto" w:before="11"/>
        <w:rPr>
          <w:rFonts w:ascii="宋体" w:hAnsi="宋体" w:cs="宋体" w:eastAsia="宋体" w:hint="default"/>
          <w:sz w:val="19"/>
          <w:szCs w:val="19"/>
        </w:rPr>
      </w:pPr>
    </w:p>
    <w:p>
      <w:pPr>
        <w:pStyle w:val="Heading4"/>
        <w:spacing w:line="240" w:lineRule="auto"/>
        <w:ind w:right="2239"/>
        <w:jc w:val="left"/>
        <w:rPr>
          <w:b w:val="0"/>
          <w:bCs w:val="0"/>
        </w:rPr>
      </w:pPr>
      <w:r>
        <w:rPr>
          <w:rFonts w:ascii="Arial" w:hAnsi="Arial" w:cs="Arial" w:eastAsia="Arial" w:hint="default"/>
        </w:rPr>
        <w:t>2</w:t>
      </w:r>
      <w:r>
        <w:rPr/>
        <w:t>、其他应收款</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166"/>
        <w:gridCol w:w="3202"/>
        <w:gridCol w:w="3190"/>
      </w:tblGrid>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20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1,190,692,299.51</w:t>
            </w:r>
            <w:r>
              <w:rPr>
                <w:rFonts w:ascii="Arial"/>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1,015,217,831.94</w:t>
            </w:r>
            <w:r>
              <w:rPr>
                <w:rFonts w:ascii="Arial"/>
                <w:sz w:val="18"/>
              </w:rPr>
            </w:r>
          </w:p>
        </w:tc>
      </w:tr>
      <w:tr>
        <w:trPr>
          <w:trHeight w:val="402" w:hRule="exact"/>
        </w:trPr>
        <w:tc>
          <w:tcPr>
            <w:tcW w:w="3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2"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1,190,692,299.51</w:t>
            </w:r>
            <w:r>
              <w:rPr>
                <w:rFonts w:ascii="Arial"/>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1,015,217,831.94</w:t>
            </w:r>
            <w:r>
              <w:rPr>
                <w:rFonts w:ascii="Arial"/>
                <w:sz w:val="18"/>
              </w:rPr>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t>（</w:t>
      </w:r>
      <w:r>
        <w:rPr>
          <w:rFonts w:ascii="Arial" w:hAnsi="Arial" w:cs="Arial" w:eastAsia="Arial" w:hint="default"/>
        </w:rPr>
        <w:t>1</w:t>
      </w:r>
      <w:r>
        <w:rPr/>
        <w:t>）应收利息</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2239"/>
        <w:jc w:val="left"/>
        <w:rPr>
          <w:b w:val="0"/>
          <w:bCs w:val="0"/>
        </w:rPr>
      </w:pPr>
      <w:r>
        <w:rPr>
          <w:rFonts w:ascii="Arial" w:hAnsi="Arial" w:cs="Arial" w:eastAsia="Arial" w:hint="default"/>
        </w:rPr>
        <w:t>1</w:t>
      </w:r>
      <w:r>
        <w:rPr/>
        <w:t>）应收利息分类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after="0" w:line="240" w:lineRule="auto"/>
        <w:jc w:val="center"/>
        <w:rPr>
          <w:rFonts w:ascii="宋体" w:hAnsi="宋体" w:cs="宋体" w:eastAsia="宋体" w:hint="default"/>
          <w:sz w:val="18"/>
          <w:szCs w:val="18"/>
        </w:rPr>
        <w:sectPr>
          <w:pgSz w:w="11910" w:h="16840"/>
          <w:pgMar w:header="747" w:footer="982" w:top="1060" w:bottom="118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2239"/>
        <w:jc w:val="left"/>
        <w:rPr>
          <w:b w:val="0"/>
          <w:bCs w:val="0"/>
        </w:rPr>
      </w:pPr>
      <w:r>
        <w:rPr>
          <w:rFonts w:ascii="Arial" w:hAnsi="Arial" w:cs="Arial" w:eastAsia="Arial" w:hint="default"/>
        </w:rPr>
        <w:t>2</w:t>
      </w:r>
      <w:r>
        <w:rPr/>
        <w:t>）重要逾期利息</w:t>
      </w:r>
      <w:r>
        <w:rPr>
          <w:b w:val="0"/>
          <w:bCs w:val="0"/>
        </w:rPr>
      </w:r>
    </w:p>
    <w:p>
      <w:pPr>
        <w:spacing w:line="240" w:lineRule="auto" w:before="10"/>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逾期原因</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pStyle w:val="BodyText"/>
        <w:spacing w:line="360" w:lineRule="auto" w:before="51"/>
        <w:ind w:right="9850"/>
        <w:jc w:val="left"/>
      </w:pPr>
      <w:r>
        <w:rPr/>
        <w:t>其他说明： 无。</w:t>
      </w:r>
    </w:p>
    <w:p>
      <w:pPr>
        <w:spacing w:line="240" w:lineRule="auto" w:before="11"/>
        <w:rPr>
          <w:rFonts w:ascii="宋体" w:hAnsi="宋体" w:cs="宋体" w:eastAsia="宋体" w:hint="default"/>
          <w:sz w:val="19"/>
          <w:szCs w:val="19"/>
        </w:rPr>
      </w:pPr>
    </w:p>
    <w:p>
      <w:pPr>
        <w:pStyle w:val="Heading4"/>
        <w:spacing w:line="240" w:lineRule="auto"/>
        <w:ind w:right="2239"/>
        <w:jc w:val="left"/>
        <w:rPr>
          <w:b w:val="0"/>
          <w:bCs w:val="0"/>
        </w:rPr>
      </w:pPr>
      <w:r>
        <w:rPr>
          <w:rFonts w:ascii="Arial" w:hAnsi="Arial" w:cs="Arial" w:eastAsia="Arial" w:hint="default"/>
        </w:rPr>
        <w:t>3</w:t>
      </w:r>
      <w:r>
        <w:rPr/>
        <w:t>）坏账准备计提情况</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2239"/>
        <w:jc w:val="left"/>
        <w:rPr>
          <w:b w:val="0"/>
          <w:bCs w:val="0"/>
        </w:rPr>
      </w:pPr>
      <w:r>
        <w:rPr/>
        <w:t>（</w:t>
      </w:r>
      <w:r>
        <w:rPr>
          <w:rFonts w:ascii="Arial" w:hAnsi="Arial" w:cs="Arial" w:eastAsia="Arial" w:hint="default"/>
        </w:rPr>
        <w:t>2</w:t>
      </w:r>
      <w:r>
        <w:rPr/>
        <w:t>）应收股利</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left="153" w:right="2239"/>
        <w:jc w:val="left"/>
        <w:rPr>
          <w:b w:val="0"/>
          <w:bCs w:val="0"/>
        </w:rPr>
      </w:pPr>
      <w:r>
        <w:rPr>
          <w:rFonts w:ascii="Arial" w:hAnsi="Arial" w:cs="Arial" w:eastAsia="Arial" w:hint="default"/>
        </w:rPr>
        <w:t>1</w:t>
      </w:r>
      <w:r>
        <w:rPr/>
        <w:t>）应收股利分类</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90"/>
        <w:gridCol w:w="3191"/>
        <w:gridCol w:w="3188"/>
      </w:tblGrid>
      <w:tr>
        <w:trPr>
          <w:trHeight w:val="402" w:hRule="exact"/>
        </w:trPr>
        <w:tc>
          <w:tcPr>
            <w:tcW w:w="31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09" w:right="0"/>
              <w:jc w:val="left"/>
              <w:rPr>
                <w:rFonts w:ascii="Arial" w:hAnsi="Arial" w:cs="Arial" w:eastAsia="Arial" w:hint="default"/>
                <w:sz w:val="18"/>
                <w:szCs w:val="18"/>
              </w:rPr>
            </w:pPr>
            <w:r>
              <w:rPr>
                <w:rFonts w:ascii="宋体" w:hAnsi="宋体" w:cs="宋体" w:eastAsia="宋体" w:hint="default"/>
                <w:sz w:val="18"/>
                <w:szCs w:val="18"/>
              </w:rPr>
              <w:t>项目</w:t>
            </w:r>
            <w:r>
              <w:rPr>
                <w:rFonts w:ascii="Arial" w:hAnsi="Arial" w:cs="Arial" w:eastAsia="Arial" w:hint="default"/>
                <w:sz w:val="18"/>
                <w:szCs w:val="18"/>
              </w:rPr>
              <w:t>(</w:t>
            </w:r>
            <w:r>
              <w:rPr>
                <w:rFonts w:ascii="宋体" w:hAnsi="宋体" w:cs="宋体" w:eastAsia="宋体" w:hint="default"/>
                <w:sz w:val="18"/>
                <w:szCs w:val="18"/>
              </w:rPr>
              <w:t>或被投资单位</w:t>
            </w:r>
            <w:r>
              <w:rPr>
                <w:rFonts w:ascii="Arial" w:hAnsi="Arial" w:cs="Arial" w:eastAsia="Arial" w:hint="default"/>
                <w:sz w:val="18"/>
                <w:szCs w:val="18"/>
              </w:rPr>
              <w:t>)</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18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期初余额</w:t>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rFonts w:ascii="Arial" w:hAnsi="Arial" w:cs="Arial" w:eastAsia="Arial" w:hint="default"/>
        </w:rPr>
        <w:t>2</w:t>
      </w:r>
      <w:r>
        <w:rPr/>
        <w:t>）重要的账龄超过</w:t>
      </w:r>
      <w:r>
        <w:rPr>
          <w:spacing w:val="-54"/>
        </w:rPr>
        <w:t> </w:t>
      </w:r>
      <w:r>
        <w:rPr>
          <w:rFonts w:ascii="Arial" w:hAnsi="Arial" w:cs="Arial" w:eastAsia="Arial" w:hint="default"/>
        </w:rPr>
        <w:t>1</w:t>
      </w:r>
      <w:r>
        <w:rPr>
          <w:rFonts w:ascii="Arial" w:hAnsi="Arial" w:cs="Arial" w:eastAsia="Arial" w:hint="default"/>
          <w:spacing w:val="-8"/>
        </w:rPr>
        <w:t> </w:t>
      </w:r>
      <w:r>
        <w:rPr/>
        <w:t>年的应收股利</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914"/>
        <w:gridCol w:w="1914"/>
        <w:gridCol w:w="1914"/>
        <w:gridCol w:w="1914"/>
        <w:gridCol w:w="1903"/>
      </w:tblGrid>
      <w:tr>
        <w:trPr>
          <w:trHeight w:val="714" w:hRule="exact"/>
        </w:trPr>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Arial" w:hAnsi="Arial" w:cs="Arial" w:eastAsia="Arial" w:hint="default"/>
                <w:sz w:val="18"/>
                <w:szCs w:val="18"/>
              </w:rPr>
            </w:pPr>
            <w:r>
              <w:rPr>
                <w:rFonts w:ascii="宋体" w:hAnsi="宋体" w:cs="宋体" w:eastAsia="宋体" w:hint="default"/>
                <w:sz w:val="18"/>
                <w:szCs w:val="18"/>
              </w:rPr>
              <w:t>项目</w:t>
            </w:r>
            <w:r>
              <w:rPr>
                <w:rFonts w:ascii="Arial" w:hAnsi="Arial" w:cs="Arial" w:eastAsia="Arial" w:hint="default"/>
                <w:sz w:val="18"/>
                <w:szCs w:val="18"/>
              </w:rPr>
              <w:t>(</w:t>
            </w:r>
            <w:r>
              <w:rPr>
                <w:rFonts w:ascii="宋体" w:hAnsi="宋体" w:cs="宋体" w:eastAsia="宋体" w:hint="default"/>
                <w:sz w:val="18"/>
                <w:szCs w:val="18"/>
              </w:rPr>
              <w:t>或被投资单位</w:t>
            </w:r>
            <w:r>
              <w:rPr>
                <w:rFonts w:ascii="Arial" w:hAnsi="Arial" w:cs="Arial" w:eastAsia="Arial"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账龄</w:t>
            </w:r>
          </w:p>
        </w:tc>
        <w:tc>
          <w:tcPr>
            <w:tcW w:w="19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1" w:right="0"/>
              <w:jc w:val="left"/>
              <w:rPr>
                <w:rFonts w:ascii="宋体" w:hAnsi="宋体" w:cs="宋体" w:eastAsia="宋体" w:hint="default"/>
                <w:sz w:val="18"/>
                <w:szCs w:val="18"/>
              </w:rPr>
            </w:pPr>
            <w:r>
              <w:rPr>
                <w:rFonts w:ascii="宋体" w:hAnsi="宋体" w:cs="宋体" w:eastAsia="宋体" w:hint="default"/>
                <w:sz w:val="18"/>
                <w:szCs w:val="18"/>
              </w:rPr>
              <w:t>未收回的原因</w:t>
            </w:r>
          </w:p>
        </w:tc>
        <w:tc>
          <w:tcPr>
            <w:tcW w:w="190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771" w:right="39" w:hanging="720"/>
              <w:jc w:val="left"/>
              <w:rPr>
                <w:rFonts w:ascii="宋体" w:hAnsi="宋体" w:cs="宋体" w:eastAsia="宋体" w:hint="default"/>
                <w:sz w:val="18"/>
                <w:szCs w:val="18"/>
              </w:rPr>
            </w:pPr>
            <w:r>
              <w:rPr>
                <w:rFonts w:ascii="宋体" w:hAnsi="宋体" w:cs="宋体" w:eastAsia="宋体" w:hint="default"/>
                <w:sz w:val="18"/>
                <w:szCs w:val="18"/>
              </w:rPr>
              <w:t>是否发生减值及其判断 依据</w:t>
            </w:r>
          </w:p>
        </w:tc>
      </w:tr>
    </w:tbl>
    <w:p>
      <w:pPr>
        <w:spacing w:line="240" w:lineRule="auto" w:before="3"/>
        <w:rPr>
          <w:rFonts w:ascii="宋体" w:hAnsi="宋体" w:cs="宋体" w:eastAsia="宋体" w:hint="default"/>
          <w:sz w:val="19"/>
          <w:szCs w:val="19"/>
        </w:rPr>
      </w:pPr>
    </w:p>
    <w:p>
      <w:pPr>
        <w:pStyle w:val="Heading4"/>
        <w:spacing w:line="240" w:lineRule="auto" w:before="35"/>
        <w:ind w:right="2239"/>
        <w:jc w:val="left"/>
        <w:rPr>
          <w:b w:val="0"/>
          <w:bCs w:val="0"/>
        </w:rPr>
      </w:pPr>
      <w:r>
        <w:rPr>
          <w:rFonts w:ascii="Arial" w:hAnsi="Arial" w:cs="Arial" w:eastAsia="Arial" w:hint="default"/>
        </w:rPr>
        <w:t>3</w:t>
      </w:r>
      <w:r>
        <w:rPr/>
        <w:t>）坏账准备计提情况</w:t>
      </w:r>
      <w:r>
        <w:rPr>
          <w:b w:val="0"/>
          <w:bCs w:val="0"/>
        </w:rPr>
      </w:r>
    </w:p>
    <w:p>
      <w:pPr>
        <w:spacing w:line="240" w:lineRule="auto" w:before="9"/>
        <w:rPr>
          <w:rFonts w:ascii="宋体" w:hAnsi="宋体" w:cs="宋体" w:eastAsia="宋体" w:hint="default"/>
          <w:b/>
          <w:bCs/>
          <w:sz w:val="26"/>
          <w:szCs w:val="26"/>
        </w:rPr>
      </w:pPr>
    </w:p>
    <w:p>
      <w:pPr>
        <w:pStyle w:val="BodyText"/>
        <w:spacing w:line="340" w:lineRule="auto"/>
        <w:ind w:right="8900"/>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其他说明：</w:t>
      </w:r>
    </w:p>
    <w:p>
      <w:pPr>
        <w:pStyle w:val="BodyText"/>
        <w:spacing w:line="240" w:lineRule="auto" w:before="40"/>
        <w:ind w:right="2239"/>
        <w:jc w:val="left"/>
      </w:pPr>
      <w:r>
        <w:rPr/>
        <w:t>无。</w:t>
      </w:r>
    </w:p>
    <w:p>
      <w:pPr>
        <w:spacing w:line="240" w:lineRule="auto" w:before="11"/>
        <w:rPr>
          <w:rFonts w:ascii="宋体" w:hAnsi="宋体" w:cs="宋体" w:eastAsia="宋体" w:hint="default"/>
          <w:sz w:val="26"/>
          <w:szCs w:val="26"/>
        </w:rPr>
      </w:pPr>
    </w:p>
    <w:p>
      <w:pPr>
        <w:pStyle w:val="Heading4"/>
        <w:spacing w:line="240" w:lineRule="auto"/>
        <w:ind w:right="2239"/>
        <w:jc w:val="left"/>
        <w:rPr>
          <w:b w:val="0"/>
          <w:bCs w:val="0"/>
        </w:rPr>
      </w:pPr>
      <w:r>
        <w:rPr/>
        <w:t>（</w:t>
      </w:r>
      <w:r>
        <w:rPr>
          <w:rFonts w:ascii="Arial" w:hAnsi="Arial" w:cs="Arial" w:eastAsia="Arial" w:hint="default"/>
        </w:rPr>
        <w:t>3</w:t>
      </w:r>
      <w:r>
        <w:rPr/>
        <w:t>）其他应收款</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left="153" w:right="2239"/>
        <w:jc w:val="left"/>
        <w:rPr>
          <w:b w:val="0"/>
          <w:bCs w:val="0"/>
        </w:rPr>
      </w:pPr>
      <w:r>
        <w:rPr>
          <w:rFonts w:ascii="Arial" w:hAnsi="Arial" w:cs="Arial" w:eastAsia="Arial" w:hint="default"/>
        </w:rPr>
        <w:t>1</w:t>
      </w:r>
      <w:r>
        <w:rPr/>
        <w:t>）其他应收款按款项性质分类情况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款项性质</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5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合并报表范围内款项</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1,167,785,321.22</w:t>
            </w:r>
            <w:r>
              <w:rPr>
                <w:rFonts w:ascii="Arial"/>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988,193,880.76</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28,667,546.48</w:t>
            </w:r>
            <w:r>
              <w:rPr>
                <w:rFonts w:ascii="Arial"/>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27,468,963.17</w:t>
            </w:r>
            <w:r>
              <w:rPr>
                <w:rFonts w:ascii="Arial"/>
                <w:sz w:val="18"/>
              </w:rPr>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备用金</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3,641,286.70</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5,297,525.23</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2,798,289.48</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2,264,252.09</w:t>
            </w:r>
          </w:p>
        </w:tc>
      </w:tr>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1,202,892,443.88</w:t>
            </w:r>
            <w:r>
              <w:rPr>
                <w:rFonts w:ascii="Arial"/>
                <w:sz w:val="18"/>
              </w:rPr>
            </w:r>
          </w:p>
        </w:tc>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1,023,224,621.25</w:t>
            </w:r>
            <w:r>
              <w:rPr>
                <w:rFonts w:ascii="Arial"/>
                <w:sz w:val="18"/>
              </w:rPr>
            </w:r>
          </w:p>
        </w:tc>
      </w:tr>
    </w:tbl>
    <w:p>
      <w:pPr>
        <w:spacing w:after="0" w:line="240" w:lineRule="auto"/>
        <w:jc w:val="right"/>
        <w:rPr>
          <w:rFonts w:ascii="Arial" w:hAnsi="Arial" w:cs="Arial" w:eastAsia="Arial" w:hint="default"/>
          <w:sz w:val="18"/>
          <w:szCs w:val="18"/>
        </w:rPr>
        <w:sectPr>
          <w:pgSz w:w="11910" w:h="16840"/>
          <w:pgMar w:header="747" w:footer="982" w:top="1060" w:bottom="118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2239"/>
        <w:jc w:val="left"/>
        <w:rPr>
          <w:b w:val="0"/>
          <w:bCs w:val="0"/>
        </w:rPr>
      </w:pPr>
      <w:r>
        <w:rPr>
          <w:rFonts w:ascii="Arial" w:hAnsi="Arial" w:cs="Arial" w:eastAsia="Arial" w:hint="default"/>
        </w:rPr>
        <w:t>2</w:t>
      </w:r>
      <w:r>
        <w:rPr/>
        <w:t>）坏账准备计提情况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893"/>
        <w:gridCol w:w="1662"/>
        <w:gridCol w:w="2099"/>
        <w:gridCol w:w="2099"/>
        <w:gridCol w:w="1804"/>
      </w:tblGrid>
      <w:tr>
        <w:trPr>
          <w:trHeight w:val="402" w:hRule="exact"/>
        </w:trPr>
        <w:tc>
          <w:tcPr>
            <w:tcW w:w="1893" w:type="dxa"/>
            <w:tcBorders>
              <w:top w:val="single" w:sz="4" w:space="0" w:color="000000"/>
              <w:left w:val="single" w:sz="4" w:space="0" w:color="000000"/>
              <w:bottom w:val="nil" w:sz="6" w:space="0" w:color="auto"/>
              <w:right w:val="single" w:sz="4" w:space="0" w:color="000000"/>
            </w:tcBorders>
            <w:shd w:val="clear" w:color="auto" w:fill="D3D3D3"/>
          </w:tcPr>
          <w:p>
            <w:pPr/>
          </w:p>
        </w:tc>
        <w:tc>
          <w:tcPr>
            <w:tcW w:w="166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471" w:right="0"/>
              <w:jc w:val="left"/>
              <w:rPr>
                <w:rFonts w:ascii="宋体" w:hAnsi="宋体" w:cs="宋体" w:eastAsia="宋体" w:hint="default"/>
                <w:sz w:val="18"/>
                <w:szCs w:val="18"/>
              </w:rPr>
            </w:pPr>
            <w:r>
              <w:rPr>
                <w:rFonts w:ascii="宋体" w:hAnsi="宋体" w:cs="宋体" w:eastAsia="宋体" w:hint="default"/>
                <w:sz w:val="18"/>
                <w:szCs w:val="18"/>
              </w:rPr>
              <w:t>第一阶段</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第二阶段</w:t>
            </w:r>
          </w:p>
        </w:tc>
        <w:tc>
          <w:tcPr>
            <w:tcW w:w="209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第三阶段</w:t>
            </w:r>
          </w:p>
        </w:tc>
        <w:tc>
          <w:tcPr>
            <w:tcW w:w="180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53" w:hRule="exact"/>
        </w:trPr>
        <w:tc>
          <w:tcPr>
            <w:tcW w:w="1893"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left="58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662" w:type="dxa"/>
            <w:vMerge w:val="restart"/>
            <w:tcBorders>
              <w:top w:val="single" w:sz="4" w:space="0" w:color="000000"/>
              <w:left w:val="single" w:sz="4" w:space="0" w:color="000000"/>
              <w:right w:val="single" w:sz="4" w:space="0" w:color="000000"/>
            </w:tcBorders>
            <w:shd w:val="clear" w:color="auto" w:fill="D3D3D3"/>
          </w:tcPr>
          <w:p>
            <w:pPr>
              <w:pStyle w:val="TableParagraph"/>
              <w:spacing w:line="302" w:lineRule="auto" w:before="52"/>
              <w:ind w:left="561" w:right="43" w:hanging="506"/>
              <w:jc w:val="left"/>
              <w:rPr>
                <w:rFonts w:ascii="宋体" w:hAnsi="宋体" w:cs="宋体" w:eastAsia="宋体" w:hint="default"/>
                <w:sz w:val="18"/>
                <w:szCs w:val="18"/>
              </w:rPr>
            </w:pPr>
            <w:r>
              <w:rPr>
                <w:rFonts w:ascii="宋体" w:hAnsi="宋体" w:cs="宋体" w:eastAsia="宋体" w:hint="default"/>
                <w:sz w:val="18"/>
                <w:szCs w:val="18"/>
              </w:rPr>
              <w:t>未来</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7"/>
                <w:sz w:val="18"/>
                <w:szCs w:val="18"/>
              </w:rPr>
              <w:t> </w:t>
            </w:r>
            <w:r>
              <w:rPr>
                <w:rFonts w:ascii="宋体" w:hAnsi="宋体" w:cs="宋体" w:eastAsia="宋体" w:hint="default"/>
                <w:sz w:val="18"/>
                <w:szCs w:val="18"/>
              </w:rPr>
              <w:t>个月预期信 用损失</w:t>
            </w:r>
          </w:p>
        </w:tc>
        <w:tc>
          <w:tcPr>
            <w:tcW w:w="20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right="1"/>
              <w:jc w:val="center"/>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未发生信用减值</w:t>
            </w:r>
            <w:r>
              <w:rPr>
                <w:rFonts w:ascii="Arial" w:hAnsi="Arial" w:cs="Arial" w:eastAsia="Arial" w:hint="default"/>
                <w:sz w:val="18"/>
                <w:szCs w:val="18"/>
              </w:rPr>
              <w:t>)</w:t>
            </w:r>
          </w:p>
        </w:tc>
        <w:tc>
          <w:tcPr>
            <w:tcW w:w="209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整个存续期预期信用损失</w:t>
            </w:r>
          </w:p>
          <w:p>
            <w:pPr>
              <w:pStyle w:val="TableParagraph"/>
              <w:spacing w:line="240" w:lineRule="auto" w:before="76"/>
              <w:ind w:right="1"/>
              <w:jc w:val="center"/>
              <w:rPr>
                <w:rFonts w:ascii="Arial" w:hAnsi="Arial" w:cs="Arial" w:eastAsia="Arial" w:hint="default"/>
                <w:sz w:val="18"/>
                <w:szCs w:val="18"/>
              </w:rPr>
            </w:pPr>
            <w:r>
              <w:rPr>
                <w:rFonts w:ascii="Arial" w:hAnsi="Arial" w:cs="Arial" w:eastAsia="Arial" w:hint="default"/>
                <w:sz w:val="18"/>
                <w:szCs w:val="18"/>
              </w:rPr>
              <w:t>(</w:t>
            </w:r>
            <w:r>
              <w:rPr>
                <w:rFonts w:ascii="宋体" w:hAnsi="宋体" w:cs="宋体" w:eastAsia="宋体" w:hint="default"/>
                <w:sz w:val="18"/>
                <w:szCs w:val="18"/>
              </w:rPr>
              <w:t>已发生信用减值</w:t>
            </w:r>
            <w:r>
              <w:rPr>
                <w:rFonts w:ascii="Arial" w:hAnsi="Arial" w:cs="Arial" w:eastAsia="Arial" w:hint="default"/>
                <w:sz w:val="18"/>
                <w:szCs w:val="18"/>
              </w:rPr>
              <w:t>)</w:t>
            </w:r>
          </w:p>
        </w:tc>
        <w:tc>
          <w:tcPr>
            <w:tcW w:w="18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合计</w:t>
            </w:r>
          </w:p>
        </w:tc>
      </w:tr>
      <w:tr>
        <w:trPr>
          <w:trHeight w:val="361" w:hRule="exact"/>
        </w:trPr>
        <w:tc>
          <w:tcPr>
            <w:tcW w:w="1893" w:type="dxa"/>
            <w:tcBorders>
              <w:top w:val="nil" w:sz="6" w:space="0" w:color="auto"/>
              <w:left w:val="single" w:sz="4" w:space="0" w:color="000000"/>
              <w:bottom w:val="single" w:sz="4" w:space="0" w:color="000000"/>
              <w:right w:val="single" w:sz="4" w:space="0" w:color="000000"/>
            </w:tcBorders>
            <w:shd w:val="clear" w:color="auto" w:fill="D3D3D3"/>
          </w:tcPr>
          <w:p>
            <w:pPr/>
          </w:p>
        </w:tc>
        <w:tc>
          <w:tcPr>
            <w:tcW w:w="1662" w:type="dxa"/>
            <w:vMerge/>
            <w:tcBorders>
              <w:left w:val="single" w:sz="4" w:space="0" w:color="000000"/>
              <w:bottom w:val="single" w:sz="4" w:space="0" w:color="000000"/>
              <w:right w:val="single" w:sz="4" w:space="0" w:color="000000"/>
            </w:tcBorders>
            <w:shd w:val="clear" w:color="auto" w:fill="D3D3D3"/>
          </w:tcPr>
          <w:p>
            <w:pPr/>
          </w:p>
        </w:tc>
        <w:tc>
          <w:tcPr>
            <w:tcW w:w="2099" w:type="dxa"/>
            <w:vMerge/>
            <w:tcBorders>
              <w:left w:val="single" w:sz="4" w:space="0" w:color="000000"/>
              <w:bottom w:val="single" w:sz="4" w:space="0" w:color="000000"/>
              <w:right w:val="single" w:sz="4" w:space="0" w:color="000000"/>
            </w:tcBorders>
            <w:shd w:val="clear" w:color="auto" w:fill="D3D3D3"/>
          </w:tcPr>
          <w:p>
            <w:pPr/>
          </w:p>
        </w:tc>
        <w:tc>
          <w:tcPr>
            <w:tcW w:w="2099" w:type="dxa"/>
            <w:vMerge/>
            <w:tcBorders>
              <w:left w:val="single" w:sz="4" w:space="0" w:color="000000"/>
              <w:bottom w:val="single" w:sz="4" w:space="0" w:color="000000"/>
              <w:right w:val="single" w:sz="4" w:space="0" w:color="000000"/>
            </w:tcBorders>
            <w:shd w:val="clear" w:color="auto" w:fill="D3D3D3"/>
          </w:tcPr>
          <w:p>
            <w:pPr/>
          </w:p>
        </w:tc>
        <w:tc>
          <w:tcPr>
            <w:tcW w:w="180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6"/>
                <w:sz w:val="18"/>
                <w:szCs w:val="18"/>
              </w:rPr>
              <w:t> </w:t>
            </w:r>
            <w:r>
              <w:rPr>
                <w:rFonts w:ascii="宋体" w:hAnsi="宋体" w:cs="宋体" w:eastAsia="宋体" w:hint="default"/>
                <w:sz w:val="18"/>
                <w:szCs w:val="18"/>
              </w:rPr>
              <w:t>日余额</w:t>
            </w:r>
          </w:p>
        </w:tc>
        <w:tc>
          <w:tcPr>
            <w:tcW w:w="166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8,006,789.31</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8,006,789.31</w:t>
            </w:r>
          </w:p>
        </w:tc>
      </w:tr>
      <w:tr>
        <w:trPr>
          <w:trHeight w:val="162" w:hRule="exact"/>
        </w:trPr>
        <w:tc>
          <w:tcPr>
            <w:tcW w:w="1893" w:type="dxa"/>
            <w:vMerge w:val="restart"/>
            <w:tcBorders>
              <w:top w:val="single" w:sz="4" w:space="0" w:color="000000"/>
              <w:left w:val="single" w:sz="4" w:space="0" w:color="000000"/>
              <w:right w:val="single" w:sz="4" w:space="0" w:color="000000"/>
            </w:tcBorders>
            <w:shd w:val="clear" w:color="auto" w:fill="D3D3D3"/>
          </w:tcPr>
          <w:p>
            <w:pPr>
              <w:pStyle w:val="TableParagraph"/>
              <w:spacing w:line="302" w:lineRule="auto" w:before="51"/>
              <w:ind w:left="11" w:right="1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16"/>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Arial" w:hAnsi="Arial" w:cs="Arial" w:eastAsia="Arial" w:hint="default"/>
                <w:sz w:val="18"/>
                <w:szCs w:val="18"/>
              </w:rPr>
              <w:t>1</w:t>
            </w:r>
            <w:r>
              <w:rPr>
                <w:rFonts w:ascii="Arial" w:hAnsi="Arial" w:cs="Arial" w:eastAsia="Arial" w:hint="default"/>
                <w:spacing w:val="-16"/>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Arial" w:hAnsi="Arial" w:cs="Arial" w:eastAsia="Arial" w:hint="default"/>
                <w:sz w:val="18"/>
                <w:szCs w:val="18"/>
              </w:rPr>
              <w:t>1</w:t>
            </w:r>
            <w:r>
              <w:rPr>
                <w:rFonts w:ascii="Arial" w:hAnsi="Arial" w:cs="Arial" w:eastAsia="Arial" w:hint="default"/>
                <w:spacing w:val="-15"/>
                <w:sz w:val="18"/>
                <w:szCs w:val="18"/>
              </w:rPr>
              <w:t> </w:t>
            </w:r>
            <w:r>
              <w:rPr>
                <w:rFonts w:ascii="宋体" w:hAnsi="宋体" w:cs="宋体" w:eastAsia="宋体" w:hint="default"/>
                <w:sz w:val="18"/>
                <w:szCs w:val="18"/>
              </w:rPr>
              <w:t>日余额在 本期</w:t>
            </w:r>
          </w:p>
        </w:tc>
        <w:tc>
          <w:tcPr>
            <w:tcW w:w="1662" w:type="dxa"/>
            <w:tcBorders>
              <w:top w:val="single" w:sz="4" w:space="0" w:color="000000"/>
              <w:left w:val="single" w:sz="4" w:space="0" w:color="000000"/>
              <w:bottom w:val="nil" w:sz="6" w:space="0" w:color="auto"/>
              <w:right w:val="single" w:sz="4" w:space="0" w:color="000000"/>
            </w:tcBorders>
            <w:shd w:val="clear" w:color="auto" w:fill="D3D3D3"/>
          </w:tcPr>
          <w:p>
            <w:pPr/>
          </w:p>
        </w:tc>
        <w:tc>
          <w:tcPr>
            <w:tcW w:w="2099" w:type="dxa"/>
            <w:tcBorders>
              <w:top w:val="single" w:sz="4" w:space="0" w:color="000000"/>
              <w:left w:val="single" w:sz="4" w:space="0" w:color="000000"/>
              <w:bottom w:val="nil" w:sz="6" w:space="0" w:color="auto"/>
              <w:right w:val="single" w:sz="4" w:space="0" w:color="000000"/>
            </w:tcBorders>
            <w:shd w:val="clear" w:color="auto" w:fill="D3D3D3"/>
          </w:tcPr>
          <w:p>
            <w:pPr/>
          </w:p>
        </w:tc>
        <w:tc>
          <w:tcPr>
            <w:tcW w:w="2099" w:type="dxa"/>
            <w:tcBorders>
              <w:top w:val="single" w:sz="4" w:space="0" w:color="000000"/>
              <w:left w:val="single" w:sz="4" w:space="0" w:color="000000"/>
              <w:bottom w:val="nil" w:sz="6" w:space="0" w:color="auto"/>
              <w:right w:val="single" w:sz="4" w:space="0" w:color="000000"/>
            </w:tcBorders>
            <w:shd w:val="clear" w:color="auto" w:fill="D3D3D3"/>
          </w:tcPr>
          <w:p>
            <w:pPr/>
          </w:p>
        </w:tc>
        <w:tc>
          <w:tcPr>
            <w:tcW w:w="1804" w:type="dxa"/>
            <w:tcBorders>
              <w:top w:val="single" w:sz="4" w:space="0" w:color="000000"/>
              <w:left w:val="single" w:sz="4" w:space="0" w:color="000000"/>
              <w:bottom w:val="nil" w:sz="6" w:space="0" w:color="auto"/>
              <w:right w:val="single" w:sz="4" w:space="0" w:color="000000"/>
            </w:tcBorders>
            <w:shd w:val="clear" w:color="auto" w:fill="D3D3D3"/>
          </w:tcPr>
          <w:p>
            <w:pPr/>
          </w:p>
        </w:tc>
      </w:tr>
      <w:tr>
        <w:trPr>
          <w:trHeight w:val="390" w:hRule="exact"/>
        </w:trPr>
        <w:tc>
          <w:tcPr>
            <w:tcW w:w="1893" w:type="dxa"/>
            <w:vMerge/>
            <w:tcBorders>
              <w:left w:val="single" w:sz="4" w:space="0" w:color="000000"/>
              <w:right w:val="single" w:sz="4" w:space="0" w:color="000000"/>
            </w:tcBorders>
            <w:shd w:val="clear" w:color="auto" w:fill="D3D3D3"/>
          </w:tcPr>
          <w:p>
            <w:pPr/>
          </w:p>
        </w:tc>
        <w:tc>
          <w:tcPr>
            <w:tcW w:w="1662"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left="10" w:right="0"/>
              <w:jc w:val="center"/>
              <w:rPr>
                <w:rFonts w:ascii="Arial" w:hAnsi="Arial" w:cs="Arial" w:eastAsia="Arial" w:hint="default"/>
                <w:sz w:val="18"/>
                <w:szCs w:val="18"/>
              </w:rPr>
            </w:pPr>
            <w:r>
              <w:rPr>
                <w:rFonts w:ascii="Arial" w:hAnsi="Arial" w:cs="Arial" w:eastAsia="Arial" w:hint="default"/>
                <w:sz w:val="18"/>
                <w:szCs w:val="18"/>
              </w:rPr>
              <w:t>——</w:t>
            </w:r>
          </w:p>
        </w:tc>
        <w:tc>
          <w:tcPr>
            <w:tcW w:w="20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1"/>
              <w:jc w:val="center"/>
              <w:rPr>
                <w:rFonts w:ascii="Arial" w:hAnsi="Arial" w:cs="Arial" w:eastAsia="Arial" w:hint="default"/>
                <w:sz w:val="18"/>
                <w:szCs w:val="18"/>
              </w:rPr>
            </w:pPr>
            <w:r>
              <w:rPr>
                <w:rFonts w:ascii="Arial" w:hAnsi="Arial" w:cs="Arial" w:eastAsia="Arial" w:hint="default"/>
                <w:sz w:val="18"/>
                <w:szCs w:val="18"/>
              </w:rPr>
              <w:t>——</w:t>
            </w:r>
          </w:p>
        </w:tc>
        <w:tc>
          <w:tcPr>
            <w:tcW w:w="2099"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1"/>
              <w:jc w:val="center"/>
              <w:rPr>
                <w:rFonts w:ascii="Arial" w:hAnsi="Arial" w:cs="Arial" w:eastAsia="Arial" w:hint="default"/>
                <w:sz w:val="18"/>
                <w:szCs w:val="18"/>
              </w:rPr>
            </w:pPr>
            <w:r>
              <w:rPr>
                <w:rFonts w:ascii="Arial" w:hAnsi="Arial" w:cs="Arial" w:eastAsia="Arial" w:hint="default"/>
                <w:sz w:val="18"/>
                <w:szCs w:val="18"/>
              </w:rPr>
              <w:t>——</w:t>
            </w:r>
          </w:p>
        </w:tc>
        <w:tc>
          <w:tcPr>
            <w:tcW w:w="1804" w:type="dxa"/>
            <w:tcBorders>
              <w:top w:val="nil" w:sz="6" w:space="0" w:color="auto"/>
              <w:left w:val="single" w:sz="4" w:space="0" w:color="000000"/>
              <w:bottom w:val="nil" w:sz="6" w:space="0" w:color="auto"/>
              <w:right w:val="single" w:sz="4" w:space="0" w:color="000000"/>
            </w:tcBorders>
            <w:shd w:val="clear" w:color="auto" w:fill="D3D3D3"/>
          </w:tcPr>
          <w:p>
            <w:pPr>
              <w:pStyle w:val="TableParagraph"/>
              <w:spacing w:line="240" w:lineRule="auto" w:before="91"/>
              <w:ind w:right="1"/>
              <w:jc w:val="center"/>
              <w:rPr>
                <w:rFonts w:ascii="Arial" w:hAnsi="Arial" w:cs="Arial" w:eastAsia="Arial" w:hint="default"/>
                <w:sz w:val="18"/>
                <w:szCs w:val="18"/>
              </w:rPr>
            </w:pPr>
            <w:r>
              <w:rPr>
                <w:rFonts w:ascii="Arial" w:hAnsi="Arial" w:cs="Arial" w:eastAsia="Arial" w:hint="default"/>
                <w:sz w:val="18"/>
                <w:szCs w:val="18"/>
              </w:rPr>
              <w:t>——</w:t>
            </w:r>
          </w:p>
        </w:tc>
      </w:tr>
      <w:tr>
        <w:trPr>
          <w:trHeight w:val="161" w:hRule="exact"/>
        </w:trPr>
        <w:tc>
          <w:tcPr>
            <w:tcW w:w="1893" w:type="dxa"/>
            <w:vMerge/>
            <w:tcBorders>
              <w:left w:val="single" w:sz="4" w:space="0" w:color="000000"/>
              <w:bottom w:val="single" w:sz="4" w:space="0" w:color="000000"/>
              <w:right w:val="single" w:sz="4" w:space="0" w:color="000000"/>
            </w:tcBorders>
            <w:shd w:val="clear" w:color="auto" w:fill="D3D3D3"/>
          </w:tcPr>
          <w:p>
            <w:pPr/>
          </w:p>
        </w:tc>
        <w:tc>
          <w:tcPr>
            <w:tcW w:w="1662" w:type="dxa"/>
            <w:tcBorders>
              <w:top w:val="nil" w:sz="6" w:space="0" w:color="auto"/>
              <w:left w:val="single" w:sz="4" w:space="0" w:color="000000"/>
              <w:bottom w:val="single" w:sz="4" w:space="0" w:color="000000"/>
              <w:right w:val="single" w:sz="4" w:space="0" w:color="000000"/>
            </w:tcBorders>
            <w:shd w:val="clear" w:color="auto" w:fill="D3D3D3"/>
          </w:tcPr>
          <w:p>
            <w:pPr/>
          </w:p>
        </w:tc>
        <w:tc>
          <w:tcPr>
            <w:tcW w:w="2099" w:type="dxa"/>
            <w:tcBorders>
              <w:top w:val="nil" w:sz="6" w:space="0" w:color="auto"/>
              <w:left w:val="single" w:sz="4" w:space="0" w:color="000000"/>
              <w:bottom w:val="single" w:sz="4" w:space="0" w:color="000000"/>
              <w:right w:val="single" w:sz="4" w:space="0" w:color="000000"/>
            </w:tcBorders>
            <w:shd w:val="clear" w:color="auto" w:fill="D3D3D3"/>
          </w:tcPr>
          <w:p>
            <w:pPr/>
          </w:p>
        </w:tc>
        <w:tc>
          <w:tcPr>
            <w:tcW w:w="2099" w:type="dxa"/>
            <w:tcBorders>
              <w:top w:val="nil" w:sz="6" w:space="0" w:color="auto"/>
              <w:left w:val="single" w:sz="4" w:space="0" w:color="000000"/>
              <w:bottom w:val="single" w:sz="4" w:space="0" w:color="000000"/>
              <w:right w:val="single" w:sz="4" w:space="0" w:color="000000"/>
            </w:tcBorders>
            <w:shd w:val="clear" w:color="auto" w:fill="D3D3D3"/>
          </w:tcPr>
          <w:p>
            <w:pPr/>
          </w:p>
        </w:tc>
        <w:tc>
          <w:tcPr>
            <w:tcW w:w="1804" w:type="dxa"/>
            <w:tcBorders>
              <w:top w:val="nil" w:sz="6" w:space="0" w:color="auto"/>
              <w:left w:val="single" w:sz="4" w:space="0" w:color="000000"/>
              <w:bottom w:val="single" w:sz="4" w:space="0" w:color="000000"/>
              <w:right w:val="single" w:sz="4" w:space="0" w:color="000000"/>
            </w:tcBorders>
            <w:shd w:val="clear" w:color="auto" w:fill="D3D3D3"/>
          </w:tcPr>
          <w:p>
            <w:pPr/>
          </w:p>
        </w:tc>
      </w:tr>
      <w:tr>
        <w:trPr>
          <w:trHeight w:val="402" w:hRule="exact"/>
        </w:trPr>
        <w:tc>
          <w:tcPr>
            <w:tcW w:w="18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3"/>
              <w:ind w:left="11"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66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3"/>
              <w:ind w:right="22"/>
              <w:jc w:val="right"/>
              <w:rPr>
                <w:rFonts w:ascii="Arial" w:hAnsi="Arial" w:cs="Arial" w:eastAsia="Arial" w:hint="default"/>
                <w:sz w:val="18"/>
                <w:szCs w:val="18"/>
              </w:rPr>
            </w:pPr>
            <w:r>
              <w:rPr>
                <w:rFonts w:ascii="Arial"/>
                <w:spacing w:val="-1"/>
                <w:sz w:val="18"/>
              </w:rPr>
              <w:t>4,452,475.29</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Arial" w:hAnsi="Arial" w:cs="Arial" w:eastAsia="Arial" w:hint="default"/>
                <w:sz w:val="18"/>
                <w:szCs w:val="18"/>
              </w:rPr>
            </w:pPr>
            <w:r>
              <w:rPr>
                <w:rFonts w:ascii="Arial"/>
                <w:spacing w:val="-1"/>
                <w:sz w:val="18"/>
              </w:rPr>
              <w:t>4,452,475.29</w:t>
            </w:r>
          </w:p>
        </w:tc>
      </w:tr>
      <w:tr>
        <w:trPr>
          <w:trHeight w:val="402" w:hRule="exact"/>
        </w:trPr>
        <w:tc>
          <w:tcPr>
            <w:tcW w:w="18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本期核销</w:t>
            </w:r>
          </w:p>
        </w:tc>
        <w:tc>
          <w:tcPr>
            <w:tcW w:w="166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259,120.23</w:t>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259,120.23</w:t>
            </w:r>
          </w:p>
        </w:tc>
      </w:tr>
      <w:tr>
        <w:trPr>
          <w:trHeight w:val="403" w:hRule="exact"/>
        </w:trPr>
        <w:tc>
          <w:tcPr>
            <w:tcW w:w="189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Arial" w:hAnsi="Arial" w:cs="Arial" w:eastAsia="Arial" w:hint="default"/>
                <w:sz w:val="18"/>
                <w:szCs w:val="18"/>
              </w:rPr>
              <w:t>2019</w:t>
            </w:r>
            <w:r>
              <w:rPr>
                <w:rFonts w:ascii="Arial" w:hAnsi="Arial" w:cs="Arial" w:eastAsia="Arial"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59"/>
                <w:sz w:val="18"/>
                <w:szCs w:val="18"/>
              </w:rPr>
              <w:t> </w:t>
            </w:r>
            <w:r>
              <w:rPr>
                <w:rFonts w:ascii="Arial" w:hAnsi="Arial" w:cs="Arial" w:eastAsia="Arial" w:hint="default"/>
                <w:sz w:val="18"/>
                <w:szCs w:val="18"/>
              </w:rPr>
              <w:t>12</w:t>
            </w:r>
            <w:r>
              <w:rPr>
                <w:rFonts w:ascii="Arial" w:hAnsi="Arial" w:cs="Arial" w:eastAsia="Arial" w:hint="default"/>
                <w:spacing w:val="-20"/>
                <w:sz w:val="18"/>
                <w:szCs w:val="18"/>
              </w:rPr>
              <w:t> </w:t>
            </w:r>
            <w:r>
              <w:rPr>
                <w:rFonts w:ascii="宋体" w:hAnsi="宋体" w:cs="宋体" w:eastAsia="宋体" w:hint="default"/>
                <w:sz w:val="18"/>
                <w:szCs w:val="18"/>
              </w:rPr>
              <w:t>月</w:t>
            </w:r>
            <w:r>
              <w:rPr>
                <w:rFonts w:ascii="宋体" w:hAnsi="宋体" w:cs="宋体" w:eastAsia="宋体" w:hint="default"/>
                <w:spacing w:val="-59"/>
                <w:sz w:val="18"/>
                <w:szCs w:val="18"/>
              </w:rPr>
              <w:t> </w:t>
            </w:r>
            <w:r>
              <w:rPr>
                <w:rFonts w:ascii="Arial" w:hAnsi="Arial" w:cs="Arial" w:eastAsia="Arial" w:hint="default"/>
                <w:sz w:val="18"/>
                <w:szCs w:val="18"/>
              </w:rPr>
              <w:t>31</w:t>
            </w:r>
            <w:r>
              <w:rPr>
                <w:rFonts w:ascii="Arial" w:hAnsi="Arial" w:cs="Arial" w:eastAsia="Arial" w:hint="default"/>
                <w:spacing w:val="-20"/>
                <w:sz w:val="18"/>
                <w:szCs w:val="18"/>
              </w:rPr>
              <w:t> </w:t>
            </w:r>
            <w:r>
              <w:rPr>
                <w:rFonts w:ascii="宋体" w:hAnsi="宋体" w:cs="宋体" w:eastAsia="宋体" w:hint="default"/>
                <w:sz w:val="18"/>
                <w:szCs w:val="18"/>
              </w:rPr>
              <w:t>日余额</w:t>
            </w:r>
          </w:p>
        </w:tc>
        <w:tc>
          <w:tcPr>
            <w:tcW w:w="166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sz w:val="18"/>
              </w:rPr>
              <w:t>12,200,144.37</w:t>
            </w:r>
            <w:r>
              <w:rPr>
                <w:rFonts w:ascii="Arial"/>
                <w:sz w:val="18"/>
              </w:rPr>
            </w:r>
          </w:p>
        </w:tc>
        <w:tc>
          <w:tcPr>
            <w:tcW w:w="2099" w:type="dxa"/>
            <w:tcBorders>
              <w:top w:val="single" w:sz="4" w:space="0" w:color="000000"/>
              <w:left w:val="single" w:sz="4" w:space="0" w:color="000000"/>
              <w:bottom w:val="single" w:sz="4" w:space="0" w:color="000000"/>
              <w:right w:val="single" w:sz="4" w:space="0" w:color="000000"/>
            </w:tcBorders>
          </w:tcPr>
          <w:p>
            <w:pPr/>
          </w:p>
        </w:tc>
        <w:tc>
          <w:tcPr>
            <w:tcW w:w="2099" w:type="dxa"/>
            <w:tcBorders>
              <w:top w:val="single" w:sz="4" w:space="0" w:color="000000"/>
              <w:left w:val="single" w:sz="4" w:space="0" w:color="000000"/>
              <w:bottom w:val="single" w:sz="4" w:space="0" w:color="000000"/>
              <w:right w:val="single" w:sz="4" w:space="0" w:color="000000"/>
            </w:tcBorders>
          </w:tcPr>
          <w:p>
            <w:pPr/>
          </w:p>
        </w:tc>
        <w:tc>
          <w:tcPr>
            <w:tcW w:w="18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12,200,144.37</w:t>
            </w:r>
            <w:r>
              <w:rPr>
                <w:rFonts w:ascii="Arial"/>
                <w:sz w:val="18"/>
              </w:rPr>
            </w:r>
          </w:p>
        </w:tc>
      </w:tr>
    </w:tbl>
    <w:p>
      <w:pPr>
        <w:spacing w:after="0" w:line="240" w:lineRule="auto"/>
        <w:jc w:val="right"/>
        <w:rPr>
          <w:rFonts w:ascii="Arial" w:hAnsi="Arial" w:cs="Arial" w:eastAsia="Arial" w:hint="default"/>
          <w:sz w:val="18"/>
          <w:szCs w:val="18"/>
        </w:rPr>
        <w:sectPr>
          <w:pgSz w:w="11910" w:h="16840"/>
          <w:pgMar w:header="747" w:footer="982" w:top="1060" w:bottom="1180" w:left="980" w:right="0"/>
        </w:sectPr>
      </w:pPr>
    </w:p>
    <w:p>
      <w:pPr>
        <w:pStyle w:val="BodyText"/>
        <w:spacing w:line="240" w:lineRule="auto" w:before="51"/>
        <w:ind w:right="-20"/>
        <w:jc w:val="left"/>
      </w:pPr>
      <w:r>
        <w:rPr/>
        <w:t>损失准备本期变动金额重大的账面余额变动情况</w:t>
      </w:r>
    </w:p>
    <w:p>
      <w:pPr>
        <w:pStyle w:val="BodyText"/>
        <w:spacing w:line="340" w:lineRule="auto" w:before="116"/>
        <w:ind w:right="1573"/>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 按账龄披露</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8"/>
        <w:rPr>
          <w:rFonts w:ascii="宋体" w:hAnsi="宋体" w:cs="宋体" w:eastAsia="宋体" w:hint="default"/>
          <w:sz w:val="12"/>
          <w:szCs w:val="12"/>
        </w:rPr>
      </w:pPr>
    </w:p>
    <w:p>
      <w:pPr>
        <w:pStyle w:val="BodyText"/>
        <w:spacing w:line="240" w:lineRule="auto"/>
        <w:ind w:left="153" w:right="0"/>
        <w:jc w:val="left"/>
      </w:pPr>
      <w:r>
        <w:rPr/>
        <w:t>单位： 元</w:t>
      </w:r>
    </w:p>
    <w:p>
      <w:pPr>
        <w:spacing w:after="0" w:line="240" w:lineRule="auto"/>
        <w:jc w:val="left"/>
        <w:sectPr>
          <w:type w:val="continuous"/>
          <w:pgSz w:w="11910" w:h="16840"/>
          <w:pgMar w:top="1060" w:bottom="1180" w:left="980" w:right="0"/>
          <w:cols w:num="2" w:equalWidth="0">
            <w:col w:w="3935" w:space="4894"/>
            <w:col w:w="2101"/>
          </w:cols>
        </w:sectPr>
      </w:pP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4761"/>
        <w:gridCol w:w="4795"/>
      </w:tblGrid>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79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账面余额</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年以内（含</w:t>
            </w:r>
            <w:r>
              <w:rPr>
                <w:rFonts w:ascii="宋体" w:hAnsi="宋体" w:cs="宋体" w:eastAsia="宋体" w:hint="default"/>
                <w:spacing w:val="-45"/>
                <w:sz w:val="18"/>
                <w:szCs w:val="18"/>
              </w:rPr>
              <w:t> </w:t>
            </w: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47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1,180,034,680.89</w:t>
            </w:r>
            <w:r>
              <w:rPr>
                <w:rFonts w:ascii="Arial"/>
                <w:sz w:val="18"/>
              </w:rPr>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2</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47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8,155,180.26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7"/>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47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6,867,802.87</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年以上</w:t>
            </w:r>
          </w:p>
        </w:tc>
        <w:tc>
          <w:tcPr>
            <w:tcW w:w="47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7,834,779.86</w:t>
            </w:r>
          </w:p>
        </w:tc>
      </w:tr>
      <w:tr>
        <w:trPr>
          <w:trHeight w:val="402"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91"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7"/>
                <w:sz w:val="18"/>
                <w:szCs w:val="18"/>
              </w:rPr>
              <w:t> </w:t>
            </w:r>
            <w:r>
              <w:rPr>
                <w:rFonts w:ascii="宋体" w:hAnsi="宋体" w:cs="宋体" w:eastAsia="宋体" w:hint="default"/>
                <w:sz w:val="18"/>
                <w:szCs w:val="18"/>
              </w:rPr>
              <w:t>至</w:t>
            </w:r>
            <w:r>
              <w:rPr>
                <w:rFonts w:ascii="宋体" w:hAnsi="宋体" w:cs="宋体" w:eastAsia="宋体" w:hint="default"/>
                <w:spacing w:val="-45"/>
                <w:sz w:val="18"/>
                <w:szCs w:val="18"/>
              </w:rPr>
              <w:t> </w:t>
            </w:r>
            <w:r>
              <w:rPr>
                <w:rFonts w:ascii="Arial" w:hAnsi="Arial" w:cs="Arial" w:eastAsia="Arial" w:hint="default"/>
                <w:sz w:val="18"/>
                <w:szCs w:val="18"/>
              </w:rPr>
              <w:t>4</w:t>
            </w:r>
            <w:r>
              <w:rPr>
                <w:rFonts w:ascii="Arial" w:hAnsi="Arial" w:cs="Arial" w:eastAsia="Arial" w:hint="default"/>
                <w:spacing w:val="-7"/>
                <w:sz w:val="18"/>
                <w:szCs w:val="18"/>
              </w:rPr>
              <w:t> </w:t>
            </w:r>
            <w:r>
              <w:rPr>
                <w:rFonts w:ascii="宋体" w:hAnsi="宋体" w:cs="宋体" w:eastAsia="宋体" w:hint="default"/>
                <w:sz w:val="18"/>
                <w:szCs w:val="18"/>
              </w:rPr>
              <w:t>年</w:t>
            </w:r>
          </w:p>
        </w:tc>
        <w:tc>
          <w:tcPr>
            <w:tcW w:w="47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7,834,779.86</w:t>
            </w:r>
          </w:p>
        </w:tc>
      </w:tr>
      <w:tr>
        <w:trPr>
          <w:trHeight w:val="403" w:hRule="exact"/>
        </w:trPr>
        <w:tc>
          <w:tcPr>
            <w:tcW w:w="476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795"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1,202,892,443.88</w:t>
            </w:r>
            <w:r>
              <w:rPr>
                <w:rFonts w:ascii="Arial"/>
                <w:sz w:val="18"/>
              </w:rPr>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rFonts w:ascii="Arial" w:hAnsi="Arial" w:cs="Arial" w:eastAsia="Arial" w:hint="default"/>
        </w:rPr>
        <w:t>3</w:t>
      </w:r>
      <w:r>
        <w:rPr/>
        <w:t>）本期计提、收回或转回的坏账准备情况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2239"/>
        <w:jc w:val="left"/>
      </w:pPr>
      <w:r>
        <w:rPr/>
        <w:t>本期计提坏账准备情况：</w:t>
      </w:r>
    </w:p>
    <w:p>
      <w:pPr>
        <w:pStyle w:val="BodyText"/>
        <w:spacing w:line="240" w:lineRule="auto" w:before="116"/>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1579"/>
        <w:gridCol w:w="1087"/>
        <w:gridCol w:w="1332"/>
        <w:gridCol w:w="1330"/>
        <w:gridCol w:w="1090"/>
        <w:gridCol w:w="1577"/>
        <w:gridCol w:w="1574"/>
      </w:tblGrid>
      <w:tr>
        <w:trPr>
          <w:trHeight w:val="402" w:hRule="exact"/>
        </w:trPr>
        <w:tc>
          <w:tcPr>
            <w:tcW w:w="157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类别</w:t>
            </w:r>
          </w:p>
        </w:tc>
        <w:tc>
          <w:tcPr>
            <w:tcW w:w="108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5328"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本期变动金额</w:t>
            </w:r>
          </w:p>
        </w:tc>
        <w:tc>
          <w:tcPr>
            <w:tcW w:w="1574"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422"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403" w:hRule="exact"/>
        </w:trPr>
        <w:tc>
          <w:tcPr>
            <w:tcW w:w="1579" w:type="dxa"/>
            <w:vMerge/>
            <w:tcBorders>
              <w:left w:val="single" w:sz="4" w:space="0" w:color="000000"/>
              <w:bottom w:val="single" w:sz="4" w:space="0" w:color="000000"/>
              <w:right w:val="single" w:sz="4" w:space="0" w:color="000000"/>
            </w:tcBorders>
            <w:shd w:val="clear" w:color="auto" w:fill="D3D3D3"/>
          </w:tcPr>
          <w:p>
            <w:pPr/>
          </w:p>
        </w:tc>
        <w:tc>
          <w:tcPr>
            <w:tcW w:w="1087" w:type="dxa"/>
            <w:vMerge/>
            <w:tcBorders>
              <w:left w:val="single" w:sz="4" w:space="0" w:color="000000"/>
              <w:bottom w:val="single" w:sz="4" w:space="0" w:color="000000"/>
              <w:right w:val="single" w:sz="4" w:space="0" w:color="000000"/>
            </w:tcBorders>
            <w:shd w:val="clear" w:color="auto" w:fill="D3D3D3"/>
          </w:tcPr>
          <w:p>
            <w:pPr/>
          </w:p>
        </w:tc>
        <w:tc>
          <w:tcPr>
            <w:tcW w:w="133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计提</w:t>
            </w:r>
          </w:p>
        </w:tc>
        <w:tc>
          <w:tcPr>
            <w:tcW w:w="133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09" w:right="0"/>
              <w:jc w:val="left"/>
              <w:rPr>
                <w:rFonts w:ascii="宋体" w:hAnsi="宋体" w:cs="宋体" w:eastAsia="宋体" w:hint="default"/>
                <w:sz w:val="18"/>
                <w:szCs w:val="18"/>
              </w:rPr>
            </w:pPr>
            <w:r>
              <w:rPr>
                <w:rFonts w:ascii="宋体" w:hAnsi="宋体" w:cs="宋体" w:eastAsia="宋体" w:hint="default"/>
                <w:sz w:val="18"/>
                <w:szCs w:val="18"/>
              </w:rPr>
              <w:t>收回或转回</w:t>
            </w:r>
          </w:p>
        </w:tc>
        <w:tc>
          <w:tcPr>
            <w:tcW w:w="109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58" w:right="0"/>
              <w:jc w:val="left"/>
              <w:rPr>
                <w:rFonts w:ascii="宋体" w:hAnsi="宋体" w:cs="宋体" w:eastAsia="宋体" w:hint="default"/>
                <w:sz w:val="18"/>
                <w:szCs w:val="18"/>
              </w:rPr>
            </w:pPr>
            <w:r>
              <w:rPr>
                <w:rFonts w:ascii="宋体" w:hAnsi="宋体" w:cs="宋体" w:eastAsia="宋体" w:hint="default"/>
                <w:sz w:val="18"/>
                <w:szCs w:val="18"/>
              </w:rPr>
              <w:t>核销</w:t>
            </w:r>
          </w:p>
        </w:tc>
        <w:tc>
          <w:tcPr>
            <w:tcW w:w="157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574" w:type="dxa"/>
            <w:vMerge/>
            <w:tcBorders>
              <w:left w:val="single" w:sz="4" w:space="0" w:color="000000"/>
              <w:bottom w:val="single" w:sz="4" w:space="0" w:color="000000"/>
              <w:right w:val="single" w:sz="4" w:space="0" w:color="000000"/>
            </w:tcBorders>
            <w:shd w:val="clear" w:color="auto" w:fill="D3D3D3"/>
          </w:tcPr>
          <w:p>
            <w:pPr/>
          </w:p>
        </w:tc>
      </w:tr>
    </w:tbl>
    <w:p>
      <w:pPr>
        <w:pStyle w:val="BodyText"/>
        <w:spacing w:line="240" w:lineRule="auto" w:before="52"/>
        <w:ind w:right="2239"/>
        <w:jc w:val="left"/>
      </w:pPr>
      <w:r>
        <w:rPr/>
        <w:t>其中本期坏账准备转回或收回金额重要的：</w:t>
      </w:r>
    </w:p>
    <w:p>
      <w:pPr>
        <w:pStyle w:val="BodyText"/>
        <w:spacing w:line="240" w:lineRule="auto" w:before="116"/>
        <w:ind w:left="0" w:right="1131"/>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1"/>
        <w:gridCol w:w="3191"/>
      </w:tblGrid>
      <w:tr>
        <w:trPr>
          <w:trHeight w:val="402" w:hRule="exact"/>
        </w:trPr>
        <w:tc>
          <w:tcPr>
            <w:tcW w:w="318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959"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c>
          <w:tcPr>
            <w:tcW w:w="319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收回方式</w:t>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rFonts w:ascii="Arial" w:hAnsi="Arial" w:cs="Arial" w:eastAsia="Arial" w:hint="default"/>
        </w:rPr>
        <w:t>4</w:t>
      </w:r>
      <w:r>
        <w:rPr/>
        <w:t>）本期实际核销的其他应收款情况</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9"/>
        <w:rPr>
          <w:rFonts w:ascii="宋体" w:hAnsi="宋体" w:cs="宋体" w:eastAsia="宋体" w:hint="default"/>
          <w:sz w:val="7"/>
          <w:szCs w:val="7"/>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26;top:14;width:2;height:392" coordorigin="26,14" coordsize="2,392">
              <v:shape style="position:absolute;left:26;top:14;width:2;height:392" coordorigin="26,14" coordsize="0,392" path="m26,14l26,406e" filled="false" stroked="true" strokeweight="1.140pt" strokecolor="#d3d3d3">
                <v:path arrowok="t"/>
              </v:shape>
            </v:group>
            <v:group style="position:absolute;left:4773;top:14;width:2;height:392" coordorigin="4773,14" coordsize="2,392">
              <v:shape style="position:absolute;left:4773;top:14;width:2;height:392" coordorigin="4773,14" coordsize="0,392" path="m4773,14l4773,406e" filled="false" stroked="true" strokeweight="1.140pt" strokecolor="#d3d3d3">
                <v:path arrowok="t"/>
              </v:shape>
            </v:group>
            <v:group style="position:absolute;left:37;top:14;width:4725;height:392" coordorigin="37,14" coordsize="4725,392">
              <v:shape style="position:absolute;left:37;top:14;width:4725;height:392" coordorigin="37,14" coordsize="4725,392" path="m37,406l4762,406,4762,14,37,14,37,406xe" filled="true" fillcolor="#d3d3d3" stroked="false">
                <v:path arrowok="t"/>
                <v:fill type="solid"/>
              </v:shape>
            </v:group>
            <v:group style="position:absolute;left:4806;top:14;width:2;height:392" coordorigin="4806,14" coordsize="2,392">
              <v:shape style="position:absolute;left:4806;top:14;width:2;height:392" coordorigin="4806,14" coordsize="0,392" path="m4806,14l4806,406e" filled="false" stroked="true" strokeweight="1.2pt" strokecolor="#d3d3d3">
                <v:path arrowok="t"/>
              </v:shape>
            </v:group>
            <v:group style="position:absolute;left:9561;top:14;width:2;height:392" coordorigin="9561,14" coordsize="2,392">
              <v:shape style="position:absolute;left:9561;top:14;width:2;height:392" coordorigin="9561,14" coordsize="0,392" path="m9561,14l9561,406e" filled="false" stroked="true" strokeweight="1.140pt" strokecolor="#d3d3d3">
                <v:path arrowok="t"/>
              </v:shape>
            </v:group>
            <v:group style="position:absolute;left:4818;top:14;width:4732;height:392" coordorigin="4818,14" coordsize="4732,392">
              <v:shape style="position:absolute;left:4818;top:14;width:4732;height:392" coordorigin="4818,14" coordsize="4732,392" path="m4818,406l9550,406,9550,14,4818,14,4818,406xe" filled="true" fillcolor="#d3d3d3" stroked="false">
                <v:path arrowok="t"/>
                <v:fill type="solid"/>
              </v:shape>
            </v:group>
            <v:group style="position:absolute;left:5;top:10;width:9578;height:2" coordorigin="5,10" coordsize="9578,2">
              <v:shape style="position:absolute;left:5;top:10;width:9578;height:2" coordorigin="5,10" coordsize="9578,0" path="m5,10l9582,10e" filled="false" stroked="true" strokeweight=".48001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0;height:2" coordorigin="5,412" coordsize="4780,2">
              <v:shape style="position:absolute;left:5;top:412;width:4780;height:2" coordorigin="5,412" coordsize="4780,0" path="m5,412l4784,412e" filled="false" stroked="true" strokeweight=".48001pt" strokecolor="#000000">
                <v:path arrowok="t"/>
              </v:shape>
            </v:group>
            <v:group style="position:absolute;left:4789;top:14;width:2;height:402" coordorigin="4789,14" coordsize="2,402">
              <v:shape style="position:absolute;left:4789;top:14;width:2;height:402" coordorigin="4789,14" coordsize="0,402" path="m4789,14l4789,416e" filled="false" stroked="true" strokeweight=".48001pt" strokecolor="#000000">
                <v:path arrowok="t"/>
              </v:shape>
            </v:group>
            <v:group style="position:absolute;left:4794;top:412;width:4779;height:2" coordorigin="4794,412" coordsize="4779,2">
              <v:shape style="position:absolute;left:4794;top:412;width:4779;height:2" coordorigin="4794,412" coordsize="4779,0" path="m4794,412l9572,412e" filled="false" stroked="true" strokeweight=".48001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2219;top:121;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4789;top:10;width:4788;height:402" type="#_x0000_t202" filled="false" stroked="false">
                <v:textbox inset="0,0,0,0">
                  <w:txbxContent>
                    <w:p>
                      <w:pPr>
                        <w:spacing w:before="56"/>
                        <w:ind w:left="0" w:right="0" w:firstLine="0"/>
                        <w:jc w:val="center"/>
                        <w:rPr>
                          <w:rFonts w:ascii="宋体" w:hAnsi="宋体" w:cs="宋体" w:eastAsia="宋体" w:hint="default"/>
                          <w:sz w:val="18"/>
                          <w:szCs w:val="18"/>
                        </w:rPr>
                      </w:pPr>
                      <w:r>
                        <w:rPr>
                          <w:rFonts w:ascii="宋体" w:hAnsi="宋体" w:cs="宋体" w:eastAsia="宋体" w:hint="default"/>
                          <w:sz w:val="18"/>
                          <w:szCs w:val="18"/>
                        </w:rPr>
                        <w:t>核销金额</w:t>
                      </w:r>
                    </w:p>
                  </w:txbxContent>
                </v:textbox>
                <w10:wrap type="none"/>
              </v:shape>
            </v:group>
          </v:group>
        </w:pict>
      </w:r>
      <w:r>
        <w:rPr>
          <w:rFonts w:ascii="宋体" w:hAnsi="宋体" w:cs="宋体" w:eastAsia="宋体" w:hint="default"/>
          <w:position w:val="-7"/>
          <w:sz w:val="20"/>
          <w:szCs w:val="20"/>
        </w:rPr>
      </w:r>
    </w:p>
    <w:p>
      <w:pPr>
        <w:spacing w:after="0" w:line="421" w:lineRule="exact"/>
        <w:rPr>
          <w:rFonts w:ascii="宋体" w:hAnsi="宋体" w:cs="宋体" w:eastAsia="宋体" w:hint="default"/>
          <w:sz w:val="20"/>
          <w:szCs w:val="20"/>
        </w:rPr>
        <w:sectPr>
          <w:type w:val="continuous"/>
          <w:pgSz w:w="11910" w:h="16840"/>
          <w:pgMar w:top="1060" w:bottom="1180" w:left="980" w:right="0"/>
        </w:sectPr>
      </w:pPr>
    </w:p>
    <w:p>
      <w:pPr>
        <w:spacing w:line="240" w:lineRule="auto" w:before="2"/>
        <w:rPr>
          <w:rFonts w:ascii="宋体" w:hAnsi="宋体" w:cs="宋体" w:eastAsia="宋体" w:hint="default"/>
          <w:sz w:val="28"/>
          <w:szCs w:val="28"/>
        </w:rPr>
      </w:pPr>
    </w:p>
    <w:p>
      <w:pPr>
        <w:spacing w:line="421" w:lineRule="exact"/>
        <w:ind w:left="144"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35pt;height:21.1pt;mso-position-horizontal-relative:char;mso-position-vertical-relative:line" coordorigin="0,0" coordsize="9587,422">
            <v:group style="position:absolute;left:5;top:10;width:9578;height:2" coordorigin="5,10" coordsize="9578,2">
              <v:shape style="position:absolute;left:5;top:10;width:9578;height:2" coordorigin="5,10" coordsize="9578,0" path="m5,10l9582,10e" filled="false" stroked="true" strokeweight=".48004pt" strokecolor="#000000">
                <v:path arrowok="t"/>
              </v:shape>
            </v:group>
            <v:group style="position:absolute;left:10;top:5;width:2;height:412" coordorigin="10,5" coordsize="2,412">
              <v:shape style="position:absolute;left:10;top:5;width:2;height:412" coordorigin="10,5" coordsize="0,412" path="m10,5l10,416e" filled="false" stroked="true" strokeweight=".48001pt" strokecolor="#000000">
                <v:path arrowok="t"/>
              </v:shape>
            </v:group>
            <v:group style="position:absolute;left:5;top:412;width:4780;height:2" coordorigin="5,412" coordsize="4780,2">
              <v:shape style="position:absolute;left:5;top:412;width:4780;height:2" coordorigin="5,412" coordsize="4780,0" path="m5,412l4784,412e" filled="false" stroked="true" strokeweight=".47998pt" strokecolor="#000000">
                <v:path arrowok="t"/>
              </v:shape>
            </v:group>
            <v:group style="position:absolute;left:4789;top:14;width:2;height:402" coordorigin="4789,14" coordsize="2,402">
              <v:shape style="position:absolute;left:4789;top:14;width:2;height:402" coordorigin="4789,14" coordsize="0,402" path="m4789,14l4789,416e" filled="false" stroked="true" strokeweight=".48001pt" strokecolor="#000000">
                <v:path arrowok="t"/>
              </v:shape>
            </v:group>
            <v:group style="position:absolute;left:4794;top:412;width:4779;height:2" coordorigin="4794,412" coordsize="4779,2">
              <v:shape style="position:absolute;left:4794;top:412;width:4779;height:2" coordorigin="4794,412" coordsize="4779,0" path="m4794,412l9572,412e" filled="false" stroked="true" strokeweight=".47998pt" strokecolor="#000000">
                <v:path arrowok="t"/>
              </v:shape>
            </v:group>
            <v:group style="position:absolute;left:9577;top:5;width:2;height:412" coordorigin="9577,5" coordsize="2,412">
              <v:shape style="position:absolute;left:9577;top:5;width:2;height:412" coordorigin="9577,5" coordsize="0,412" path="m9577,5l9577,416e" filled="false" stroked="true" strokeweight=".47998pt" strokecolor="#000000">
                <v:path arrowok="t"/>
              </v:shape>
              <v:shape style="position:absolute;left:10;top:10;width:4780;height:402" type="#_x0000_t202" filled="false" stroked="false">
                <v:textbox inset="0,0,0,0">
                  <w:txbxContent>
                    <w:p>
                      <w:pPr>
                        <w:spacing w:before="56"/>
                        <w:ind w:left="27" w:right="0" w:firstLine="0"/>
                        <w:jc w:val="left"/>
                        <w:rPr>
                          <w:rFonts w:ascii="宋体" w:hAnsi="宋体" w:cs="宋体" w:eastAsia="宋体" w:hint="default"/>
                          <w:sz w:val="18"/>
                          <w:szCs w:val="18"/>
                        </w:rPr>
                      </w:pPr>
                      <w:r>
                        <w:rPr>
                          <w:rFonts w:ascii="宋体" w:hAnsi="宋体" w:cs="宋体" w:eastAsia="宋体" w:hint="default"/>
                          <w:sz w:val="18"/>
                          <w:szCs w:val="18"/>
                        </w:rPr>
                        <w:t>实际核销的应收账款</w:t>
                      </w:r>
                    </w:p>
                  </w:txbxContent>
                </v:textbox>
                <w10:wrap type="none"/>
              </v:shape>
              <v:shape style="position:absolute;left:4789;top:10;width:4788;height:402" type="#_x0000_t202" filled="false" stroked="false">
                <v:textbox inset="0,0,0,0">
                  <w:txbxContent>
                    <w:p>
                      <w:pPr>
                        <w:spacing w:before="96"/>
                        <w:ind w:left="0" w:right="26" w:firstLine="0"/>
                        <w:jc w:val="right"/>
                        <w:rPr>
                          <w:rFonts w:ascii="Arial" w:hAnsi="Arial" w:cs="Arial" w:eastAsia="Arial" w:hint="default"/>
                          <w:sz w:val="18"/>
                          <w:szCs w:val="18"/>
                        </w:rPr>
                      </w:pPr>
                      <w:r>
                        <w:rPr>
                          <w:rFonts w:ascii="Arial"/>
                          <w:spacing w:val="-1"/>
                          <w:sz w:val="18"/>
                        </w:rPr>
                        <w:t>259,120.23</w:t>
                      </w:r>
                    </w:p>
                  </w:txbxContent>
                </v:textbox>
                <w10:wrap type="none"/>
              </v:shape>
            </v:group>
          </v:group>
        </w:pict>
      </w:r>
      <w:r>
        <w:rPr>
          <w:rFonts w:ascii="宋体" w:hAnsi="宋体" w:cs="宋体" w:eastAsia="宋体" w:hint="default"/>
          <w:position w:val="-7"/>
          <w:sz w:val="20"/>
          <w:szCs w:val="20"/>
        </w:rPr>
      </w:r>
    </w:p>
    <w:p>
      <w:pPr>
        <w:pStyle w:val="BodyText"/>
        <w:spacing w:line="240" w:lineRule="auto" w:before="46"/>
        <w:ind w:right="2239"/>
        <w:jc w:val="left"/>
      </w:pPr>
      <w:r>
        <w:rPr/>
        <w:t>其中重要的其他应收款核销情况：</w:t>
      </w:r>
    </w:p>
    <w:p>
      <w:pPr>
        <w:pStyle w:val="BodyText"/>
        <w:spacing w:line="240" w:lineRule="auto" w:before="117"/>
        <w:ind w:left="0" w:right="1131"/>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4"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其他应收款性质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171" w:right="0"/>
              <w:jc w:val="left"/>
              <w:rPr>
                <w:rFonts w:ascii="宋体" w:hAnsi="宋体" w:cs="宋体" w:eastAsia="宋体" w:hint="default"/>
                <w:sz w:val="18"/>
                <w:szCs w:val="18"/>
              </w:rPr>
            </w:pPr>
            <w:r>
              <w:rPr>
                <w:rFonts w:ascii="宋体" w:hAnsi="宋体" w:cs="宋体" w:eastAsia="宋体" w:hint="default"/>
                <w:sz w:val="18"/>
                <w:szCs w:val="18"/>
              </w:rPr>
              <w:t>履行的核销程序</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532" w:right="80" w:hanging="450"/>
              <w:jc w:val="left"/>
              <w:rPr>
                <w:rFonts w:ascii="宋体" w:hAnsi="宋体" w:cs="宋体" w:eastAsia="宋体" w:hint="default"/>
                <w:sz w:val="18"/>
                <w:szCs w:val="18"/>
              </w:rPr>
            </w:pPr>
            <w:r>
              <w:rPr>
                <w:rFonts w:ascii="宋体" w:hAnsi="宋体" w:cs="宋体" w:eastAsia="宋体" w:hint="default"/>
                <w:sz w:val="18"/>
                <w:szCs w:val="18"/>
              </w:rPr>
              <w:t>款项是否由关联交 易产生</w:t>
            </w:r>
          </w:p>
        </w:tc>
      </w:tr>
    </w:tbl>
    <w:p>
      <w:pPr>
        <w:pStyle w:val="BodyText"/>
        <w:spacing w:line="240" w:lineRule="auto" w:before="51"/>
        <w:ind w:right="2239"/>
        <w:jc w:val="left"/>
      </w:pPr>
      <w:r>
        <w:rPr/>
        <w:t>其他应收款核销说明：</w:t>
      </w:r>
    </w:p>
    <w:p>
      <w:pPr>
        <w:spacing w:line="240" w:lineRule="auto" w:before="10"/>
        <w:rPr>
          <w:rFonts w:ascii="宋体" w:hAnsi="宋体" w:cs="宋体" w:eastAsia="宋体" w:hint="default"/>
          <w:sz w:val="26"/>
          <w:szCs w:val="26"/>
        </w:rPr>
      </w:pPr>
    </w:p>
    <w:p>
      <w:pPr>
        <w:pStyle w:val="Heading4"/>
        <w:spacing w:line="240" w:lineRule="auto"/>
        <w:ind w:right="2239"/>
        <w:jc w:val="left"/>
        <w:rPr>
          <w:b w:val="0"/>
          <w:bCs w:val="0"/>
        </w:rPr>
      </w:pPr>
      <w:r>
        <w:rPr>
          <w:rFonts w:ascii="Arial" w:hAnsi="Arial" w:cs="Arial" w:eastAsia="Arial" w:hint="default"/>
        </w:rPr>
        <w:t>5</w:t>
      </w:r>
      <w:r>
        <w:rPr/>
        <w:t>）按欠款方归集的期末余额前五名的其他应收款情况</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84"/>
        <w:gridCol w:w="1552"/>
        <w:gridCol w:w="1552"/>
        <w:gridCol w:w="1553"/>
        <w:gridCol w:w="1614"/>
        <w:gridCol w:w="1615"/>
      </w:tblGrid>
      <w:tr>
        <w:trPr>
          <w:trHeight w:val="713"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7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款项的性质</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16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81" w:right="80"/>
              <w:jc w:val="left"/>
              <w:rPr>
                <w:rFonts w:ascii="宋体" w:hAnsi="宋体" w:cs="宋体" w:eastAsia="宋体" w:hint="default"/>
                <w:sz w:val="18"/>
                <w:szCs w:val="18"/>
              </w:rPr>
            </w:pPr>
            <w:r>
              <w:rPr>
                <w:rFonts w:ascii="宋体" w:hAnsi="宋体" w:cs="宋体" w:eastAsia="宋体" w:hint="default"/>
                <w:sz w:val="18"/>
                <w:szCs w:val="18"/>
              </w:rPr>
              <w:t>占其他应收款期末 余额合计数的比例</w:t>
            </w:r>
          </w:p>
        </w:tc>
        <w:tc>
          <w:tcPr>
            <w:tcW w:w="161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82" w:right="0"/>
              <w:jc w:val="left"/>
              <w:rPr>
                <w:rFonts w:ascii="宋体" w:hAnsi="宋体" w:cs="宋体" w:eastAsia="宋体" w:hint="default"/>
                <w:sz w:val="18"/>
                <w:szCs w:val="18"/>
              </w:rPr>
            </w:pPr>
            <w:r>
              <w:rPr>
                <w:rFonts w:ascii="宋体" w:hAnsi="宋体" w:cs="宋体" w:eastAsia="宋体" w:hint="default"/>
                <w:sz w:val="18"/>
                <w:szCs w:val="18"/>
              </w:rPr>
              <w:t>坏账准备期末余额</w:t>
            </w: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信阳榕基信息技术有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398,247,627.04</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3"/>
                <w:sz w:val="18"/>
              </w:rPr>
              <w:t>33.11%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上海榕基软件开发有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210,109,547.38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17.47%</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福州创华电气自动化 系统有限公司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197,343,630.25</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16.41%</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河南榕基信息技术有 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1"/>
                <w:sz w:val="18"/>
              </w:rPr>
              <w:t>184,544,595.01</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1"/>
              <w:jc w:val="right"/>
              <w:rPr>
                <w:rFonts w:ascii="Arial" w:hAnsi="Arial" w:cs="Arial" w:eastAsia="Arial" w:hint="default"/>
                <w:sz w:val="18"/>
                <w:szCs w:val="18"/>
              </w:rPr>
            </w:pPr>
            <w:r>
              <w:rPr>
                <w:rFonts w:ascii="Arial"/>
                <w:spacing w:val="-1"/>
                <w:sz w:val="18"/>
              </w:rPr>
              <w:t>15.34%</w:t>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29"/>
              <w:jc w:val="left"/>
              <w:rPr>
                <w:rFonts w:ascii="宋体" w:hAnsi="宋体" w:cs="宋体" w:eastAsia="宋体" w:hint="default"/>
                <w:sz w:val="18"/>
                <w:szCs w:val="18"/>
              </w:rPr>
            </w:pPr>
            <w:r>
              <w:rPr>
                <w:rFonts w:ascii="宋体" w:hAnsi="宋体" w:cs="宋体" w:eastAsia="宋体" w:hint="default"/>
                <w:sz w:val="18"/>
                <w:szCs w:val="18"/>
              </w:rPr>
              <w:t>马鞍山榕基软件信息 科技有限公司</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关联往来</w:t>
            </w:r>
          </w:p>
        </w:tc>
        <w:tc>
          <w:tcPr>
            <w:tcW w:w="1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0"/>
              <w:jc w:val="right"/>
              <w:rPr>
                <w:rFonts w:ascii="Arial" w:hAnsi="Arial" w:cs="Arial" w:eastAsia="Arial" w:hint="default"/>
                <w:sz w:val="18"/>
                <w:szCs w:val="18"/>
              </w:rPr>
            </w:pPr>
            <w:r>
              <w:rPr>
                <w:rFonts w:ascii="Arial"/>
                <w:spacing w:val="-2"/>
                <w:sz w:val="18"/>
              </w:rPr>
              <w:t>112,894,851.08</w:t>
            </w:r>
          </w:p>
        </w:tc>
        <w:tc>
          <w:tcPr>
            <w:tcW w:w="15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7"/>
                <w:sz w:val="18"/>
                <w:szCs w:val="18"/>
              </w:rPr>
              <w:t> </w:t>
            </w:r>
            <w:r>
              <w:rPr>
                <w:rFonts w:ascii="宋体" w:hAnsi="宋体" w:cs="宋体" w:eastAsia="宋体" w:hint="default"/>
                <w:sz w:val="18"/>
                <w:szCs w:val="18"/>
              </w:rPr>
              <w:t>年以内</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right="22"/>
              <w:jc w:val="right"/>
              <w:rPr>
                <w:rFonts w:ascii="Arial" w:hAnsi="Arial" w:cs="Arial" w:eastAsia="Arial" w:hint="default"/>
                <w:sz w:val="18"/>
                <w:szCs w:val="18"/>
              </w:rPr>
            </w:pPr>
            <w:r>
              <w:rPr>
                <w:rFonts w:ascii="Arial"/>
                <w:spacing w:val="-1"/>
                <w:w w:val="95"/>
                <w:sz w:val="18"/>
              </w:rPr>
              <w:t>9.39%</w:t>
            </w:r>
            <w:r>
              <w:rPr>
                <w:rFonts w:ascii="Arial"/>
                <w:w w:val="95"/>
                <w:sz w:val="18"/>
              </w:rPr>
            </w:r>
          </w:p>
        </w:tc>
        <w:tc>
          <w:tcPr>
            <w:tcW w:w="161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8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5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left="1" w:right="0"/>
              <w:jc w:val="center"/>
              <w:rPr>
                <w:rFonts w:ascii="Arial" w:hAnsi="Arial" w:cs="Arial" w:eastAsia="Arial" w:hint="default"/>
                <w:sz w:val="18"/>
                <w:szCs w:val="18"/>
              </w:rPr>
            </w:pPr>
            <w:r>
              <w:rPr>
                <w:rFonts w:ascii="Arial"/>
                <w:sz w:val="18"/>
              </w:rPr>
              <w:t>--</w:t>
            </w:r>
          </w:p>
        </w:tc>
        <w:tc>
          <w:tcPr>
            <w:tcW w:w="1552" w:type="dxa"/>
            <w:tcBorders>
              <w:top w:val="single" w:sz="4" w:space="0" w:color="000000"/>
              <w:left w:val="single" w:sz="10" w:space="0" w:color="D3D3D3"/>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1,103,140,250.76</w:t>
            </w:r>
            <w:r>
              <w:rPr>
                <w:rFonts w:ascii="Arial"/>
                <w:sz w:val="18"/>
              </w:rPr>
            </w:r>
          </w:p>
        </w:tc>
        <w:tc>
          <w:tcPr>
            <w:tcW w:w="1553"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0"/>
              <w:jc w:val="center"/>
              <w:rPr>
                <w:rFonts w:ascii="Arial" w:hAnsi="Arial" w:cs="Arial" w:eastAsia="Arial" w:hint="default"/>
                <w:sz w:val="18"/>
                <w:szCs w:val="18"/>
              </w:rPr>
            </w:pPr>
            <w:r>
              <w:rPr>
                <w:rFonts w:ascii="Arial"/>
                <w:sz w:val="18"/>
              </w:rPr>
              <w:t>--</w:t>
            </w:r>
          </w:p>
        </w:tc>
        <w:tc>
          <w:tcPr>
            <w:tcW w:w="16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91.72%</w:t>
            </w:r>
          </w:p>
        </w:tc>
        <w:tc>
          <w:tcPr>
            <w:tcW w:w="1615"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rFonts w:ascii="Arial" w:hAnsi="Arial" w:cs="Arial" w:eastAsia="Arial" w:hint="default"/>
        </w:rPr>
        <w:t>6</w:t>
      </w:r>
      <w:r>
        <w:rPr/>
        <w:t>）涉及政府补助的应收款项</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026"/>
        <w:gridCol w:w="1866"/>
        <w:gridCol w:w="1866"/>
        <w:gridCol w:w="1867"/>
        <w:gridCol w:w="1944"/>
      </w:tblGrid>
      <w:tr>
        <w:trPr>
          <w:trHeight w:val="714" w:hRule="exact"/>
        </w:trPr>
        <w:tc>
          <w:tcPr>
            <w:tcW w:w="202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646"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07" w:right="0"/>
              <w:jc w:val="left"/>
              <w:rPr>
                <w:rFonts w:ascii="宋体" w:hAnsi="宋体" w:cs="宋体" w:eastAsia="宋体" w:hint="default"/>
                <w:sz w:val="18"/>
                <w:szCs w:val="18"/>
              </w:rPr>
            </w:pPr>
            <w:r>
              <w:rPr>
                <w:rFonts w:ascii="宋体" w:hAnsi="宋体" w:cs="宋体" w:eastAsia="宋体" w:hint="default"/>
                <w:sz w:val="18"/>
                <w:szCs w:val="18"/>
              </w:rPr>
              <w:t>政府补助项目名称</w:t>
            </w:r>
          </w:p>
        </w:tc>
        <w:tc>
          <w:tcPr>
            <w:tcW w:w="18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7"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8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68" w:right="0"/>
              <w:jc w:val="left"/>
              <w:rPr>
                <w:rFonts w:ascii="宋体" w:hAnsi="宋体" w:cs="宋体" w:eastAsia="宋体" w:hint="default"/>
                <w:sz w:val="18"/>
                <w:szCs w:val="18"/>
              </w:rPr>
            </w:pPr>
            <w:r>
              <w:rPr>
                <w:rFonts w:ascii="宋体" w:hAnsi="宋体" w:cs="宋体" w:eastAsia="宋体" w:hint="default"/>
                <w:sz w:val="18"/>
                <w:szCs w:val="18"/>
              </w:rPr>
              <w:t>期末账龄</w:t>
            </w:r>
          </w:p>
        </w:tc>
        <w:tc>
          <w:tcPr>
            <w:tcW w:w="194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695" w:right="66" w:hanging="630"/>
              <w:jc w:val="left"/>
              <w:rPr>
                <w:rFonts w:ascii="宋体" w:hAnsi="宋体" w:cs="宋体" w:eastAsia="宋体" w:hint="default"/>
                <w:sz w:val="18"/>
                <w:szCs w:val="18"/>
              </w:rPr>
            </w:pPr>
            <w:r>
              <w:rPr>
                <w:rFonts w:ascii="宋体" w:hAnsi="宋体" w:cs="宋体" w:eastAsia="宋体" w:hint="default"/>
                <w:sz w:val="18"/>
                <w:szCs w:val="18"/>
              </w:rPr>
              <w:t>预计收取的时间、金额 及依据</w:t>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rFonts w:ascii="Arial" w:hAnsi="Arial" w:cs="Arial" w:eastAsia="Arial" w:hint="default"/>
        </w:rPr>
        <w:t>7</w:t>
      </w:r>
      <w:r>
        <w:rPr/>
        <w:t>）因金融资产转移而终止确认的其他应收款</w:t>
      </w:r>
      <w:r>
        <w:rPr>
          <w:b w:val="0"/>
          <w:bCs w:val="0"/>
        </w:rPr>
      </w:r>
    </w:p>
    <w:p>
      <w:pPr>
        <w:spacing w:line="240" w:lineRule="auto" w:before="11"/>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8</w:t>
      </w:r>
      <w:r>
        <w:rPr/>
        <w:t>）转移其他应收款且继续涉入形成的资产、负债金额</w:t>
      </w:r>
      <w:r>
        <w:rPr>
          <w:b w:val="0"/>
          <w:bCs w:val="0"/>
        </w:rPr>
      </w:r>
    </w:p>
    <w:p>
      <w:pPr>
        <w:spacing w:line="240" w:lineRule="auto" w:before="9"/>
        <w:rPr>
          <w:rFonts w:ascii="宋体" w:hAnsi="宋体" w:cs="宋体" w:eastAsia="宋体" w:hint="default"/>
          <w:b/>
          <w:bCs/>
          <w:sz w:val="26"/>
          <w:szCs w:val="26"/>
        </w:rPr>
      </w:pPr>
    </w:p>
    <w:p>
      <w:pPr>
        <w:pStyle w:val="BodyText"/>
        <w:spacing w:line="357" w:lineRule="auto"/>
        <w:ind w:right="9850"/>
        <w:jc w:val="left"/>
      </w:pPr>
      <w:r>
        <w:rPr/>
        <w:t>其他说明： 无。</w:t>
      </w:r>
    </w:p>
    <w:p>
      <w:pPr>
        <w:spacing w:line="240" w:lineRule="auto" w:before="13"/>
        <w:rPr>
          <w:rFonts w:ascii="宋体" w:hAnsi="宋体" w:cs="宋体" w:eastAsia="宋体" w:hint="default"/>
          <w:sz w:val="19"/>
          <w:szCs w:val="19"/>
        </w:rPr>
      </w:pPr>
    </w:p>
    <w:p>
      <w:pPr>
        <w:pStyle w:val="Heading4"/>
        <w:spacing w:line="240" w:lineRule="auto"/>
        <w:ind w:right="2239"/>
        <w:jc w:val="left"/>
        <w:rPr>
          <w:b w:val="0"/>
          <w:bCs w:val="0"/>
        </w:rPr>
      </w:pPr>
      <w:r>
        <w:rPr>
          <w:rFonts w:ascii="Arial" w:hAnsi="Arial" w:cs="Arial" w:eastAsia="Arial" w:hint="default"/>
        </w:rPr>
        <w:t>3</w:t>
      </w:r>
      <w:r>
        <w:rPr/>
        <w:t>、长期股权投资</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after="0" w:line="240" w:lineRule="auto"/>
        <w:jc w:val="right"/>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345"/>
        <w:gridCol w:w="1379"/>
        <w:gridCol w:w="1367"/>
        <w:gridCol w:w="1367"/>
        <w:gridCol w:w="1368"/>
        <w:gridCol w:w="1367"/>
        <w:gridCol w:w="1367"/>
      </w:tblGrid>
      <w:tr>
        <w:trPr>
          <w:trHeight w:val="207" w:hRule="exact"/>
        </w:trPr>
        <w:tc>
          <w:tcPr>
            <w:tcW w:w="1345" w:type="dxa"/>
            <w:tcBorders>
              <w:top w:val="single" w:sz="4" w:space="0" w:color="000000"/>
              <w:left w:val="single" w:sz="4" w:space="0" w:color="000000"/>
              <w:bottom w:val="nil" w:sz="6" w:space="0" w:color="auto"/>
              <w:right w:val="single" w:sz="4" w:space="0" w:color="000000"/>
            </w:tcBorders>
            <w:shd w:val="clear" w:color="auto" w:fill="D3D3D3"/>
          </w:tcPr>
          <w:p>
            <w:pPr/>
          </w:p>
        </w:tc>
        <w:tc>
          <w:tcPr>
            <w:tcW w:w="4113"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4102" w:type="dxa"/>
            <w:gridSpan w:val="3"/>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195" w:hRule="exact"/>
        </w:trPr>
        <w:tc>
          <w:tcPr>
            <w:tcW w:w="1345"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4113" w:type="dxa"/>
            <w:gridSpan w:val="3"/>
            <w:vMerge/>
            <w:tcBorders>
              <w:left w:val="single" w:sz="4" w:space="0" w:color="000000"/>
              <w:bottom w:val="single" w:sz="4" w:space="0" w:color="000000"/>
              <w:right w:val="single" w:sz="4" w:space="0" w:color="000000"/>
            </w:tcBorders>
            <w:shd w:val="clear" w:color="auto" w:fill="D3D3D3"/>
          </w:tcPr>
          <w:p>
            <w:pPr/>
          </w:p>
        </w:tc>
        <w:tc>
          <w:tcPr>
            <w:tcW w:w="4102" w:type="dxa"/>
            <w:gridSpan w:val="3"/>
            <w:vMerge/>
            <w:tcBorders>
              <w:left w:val="single" w:sz="4" w:space="0" w:color="000000"/>
              <w:bottom w:val="single" w:sz="4" w:space="0" w:color="000000"/>
              <w:right w:val="single" w:sz="4" w:space="0" w:color="000000"/>
            </w:tcBorders>
            <w:shd w:val="clear" w:color="auto" w:fill="D3D3D3"/>
          </w:tcPr>
          <w:p>
            <w:pPr/>
          </w:p>
        </w:tc>
      </w:tr>
      <w:tr>
        <w:trPr>
          <w:trHeight w:val="195" w:hRule="exact"/>
        </w:trPr>
        <w:tc>
          <w:tcPr>
            <w:tcW w:w="1345" w:type="dxa"/>
            <w:vMerge/>
            <w:tcBorders>
              <w:left w:val="single" w:sz="4" w:space="0" w:color="000000"/>
              <w:bottom w:val="nil" w:sz="6" w:space="0" w:color="auto"/>
              <w:right w:val="single" w:sz="4" w:space="0" w:color="000000"/>
            </w:tcBorders>
            <w:shd w:val="clear" w:color="auto" w:fill="D3D3D3"/>
          </w:tcPr>
          <w:p>
            <w:pPr/>
          </w:p>
        </w:tc>
        <w:tc>
          <w:tcPr>
            <w:tcW w:w="1379"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2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6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7"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318"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7" w:hRule="exact"/>
        </w:trPr>
        <w:tc>
          <w:tcPr>
            <w:tcW w:w="1345" w:type="dxa"/>
            <w:tcBorders>
              <w:top w:val="nil" w:sz="6" w:space="0" w:color="auto"/>
              <w:left w:val="single" w:sz="4" w:space="0" w:color="000000"/>
              <w:bottom w:val="single" w:sz="4" w:space="0" w:color="000000"/>
              <w:right w:val="single" w:sz="4" w:space="0" w:color="000000"/>
            </w:tcBorders>
            <w:shd w:val="clear" w:color="auto" w:fill="D3D3D3"/>
          </w:tcPr>
          <w:p>
            <w:pPr/>
          </w:p>
        </w:tc>
        <w:tc>
          <w:tcPr>
            <w:tcW w:w="1379"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8"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c>
          <w:tcPr>
            <w:tcW w:w="1367"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对子公司投资</w:t>
            </w:r>
          </w:p>
        </w:tc>
        <w:tc>
          <w:tcPr>
            <w:tcW w:w="13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685,926,537.29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685,926,537.29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685,926,537.29</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685,926,537.29</w:t>
            </w:r>
          </w:p>
        </w:tc>
      </w:tr>
      <w:tr>
        <w:trPr>
          <w:trHeight w:val="714"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62"/>
              <w:jc w:val="left"/>
              <w:rPr>
                <w:rFonts w:ascii="宋体" w:hAnsi="宋体" w:cs="宋体" w:eastAsia="宋体" w:hint="default"/>
                <w:sz w:val="18"/>
                <w:szCs w:val="18"/>
              </w:rPr>
            </w:pPr>
            <w:r>
              <w:rPr>
                <w:rFonts w:ascii="宋体" w:hAnsi="宋体" w:cs="宋体" w:eastAsia="宋体" w:hint="default"/>
                <w:sz w:val="18"/>
                <w:szCs w:val="18"/>
              </w:rPr>
              <w:t>对联营、合营企 业投资</w:t>
            </w:r>
          </w:p>
        </w:tc>
        <w:tc>
          <w:tcPr>
            <w:tcW w:w="13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6,147,578.22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6,147,578.22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5,833,866.82</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5,833,866.82</w:t>
            </w:r>
          </w:p>
        </w:tc>
      </w:tr>
      <w:tr>
        <w:trPr>
          <w:trHeight w:val="402" w:hRule="exact"/>
        </w:trPr>
        <w:tc>
          <w:tcPr>
            <w:tcW w:w="134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79"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2"/>
                <w:sz w:val="18"/>
              </w:rPr>
              <w:t>692,074,115.51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2"/>
                <w:sz w:val="18"/>
              </w:rPr>
              <w:t>692,074,115.51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2"/>
                <w:sz w:val="18"/>
              </w:rPr>
              <w:t>691,760,404.11</w:t>
            </w:r>
          </w:p>
        </w:tc>
        <w:tc>
          <w:tcPr>
            <w:tcW w:w="1367" w:type="dxa"/>
            <w:tcBorders>
              <w:top w:val="single" w:sz="4" w:space="0" w:color="000000"/>
              <w:left w:val="single" w:sz="4" w:space="0" w:color="000000"/>
              <w:bottom w:val="single" w:sz="4" w:space="0" w:color="000000"/>
              <w:right w:val="single" w:sz="4" w:space="0" w:color="000000"/>
            </w:tcBorders>
          </w:tcPr>
          <w:p>
            <w:pPr/>
          </w:p>
        </w:tc>
        <w:tc>
          <w:tcPr>
            <w:tcW w:w="13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2"/>
                <w:sz w:val="18"/>
              </w:rPr>
              <w:t>691,760,404.11</w:t>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t>（</w:t>
      </w:r>
      <w:r>
        <w:rPr>
          <w:rFonts w:ascii="Arial" w:hAnsi="Arial" w:cs="Arial" w:eastAsia="Arial" w:hint="default"/>
        </w:rPr>
        <w:t>1</w:t>
      </w:r>
      <w:r>
        <w:rPr/>
        <w:t>）对子公司投资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67"/>
        <w:gridCol w:w="1427"/>
        <w:gridCol w:w="905"/>
        <w:gridCol w:w="1166"/>
        <w:gridCol w:w="1166"/>
        <w:gridCol w:w="1014"/>
        <w:gridCol w:w="1411"/>
        <w:gridCol w:w="1213"/>
      </w:tblGrid>
      <w:tr>
        <w:trPr>
          <w:trHeight w:val="402" w:hRule="exact"/>
        </w:trPr>
        <w:tc>
          <w:tcPr>
            <w:tcW w:w="1267"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77"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1427" w:type="dxa"/>
            <w:vMerge w:val="restart"/>
            <w:tcBorders>
              <w:top w:val="single" w:sz="4" w:space="0" w:color="000000"/>
              <w:left w:val="single" w:sz="4" w:space="0" w:color="000000"/>
              <w:right w:val="single" w:sz="4" w:space="0" w:color="000000"/>
            </w:tcBorders>
            <w:shd w:val="clear" w:color="auto" w:fill="D3D3D3"/>
          </w:tcPr>
          <w:p>
            <w:pPr>
              <w:pStyle w:val="TableParagraph"/>
              <w:spacing w:line="302" w:lineRule="auto" w:before="97"/>
              <w:ind w:left="587" w:right="47" w:hanging="540"/>
              <w:jc w:val="left"/>
              <w:rPr>
                <w:rFonts w:ascii="Arial" w:hAnsi="Arial" w:cs="Arial" w:eastAsia="Arial" w:hint="default"/>
                <w:sz w:val="18"/>
                <w:szCs w:val="18"/>
              </w:rPr>
            </w:pPr>
            <w:r>
              <w:rPr>
                <w:rFonts w:ascii="宋体" w:hAnsi="宋体" w:cs="宋体" w:eastAsia="宋体" w:hint="default"/>
                <w:sz w:val="18"/>
                <w:szCs w:val="18"/>
              </w:rPr>
              <w:t>期初余额</w:t>
            </w:r>
            <w:r>
              <w:rPr>
                <w:rFonts w:ascii="Arial" w:hAnsi="Arial" w:cs="Arial" w:eastAsia="Arial" w:hint="default"/>
                <w:sz w:val="18"/>
                <w:szCs w:val="18"/>
              </w:rPr>
              <w:t>(</w:t>
            </w:r>
            <w:r>
              <w:rPr>
                <w:rFonts w:ascii="宋体" w:hAnsi="宋体" w:cs="宋体" w:eastAsia="宋体" w:hint="default"/>
                <w:sz w:val="18"/>
                <w:szCs w:val="18"/>
              </w:rPr>
              <w:t>账面价 值</w:t>
            </w:r>
            <w:r>
              <w:rPr>
                <w:rFonts w:ascii="Arial" w:hAnsi="Arial" w:cs="Arial" w:eastAsia="Arial" w:hint="default"/>
                <w:sz w:val="18"/>
                <w:szCs w:val="18"/>
              </w:rPr>
              <w:t>)</w:t>
            </w:r>
          </w:p>
        </w:tc>
        <w:tc>
          <w:tcPr>
            <w:tcW w:w="4252" w:type="dxa"/>
            <w:gridSpan w:val="4"/>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1411" w:type="dxa"/>
            <w:vMerge w:val="restart"/>
            <w:tcBorders>
              <w:top w:val="single" w:sz="4" w:space="0" w:color="000000"/>
              <w:left w:val="single" w:sz="4" w:space="0" w:color="000000"/>
              <w:right w:val="single" w:sz="4" w:space="0" w:color="000000"/>
            </w:tcBorders>
            <w:shd w:val="clear" w:color="auto" w:fill="D3D3D3"/>
          </w:tcPr>
          <w:p>
            <w:pPr>
              <w:pStyle w:val="TableParagraph"/>
              <w:spacing w:line="302" w:lineRule="auto" w:before="97"/>
              <w:ind w:left="580" w:right="38" w:hanging="540"/>
              <w:jc w:val="left"/>
              <w:rPr>
                <w:rFonts w:ascii="Arial" w:hAnsi="Arial" w:cs="Arial" w:eastAsia="Arial" w:hint="default"/>
                <w:sz w:val="18"/>
                <w:szCs w:val="18"/>
              </w:rPr>
            </w:pPr>
            <w:r>
              <w:rPr>
                <w:rFonts w:ascii="宋体" w:hAnsi="宋体" w:cs="宋体" w:eastAsia="宋体" w:hint="default"/>
                <w:sz w:val="18"/>
                <w:szCs w:val="18"/>
              </w:rPr>
              <w:t>期末余额</w:t>
            </w:r>
            <w:r>
              <w:rPr>
                <w:rFonts w:ascii="Arial" w:hAnsi="Arial" w:cs="Arial" w:eastAsia="Arial" w:hint="default"/>
                <w:sz w:val="18"/>
                <w:szCs w:val="18"/>
              </w:rPr>
              <w:t>(</w:t>
            </w:r>
            <w:r>
              <w:rPr>
                <w:rFonts w:ascii="宋体" w:hAnsi="宋体" w:cs="宋体" w:eastAsia="宋体" w:hint="default"/>
                <w:sz w:val="18"/>
                <w:szCs w:val="18"/>
              </w:rPr>
              <w:t>账面价 值</w:t>
            </w:r>
            <w:r>
              <w:rPr>
                <w:rFonts w:ascii="Arial" w:hAnsi="Arial" w:cs="Arial" w:eastAsia="Arial" w:hint="default"/>
                <w:sz w:val="18"/>
                <w:szCs w:val="18"/>
              </w:rPr>
              <w:t>)</w:t>
            </w:r>
          </w:p>
        </w:tc>
        <w:tc>
          <w:tcPr>
            <w:tcW w:w="1213" w:type="dxa"/>
            <w:vMerge w:val="restart"/>
            <w:tcBorders>
              <w:top w:val="single" w:sz="4" w:space="0" w:color="000000"/>
              <w:left w:val="single" w:sz="4" w:space="0" w:color="000000"/>
              <w:right w:val="single" w:sz="4" w:space="0" w:color="000000"/>
            </w:tcBorders>
            <w:shd w:val="clear" w:color="auto" w:fill="D3D3D3"/>
          </w:tcPr>
          <w:p>
            <w:pPr>
              <w:pStyle w:val="TableParagraph"/>
              <w:spacing w:line="316" w:lineRule="auto" w:before="97"/>
              <w:ind w:left="421" w:right="60" w:hanging="360"/>
              <w:jc w:val="left"/>
              <w:rPr>
                <w:rFonts w:ascii="宋体" w:hAnsi="宋体" w:cs="宋体" w:eastAsia="宋体" w:hint="default"/>
                <w:sz w:val="18"/>
                <w:szCs w:val="18"/>
              </w:rPr>
            </w:pPr>
            <w:r>
              <w:rPr>
                <w:rFonts w:ascii="宋体" w:hAnsi="宋体" w:cs="宋体" w:eastAsia="宋体" w:hint="default"/>
                <w:sz w:val="18"/>
                <w:szCs w:val="18"/>
              </w:rPr>
              <w:t>减值准备期末 余额</w:t>
            </w:r>
          </w:p>
        </w:tc>
      </w:tr>
      <w:tr>
        <w:trPr>
          <w:trHeight w:val="402" w:hRule="exact"/>
        </w:trPr>
        <w:tc>
          <w:tcPr>
            <w:tcW w:w="1267" w:type="dxa"/>
            <w:vMerge/>
            <w:tcBorders>
              <w:left w:val="single" w:sz="4" w:space="0" w:color="000000"/>
              <w:bottom w:val="single" w:sz="4" w:space="0" w:color="000000"/>
              <w:right w:val="single" w:sz="4" w:space="0" w:color="000000"/>
            </w:tcBorders>
            <w:shd w:val="clear" w:color="auto" w:fill="D3D3D3"/>
          </w:tcPr>
          <w:p>
            <w:pPr/>
          </w:p>
        </w:tc>
        <w:tc>
          <w:tcPr>
            <w:tcW w:w="1427" w:type="dxa"/>
            <w:vMerge/>
            <w:tcBorders>
              <w:left w:val="single" w:sz="4" w:space="0" w:color="000000"/>
              <w:bottom w:val="single" w:sz="4" w:space="0" w:color="000000"/>
              <w:right w:val="single" w:sz="4" w:space="0" w:color="000000"/>
            </w:tcBorders>
            <w:shd w:val="clear" w:color="auto" w:fill="D3D3D3"/>
          </w:tcPr>
          <w:p>
            <w:pPr/>
          </w:p>
        </w:tc>
        <w:tc>
          <w:tcPr>
            <w:tcW w:w="905"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6"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17"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116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7" w:right="0"/>
              <w:jc w:val="left"/>
              <w:rPr>
                <w:rFonts w:ascii="宋体" w:hAnsi="宋体" w:cs="宋体" w:eastAsia="宋体" w:hint="default"/>
                <w:sz w:val="18"/>
                <w:szCs w:val="18"/>
              </w:rPr>
            </w:pPr>
            <w:r>
              <w:rPr>
                <w:rFonts w:ascii="宋体" w:hAnsi="宋体" w:cs="宋体" w:eastAsia="宋体" w:hint="default"/>
                <w:sz w:val="18"/>
                <w:szCs w:val="18"/>
              </w:rPr>
              <w:t>计提减值准备</w:t>
            </w:r>
          </w:p>
        </w:tc>
        <w:tc>
          <w:tcPr>
            <w:tcW w:w="101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32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11" w:type="dxa"/>
            <w:vMerge/>
            <w:tcBorders>
              <w:left w:val="single" w:sz="4" w:space="0" w:color="000000"/>
              <w:bottom w:val="single" w:sz="4" w:space="0" w:color="000000"/>
              <w:right w:val="single" w:sz="4" w:space="0" w:color="000000"/>
            </w:tcBorders>
            <w:shd w:val="clear" w:color="auto" w:fill="D3D3D3"/>
          </w:tcPr>
          <w:p>
            <w:pPr/>
          </w:p>
        </w:tc>
        <w:tc>
          <w:tcPr>
            <w:tcW w:w="1213" w:type="dxa"/>
            <w:vMerge/>
            <w:tcBorders>
              <w:left w:val="single" w:sz="4" w:space="0" w:color="000000"/>
              <w:bottom w:val="single" w:sz="4" w:space="0" w:color="000000"/>
              <w:right w:val="single" w:sz="4" w:space="0" w:color="000000"/>
            </w:tcBorders>
            <w:shd w:val="clear" w:color="auto" w:fill="D3D3D3"/>
          </w:tcPr>
          <w:p>
            <w:pP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浙江榕基信息 技术有限公司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18,000,000.00</w:t>
            </w:r>
            <w:r>
              <w:rPr>
                <w:rFonts w:ascii="Arial"/>
                <w:sz w:val="18"/>
              </w:rPr>
            </w:r>
          </w:p>
        </w:tc>
        <w:tc>
          <w:tcPr>
            <w:tcW w:w="905"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18,000,000.00</w:t>
            </w:r>
            <w:r>
              <w:rPr>
                <w:rFonts w:ascii="Arial"/>
                <w:sz w:val="18"/>
              </w:rPr>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both"/>
              <w:rPr>
                <w:rFonts w:ascii="宋体" w:hAnsi="宋体" w:cs="宋体" w:eastAsia="宋体" w:hint="default"/>
                <w:sz w:val="18"/>
                <w:szCs w:val="18"/>
              </w:rPr>
            </w:pPr>
            <w:r>
              <w:rPr>
                <w:rFonts w:ascii="宋体" w:hAnsi="宋体" w:cs="宋体" w:eastAsia="宋体" w:hint="default"/>
                <w:sz w:val="18"/>
                <w:szCs w:val="18"/>
              </w:rPr>
              <w:t>福州创华电气 自动化系统有 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7,496,345.89</w:t>
            </w:r>
          </w:p>
        </w:tc>
        <w:tc>
          <w:tcPr>
            <w:tcW w:w="905"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7,496,345.89</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上海榕基软件 开发有限公司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100,000,000.00</w:t>
            </w:r>
          </w:p>
        </w:tc>
        <w:tc>
          <w:tcPr>
            <w:tcW w:w="905"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100,000,000.00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福建榕基软件 工程有限公司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105,000,000.00</w:t>
            </w:r>
          </w:p>
        </w:tc>
        <w:tc>
          <w:tcPr>
            <w:tcW w:w="905"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105,000,000.00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23"/>
              <w:jc w:val="left"/>
              <w:rPr>
                <w:rFonts w:ascii="宋体" w:hAnsi="宋体" w:cs="宋体" w:eastAsia="宋体" w:hint="default"/>
                <w:sz w:val="18"/>
                <w:szCs w:val="18"/>
              </w:rPr>
            </w:pPr>
            <w:r>
              <w:rPr>
                <w:rFonts w:ascii="宋体" w:hAnsi="宋体" w:cs="宋体" w:eastAsia="宋体" w:hint="default"/>
                <w:sz w:val="18"/>
                <w:szCs w:val="18"/>
              </w:rPr>
              <w:t>榕基五一（北 </w:t>
            </w:r>
            <w:r>
              <w:rPr>
                <w:rFonts w:ascii="宋体" w:hAnsi="宋体" w:cs="宋体" w:eastAsia="宋体" w:hint="default"/>
                <w:spacing w:val="-8"/>
                <w:sz w:val="18"/>
                <w:szCs w:val="18"/>
              </w:rPr>
              <w:t>京）信息技术有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sz w:val="18"/>
              </w:rPr>
              <w:t>30,000,000.00</w:t>
            </w:r>
            <w:r>
              <w:rPr>
                <w:rFonts w:ascii="Arial"/>
                <w:sz w:val="18"/>
              </w:rPr>
            </w:r>
          </w:p>
        </w:tc>
        <w:tc>
          <w:tcPr>
            <w:tcW w:w="905"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sz w:val="18"/>
              </w:rPr>
              <w:t>30,000,000.00</w:t>
            </w:r>
            <w:r>
              <w:rPr>
                <w:rFonts w:ascii="Arial"/>
                <w:sz w:val="18"/>
              </w:rPr>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both"/>
              <w:rPr>
                <w:rFonts w:ascii="宋体" w:hAnsi="宋体" w:cs="宋体" w:eastAsia="宋体" w:hint="default"/>
                <w:sz w:val="18"/>
                <w:szCs w:val="18"/>
              </w:rPr>
            </w:pPr>
            <w:r>
              <w:rPr>
                <w:rFonts w:ascii="宋体" w:hAnsi="宋体" w:cs="宋体" w:eastAsia="宋体" w:hint="default"/>
                <w:sz w:val="18"/>
                <w:szCs w:val="18"/>
              </w:rPr>
              <w:t>马鞍山榕基软 件信息科技有 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sz w:val="18"/>
              </w:rPr>
              <w:t>50,000,000.00</w:t>
            </w:r>
            <w:r>
              <w:rPr>
                <w:rFonts w:ascii="Arial"/>
                <w:sz w:val="18"/>
              </w:rPr>
            </w:r>
          </w:p>
        </w:tc>
        <w:tc>
          <w:tcPr>
            <w:tcW w:w="905"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sz w:val="18"/>
              </w:rPr>
              <w:t>50,000,000.00</w:t>
            </w:r>
            <w:r>
              <w:rPr>
                <w:rFonts w:ascii="Arial"/>
                <w:sz w:val="18"/>
              </w:rPr>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河南榕基信息 技术有限公司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100,000,000.00</w:t>
            </w:r>
          </w:p>
        </w:tc>
        <w:tc>
          <w:tcPr>
            <w:tcW w:w="905"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Arial" w:hAnsi="Arial" w:cs="Arial" w:eastAsia="Arial" w:hint="default"/>
                <w:sz w:val="18"/>
                <w:szCs w:val="18"/>
              </w:rPr>
            </w:pPr>
            <w:r>
              <w:rPr>
                <w:rFonts w:ascii="Arial"/>
                <w:spacing w:val="-1"/>
                <w:sz w:val="18"/>
              </w:rPr>
              <w:t>100,000,000.00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both"/>
              <w:rPr>
                <w:rFonts w:ascii="宋体" w:hAnsi="宋体" w:cs="宋体" w:eastAsia="宋体" w:hint="default"/>
                <w:sz w:val="18"/>
                <w:szCs w:val="18"/>
              </w:rPr>
            </w:pPr>
            <w:r>
              <w:rPr>
                <w:rFonts w:ascii="宋体" w:hAnsi="宋体" w:cs="宋体" w:eastAsia="宋体" w:hint="default"/>
                <w:sz w:val="18"/>
                <w:szCs w:val="18"/>
              </w:rPr>
              <w:t>北京中榕基信 息技术有限公 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sz w:val="18"/>
              </w:rPr>
              <w:t>50,000,000.00</w:t>
            </w:r>
            <w:r>
              <w:rPr>
                <w:rFonts w:ascii="Arial"/>
                <w:sz w:val="18"/>
              </w:rPr>
            </w:r>
          </w:p>
        </w:tc>
        <w:tc>
          <w:tcPr>
            <w:tcW w:w="905"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sz w:val="18"/>
              </w:rPr>
              <w:t>50,000,000.00</w:t>
            </w:r>
            <w:r>
              <w:rPr>
                <w:rFonts w:ascii="Arial"/>
                <w:sz w:val="18"/>
              </w:rPr>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福建榕基投资 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50,000,000.00</w:t>
            </w:r>
            <w:r>
              <w:rPr>
                <w:rFonts w:ascii="Arial"/>
                <w:sz w:val="18"/>
              </w:rPr>
            </w:r>
          </w:p>
        </w:tc>
        <w:tc>
          <w:tcPr>
            <w:tcW w:w="905"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50,000,000.00</w:t>
            </w:r>
            <w:r>
              <w:rPr>
                <w:rFonts w:ascii="Arial"/>
                <w:sz w:val="18"/>
              </w:rPr>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榕基国际控股 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80,380,191.40</w:t>
            </w:r>
            <w:r>
              <w:rPr>
                <w:rFonts w:ascii="Arial"/>
                <w:sz w:val="18"/>
              </w:rPr>
            </w:r>
          </w:p>
        </w:tc>
        <w:tc>
          <w:tcPr>
            <w:tcW w:w="905"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80,380,191.40</w:t>
            </w:r>
            <w:r>
              <w:rPr>
                <w:rFonts w:ascii="Arial"/>
                <w:sz w:val="18"/>
              </w:rPr>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left"/>
              <w:rPr>
                <w:rFonts w:ascii="宋体" w:hAnsi="宋体" w:cs="宋体" w:eastAsia="宋体" w:hint="default"/>
                <w:sz w:val="18"/>
                <w:szCs w:val="18"/>
              </w:rPr>
            </w:pPr>
            <w:r>
              <w:rPr>
                <w:rFonts w:ascii="宋体" w:hAnsi="宋体" w:cs="宋体" w:eastAsia="宋体" w:hint="default"/>
                <w:sz w:val="18"/>
                <w:szCs w:val="18"/>
              </w:rPr>
              <w:t>信阳榕基信息 技术有限公司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21,000,000.00</w:t>
            </w:r>
            <w:r>
              <w:rPr>
                <w:rFonts w:ascii="Arial"/>
                <w:sz w:val="18"/>
              </w:rPr>
            </w:r>
          </w:p>
        </w:tc>
        <w:tc>
          <w:tcPr>
            <w:tcW w:w="905"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sz w:val="18"/>
              </w:rPr>
              <w:t>21,000,000.00</w:t>
            </w:r>
            <w:r>
              <w:rPr>
                <w:rFonts w:ascii="Arial"/>
                <w:sz w:val="18"/>
              </w:rPr>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1"/>
              <w:ind w:left="22" w:right="0"/>
              <w:jc w:val="left"/>
              <w:rPr>
                <w:rFonts w:ascii="宋体" w:hAnsi="宋体" w:cs="宋体" w:eastAsia="宋体" w:hint="default"/>
                <w:sz w:val="18"/>
                <w:szCs w:val="18"/>
              </w:rPr>
            </w:pPr>
            <w:r>
              <w:rPr>
                <w:rFonts w:ascii="宋体" w:hAnsi="宋体" w:cs="宋体" w:eastAsia="宋体" w:hint="default"/>
                <w:sz w:val="18"/>
                <w:szCs w:val="18"/>
              </w:rPr>
              <w:t>河南豫础置业</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31,000,000.00</w:t>
            </w:r>
            <w:r>
              <w:rPr>
                <w:rFonts w:ascii="Arial"/>
                <w:sz w:val="18"/>
              </w:rPr>
            </w:r>
          </w:p>
        </w:tc>
        <w:tc>
          <w:tcPr>
            <w:tcW w:w="905"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31,000,000.00</w:t>
            </w:r>
            <w:r>
              <w:rPr>
                <w:rFonts w:ascii="Arial"/>
                <w:sz w:val="18"/>
              </w:rPr>
            </w:r>
          </w:p>
        </w:tc>
        <w:tc>
          <w:tcPr>
            <w:tcW w:w="121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7" w:footer="982" w:top="1060" w:bottom="118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267"/>
        <w:gridCol w:w="1427"/>
        <w:gridCol w:w="905"/>
        <w:gridCol w:w="1166"/>
        <w:gridCol w:w="1166"/>
        <w:gridCol w:w="1014"/>
        <w:gridCol w:w="1411"/>
        <w:gridCol w:w="1213"/>
      </w:tblGrid>
      <w:tr>
        <w:trPr>
          <w:trHeight w:val="362"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left="22"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1427" w:type="dxa"/>
            <w:tcBorders>
              <w:top w:val="single" w:sz="4" w:space="0" w:color="000000"/>
              <w:left w:val="single" w:sz="4" w:space="0" w:color="000000"/>
              <w:bottom w:val="single" w:sz="4" w:space="0" w:color="000000"/>
              <w:right w:val="single" w:sz="4" w:space="0" w:color="000000"/>
            </w:tcBorders>
          </w:tcPr>
          <w:p>
            <w:pPr/>
          </w:p>
        </w:tc>
        <w:tc>
          <w:tcPr>
            <w:tcW w:w="905"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both"/>
              <w:rPr>
                <w:rFonts w:ascii="宋体" w:hAnsi="宋体" w:cs="宋体" w:eastAsia="宋体" w:hint="default"/>
                <w:sz w:val="18"/>
                <w:szCs w:val="18"/>
              </w:rPr>
            </w:pPr>
            <w:r>
              <w:rPr>
                <w:rFonts w:ascii="宋体" w:hAnsi="宋体" w:cs="宋体" w:eastAsia="宋体" w:hint="default"/>
                <w:sz w:val="18"/>
                <w:szCs w:val="18"/>
              </w:rPr>
              <w:t>福州榕易付网 络科技有限公 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5,000,000.00</w:t>
            </w:r>
          </w:p>
        </w:tc>
        <w:tc>
          <w:tcPr>
            <w:tcW w:w="905"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5,000,000.00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both"/>
              <w:rPr>
                <w:rFonts w:ascii="宋体" w:hAnsi="宋体" w:cs="宋体" w:eastAsia="宋体" w:hint="default"/>
                <w:sz w:val="18"/>
                <w:szCs w:val="18"/>
              </w:rPr>
            </w:pPr>
            <w:r>
              <w:rPr>
                <w:rFonts w:ascii="宋体" w:hAnsi="宋体" w:cs="宋体" w:eastAsia="宋体" w:hint="default"/>
                <w:sz w:val="18"/>
                <w:szCs w:val="18"/>
              </w:rPr>
              <w:t>福建星榕基信 息科技有限责 任公司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sz w:val="18"/>
              </w:rPr>
              <w:t>35,500,000.00</w:t>
            </w:r>
            <w:r>
              <w:rPr>
                <w:rFonts w:ascii="Arial"/>
                <w:sz w:val="18"/>
              </w:rPr>
            </w:r>
          </w:p>
        </w:tc>
        <w:tc>
          <w:tcPr>
            <w:tcW w:w="905"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Arial" w:hAnsi="Arial" w:cs="Arial" w:eastAsia="Arial" w:hint="default"/>
                <w:sz w:val="18"/>
                <w:szCs w:val="18"/>
              </w:rPr>
            </w:pPr>
            <w:r>
              <w:rPr>
                <w:rFonts w:ascii="Arial"/>
                <w:spacing w:val="-1"/>
                <w:sz w:val="18"/>
              </w:rPr>
              <w:t>35,500,000.00</w:t>
            </w:r>
            <w:r>
              <w:rPr>
                <w:rFonts w:ascii="Arial"/>
                <w:sz w:val="18"/>
              </w:rPr>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126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2" w:right="152"/>
              <w:jc w:val="both"/>
              <w:rPr>
                <w:rFonts w:ascii="宋体" w:hAnsi="宋体" w:cs="宋体" w:eastAsia="宋体" w:hint="default"/>
                <w:sz w:val="18"/>
                <w:szCs w:val="18"/>
              </w:rPr>
            </w:pPr>
            <w:r>
              <w:rPr>
                <w:rFonts w:ascii="宋体" w:hAnsi="宋体" w:cs="宋体" w:eastAsia="宋体" w:hint="default"/>
                <w:sz w:val="18"/>
                <w:szCs w:val="18"/>
              </w:rPr>
              <w:t>福建容大物联 网科技有限公 司</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2,550,000.00</w:t>
            </w:r>
          </w:p>
        </w:tc>
        <w:tc>
          <w:tcPr>
            <w:tcW w:w="905"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Arial" w:hAnsi="Arial" w:cs="Arial" w:eastAsia="Arial" w:hint="default"/>
                <w:sz w:val="18"/>
                <w:szCs w:val="18"/>
              </w:rPr>
            </w:pPr>
            <w:r>
              <w:rPr>
                <w:rFonts w:ascii="Arial"/>
                <w:spacing w:val="-1"/>
                <w:sz w:val="18"/>
              </w:rPr>
              <w:t>2,550,000.00</w:t>
            </w:r>
          </w:p>
        </w:tc>
        <w:tc>
          <w:tcPr>
            <w:tcW w:w="1213"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126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685,926,537.29</w:t>
            </w:r>
          </w:p>
        </w:tc>
        <w:tc>
          <w:tcPr>
            <w:tcW w:w="905"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166" w:type="dxa"/>
            <w:tcBorders>
              <w:top w:val="single" w:sz="4" w:space="0" w:color="000000"/>
              <w:left w:val="single" w:sz="4" w:space="0" w:color="000000"/>
              <w:bottom w:val="single" w:sz="4" w:space="0" w:color="000000"/>
              <w:right w:val="single" w:sz="4" w:space="0" w:color="000000"/>
            </w:tcBorders>
          </w:tcPr>
          <w:p>
            <w:pPr/>
          </w:p>
        </w:tc>
        <w:tc>
          <w:tcPr>
            <w:tcW w:w="1014" w:type="dxa"/>
            <w:tcBorders>
              <w:top w:val="single" w:sz="4" w:space="0" w:color="000000"/>
              <w:left w:val="single" w:sz="4" w:space="0" w:color="000000"/>
              <w:bottom w:val="single" w:sz="4" w:space="0" w:color="000000"/>
              <w:right w:val="single" w:sz="4" w:space="0" w:color="000000"/>
            </w:tcBorders>
          </w:tcPr>
          <w:p>
            <w:pPr/>
          </w:p>
        </w:tc>
        <w:tc>
          <w:tcPr>
            <w:tcW w:w="14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Arial" w:hAnsi="Arial" w:cs="Arial" w:eastAsia="Arial" w:hint="default"/>
                <w:sz w:val="18"/>
                <w:szCs w:val="18"/>
              </w:rPr>
            </w:pPr>
            <w:r>
              <w:rPr>
                <w:rFonts w:ascii="Arial"/>
                <w:spacing w:val="-1"/>
                <w:sz w:val="18"/>
              </w:rPr>
              <w:t>685,926,537.29</w:t>
            </w:r>
          </w:p>
        </w:tc>
        <w:tc>
          <w:tcPr>
            <w:tcW w:w="121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t>（</w:t>
      </w:r>
      <w:r>
        <w:rPr>
          <w:rFonts w:ascii="Arial" w:hAnsi="Arial" w:cs="Arial" w:eastAsia="Arial" w:hint="default"/>
        </w:rPr>
        <w:t>2</w:t>
      </w:r>
      <w:r>
        <w:rPr/>
        <w:t>）对联营、合营企业投资</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0"/>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6"/>
        <w:gridCol w:w="798"/>
        <w:gridCol w:w="797"/>
        <w:gridCol w:w="798"/>
        <w:gridCol w:w="798"/>
        <w:gridCol w:w="798"/>
        <w:gridCol w:w="798"/>
        <w:gridCol w:w="798"/>
        <w:gridCol w:w="798"/>
        <w:gridCol w:w="798"/>
        <w:gridCol w:w="798"/>
        <w:gridCol w:w="798"/>
      </w:tblGrid>
      <w:tr>
        <w:trPr>
          <w:trHeight w:val="402" w:hRule="exact"/>
        </w:trPr>
        <w:tc>
          <w:tcPr>
            <w:tcW w:w="796"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32" w:right="0"/>
              <w:jc w:val="left"/>
              <w:rPr>
                <w:rFonts w:ascii="宋体" w:hAnsi="宋体" w:cs="宋体" w:eastAsia="宋体" w:hint="default"/>
                <w:sz w:val="18"/>
                <w:szCs w:val="18"/>
              </w:rPr>
            </w:pPr>
            <w:r>
              <w:rPr>
                <w:rFonts w:ascii="宋体" w:hAnsi="宋体" w:cs="宋体" w:eastAsia="宋体" w:hint="default"/>
                <w:sz w:val="18"/>
                <w:szCs w:val="18"/>
              </w:rPr>
              <w:t>投资单位</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09" w:lineRule="auto"/>
              <w:ind w:left="34" w:right="31"/>
              <w:jc w:val="center"/>
              <w:rPr>
                <w:rFonts w:ascii="Arial" w:hAnsi="Arial" w:cs="Arial" w:eastAsia="Arial" w:hint="default"/>
                <w:sz w:val="18"/>
                <w:szCs w:val="18"/>
              </w:rPr>
            </w:pPr>
            <w:r>
              <w:rPr>
                <w:rFonts w:ascii="宋体" w:hAnsi="宋体" w:cs="宋体" w:eastAsia="宋体" w:hint="default"/>
                <w:sz w:val="18"/>
                <w:szCs w:val="18"/>
              </w:rPr>
              <w:t>期初余额 </w:t>
            </w:r>
            <w:r>
              <w:rPr>
                <w:rFonts w:ascii="Arial" w:hAnsi="Arial" w:cs="Arial" w:eastAsia="Arial" w:hint="default"/>
                <w:sz w:val="18"/>
                <w:szCs w:val="18"/>
              </w:rPr>
              <w:t>(</w:t>
            </w:r>
            <w:r>
              <w:rPr>
                <w:rFonts w:ascii="宋体" w:hAnsi="宋体" w:cs="宋体" w:eastAsia="宋体" w:hint="default"/>
                <w:sz w:val="18"/>
                <w:szCs w:val="18"/>
              </w:rPr>
              <w:t>账面价 值</w:t>
            </w:r>
            <w:r>
              <w:rPr>
                <w:rFonts w:ascii="Arial" w:hAnsi="Arial" w:cs="Arial" w:eastAsia="Arial" w:hint="default"/>
                <w:sz w:val="18"/>
                <w:szCs w:val="18"/>
              </w:rPr>
              <w:t>)</w:t>
            </w:r>
          </w:p>
        </w:tc>
        <w:tc>
          <w:tcPr>
            <w:tcW w:w="6383" w:type="dxa"/>
            <w:gridSpan w:val="8"/>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本期增减变动</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4"/>
              <w:ind w:right="0"/>
              <w:jc w:val="left"/>
              <w:rPr>
                <w:rFonts w:ascii="宋体" w:hAnsi="宋体" w:cs="宋体" w:eastAsia="宋体" w:hint="default"/>
                <w:sz w:val="19"/>
                <w:szCs w:val="19"/>
              </w:rPr>
            </w:pPr>
          </w:p>
          <w:p>
            <w:pPr>
              <w:pStyle w:val="TableParagraph"/>
              <w:spacing w:line="309" w:lineRule="auto"/>
              <w:ind w:left="33" w:right="32"/>
              <w:jc w:val="center"/>
              <w:rPr>
                <w:rFonts w:ascii="Arial" w:hAnsi="Arial" w:cs="Arial" w:eastAsia="Arial" w:hint="default"/>
                <w:sz w:val="18"/>
                <w:szCs w:val="18"/>
              </w:rPr>
            </w:pPr>
            <w:r>
              <w:rPr>
                <w:rFonts w:ascii="宋体" w:hAnsi="宋体" w:cs="宋体" w:eastAsia="宋体" w:hint="default"/>
                <w:sz w:val="18"/>
                <w:szCs w:val="18"/>
              </w:rPr>
              <w:t>期末余额 </w:t>
            </w:r>
            <w:r>
              <w:rPr>
                <w:rFonts w:ascii="Arial" w:hAnsi="Arial" w:cs="Arial" w:eastAsia="Arial" w:hint="default"/>
                <w:sz w:val="18"/>
                <w:szCs w:val="18"/>
              </w:rPr>
              <w:t>(</w:t>
            </w:r>
            <w:r>
              <w:rPr>
                <w:rFonts w:ascii="宋体" w:hAnsi="宋体" w:cs="宋体" w:eastAsia="宋体" w:hint="default"/>
                <w:sz w:val="18"/>
                <w:szCs w:val="18"/>
              </w:rPr>
              <w:t>账面价 值</w:t>
            </w:r>
            <w:r>
              <w:rPr>
                <w:rFonts w:ascii="Arial" w:hAnsi="Arial" w:cs="Arial" w:eastAsia="Arial" w:hint="default"/>
                <w:sz w:val="18"/>
                <w:szCs w:val="18"/>
              </w:rPr>
              <w:t>)</w:t>
            </w:r>
          </w:p>
        </w:tc>
        <w:tc>
          <w:tcPr>
            <w:tcW w:w="79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3"/>
                <w:szCs w:val="13"/>
              </w:rPr>
            </w:pPr>
          </w:p>
          <w:p>
            <w:pPr>
              <w:pStyle w:val="TableParagraph"/>
              <w:spacing w:line="319" w:lineRule="auto"/>
              <w:ind w:left="33" w:right="32"/>
              <w:jc w:val="left"/>
              <w:rPr>
                <w:rFonts w:ascii="宋体" w:hAnsi="宋体" w:cs="宋体" w:eastAsia="宋体" w:hint="default"/>
                <w:sz w:val="18"/>
                <w:szCs w:val="18"/>
              </w:rPr>
            </w:pPr>
            <w:r>
              <w:rPr>
                <w:rFonts w:ascii="宋体" w:hAnsi="宋体" w:cs="宋体" w:eastAsia="宋体" w:hint="default"/>
                <w:sz w:val="18"/>
                <w:szCs w:val="18"/>
              </w:rPr>
              <w:t>减值准备 期末余额</w:t>
            </w:r>
          </w:p>
        </w:tc>
      </w:tr>
      <w:tr>
        <w:trPr>
          <w:trHeight w:val="1025" w:hRule="exact"/>
        </w:trPr>
        <w:tc>
          <w:tcPr>
            <w:tcW w:w="796"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c>
          <w:tcPr>
            <w:tcW w:w="797"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追加投资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33" w:right="0"/>
              <w:jc w:val="left"/>
              <w:rPr>
                <w:rFonts w:ascii="宋体" w:hAnsi="宋体" w:cs="宋体" w:eastAsia="宋体" w:hint="default"/>
                <w:sz w:val="18"/>
                <w:szCs w:val="18"/>
              </w:rPr>
            </w:pPr>
            <w:r>
              <w:rPr>
                <w:rFonts w:ascii="宋体" w:hAnsi="宋体" w:cs="宋体" w:eastAsia="宋体" w:hint="default"/>
                <w:sz w:val="18"/>
                <w:szCs w:val="18"/>
              </w:rPr>
              <w:t>减少投资</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权益法下 确认的投 资损益</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33" w:right="32"/>
              <w:jc w:val="left"/>
              <w:rPr>
                <w:rFonts w:ascii="宋体" w:hAnsi="宋体" w:cs="宋体" w:eastAsia="宋体" w:hint="default"/>
                <w:sz w:val="18"/>
                <w:szCs w:val="18"/>
              </w:rPr>
            </w:pPr>
            <w:r>
              <w:rPr>
                <w:rFonts w:ascii="宋体" w:hAnsi="宋体" w:cs="宋体" w:eastAsia="宋体" w:hint="default"/>
                <w:sz w:val="18"/>
                <w:szCs w:val="18"/>
              </w:rPr>
              <w:t>其他综合 收益调整</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其他权益 变动</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1"/>
              <w:ind w:left="33" w:right="32"/>
              <w:jc w:val="both"/>
              <w:rPr>
                <w:rFonts w:ascii="宋体" w:hAnsi="宋体" w:cs="宋体" w:eastAsia="宋体" w:hint="default"/>
                <w:sz w:val="18"/>
                <w:szCs w:val="18"/>
              </w:rPr>
            </w:pPr>
            <w:r>
              <w:rPr>
                <w:rFonts w:ascii="宋体" w:hAnsi="宋体" w:cs="宋体" w:eastAsia="宋体" w:hint="default"/>
                <w:sz w:val="18"/>
                <w:szCs w:val="18"/>
              </w:rPr>
              <w:t>宣告发放 现金股利 或利润</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1"/>
              <w:ind w:right="0"/>
              <w:jc w:val="left"/>
              <w:rPr>
                <w:rFonts w:ascii="宋体" w:hAnsi="宋体" w:cs="宋体" w:eastAsia="宋体" w:hint="default"/>
                <w:sz w:val="15"/>
                <w:szCs w:val="15"/>
              </w:rPr>
            </w:pPr>
          </w:p>
          <w:p>
            <w:pPr>
              <w:pStyle w:val="TableParagraph"/>
              <w:spacing w:line="316" w:lineRule="auto"/>
              <w:ind w:left="213" w:right="32" w:hanging="180"/>
              <w:jc w:val="left"/>
              <w:rPr>
                <w:rFonts w:ascii="宋体" w:hAnsi="宋体" w:cs="宋体" w:eastAsia="宋体" w:hint="default"/>
                <w:sz w:val="18"/>
                <w:szCs w:val="18"/>
              </w:rPr>
            </w:pPr>
            <w:r>
              <w:rPr>
                <w:rFonts w:ascii="宋体" w:hAnsi="宋体" w:cs="宋体" w:eastAsia="宋体" w:hint="default"/>
                <w:sz w:val="18"/>
                <w:szCs w:val="18"/>
              </w:rPr>
              <w:t>计提减值 准备</w:t>
            </w:r>
          </w:p>
        </w:tc>
        <w:tc>
          <w:tcPr>
            <w:tcW w:w="798"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1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798" w:type="dxa"/>
            <w:vMerge/>
            <w:tcBorders>
              <w:left w:val="single" w:sz="4" w:space="0" w:color="000000"/>
              <w:bottom w:val="single" w:sz="4" w:space="0" w:color="000000"/>
              <w:right w:val="single" w:sz="4" w:space="0" w:color="000000"/>
            </w:tcBorders>
            <w:shd w:val="clear" w:color="auto" w:fill="D3D3D3"/>
          </w:tcPr>
          <w:p>
            <w:pPr/>
          </w:p>
        </w:tc>
        <w:tc>
          <w:tcPr>
            <w:tcW w:w="798"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2"/>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1026" w:hRule="exact"/>
        </w:trPr>
        <w:tc>
          <w:tcPr>
            <w:tcW w:w="7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2" w:right="41"/>
              <w:jc w:val="both"/>
              <w:rPr>
                <w:rFonts w:ascii="宋体" w:hAnsi="宋体" w:cs="宋体" w:eastAsia="宋体" w:hint="default"/>
                <w:sz w:val="18"/>
                <w:szCs w:val="18"/>
              </w:rPr>
            </w:pPr>
            <w:r>
              <w:rPr>
                <w:rFonts w:ascii="宋体" w:hAnsi="宋体" w:cs="宋体" w:eastAsia="宋体" w:hint="default"/>
                <w:sz w:val="18"/>
                <w:szCs w:val="18"/>
              </w:rPr>
              <w:t>福建闽光 软件股份 有限公司</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4" w:right="0"/>
              <w:jc w:val="left"/>
              <w:rPr>
                <w:rFonts w:ascii="Arial" w:hAnsi="Arial" w:cs="Arial" w:eastAsia="Arial" w:hint="default"/>
                <w:sz w:val="18"/>
                <w:szCs w:val="18"/>
              </w:rPr>
            </w:pPr>
            <w:r>
              <w:rPr>
                <w:rFonts w:ascii="Arial"/>
                <w:sz w:val="18"/>
              </w:rPr>
              <w:t>5,833,86</w:t>
            </w:r>
          </w:p>
          <w:p>
            <w:pPr>
              <w:pStyle w:val="TableParagraph"/>
              <w:spacing w:line="240" w:lineRule="auto" w:before="105"/>
              <w:ind w:left="415" w:right="0"/>
              <w:jc w:val="left"/>
              <w:rPr>
                <w:rFonts w:ascii="Arial" w:hAnsi="Arial" w:cs="Arial" w:eastAsia="Arial" w:hint="default"/>
                <w:sz w:val="18"/>
                <w:szCs w:val="18"/>
              </w:rPr>
            </w:pPr>
            <w:r>
              <w:rPr>
                <w:rFonts w:ascii="Arial"/>
                <w:sz w:val="18"/>
              </w:rPr>
              <w:t>6.82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76" w:right="0"/>
              <w:jc w:val="left"/>
              <w:rPr>
                <w:rFonts w:ascii="Arial" w:hAnsi="Arial" w:cs="Arial" w:eastAsia="Arial" w:hint="default"/>
                <w:sz w:val="18"/>
                <w:szCs w:val="18"/>
              </w:rPr>
            </w:pPr>
            <w:r>
              <w:rPr>
                <w:rFonts w:ascii="Arial"/>
                <w:sz w:val="18"/>
              </w:rPr>
              <w:t>1,363,71</w:t>
            </w:r>
          </w:p>
          <w:p>
            <w:pPr>
              <w:pStyle w:val="TableParagraph"/>
              <w:spacing w:line="240" w:lineRule="auto" w:before="105"/>
              <w:ind w:left="413" w:right="0"/>
              <w:jc w:val="left"/>
              <w:rPr>
                <w:rFonts w:ascii="Arial" w:hAnsi="Arial" w:cs="Arial" w:eastAsia="Arial" w:hint="default"/>
                <w:sz w:val="18"/>
                <w:szCs w:val="18"/>
              </w:rPr>
            </w:pPr>
            <w:r>
              <w:rPr>
                <w:rFonts w:ascii="Arial"/>
                <w:sz w:val="18"/>
              </w:rPr>
              <w:t>1.40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104" w:right="0"/>
              <w:jc w:val="left"/>
              <w:rPr>
                <w:rFonts w:ascii="Arial" w:hAnsi="Arial" w:cs="Arial" w:eastAsia="Arial" w:hint="default"/>
                <w:sz w:val="18"/>
                <w:szCs w:val="18"/>
              </w:rPr>
            </w:pPr>
            <w:r>
              <w:rPr>
                <w:rFonts w:ascii="Arial"/>
                <w:sz w:val="18"/>
              </w:rPr>
              <w:t>-1,050,0</w:t>
            </w:r>
          </w:p>
          <w:p>
            <w:pPr>
              <w:pStyle w:val="TableParagraph"/>
              <w:spacing w:line="240" w:lineRule="auto" w:before="105"/>
              <w:ind w:left="314" w:right="0"/>
              <w:jc w:val="left"/>
              <w:rPr>
                <w:rFonts w:ascii="Arial" w:hAnsi="Arial" w:cs="Arial" w:eastAsia="Arial" w:hint="default"/>
                <w:sz w:val="18"/>
                <w:szCs w:val="18"/>
              </w:rPr>
            </w:pPr>
            <w:r>
              <w:rPr>
                <w:rFonts w:ascii="Arial"/>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9"/>
                <w:szCs w:val="19"/>
              </w:rPr>
            </w:pPr>
          </w:p>
          <w:p>
            <w:pPr>
              <w:pStyle w:val="TableParagraph"/>
              <w:spacing w:line="240" w:lineRule="auto"/>
              <w:ind w:left="63" w:right="0"/>
              <w:jc w:val="left"/>
              <w:rPr>
                <w:rFonts w:ascii="Arial" w:hAnsi="Arial" w:cs="Arial" w:eastAsia="Arial" w:hint="default"/>
                <w:sz w:val="18"/>
                <w:szCs w:val="18"/>
              </w:rPr>
            </w:pPr>
            <w:r>
              <w:rPr>
                <w:rFonts w:ascii="Arial"/>
                <w:sz w:val="18"/>
              </w:rPr>
              <w:t>6,147,57</w:t>
            </w:r>
          </w:p>
          <w:p>
            <w:pPr>
              <w:pStyle w:val="TableParagraph"/>
              <w:spacing w:line="240" w:lineRule="auto" w:before="105"/>
              <w:ind w:left="413" w:right="0"/>
              <w:jc w:val="left"/>
              <w:rPr>
                <w:rFonts w:ascii="Arial" w:hAnsi="Arial" w:cs="Arial" w:eastAsia="Arial" w:hint="default"/>
                <w:sz w:val="18"/>
                <w:szCs w:val="18"/>
              </w:rPr>
            </w:pPr>
            <w:r>
              <w:rPr>
                <w:rFonts w:ascii="Arial"/>
                <w:sz w:val="18"/>
              </w:rPr>
              <w:t>8.22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4"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left"/>
              <w:rPr>
                <w:rFonts w:ascii="Arial" w:hAnsi="Arial" w:cs="Arial" w:eastAsia="Arial" w:hint="default"/>
                <w:sz w:val="18"/>
                <w:szCs w:val="18"/>
              </w:rPr>
            </w:pPr>
            <w:r>
              <w:rPr>
                <w:rFonts w:ascii="Arial"/>
                <w:sz w:val="18"/>
              </w:rPr>
              <w:t>5,833,86</w:t>
            </w:r>
          </w:p>
          <w:p>
            <w:pPr>
              <w:pStyle w:val="TableParagraph"/>
              <w:spacing w:line="240" w:lineRule="auto" w:before="105"/>
              <w:ind w:left="415" w:right="0"/>
              <w:jc w:val="left"/>
              <w:rPr>
                <w:rFonts w:ascii="Arial" w:hAnsi="Arial" w:cs="Arial" w:eastAsia="Arial" w:hint="default"/>
                <w:sz w:val="18"/>
                <w:szCs w:val="18"/>
              </w:rPr>
            </w:pPr>
            <w:r>
              <w:rPr>
                <w:rFonts w:ascii="Arial"/>
                <w:sz w:val="18"/>
              </w:rPr>
              <w:t>6.82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left"/>
              <w:rPr>
                <w:rFonts w:ascii="Arial" w:hAnsi="Arial" w:cs="Arial" w:eastAsia="Arial" w:hint="default"/>
                <w:sz w:val="18"/>
                <w:szCs w:val="18"/>
              </w:rPr>
            </w:pPr>
            <w:r>
              <w:rPr>
                <w:rFonts w:ascii="Arial"/>
                <w:sz w:val="18"/>
              </w:rPr>
              <w:t>1,363,71</w:t>
            </w:r>
          </w:p>
          <w:p>
            <w:pPr>
              <w:pStyle w:val="TableParagraph"/>
              <w:spacing w:line="240" w:lineRule="auto" w:before="105"/>
              <w:ind w:left="413" w:right="0"/>
              <w:jc w:val="left"/>
              <w:rPr>
                <w:rFonts w:ascii="Arial" w:hAnsi="Arial" w:cs="Arial" w:eastAsia="Arial" w:hint="default"/>
                <w:sz w:val="18"/>
                <w:szCs w:val="18"/>
              </w:rPr>
            </w:pPr>
            <w:r>
              <w:rPr>
                <w:rFonts w:ascii="Arial"/>
                <w:sz w:val="18"/>
              </w:rPr>
              <w:t>1.40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left"/>
              <w:rPr>
                <w:rFonts w:ascii="Arial" w:hAnsi="Arial" w:cs="Arial" w:eastAsia="Arial" w:hint="default"/>
                <w:sz w:val="18"/>
                <w:szCs w:val="18"/>
              </w:rPr>
            </w:pPr>
            <w:r>
              <w:rPr>
                <w:rFonts w:ascii="Arial"/>
                <w:sz w:val="18"/>
              </w:rPr>
              <w:t>-1,050,0</w:t>
            </w:r>
          </w:p>
          <w:p>
            <w:pPr>
              <w:pStyle w:val="TableParagraph"/>
              <w:spacing w:line="240" w:lineRule="auto" w:before="105"/>
              <w:ind w:left="314" w:right="0"/>
              <w:jc w:val="left"/>
              <w:rPr>
                <w:rFonts w:ascii="Arial" w:hAnsi="Arial" w:cs="Arial" w:eastAsia="Arial" w:hint="default"/>
                <w:sz w:val="18"/>
                <w:szCs w:val="18"/>
              </w:rPr>
            </w:pPr>
            <w:r>
              <w:rPr>
                <w:rFonts w:ascii="Arial"/>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3" w:right="0"/>
              <w:jc w:val="left"/>
              <w:rPr>
                <w:rFonts w:ascii="Arial" w:hAnsi="Arial" w:cs="Arial" w:eastAsia="Arial" w:hint="default"/>
                <w:sz w:val="18"/>
                <w:szCs w:val="18"/>
              </w:rPr>
            </w:pPr>
            <w:r>
              <w:rPr>
                <w:rFonts w:ascii="Arial"/>
                <w:sz w:val="18"/>
              </w:rPr>
              <w:t>6,147,57</w:t>
            </w:r>
          </w:p>
          <w:p>
            <w:pPr>
              <w:pStyle w:val="TableParagraph"/>
              <w:spacing w:line="240" w:lineRule="auto" w:before="105"/>
              <w:ind w:left="413" w:right="0"/>
              <w:jc w:val="left"/>
              <w:rPr>
                <w:rFonts w:ascii="Arial" w:hAnsi="Arial" w:cs="Arial" w:eastAsia="Arial" w:hint="default"/>
                <w:sz w:val="18"/>
                <w:szCs w:val="18"/>
              </w:rPr>
            </w:pPr>
            <w:r>
              <w:rPr>
                <w:rFonts w:ascii="Arial"/>
                <w:sz w:val="18"/>
              </w:rPr>
              <w:t>8.22</w:t>
            </w:r>
          </w:p>
        </w:tc>
        <w:tc>
          <w:tcPr>
            <w:tcW w:w="79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4" w:right="0"/>
              <w:jc w:val="left"/>
              <w:rPr>
                <w:rFonts w:ascii="Arial" w:hAnsi="Arial" w:cs="Arial" w:eastAsia="Arial" w:hint="default"/>
                <w:sz w:val="18"/>
                <w:szCs w:val="18"/>
              </w:rPr>
            </w:pPr>
            <w:r>
              <w:rPr>
                <w:rFonts w:ascii="Arial"/>
                <w:sz w:val="18"/>
              </w:rPr>
              <w:t>5,833,86</w:t>
            </w:r>
          </w:p>
          <w:p>
            <w:pPr>
              <w:pStyle w:val="TableParagraph"/>
              <w:spacing w:line="240" w:lineRule="auto" w:before="105"/>
              <w:ind w:left="415" w:right="0"/>
              <w:jc w:val="left"/>
              <w:rPr>
                <w:rFonts w:ascii="Arial" w:hAnsi="Arial" w:cs="Arial" w:eastAsia="Arial" w:hint="default"/>
                <w:sz w:val="18"/>
                <w:szCs w:val="18"/>
              </w:rPr>
            </w:pPr>
            <w:r>
              <w:rPr>
                <w:rFonts w:ascii="Arial"/>
                <w:sz w:val="18"/>
              </w:rPr>
              <w:t>6.82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76" w:right="0"/>
              <w:jc w:val="left"/>
              <w:rPr>
                <w:rFonts w:ascii="Arial" w:hAnsi="Arial" w:cs="Arial" w:eastAsia="Arial" w:hint="default"/>
                <w:sz w:val="18"/>
                <w:szCs w:val="18"/>
              </w:rPr>
            </w:pPr>
            <w:r>
              <w:rPr>
                <w:rFonts w:ascii="Arial"/>
                <w:sz w:val="18"/>
              </w:rPr>
              <w:t>1,363,71</w:t>
            </w:r>
          </w:p>
          <w:p>
            <w:pPr>
              <w:pStyle w:val="TableParagraph"/>
              <w:spacing w:line="240" w:lineRule="auto" w:before="105"/>
              <w:ind w:left="413" w:right="0"/>
              <w:jc w:val="left"/>
              <w:rPr>
                <w:rFonts w:ascii="Arial" w:hAnsi="Arial" w:cs="Arial" w:eastAsia="Arial" w:hint="default"/>
                <w:sz w:val="18"/>
                <w:szCs w:val="18"/>
              </w:rPr>
            </w:pPr>
            <w:r>
              <w:rPr>
                <w:rFonts w:ascii="Arial"/>
                <w:sz w:val="18"/>
              </w:rPr>
              <w:t>1.40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104" w:right="0"/>
              <w:jc w:val="left"/>
              <w:rPr>
                <w:rFonts w:ascii="Arial" w:hAnsi="Arial" w:cs="Arial" w:eastAsia="Arial" w:hint="default"/>
                <w:sz w:val="18"/>
                <w:szCs w:val="18"/>
              </w:rPr>
            </w:pPr>
            <w:r>
              <w:rPr>
                <w:rFonts w:ascii="Arial"/>
                <w:sz w:val="18"/>
              </w:rPr>
              <w:t>-1,050,0</w:t>
            </w:r>
          </w:p>
          <w:p>
            <w:pPr>
              <w:pStyle w:val="TableParagraph"/>
              <w:spacing w:line="240" w:lineRule="auto" w:before="105"/>
              <w:ind w:left="314" w:right="0"/>
              <w:jc w:val="left"/>
              <w:rPr>
                <w:rFonts w:ascii="Arial" w:hAnsi="Arial" w:cs="Arial" w:eastAsia="Arial" w:hint="default"/>
                <w:sz w:val="18"/>
                <w:szCs w:val="18"/>
              </w:rPr>
            </w:pPr>
            <w:r>
              <w:rPr>
                <w:rFonts w:ascii="Arial"/>
                <w:sz w:val="18"/>
              </w:rPr>
              <w:t>00.00</w:t>
            </w: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
        </w:tc>
        <w:tc>
          <w:tcPr>
            <w:tcW w:w="7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left="63" w:right="0"/>
              <w:jc w:val="left"/>
              <w:rPr>
                <w:rFonts w:ascii="Arial" w:hAnsi="Arial" w:cs="Arial" w:eastAsia="Arial" w:hint="default"/>
                <w:sz w:val="18"/>
                <w:szCs w:val="18"/>
              </w:rPr>
            </w:pPr>
            <w:r>
              <w:rPr>
                <w:rFonts w:ascii="Arial"/>
                <w:sz w:val="18"/>
              </w:rPr>
              <w:t>6,147,57</w:t>
            </w:r>
          </w:p>
          <w:p>
            <w:pPr>
              <w:pStyle w:val="TableParagraph"/>
              <w:spacing w:line="240" w:lineRule="auto" w:before="105"/>
              <w:ind w:left="414" w:right="0"/>
              <w:jc w:val="left"/>
              <w:rPr>
                <w:rFonts w:ascii="Arial" w:hAnsi="Arial" w:cs="Arial" w:eastAsia="Arial" w:hint="default"/>
                <w:sz w:val="18"/>
                <w:szCs w:val="18"/>
              </w:rPr>
            </w:pPr>
            <w:r>
              <w:rPr>
                <w:rFonts w:ascii="Arial"/>
                <w:sz w:val="18"/>
              </w:rPr>
              <w:t>8.22</w:t>
            </w:r>
          </w:p>
        </w:tc>
        <w:tc>
          <w:tcPr>
            <w:tcW w:w="798"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t>（</w:t>
      </w:r>
      <w:r>
        <w:rPr>
          <w:rFonts w:ascii="Arial" w:hAnsi="Arial" w:cs="Arial" w:eastAsia="Arial" w:hint="default"/>
        </w:rPr>
        <w:t>3</w:t>
      </w:r>
      <w:r>
        <w:rPr/>
        <w:t>）其他说明</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2239"/>
        <w:jc w:val="left"/>
        <w:rPr>
          <w:b w:val="0"/>
          <w:bCs w:val="0"/>
        </w:rPr>
      </w:pPr>
      <w:r>
        <w:rPr>
          <w:rFonts w:ascii="Arial" w:hAnsi="Arial" w:cs="Arial" w:eastAsia="Arial" w:hint="default"/>
        </w:rPr>
        <w:t>4</w:t>
      </w:r>
      <w:r>
        <w:rPr/>
        <w:t>、营业收入和营业成本</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1982"/>
        <w:gridCol w:w="1838"/>
        <w:gridCol w:w="1912"/>
        <w:gridCol w:w="1913"/>
        <w:gridCol w:w="1901"/>
      </w:tblGrid>
      <w:tr>
        <w:trPr>
          <w:trHeight w:val="206" w:hRule="exact"/>
        </w:trPr>
        <w:tc>
          <w:tcPr>
            <w:tcW w:w="1982" w:type="dxa"/>
            <w:tcBorders>
              <w:top w:val="single" w:sz="4" w:space="0" w:color="000000"/>
              <w:left w:val="single" w:sz="4" w:space="0" w:color="000000"/>
              <w:bottom w:val="nil" w:sz="6" w:space="0" w:color="auto"/>
              <w:right w:val="single" w:sz="4" w:space="0" w:color="000000"/>
            </w:tcBorders>
            <w:shd w:val="clear" w:color="auto" w:fill="D3D3D3"/>
          </w:tcPr>
          <w:p>
            <w:pPr/>
          </w:p>
        </w:tc>
        <w:tc>
          <w:tcPr>
            <w:tcW w:w="3750"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815"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2"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96" w:hRule="exact"/>
        </w:trPr>
        <w:tc>
          <w:tcPr>
            <w:tcW w:w="1982"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0" w:type="dxa"/>
            <w:gridSpan w:val="2"/>
            <w:vMerge/>
            <w:tcBorders>
              <w:left w:val="single" w:sz="4" w:space="0" w:color="000000"/>
              <w:bottom w:val="single" w:sz="4" w:space="0" w:color="000000"/>
              <w:right w:val="single" w:sz="4" w:space="0" w:color="000000"/>
            </w:tcBorders>
            <w:shd w:val="clear" w:color="auto" w:fill="D3D3D3"/>
          </w:tcPr>
          <w:p>
            <w:pPr/>
          </w:p>
        </w:tc>
        <w:tc>
          <w:tcPr>
            <w:tcW w:w="3815" w:type="dxa"/>
            <w:gridSpan w:val="2"/>
            <w:vMerge/>
            <w:tcBorders>
              <w:left w:val="single" w:sz="4" w:space="0" w:color="000000"/>
              <w:bottom w:val="single" w:sz="4" w:space="0" w:color="000000"/>
              <w:right w:val="single" w:sz="4" w:space="0" w:color="000000"/>
            </w:tcBorders>
            <w:shd w:val="clear" w:color="auto" w:fill="D3D3D3"/>
          </w:tcPr>
          <w:p>
            <w:pPr/>
          </w:p>
        </w:tc>
      </w:tr>
      <w:tr>
        <w:trPr>
          <w:trHeight w:val="197" w:hRule="exact"/>
        </w:trPr>
        <w:tc>
          <w:tcPr>
            <w:tcW w:w="1982" w:type="dxa"/>
            <w:vMerge/>
            <w:tcBorders>
              <w:left w:val="single" w:sz="4" w:space="0" w:color="000000"/>
              <w:bottom w:val="nil" w:sz="6" w:space="0" w:color="auto"/>
              <w:right w:val="single" w:sz="4" w:space="0" w:color="000000"/>
            </w:tcBorders>
            <w:shd w:val="clear" w:color="auto" w:fill="D3D3D3"/>
          </w:tcPr>
          <w:p>
            <w:pPr/>
          </w:p>
        </w:tc>
        <w:tc>
          <w:tcPr>
            <w:tcW w:w="1838"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12"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成本</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收入</w:t>
            </w:r>
          </w:p>
        </w:tc>
        <w:tc>
          <w:tcPr>
            <w:tcW w:w="1901"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2"/>
              <w:ind w:left="11" w:right="0"/>
              <w:jc w:val="center"/>
              <w:rPr>
                <w:rFonts w:ascii="宋体" w:hAnsi="宋体" w:cs="宋体" w:eastAsia="宋体" w:hint="default"/>
                <w:sz w:val="18"/>
                <w:szCs w:val="18"/>
              </w:rPr>
            </w:pPr>
            <w:r>
              <w:rPr>
                <w:rFonts w:ascii="宋体" w:hAnsi="宋体" w:cs="宋体" w:eastAsia="宋体" w:hint="default"/>
                <w:sz w:val="18"/>
                <w:szCs w:val="18"/>
              </w:rPr>
              <w:t>成本</w:t>
            </w:r>
          </w:p>
        </w:tc>
      </w:tr>
      <w:tr>
        <w:trPr>
          <w:trHeight w:val="205" w:hRule="exact"/>
        </w:trPr>
        <w:tc>
          <w:tcPr>
            <w:tcW w:w="1982" w:type="dxa"/>
            <w:tcBorders>
              <w:top w:val="nil" w:sz="6" w:space="0" w:color="auto"/>
              <w:left w:val="single" w:sz="4" w:space="0" w:color="000000"/>
              <w:bottom w:val="single" w:sz="4" w:space="0" w:color="000000"/>
              <w:right w:val="single" w:sz="4" w:space="0" w:color="000000"/>
            </w:tcBorders>
            <w:shd w:val="clear" w:color="auto" w:fill="D3D3D3"/>
          </w:tcPr>
          <w:p>
            <w:pPr/>
          </w:p>
        </w:tc>
        <w:tc>
          <w:tcPr>
            <w:tcW w:w="1838" w:type="dxa"/>
            <w:vMerge/>
            <w:tcBorders>
              <w:left w:val="single" w:sz="4" w:space="0" w:color="000000"/>
              <w:bottom w:val="single" w:sz="4" w:space="0" w:color="000000"/>
              <w:right w:val="single" w:sz="4" w:space="0" w:color="000000"/>
            </w:tcBorders>
            <w:shd w:val="clear" w:color="auto" w:fill="D3D3D3"/>
          </w:tcPr>
          <w:p>
            <w:pPr/>
          </w:p>
        </w:tc>
        <w:tc>
          <w:tcPr>
            <w:tcW w:w="1912"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01"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主营业务</w:t>
            </w:r>
          </w:p>
        </w:tc>
        <w:tc>
          <w:tcPr>
            <w:tcW w:w="18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522,490,705.10</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385,328,900.02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591,631,890.13</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Arial" w:hAnsi="Arial" w:cs="Arial" w:eastAsia="Arial" w:hint="default"/>
                <w:sz w:val="18"/>
                <w:szCs w:val="18"/>
              </w:rPr>
            </w:pPr>
            <w:r>
              <w:rPr>
                <w:rFonts w:ascii="Arial"/>
                <w:spacing w:val="-1"/>
                <w:sz w:val="18"/>
              </w:rPr>
              <w:t>430,645,879.10</w:t>
            </w:r>
          </w:p>
        </w:tc>
      </w:tr>
      <w:tr>
        <w:trPr>
          <w:trHeight w:val="402" w:hRule="exact"/>
        </w:trPr>
        <w:tc>
          <w:tcPr>
            <w:tcW w:w="1982"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38"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2"/>
              <w:ind w:right="21"/>
              <w:jc w:val="right"/>
              <w:rPr>
                <w:rFonts w:ascii="Arial" w:hAnsi="Arial" w:cs="Arial" w:eastAsia="Arial" w:hint="default"/>
                <w:sz w:val="18"/>
                <w:szCs w:val="18"/>
              </w:rPr>
            </w:pPr>
            <w:r>
              <w:rPr>
                <w:rFonts w:ascii="Arial"/>
                <w:spacing w:val="-1"/>
                <w:sz w:val="18"/>
              </w:rPr>
              <w:t>522,490,705.10</w:t>
            </w:r>
          </w:p>
        </w:tc>
        <w:tc>
          <w:tcPr>
            <w:tcW w:w="19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Arial" w:hAnsi="Arial" w:cs="Arial" w:eastAsia="Arial" w:hint="default"/>
                <w:sz w:val="18"/>
                <w:szCs w:val="18"/>
              </w:rPr>
            </w:pPr>
            <w:r>
              <w:rPr>
                <w:rFonts w:ascii="Arial"/>
                <w:spacing w:val="-1"/>
                <w:sz w:val="18"/>
              </w:rPr>
              <w:t>385,328,900.02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Arial" w:hAnsi="Arial" w:cs="Arial" w:eastAsia="Arial" w:hint="default"/>
                <w:sz w:val="18"/>
                <w:szCs w:val="18"/>
              </w:rPr>
            </w:pPr>
            <w:r>
              <w:rPr>
                <w:rFonts w:ascii="Arial"/>
                <w:spacing w:val="-1"/>
                <w:sz w:val="18"/>
              </w:rPr>
              <w:t>591,631,890.13</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9"/>
              <w:jc w:val="right"/>
              <w:rPr>
                <w:rFonts w:ascii="Arial" w:hAnsi="Arial" w:cs="Arial" w:eastAsia="Arial" w:hint="default"/>
                <w:sz w:val="18"/>
                <w:szCs w:val="18"/>
              </w:rPr>
            </w:pPr>
            <w:r>
              <w:rPr>
                <w:rFonts w:ascii="Arial"/>
                <w:spacing w:val="-1"/>
                <w:sz w:val="18"/>
              </w:rPr>
              <w:t>430,645,879.10</w:t>
            </w:r>
          </w:p>
        </w:tc>
      </w:tr>
    </w:tbl>
    <w:p>
      <w:pPr>
        <w:pStyle w:val="BodyText"/>
        <w:spacing w:line="240" w:lineRule="auto" w:before="51"/>
        <w:ind w:right="2239"/>
        <w:jc w:val="left"/>
      </w:pPr>
      <w:r>
        <w:rPr/>
        <w:t>是否已执行新收入准则</w:t>
      </w:r>
    </w:p>
    <w:p>
      <w:pPr>
        <w:spacing w:after="0" w:line="240" w:lineRule="auto"/>
        <w:jc w:val="left"/>
        <w:sectPr>
          <w:pgSz w:w="11910" w:h="16840"/>
          <w:pgMar w:header="747" w:footer="982" w:top="1060" w:bottom="1180" w:left="980" w:right="0"/>
        </w:sectPr>
      </w:pPr>
    </w:p>
    <w:p>
      <w:pPr>
        <w:spacing w:line="240" w:lineRule="auto" w:before="13"/>
        <w:rPr>
          <w:rFonts w:ascii="宋体" w:hAnsi="宋体" w:cs="宋体" w:eastAsia="宋体" w:hint="default"/>
          <w:sz w:val="25"/>
          <w:szCs w:val="25"/>
        </w:rPr>
      </w:pPr>
    </w:p>
    <w:p>
      <w:pPr>
        <w:pStyle w:val="BodyText"/>
        <w:spacing w:line="350" w:lineRule="auto" w:before="44"/>
        <w:ind w:right="9530"/>
        <w:jc w:val="left"/>
      </w:pPr>
      <w:r>
        <w:rPr>
          <w:rFonts w:ascii="Arial" w:hAnsi="Arial" w:cs="Arial" w:eastAsia="Arial" w:hint="default"/>
        </w:rPr>
        <w:t>□ </w:t>
      </w:r>
      <w:r>
        <w:rPr/>
        <w:t>是 </w:t>
      </w:r>
      <w:r>
        <w:rPr>
          <w:rFonts w:ascii="Arial" w:hAnsi="Arial" w:cs="Arial" w:eastAsia="Arial" w:hint="default"/>
        </w:rPr>
        <w:t>√</w:t>
      </w:r>
      <w:r>
        <w:rPr>
          <w:rFonts w:ascii="Arial" w:hAnsi="Arial" w:cs="Arial" w:eastAsia="Arial" w:hint="default"/>
          <w:spacing w:val="29"/>
        </w:rPr>
        <w:t> </w:t>
      </w:r>
      <w:r>
        <w:rPr/>
        <w:t>否 其他说明： 无。</w:t>
      </w:r>
    </w:p>
    <w:p>
      <w:pPr>
        <w:spacing w:line="240" w:lineRule="auto" w:before="5"/>
        <w:rPr>
          <w:rFonts w:ascii="宋体" w:hAnsi="宋体" w:cs="宋体" w:eastAsia="宋体" w:hint="default"/>
          <w:sz w:val="20"/>
          <w:szCs w:val="20"/>
        </w:rPr>
      </w:pPr>
    </w:p>
    <w:p>
      <w:pPr>
        <w:pStyle w:val="Heading4"/>
        <w:spacing w:line="240" w:lineRule="auto"/>
        <w:ind w:right="2239"/>
        <w:jc w:val="left"/>
        <w:rPr>
          <w:b w:val="0"/>
          <w:bCs w:val="0"/>
        </w:rPr>
      </w:pPr>
      <w:r>
        <w:rPr>
          <w:rFonts w:ascii="Arial" w:hAnsi="Arial" w:cs="Arial" w:eastAsia="Arial" w:hint="default"/>
        </w:rPr>
        <w:t>5</w:t>
      </w:r>
      <w:r>
        <w:rPr/>
        <w:t>、投资收益</w:t>
      </w:r>
      <w:r>
        <w:rPr>
          <w:b w:val="0"/>
          <w:bCs w:val="0"/>
        </w:rPr>
      </w:r>
    </w:p>
    <w:p>
      <w:pPr>
        <w:spacing w:line="240" w:lineRule="auto" w:before="5"/>
        <w:rPr>
          <w:rFonts w:ascii="宋体" w:hAnsi="宋体" w:cs="宋体" w:eastAsia="宋体" w:hint="default"/>
          <w:b/>
          <w:bCs/>
          <w:sz w:val="23"/>
          <w:szCs w:val="23"/>
        </w:rPr>
      </w:pPr>
    </w:p>
    <w:p>
      <w:pPr>
        <w:pStyle w:val="BodyText"/>
        <w:spacing w:line="240" w:lineRule="auto" w:before="44"/>
        <w:ind w:left="0" w:right="1130"/>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1"/>
        <w:gridCol w:w="3070"/>
        <w:gridCol w:w="3186"/>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2"/>
                <w:sz w:val="18"/>
              </w:rPr>
              <w:t>1,363,711.40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1,517,138.04</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交易性金融资产在持有期间的投资收益</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15,359,091.20</w:t>
            </w:r>
            <w:r>
              <w:rPr>
                <w:rFonts w:ascii="Arial"/>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24,578,970.35</w:t>
            </w:r>
            <w:r>
              <w:rPr>
                <w:rFonts w:ascii="Arial"/>
                <w:sz w:val="18"/>
              </w:rPr>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可供出售金融资产在持有期间的投资收益</w:t>
            </w:r>
          </w:p>
        </w:tc>
        <w:tc>
          <w:tcPr>
            <w:tcW w:w="3070" w:type="dxa"/>
            <w:tcBorders>
              <w:top w:val="single" w:sz="4" w:space="0" w:color="000000"/>
              <w:left w:val="single" w:sz="9" w:space="0" w:color="D3D3D3"/>
              <w:bottom w:val="single" w:sz="4" w:space="0" w:color="000000"/>
              <w:right w:val="single" w:sz="4" w:space="0" w:color="000000"/>
            </w:tcBorders>
          </w:tcPr>
          <w:p>
            <w:pP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2,272,452.50</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16,722,802.60</w:t>
            </w:r>
            <w:r>
              <w:rPr>
                <w:rFonts w:ascii="Arial"/>
                <w:sz w:val="18"/>
              </w:rPr>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Arial" w:hAnsi="Arial" w:cs="Arial" w:eastAsia="Arial" w:hint="default"/>
                <w:sz w:val="18"/>
                <w:szCs w:val="18"/>
              </w:rPr>
            </w:pPr>
            <w:r>
              <w:rPr>
                <w:rFonts w:ascii="Arial"/>
                <w:spacing w:val="-1"/>
                <w:sz w:val="18"/>
              </w:rPr>
              <w:t>28,368,560.89</w:t>
            </w:r>
            <w:r>
              <w:rPr>
                <w:rFonts w:ascii="Arial"/>
                <w:sz w:val="18"/>
              </w:rPr>
            </w:r>
          </w:p>
        </w:tc>
      </w:tr>
    </w:tbl>
    <w:p>
      <w:pPr>
        <w:spacing w:line="240" w:lineRule="auto" w:before="2"/>
        <w:rPr>
          <w:rFonts w:ascii="宋体" w:hAnsi="宋体" w:cs="宋体" w:eastAsia="宋体" w:hint="default"/>
          <w:sz w:val="19"/>
          <w:szCs w:val="19"/>
        </w:rPr>
      </w:pPr>
    </w:p>
    <w:p>
      <w:pPr>
        <w:pStyle w:val="Heading4"/>
        <w:spacing w:line="240" w:lineRule="auto" w:before="35"/>
        <w:ind w:right="2239"/>
        <w:jc w:val="left"/>
        <w:rPr>
          <w:b w:val="0"/>
          <w:bCs w:val="0"/>
        </w:rPr>
      </w:pPr>
      <w:r>
        <w:rPr>
          <w:rFonts w:ascii="Arial" w:hAnsi="Arial" w:cs="Arial" w:eastAsia="Arial" w:hint="default"/>
        </w:rPr>
        <w:t>6</w:t>
      </w:r>
      <w:r>
        <w:rPr/>
        <w:t>、其他</w:t>
      </w:r>
      <w:r>
        <w:rPr>
          <w:b w:val="0"/>
          <w:bCs w:val="0"/>
        </w:rPr>
      </w:r>
    </w:p>
    <w:p>
      <w:pPr>
        <w:spacing w:line="240" w:lineRule="auto" w:before="12"/>
        <w:rPr>
          <w:rFonts w:ascii="宋体" w:hAnsi="宋体" w:cs="宋体" w:eastAsia="宋体" w:hint="default"/>
          <w:b/>
          <w:bCs/>
          <w:sz w:val="22"/>
          <w:szCs w:val="22"/>
        </w:rPr>
      </w:pPr>
    </w:p>
    <w:p>
      <w:pPr>
        <w:pStyle w:val="Heading2"/>
        <w:spacing w:line="240" w:lineRule="auto"/>
        <w:ind w:right="2239"/>
        <w:jc w:val="left"/>
        <w:rPr>
          <w:b w:val="0"/>
          <w:bCs w:val="0"/>
        </w:rPr>
      </w:pPr>
      <w:r>
        <w:rPr/>
        <w:t>十八、补充资料</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1</w:t>
      </w:r>
      <w:r>
        <w:rPr/>
        <w:t>、当期非经常性损益明细表</w:t>
      </w:r>
      <w:r>
        <w:rPr>
          <w:b w:val="0"/>
          <w:bCs w:val="0"/>
        </w:rPr>
      </w:r>
    </w:p>
    <w:p>
      <w:pPr>
        <w:spacing w:line="240" w:lineRule="auto" w:before="3"/>
        <w:rPr>
          <w:rFonts w:ascii="宋体" w:hAnsi="宋体" w:cs="宋体" w:eastAsia="宋体" w:hint="default"/>
          <w:b/>
          <w:bCs/>
          <w:sz w:val="23"/>
          <w:szCs w:val="23"/>
        </w:rPr>
      </w:pPr>
    </w:p>
    <w:p>
      <w:pPr>
        <w:pStyle w:val="BodyText"/>
        <w:spacing w:line="240" w:lineRule="auto" w:before="44"/>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pStyle w:val="BodyText"/>
        <w:spacing w:line="240" w:lineRule="auto" w:before="103"/>
        <w:ind w:left="0" w:right="1131"/>
        <w:jc w:val="right"/>
      </w:pPr>
      <w:r>
        <w:rPr/>
        <w:t>单位： 元</w:t>
      </w:r>
    </w:p>
    <w:p>
      <w:pPr>
        <w:spacing w:line="240" w:lineRule="auto" w:before="13"/>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3301"/>
        <w:gridCol w:w="3070"/>
        <w:gridCol w:w="3186"/>
      </w:tblGrid>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7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0"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非流动资产处置损益</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-402,807.32</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1026"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6" w:lineRule="auto" w:before="52"/>
              <w:ind w:left="11" w:right="3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2"/>
                <w:szCs w:val="12"/>
              </w:rPr>
            </w:pPr>
          </w:p>
          <w:p>
            <w:pPr>
              <w:pStyle w:val="TableParagraph"/>
              <w:spacing w:line="240" w:lineRule="auto"/>
              <w:ind w:right="23"/>
              <w:jc w:val="right"/>
              <w:rPr>
                <w:rFonts w:ascii="Arial" w:hAnsi="Arial" w:cs="Arial" w:eastAsia="Arial" w:hint="default"/>
                <w:sz w:val="18"/>
                <w:szCs w:val="18"/>
              </w:rPr>
            </w:pPr>
            <w:r>
              <w:rPr>
                <w:rFonts w:ascii="Arial"/>
                <w:spacing w:val="-1"/>
                <w:sz w:val="18"/>
              </w:rPr>
              <w:t>13,727,666.46</w:t>
            </w:r>
            <w:r>
              <w:rPr>
                <w:rFonts w:ascii="Arial"/>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委托他人投资或管理资产的损益</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sz w:val="18"/>
              </w:rPr>
              <w:t>19,433,133.13</w:t>
            </w:r>
            <w:r>
              <w:rPr>
                <w:rFonts w:ascii="Arial"/>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3"/>
              <w:jc w:val="right"/>
              <w:rPr>
                <w:rFonts w:ascii="Arial" w:hAnsi="Arial" w:cs="Arial" w:eastAsia="Arial" w:hint="default"/>
                <w:sz w:val="18"/>
                <w:szCs w:val="18"/>
              </w:rPr>
            </w:pPr>
            <w:r>
              <w:rPr>
                <w:rFonts w:ascii="Arial"/>
                <w:spacing w:val="-1"/>
                <w:sz w:val="18"/>
              </w:rPr>
              <w:t>22,665,421.95</w:t>
            </w:r>
            <w:r>
              <w:rPr>
                <w:rFonts w:ascii="Arial"/>
                <w:sz w:val="18"/>
              </w:rPr>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减：所得税影响额</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5,938,788.64</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371" w:right="0"/>
              <w:jc w:val="left"/>
              <w:rPr>
                <w:rFonts w:ascii="宋体" w:hAnsi="宋体" w:cs="宋体" w:eastAsia="宋体" w:hint="default"/>
                <w:sz w:val="18"/>
                <w:szCs w:val="18"/>
              </w:rPr>
            </w:pPr>
            <w:r>
              <w:rPr>
                <w:rFonts w:ascii="宋体" w:hAnsi="宋体" w:cs="宋体" w:eastAsia="宋体" w:hint="default"/>
                <w:sz w:val="18"/>
                <w:szCs w:val="18"/>
              </w:rPr>
              <w:t>少数股东权益影响额</w:t>
            </w:r>
          </w:p>
        </w:tc>
        <w:tc>
          <w:tcPr>
            <w:tcW w:w="3070" w:type="dxa"/>
            <w:tcBorders>
              <w:top w:val="single" w:sz="4" w:space="0" w:color="000000"/>
              <w:left w:val="single" w:sz="9" w:space="0" w:color="D3D3D3"/>
              <w:bottom w:val="single" w:sz="4" w:space="0" w:color="000000"/>
              <w:right w:val="single" w:sz="4" w:space="0" w:color="000000"/>
            </w:tcBorders>
          </w:tcPr>
          <w:p>
            <w:pPr>
              <w:pStyle w:val="TableParagraph"/>
              <w:spacing w:line="240" w:lineRule="auto" w:before="92"/>
              <w:ind w:right="22"/>
              <w:jc w:val="right"/>
              <w:rPr>
                <w:rFonts w:ascii="Arial" w:hAnsi="Arial" w:cs="Arial" w:eastAsia="Arial" w:hint="default"/>
                <w:sz w:val="18"/>
                <w:szCs w:val="18"/>
              </w:rPr>
            </w:pPr>
            <w:r>
              <w:rPr>
                <w:rFonts w:ascii="Arial"/>
                <w:spacing w:val="-1"/>
                <w:sz w:val="18"/>
              </w:rPr>
              <w:t>287,009.38</w:t>
            </w:r>
          </w:p>
        </w:tc>
        <w:tc>
          <w:tcPr>
            <w:tcW w:w="318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301"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2"/>
              <w:ind w:left="1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70" w:type="dxa"/>
            <w:tcBorders>
              <w:top w:val="single" w:sz="4" w:space="0" w:color="000000"/>
              <w:left w:val="single" w:sz="9" w:space="0" w:color="D3D3D3"/>
              <w:bottom w:val="single" w:sz="4" w:space="0" w:color="000000"/>
              <w:right w:val="single" w:sz="9" w:space="0" w:color="D3D3D3"/>
            </w:tcBorders>
          </w:tcPr>
          <w:p>
            <w:pPr>
              <w:pStyle w:val="TableParagraph"/>
              <w:spacing w:line="240" w:lineRule="auto" w:before="92"/>
              <w:ind w:right="17"/>
              <w:jc w:val="right"/>
              <w:rPr>
                <w:rFonts w:ascii="Arial" w:hAnsi="Arial" w:cs="Arial" w:eastAsia="Arial" w:hint="default"/>
                <w:sz w:val="18"/>
                <w:szCs w:val="18"/>
              </w:rPr>
            </w:pPr>
            <w:r>
              <w:rPr>
                <w:rFonts w:ascii="Arial"/>
                <w:spacing w:val="-1"/>
                <w:sz w:val="18"/>
              </w:rPr>
              <w:t>49,197,616.20</w:t>
            </w:r>
            <w:r>
              <w:rPr>
                <w:rFonts w:ascii="Arial"/>
                <w:sz w:val="18"/>
              </w:rPr>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92"/>
              <w:ind w:right="1"/>
              <w:jc w:val="center"/>
              <w:rPr>
                <w:rFonts w:ascii="Arial" w:hAnsi="Arial" w:cs="Arial" w:eastAsia="Arial" w:hint="default"/>
                <w:sz w:val="18"/>
                <w:szCs w:val="18"/>
              </w:rPr>
            </w:pPr>
            <w:r>
              <w:rPr>
                <w:rFonts w:ascii="Arial"/>
                <w:sz w:val="18"/>
              </w:rPr>
              <w:t>--</w:t>
            </w:r>
          </w:p>
        </w:tc>
      </w:tr>
    </w:tbl>
    <w:p>
      <w:pPr>
        <w:pStyle w:val="BodyText"/>
        <w:spacing w:line="240" w:lineRule="auto" w:before="51"/>
        <w:ind w:right="0"/>
        <w:jc w:val="left"/>
      </w:pPr>
      <w:r>
        <w:rPr/>
        <w:t>对公司根据《公开发行证券的公司信息披露解释性公告第</w:t>
      </w:r>
      <w:r>
        <w:rPr>
          <w:spacing w:val="-46"/>
        </w:rPr>
        <w:t> </w:t>
      </w:r>
      <w:r>
        <w:rPr>
          <w:rFonts w:ascii="Arial" w:hAnsi="Arial" w:cs="Arial" w:eastAsia="Arial" w:hint="default"/>
        </w:rPr>
        <w:t>1</w:t>
      </w:r>
      <w:r>
        <w:rPr>
          <w:rFonts w:ascii="Arial" w:hAnsi="Arial" w:cs="Arial" w:eastAsia="Arial" w:hint="default"/>
          <w:spacing w:val="-7"/>
        </w:rPr>
        <w:t> </w:t>
      </w:r>
      <w:r>
        <w:rPr/>
        <w:t>号</w:t>
      </w:r>
      <w:r>
        <w:rPr>
          <w:rFonts w:ascii="Arial" w:hAnsi="Arial" w:cs="Arial" w:eastAsia="Arial" w:hint="default"/>
        </w:rPr>
        <w:t>——</w:t>
      </w:r>
      <w:r>
        <w:rPr/>
        <w:t>非经常性损益》定义界定的非经常性损益项目，以及把</w:t>
      </w:r>
    </w:p>
    <w:p>
      <w:pPr>
        <w:pStyle w:val="BodyText"/>
        <w:spacing w:line="302" w:lineRule="auto" w:before="62"/>
        <w:ind w:right="1203"/>
        <w:jc w:val="left"/>
      </w:pPr>
      <w:r>
        <w:rPr/>
        <w:t>《公开发行证券的公司信息披露解释性公告第</w:t>
      </w:r>
      <w:r>
        <w:rPr>
          <w:spacing w:val="-46"/>
        </w:rPr>
        <w:t> </w:t>
      </w:r>
      <w:r>
        <w:rPr>
          <w:rFonts w:ascii="Arial" w:hAnsi="Arial" w:cs="Arial" w:eastAsia="Arial" w:hint="default"/>
        </w:rPr>
        <w:t>1</w:t>
      </w:r>
      <w:r>
        <w:rPr>
          <w:rFonts w:ascii="Arial" w:hAnsi="Arial" w:cs="Arial" w:eastAsia="Arial" w:hint="default"/>
          <w:spacing w:val="-7"/>
        </w:rPr>
        <w:t> </w:t>
      </w:r>
      <w:r>
        <w:rPr/>
        <w:t>号</w:t>
      </w:r>
      <w:r>
        <w:rPr>
          <w:rFonts w:ascii="Arial" w:hAnsi="Arial" w:cs="Arial" w:eastAsia="Arial" w:hint="default"/>
        </w:rPr>
        <w:t>——</w:t>
      </w:r>
      <w:r>
        <w:rPr/>
        <w:t>非经常性损益》中列举的非经常性损益项目界定为经常性损益的项 目，应说明原因。</w:t>
      </w:r>
    </w:p>
    <w:p>
      <w:pPr>
        <w:pStyle w:val="BodyText"/>
        <w:spacing w:line="240" w:lineRule="auto" w:before="69"/>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1"/>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3324"/>
        <w:gridCol w:w="3059"/>
        <w:gridCol w:w="3186"/>
      </w:tblGrid>
      <w:tr>
        <w:trPr>
          <w:trHeight w:val="402" w:hRule="exact"/>
        </w:trPr>
        <w:tc>
          <w:tcPr>
            <w:tcW w:w="3324"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9"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893" w:right="0"/>
              <w:jc w:val="left"/>
              <w:rPr>
                <w:rFonts w:ascii="宋体" w:hAnsi="宋体" w:cs="宋体" w:eastAsia="宋体" w:hint="default"/>
                <w:sz w:val="18"/>
                <w:szCs w:val="18"/>
              </w:rPr>
            </w:pPr>
            <w:r>
              <w:rPr>
                <w:rFonts w:ascii="宋体" w:hAnsi="宋体" w:cs="宋体" w:eastAsia="宋体" w:hint="default"/>
                <w:sz w:val="18"/>
                <w:szCs w:val="18"/>
              </w:rPr>
              <w:t>涉及金额（元）</w:t>
            </w:r>
          </w:p>
        </w:tc>
        <w:tc>
          <w:tcPr>
            <w:tcW w:w="3186"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402" w:hRule="exact"/>
        </w:trPr>
        <w:tc>
          <w:tcPr>
            <w:tcW w:w="33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增值税税收返还</w:t>
            </w:r>
          </w:p>
        </w:tc>
        <w:tc>
          <w:tcPr>
            <w:tcW w:w="3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sz w:val="18"/>
              </w:rPr>
              <w:t>390,750.30</w:t>
            </w:r>
          </w:p>
        </w:tc>
        <w:tc>
          <w:tcPr>
            <w:tcW w:w="31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与公司经常性经营活动相关</w:t>
            </w:r>
          </w:p>
        </w:tc>
      </w:tr>
    </w:tbl>
    <w:p>
      <w:pPr>
        <w:spacing w:after="0" w:line="240" w:lineRule="auto"/>
        <w:jc w:val="left"/>
        <w:rPr>
          <w:rFonts w:ascii="宋体" w:hAnsi="宋体" w:cs="宋体" w:eastAsia="宋体" w:hint="default"/>
          <w:sz w:val="18"/>
          <w:szCs w:val="18"/>
        </w:rPr>
        <w:sectPr>
          <w:pgSz w:w="11910" w:h="16840"/>
          <w:pgMar w:header="747" w:footer="982" w:top="1060" w:bottom="1180" w:left="980" w:right="0"/>
        </w:sectPr>
      </w:pPr>
    </w:p>
    <w:p>
      <w:pPr>
        <w:spacing w:line="240" w:lineRule="auto" w:before="10"/>
        <w:rPr>
          <w:rFonts w:ascii="宋体" w:hAnsi="宋体" w:cs="宋体" w:eastAsia="宋体" w:hint="default"/>
          <w:sz w:val="24"/>
          <w:szCs w:val="24"/>
        </w:rPr>
      </w:pPr>
    </w:p>
    <w:p>
      <w:pPr>
        <w:pStyle w:val="Heading4"/>
        <w:spacing w:line="240" w:lineRule="auto" w:before="35"/>
        <w:ind w:right="2239"/>
        <w:jc w:val="left"/>
        <w:rPr>
          <w:b w:val="0"/>
          <w:bCs w:val="0"/>
        </w:rPr>
      </w:pPr>
      <w:r>
        <w:rPr>
          <w:rFonts w:ascii="Arial" w:hAnsi="Arial" w:cs="Arial" w:eastAsia="Arial" w:hint="default"/>
        </w:rPr>
        <w:t>2</w:t>
      </w:r>
      <w:r>
        <w:rPr/>
        <w:t>、净资产收益率及每股收益</w:t>
      </w:r>
      <w:r>
        <w:rPr>
          <w:b w:val="0"/>
          <w:bCs w:val="0"/>
        </w:rPr>
      </w:r>
    </w:p>
    <w:p>
      <w:pPr>
        <w:spacing w:line="240" w:lineRule="auto" w:before="10"/>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650"/>
        <w:gridCol w:w="3080"/>
        <w:gridCol w:w="1913"/>
        <w:gridCol w:w="1913"/>
      </w:tblGrid>
      <w:tr>
        <w:trPr>
          <w:trHeight w:val="206" w:hRule="exact"/>
        </w:trPr>
        <w:tc>
          <w:tcPr>
            <w:tcW w:w="2650" w:type="dxa"/>
            <w:tcBorders>
              <w:top w:val="single" w:sz="4" w:space="0" w:color="000000"/>
              <w:left w:val="single" w:sz="4" w:space="0" w:color="000000"/>
              <w:bottom w:val="nil" w:sz="6" w:space="0" w:color="auto"/>
              <w:right w:val="single" w:sz="4" w:space="0" w:color="000000"/>
            </w:tcBorders>
            <w:shd w:val="clear" w:color="auto" w:fill="D3D3D3"/>
          </w:tcPr>
          <w:p>
            <w:pPr/>
          </w:p>
        </w:tc>
        <w:tc>
          <w:tcPr>
            <w:tcW w:w="3080" w:type="dxa"/>
            <w:tcBorders>
              <w:top w:val="single" w:sz="4" w:space="0" w:color="000000"/>
              <w:left w:val="single" w:sz="4" w:space="0" w:color="000000"/>
              <w:bottom w:val="nil" w:sz="6" w:space="0" w:color="auto"/>
              <w:right w:val="single" w:sz="4" w:space="0" w:color="000000"/>
            </w:tcBorders>
            <w:shd w:val="clear" w:color="auto" w:fill="D3D3D3"/>
          </w:tcPr>
          <w:p>
            <w:pPr/>
          </w:p>
        </w:tc>
        <w:tc>
          <w:tcPr>
            <w:tcW w:w="3826" w:type="dxa"/>
            <w:gridSpan w:val="2"/>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6" w:hRule="exact"/>
        </w:trPr>
        <w:tc>
          <w:tcPr>
            <w:tcW w:w="265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864" w:right="0"/>
              <w:jc w:val="left"/>
              <w:rPr>
                <w:rFonts w:ascii="宋体" w:hAnsi="宋体" w:cs="宋体" w:eastAsia="宋体" w:hint="default"/>
                <w:sz w:val="18"/>
                <w:szCs w:val="18"/>
              </w:rPr>
            </w:pPr>
            <w:r>
              <w:rPr>
                <w:rFonts w:ascii="宋体" w:hAnsi="宋体" w:cs="宋体" w:eastAsia="宋体" w:hint="default"/>
                <w:sz w:val="18"/>
                <w:szCs w:val="18"/>
              </w:rPr>
              <w:t>报告期利润</w:t>
            </w:r>
          </w:p>
        </w:tc>
        <w:tc>
          <w:tcPr>
            <w:tcW w:w="3080" w:type="dxa"/>
            <w:vMerge w:val="restart"/>
            <w:tcBorders>
              <w:top w:val="nil" w:sz="6" w:space="0" w:color="auto"/>
              <w:left w:val="single" w:sz="4" w:space="0" w:color="000000"/>
              <w:right w:val="single" w:sz="4" w:space="0" w:color="000000"/>
            </w:tcBorders>
            <w:shd w:val="clear" w:color="auto" w:fill="D3D3D3"/>
          </w:tcPr>
          <w:p>
            <w:pPr>
              <w:pStyle w:val="TableParagraph"/>
              <w:spacing w:line="240" w:lineRule="auto" w:before="51"/>
              <w:ind w:left="635"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p>
        </w:tc>
        <w:tc>
          <w:tcPr>
            <w:tcW w:w="3826" w:type="dxa"/>
            <w:gridSpan w:val="2"/>
            <w:vMerge/>
            <w:tcBorders>
              <w:left w:val="single" w:sz="4" w:space="0" w:color="000000"/>
              <w:bottom w:val="single" w:sz="4" w:space="0" w:color="000000"/>
              <w:right w:val="single" w:sz="4" w:space="0" w:color="000000"/>
            </w:tcBorders>
            <w:shd w:val="clear" w:color="auto" w:fill="D3D3D3"/>
          </w:tcPr>
          <w:p>
            <w:pPr/>
          </w:p>
        </w:tc>
      </w:tr>
      <w:tr>
        <w:trPr>
          <w:trHeight w:val="196" w:hRule="exact"/>
        </w:trPr>
        <w:tc>
          <w:tcPr>
            <w:tcW w:w="2650" w:type="dxa"/>
            <w:vMerge/>
            <w:tcBorders>
              <w:left w:val="single" w:sz="4" w:space="0" w:color="000000"/>
              <w:bottom w:val="nil" w:sz="6" w:space="0" w:color="auto"/>
              <w:right w:val="single" w:sz="4" w:space="0" w:color="000000"/>
            </w:tcBorders>
            <w:shd w:val="clear" w:color="auto" w:fill="D3D3D3"/>
          </w:tcPr>
          <w:p>
            <w:pPr/>
          </w:p>
        </w:tc>
        <w:tc>
          <w:tcPr>
            <w:tcW w:w="3080" w:type="dxa"/>
            <w:vMerge/>
            <w:tcBorders>
              <w:left w:val="single" w:sz="4" w:space="0" w:color="000000"/>
              <w:bottom w:val="nil" w:sz="6" w:space="0" w:color="auto"/>
              <w:right w:val="single" w:sz="4" w:space="0" w:color="000000"/>
            </w:tcBorders>
            <w:shd w:val="clear" w:color="auto" w:fill="D3D3D3"/>
          </w:tcPr>
          <w:p>
            <w:pP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Arial" w:hAnsi="Arial" w:cs="Arial" w:eastAsia="Arial" w:hint="default"/>
                <w:sz w:val="18"/>
                <w:szCs w:val="18"/>
              </w:rPr>
              <w:t>/</w:t>
            </w:r>
            <w:r>
              <w:rPr>
                <w:rFonts w:ascii="宋体" w:hAnsi="宋体" w:cs="宋体" w:eastAsia="宋体" w:hint="default"/>
                <w:sz w:val="18"/>
                <w:szCs w:val="18"/>
              </w:rPr>
              <w:t>股）</w:t>
            </w:r>
          </w:p>
        </w:tc>
        <w:tc>
          <w:tcPr>
            <w:tcW w:w="1913" w:type="dxa"/>
            <w:vMerge w:val="restart"/>
            <w:tcBorders>
              <w:top w:val="single" w:sz="4" w:space="0" w:color="000000"/>
              <w:left w:val="single" w:sz="4" w:space="0" w:color="000000"/>
              <w:right w:val="single" w:sz="4" w:space="0" w:color="000000"/>
            </w:tcBorders>
            <w:shd w:val="clear" w:color="auto" w:fill="D3D3D3"/>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Arial" w:hAnsi="Arial" w:cs="Arial" w:eastAsia="Arial" w:hint="default"/>
                <w:sz w:val="18"/>
                <w:szCs w:val="18"/>
              </w:rPr>
              <w:t>/</w:t>
            </w:r>
            <w:r>
              <w:rPr>
                <w:rFonts w:ascii="宋体" w:hAnsi="宋体" w:cs="宋体" w:eastAsia="宋体" w:hint="default"/>
                <w:sz w:val="18"/>
                <w:szCs w:val="18"/>
              </w:rPr>
              <w:t>股）</w:t>
            </w:r>
          </w:p>
        </w:tc>
      </w:tr>
      <w:tr>
        <w:trPr>
          <w:trHeight w:val="206" w:hRule="exact"/>
        </w:trPr>
        <w:tc>
          <w:tcPr>
            <w:tcW w:w="2650" w:type="dxa"/>
            <w:tcBorders>
              <w:top w:val="nil" w:sz="6" w:space="0" w:color="auto"/>
              <w:left w:val="single" w:sz="4" w:space="0" w:color="000000"/>
              <w:bottom w:val="single" w:sz="4" w:space="0" w:color="000000"/>
              <w:right w:val="single" w:sz="4" w:space="0" w:color="000000"/>
            </w:tcBorders>
            <w:shd w:val="clear" w:color="auto" w:fill="D3D3D3"/>
          </w:tcPr>
          <w:p>
            <w:pPr/>
          </w:p>
        </w:tc>
        <w:tc>
          <w:tcPr>
            <w:tcW w:w="3080" w:type="dxa"/>
            <w:tcBorders>
              <w:top w:val="nil" w:sz="6" w:space="0" w:color="auto"/>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c>
          <w:tcPr>
            <w:tcW w:w="1913" w:type="dxa"/>
            <w:vMerge/>
            <w:tcBorders>
              <w:left w:val="single" w:sz="4" w:space="0" w:color="000000"/>
              <w:bottom w:val="single" w:sz="4" w:space="0" w:color="000000"/>
              <w:right w:val="single" w:sz="4" w:space="0" w:color="000000"/>
            </w:tcBorders>
            <w:shd w:val="clear" w:color="auto" w:fill="D3D3D3"/>
          </w:tcPr>
          <w:p>
            <w:pPr/>
          </w:p>
        </w:tc>
      </w:tr>
      <w:tr>
        <w:trPr>
          <w:trHeight w:val="402"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30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91"/>
              <w:ind w:right="22"/>
              <w:jc w:val="right"/>
              <w:rPr>
                <w:rFonts w:ascii="Arial" w:hAnsi="Arial" w:cs="Arial" w:eastAsia="Arial" w:hint="default"/>
                <w:sz w:val="18"/>
                <w:szCs w:val="18"/>
              </w:rPr>
            </w:pPr>
            <w:r>
              <w:rPr>
                <w:rFonts w:ascii="Arial"/>
                <w:spacing w:val="-1"/>
                <w:w w:val="95"/>
                <w:sz w:val="18"/>
              </w:rPr>
              <w:t>3.32%</w:t>
            </w:r>
            <w:r>
              <w:rPr>
                <w:rFonts w:ascii="Arial"/>
                <w:w w:val="95"/>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0.0801</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Arial" w:hAnsi="Arial" w:cs="Arial" w:eastAsia="Arial" w:hint="default"/>
                <w:sz w:val="18"/>
                <w:szCs w:val="18"/>
              </w:rPr>
            </w:pPr>
            <w:r>
              <w:rPr>
                <w:rFonts w:ascii="Arial"/>
                <w:spacing w:val="-1"/>
                <w:sz w:val="18"/>
              </w:rPr>
              <w:t>0.0801</w:t>
            </w:r>
          </w:p>
        </w:tc>
      </w:tr>
      <w:tr>
        <w:trPr>
          <w:trHeight w:val="714" w:hRule="exact"/>
        </w:trPr>
        <w:tc>
          <w:tcPr>
            <w:tcW w:w="2650" w:type="dxa"/>
            <w:tcBorders>
              <w:top w:val="single" w:sz="4" w:space="0" w:color="000000"/>
              <w:left w:val="single" w:sz="4" w:space="0" w:color="000000"/>
              <w:bottom w:val="single" w:sz="4" w:space="0" w:color="000000"/>
              <w:right w:val="single" w:sz="4" w:space="0" w:color="000000"/>
            </w:tcBorders>
            <w:shd w:val="clear" w:color="auto" w:fill="D3D3D3"/>
          </w:tcPr>
          <w:p>
            <w:pPr>
              <w:pStyle w:val="TableParagraph"/>
              <w:spacing w:line="319" w:lineRule="auto" w:before="51"/>
              <w:ind w:left="11" w:right="107"/>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 普通股股东的净利润</w:t>
            </w:r>
          </w:p>
        </w:tc>
        <w:tc>
          <w:tcPr>
            <w:tcW w:w="3080" w:type="dxa"/>
            <w:tcBorders>
              <w:top w:val="single" w:sz="4" w:space="0" w:color="000000"/>
              <w:left w:val="single" w:sz="13" w:space="0" w:color="D3D3D3"/>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Arial" w:hAnsi="Arial" w:cs="Arial" w:eastAsia="Arial" w:hint="default"/>
                <w:sz w:val="18"/>
                <w:szCs w:val="18"/>
              </w:rPr>
            </w:pPr>
            <w:r>
              <w:rPr>
                <w:rFonts w:ascii="Arial"/>
                <w:spacing w:val="-1"/>
                <w:w w:val="95"/>
                <w:sz w:val="18"/>
              </w:rPr>
              <w:t>0.04%</w:t>
            </w:r>
            <w:r>
              <w:rPr>
                <w:rFonts w:ascii="Arial"/>
                <w:w w:val="95"/>
                <w:sz w:val="18"/>
              </w:rPr>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0.0010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Arial" w:hAnsi="Arial" w:cs="Arial" w:eastAsia="Arial" w:hint="default"/>
                <w:sz w:val="18"/>
                <w:szCs w:val="18"/>
              </w:rPr>
            </w:pPr>
            <w:r>
              <w:rPr>
                <w:rFonts w:ascii="Arial"/>
                <w:spacing w:val="-1"/>
                <w:sz w:val="18"/>
              </w:rPr>
              <w:t>0.0010</w:t>
            </w:r>
          </w:p>
        </w:tc>
      </w:tr>
    </w:tbl>
    <w:p>
      <w:pPr>
        <w:spacing w:line="240" w:lineRule="auto" w:before="2"/>
        <w:rPr>
          <w:rFonts w:ascii="宋体" w:hAnsi="宋体" w:cs="宋体" w:eastAsia="宋体" w:hint="default"/>
          <w:b/>
          <w:bCs/>
          <w:sz w:val="19"/>
          <w:szCs w:val="19"/>
        </w:rPr>
      </w:pPr>
    </w:p>
    <w:p>
      <w:pPr>
        <w:pStyle w:val="Heading4"/>
        <w:spacing w:line="240" w:lineRule="auto" w:before="35"/>
        <w:ind w:right="2239"/>
        <w:jc w:val="left"/>
        <w:rPr>
          <w:b w:val="0"/>
          <w:bCs w:val="0"/>
        </w:rPr>
      </w:pPr>
      <w:r>
        <w:rPr>
          <w:rFonts w:ascii="Arial" w:hAnsi="Arial" w:cs="Arial" w:eastAsia="Arial" w:hint="default"/>
        </w:rPr>
        <w:t>3</w:t>
      </w:r>
      <w:r>
        <w:rPr/>
        <w:t>、境内外会计准则下会计数据差异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4"/>
        <w:spacing w:line="240" w:lineRule="auto"/>
        <w:ind w:left="153" w:right="2239"/>
        <w:jc w:val="left"/>
        <w:rPr>
          <w:b w:val="0"/>
          <w:bCs w:val="0"/>
        </w:rPr>
      </w:pPr>
      <w:r>
        <w:rPr/>
        <w:t>（</w:t>
      </w:r>
      <w:r>
        <w:rPr>
          <w:rFonts w:ascii="Arial" w:hAnsi="Arial" w:cs="Arial" w:eastAsia="Arial" w:hint="default"/>
        </w:rPr>
        <w:t>1</w:t>
      </w:r>
      <w:r>
        <w:rPr/>
        <w:t>）同时按照国际会计准则与按中国会计准则披露的财务报告中净利润和净资产差异情况</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10"/>
        <w:rPr>
          <w:rFonts w:ascii="宋体" w:hAnsi="宋体" w:cs="宋体" w:eastAsia="宋体" w:hint="default"/>
          <w:sz w:val="25"/>
          <w:szCs w:val="25"/>
        </w:rPr>
      </w:pPr>
    </w:p>
    <w:p>
      <w:pPr>
        <w:pStyle w:val="Heading4"/>
        <w:spacing w:line="240" w:lineRule="auto"/>
        <w:ind w:right="2239"/>
        <w:jc w:val="left"/>
        <w:rPr>
          <w:b w:val="0"/>
          <w:bCs w:val="0"/>
        </w:rPr>
      </w:pPr>
      <w:r>
        <w:rPr/>
        <w:t>（</w:t>
      </w:r>
      <w:r>
        <w:rPr>
          <w:rFonts w:ascii="Arial" w:hAnsi="Arial" w:cs="Arial" w:eastAsia="Arial" w:hint="default"/>
        </w:rPr>
        <w:t>2</w:t>
      </w:r>
      <w:r>
        <w:rPr/>
        <w:t>）同时按照境外会计准则与按中国会计准则披露的财务报告中净利润和净资产差异情况</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ind w:right="2239"/>
        <w:jc w:val="left"/>
      </w:pPr>
      <w:r>
        <w:rPr>
          <w:rFonts w:ascii="Arial" w:hAnsi="Arial" w:cs="Arial" w:eastAsia="Arial" w:hint="default"/>
        </w:rPr>
        <w:t>□  </w:t>
      </w:r>
      <w:r>
        <w:rPr/>
        <w:t>适用 </w:t>
      </w:r>
      <w:r>
        <w:rPr>
          <w:rFonts w:ascii="Arial" w:hAnsi="Arial" w:cs="Arial" w:eastAsia="Arial" w:hint="default"/>
        </w:rPr>
        <w:t>√</w:t>
      </w:r>
      <w:r>
        <w:rPr>
          <w:rFonts w:ascii="Arial" w:hAnsi="Arial" w:cs="Arial" w:eastAsia="Arial" w:hint="default"/>
          <w:spacing w:val="29"/>
        </w:rPr>
        <w:t> </w:t>
      </w:r>
      <w:r>
        <w:rPr/>
        <w:t>不适用</w:t>
      </w:r>
    </w:p>
    <w:p>
      <w:pPr>
        <w:spacing w:line="240" w:lineRule="auto" w:before="10"/>
        <w:rPr>
          <w:rFonts w:ascii="宋体" w:hAnsi="宋体" w:cs="宋体" w:eastAsia="宋体" w:hint="default"/>
          <w:sz w:val="25"/>
          <w:szCs w:val="25"/>
        </w:rPr>
      </w:pPr>
    </w:p>
    <w:p>
      <w:pPr>
        <w:pStyle w:val="Heading4"/>
        <w:spacing w:line="259" w:lineRule="auto"/>
        <w:ind w:right="0"/>
        <w:jc w:val="left"/>
        <w:rPr>
          <w:b w:val="0"/>
          <w:bCs w:val="0"/>
        </w:rPr>
      </w:pPr>
      <w:r>
        <w:rPr/>
        <w:t>（</w:t>
      </w:r>
      <w:r>
        <w:rPr>
          <w:rFonts w:ascii="Arial" w:hAnsi="Arial" w:cs="Arial" w:eastAsia="Arial" w:hint="default"/>
        </w:rPr>
        <w:t>3</w:t>
      </w:r>
      <w:r>
        <w:rPr/>
        <w:t>）境内外会计准则下会计数据差异原因说明，对已经境外审计机构审计的数据进行差异调节的，应注</w:t>
      </w:r>
      <w:r>
        <w:rPr>
          <w:spacing w:val="-83"/>
        </w:rPr>
        <w:t> </w:t>
      </w:r>
      <w:r>
        <w:rPr>
          <w:spacing w:val="-83"/>
        </w:rPr>
      </w:r>
      <w:r>
        <w:rPr/>
        <w:t>明该境外机构的名称</w:t>
      </w:r>
      <w:r>
        <w:rPr>
          <w:b w:val="0"/>
          <w:bCs w:val="0"/>
        </w:rPr>
      </w:r>
    </w:p>
    <w:p>
      <w:pPr>
        <w:spacing w:line="240" w:lineRule="auto" w:before="8"/>
        <w:rPr>
          <w:rFonts w:ascii="宋体" w:hAnsi="宋体" w:cs="宋体" w:eastAsia="宋体" w:hint="default"/>
          <w:b/>
          <w:bCs/>
          <w:sz w:val="24"/>
          <w:szCs w:val="24"/>
        </w:rPr>
      </w:pPr>
    </w:p>
    <w:p>
      <w:pPr>
        <w:pStyle w:val="Heading4"/>
        <w:spacing w:line="240" w:lineRule="auto"/>
        <w:ind w:right="2239"/>
        <w:jc w:val="left"/>
        <w:rPr>
          <w:b w:val="0"/>
          <w:bCs w:val="0"/>
        </w:rPr>
      </w:pPr>
      <w:r>
        <w:rPr>
          <w:rFonts w:ascii="Arial" w:hAnsi="Arial" w:cs="Arial" w:eastAsia="Arial" w:hint="default"/>
        </w:rPr>
        <w:t>4</w:t>
      </w:r>
      <w:r>
        <w:rPr/>
        <w:t>、其他</w:t>
      </w:r>
      <w:r>
        <w:rPr>
          <w:b w:val="0"/>
          <w:bCs w:val="0"/>
        </w:rPr>
      </w:r>
    </w:p>
    <w:p>
      <w:pPr>
        <w:spacing w:after="0" w:line="240" w:lineRule="auto"/>
        <w:jc w:val="left"/>
        <w:sectPr>
          <w:pgSz w:w="11910" w:h="16840"/>
          <w:pgMar w:header="747" w:footer="982" w:top="1060" w:bottom="1180" w:left="980" w:right="0"/>
        </w:sect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0"/>
          <w:szCs w:val="20"/>
        </w:rPr>
      </w:pPr>
    </w:p>
    <w:p>
      <w:pPr>
        <w:pStyle w:val="Heading1"/>
        <w:spacing w:line="240" w:lineRule="auto"/>
        <w:ind w:left="3286" w:right="2239"/>
        <w:jc w:val="left"/>
        <w:rPr>
          <w:b w:val="0"/>
          <w:bCs w:val="0"/>
        </w:rPr>
      </w:pPr>
      <w:bookmarkStart w:name="_TOC_250000" w:id="13"/>
      <w:r>
        <w:rPr/>
        <w:t>第十三节</w:t>
      </w:r>
      <w:r>
        <w:rPr>
          <w:spacing w:val="-9"/>
        </w:rPr>
        <w:t> </w:t>
      </w:r>
      <w:r>
        <w:rPr/>
        <w:t>备查文件目录</w:t>
      </w:r>
      <w:bookmarkEnd w:id="13"/>
      <w:r>
        <w:rPr>
          <w:b w:val="0"/>
          <w:bCs w:val="0"/>
        </w:rPr>
      </w:r>
    </w:p>
    <w:p>
      <w:pPr>
        <w:spacing w:line="240" w:lineRule="auto" w:before="8"/>
        <w:rPr>
          <w:rFonts w:ascii="宋体" w:hAnsi="宋体" w:cs="宋体" w:eastAsia="宋体" w:hint="default"/>
          <w:b/>
          <w:bCs/>
          <w:sz w:val="42"/>
          <w:szCs w:val="42"/>
        </w:rPr>
      </w:pPr>
    </w:p>
    <w:p>
      <w:pPr>
        <w:pStyle w:val="BodyText"/>
        <w:spacing w:line="355" w:lineRule="auto"/>
        <w:ind w:left="153" w:right="3731"/>
        <w:jc w:val="left"/>
      </w:pPr>
      <w:r>
        <w:rPr/>
        <w:t>一、载有董事长签名的</w:t>
      </w:r>
      <w:r>
        <w:rPr>
          <w:rFonts w:ascii="Arial" w:hAnsi="Arial" w:cs="Arial" w:eastAsia="Arial" w:hint="default"/>
        </w:rPr>
        <w:t>2019</w:t>
      </w:r>
      <w:r>
        <w:rPr/>
        <w:t>年年度报告全文。 二、载有法定代表人、主管会计工作负责人、会计机构负责人签名并盖章的财务报表。 三、载有会计师事务所盖章、注册会计师签名并盖章的审计报告原件。 四、报告期内在中国证监会指定报纸上公开披露过的所有公司文件的正本及公告的原稿。 五、其他有关资料。</w:t>
      </w:r>
    </w:p>
    <w:p>
      <w:pPr>
        <w:pStyle w:val="BodyText"/>
        <w:spacing w:line="240" w:lineRule="auto" w:before="29"/>
        <w:ind w:left="153" w:right="2239"/>
        <w:jc w:val="left"/>
      </w:pPr>
      <w:r>
        <w:rPr/>
        <w:t>六、上述文件备置于公司证券部备查。</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8"/>
          <w:szCs w:val="28"/>
        </w:rPr>
      </w:pPr>
    </w:p>
    <w:p>
      <w:pPr>
        <w:pStyle w:val="Heading5"/>
        <w:spacing w:line="240" w:lineRule="auto"/>
        <w:ind w:left="7272" w:right="0"/>
        <w:jc w:val="left"/>
      </w:pPr>
      <w:r>
        <w:rPr/>
        <w:t>福建榕基软件股份有限公司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19"/>
          <w:szCs w:val="19"/>
        </w:rPr>
      </w:pPr>
    </w:p>
    <w:p>
      <w:pPr>
        <w:pStyle w:val="Heading5"/>
        <w:spacing w:line="240" w:lineRule="auto" w:before="0"/>
        <w:ind w:right="2718"/>
        <w:jc w:val="right"/>
      </w:pPr>
      <w:r>
        <w:rPr/>
        <w:t>董事长：</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11"/>
          <w:szCs w:val="11"/>
        </w:rPr>
      </w:pPr>
    </w:p>
    <w:p>
      <w:pPr>
        <w:spacing w:line="20" w:lineRule="exact"/>
        <w:ind w:left="8423" w:right="0" w:firstLine="0"/>
        <w:rPr>
          <w:rFonts w:ascii="宋体" w:hAnsi="宋体" w:cs="宋体" w:eastAsia="宋体" w:hint="default"/>
          <w:sz w:val="2"/>
          <w:szCs w:val="2"/>
        </w:rPr>
      </w:pPr>
      <w:r>
        <w:rPr>
          <w:rFonts w:ascii="宋体" w:hAnsi="宋体" w:cs="宋体" w:eastAsia="宋体" w:hint="default"/>
          <w:sz w:val="2"/>
          <w:szCs w:val="2"/>
        </w:rPr>
        <w:pict>
          <v:group style="width:68.7pt;height:.45pt;mso-position-horizontal-relative:char;mso-position-vertical-relative:line" coordorigin="0,0" coordsize="1374,9">
            <v:group style="position:absolute;left:4;top:4;width:1365;height:2" coordorigin="4,4" coordsize="1365,2">
              <v:shape style="position:absolute;left:4;top:4;width:1365;height:2" coordorigin="4,4" coordsize="1365,0" path="m4,4l1369,4e" filled="false" stroked="true" strokeweight=".42pt" strokecolor="#000000">
                <v:path arrowok="t"/>
              </v:shape>
            </v:group>
          </v:group>
        </w:pict>
      </w:r>
      <w:r>
        <w:rPr>
          <w:rFonts w:ascii="宋体" w:hAnsi="宋体" w:cs="宋体" w:eastAsia="宋体" w:hint="default"/>
          <w:sz w:val="2"/>
          <w:szCs w:val="2"/>
        </w:rPr>
      </w:r>
    </w:p>
    <w:p>
      <w:pPr>
        <w:spacing w:line="240" w:lineRule="auto" w:before="12"/>
        <w:rPr>
          <w:rFonts w:ascii="宋体" w:hAnsi="宋体" w:cs="宋体" w:eastAsia="宋体" w:hint="default"/>
          <w:sz w:val="24"/>
          <w:szCs w:val="24"/>
        </w:rPr>
      </w:pPr>
    </w:p>
    <w:p>
      <w:pPr>
        <w:pStyle w:val="Heading5"/>
        <w:tabs>
          <w:tab w:pos="7717" w:val="left" w:leader="none"/>
        </w:tabs>
        <w:spacing w:line="240" w:lineRule="auto"/>
        <w:ind w:left="7296" w:right="0"/>
        <w:jc w:val="center"/>
      </w:pPr>
      <w:r>
        <w:rPr/>
        <w:t>鲁</w:t>
        <w:tab/>
        <w:t>峰</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60"/>
        <w:ind w:right="1129"/>
        <w:jc w:val="right"/>
      </w:pPr>
      <w:r>
        <w:rPr>
          <w:rFonts w:ascii="Times New Roman" w:hAnsi="Times New Roman" w:cs="Times New Roman" w:eastAsia="Times New Roman" w:hint="default"/>
          <w:spacing w:val="-1"/>
        </w:rPr>
        <w:t>2020</w:t>
      </w:r>
      <w:r>
        <w:rPr>
          <w:spacing w:val="-1"/>
        </w:rPr>
        <w:t>年</w:t>
      </w:r>
      <w:r>
        <w:rPr>
          <w:rFonts w:ascii="Times New Roman" w:hAnsi="Times New Roman" w:cs="Times New Roman" w:eastAsia="Times New Roman" w:hint="default"/>
          <w:spacing w:val="-1"/>
        </w:rPr>
        <w:t>4</w:t>
      </w:r>
      <w:r>
        <w:rPr>
          <w:rFonts w:ascii="宋体" w:hAnsi="宋体" w:cs="宋体" w:eastAsia="宋体" w:hint="default"/>
          <w:spacing w:val="-1"/>
        </w:rPr>
        <w:t>月</w:t>
      </w:r>
      <w:r>
        <w:rPr>
          <w:rFonts w:ascii="Times New Roman" w:hAnsi="Times New Roman" w:cs="Times New Roman" w:eastAsia="Times New Roman" w:hint="default"/>
          <w:spacing w:val="-1"/>
        </w:rPr>
        <w:t>27</w:t>
      </w:r>
      <w:r>
        <w:rPr>
          <w:spacing w:val="-1"/>
        </w:rPr>
        <w:t>日</w:t>
      </w:r>
    </w:p>
    <w:sectPr>
      <w:pgSz w:w="11910" w:h="16840"/>
      <w:pgMar w:header="747" w:footer="982" w:top="1060" w:bottom="118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新宋体">
    <w:altName w:val="新宋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406584" type="#_x0000_t75" stroked="false">
          <v:imagedata r:id="rId1" o:title=""/>
        </v:shape>
      </w:pict>
    </w:r>
    <w:r>
      <w:rPr/>
      <w:pict>
        <v:shape style="position:absolute;margin-left:533.119873pt;margin-top:795.457642pt;width:6.5pt;height:11pt;mso-position-horizontal-relative:page;mso-position-vertical-relative:page;z-index:-1406560"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406536" type="#_x0000_t75" stroked="false">
          <v:imagedata r:id="rId1" o:title=""/>
        </v:shape>
      </w:pict>
    </w:r>
    <w:r>
      <w:rPr/>
      <w:pict>
        <v:shape style="position:absolute;margin-left:527.619873pt;margin-top:781.897522pt;width:13pt;height:11pt;mso-position-horizontal-relative:page;mso-position-vertical-relative:page;z-index:-14065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406488" type="#_x0000_t75" stroked="false">
          <v:imagedata r:id="rId1" o:title=""/>
        </v:shape>
      </w:pict>
    </w:r>
    <w:r>
      <w:rPr/>
      <w:pict>
        <v:shape style="position:absolute;margin-left:524.119873pt;margin-top:781.897522pt;width:15.5pt;height:11pt;mso-position-horizontal-relative:page;mso-position-vertical-relative:page;z-index:-1406464"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100</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406440" type="#_x0000_t75" stroked="false">
          <v:imagedata r:id="rId1" o:title=""/>
        </v:shape>
      </w:pict>
    </w:r>
    <w:r>
      <w:rPr/>
      <w:pict>
        <v:shape style="position:absolute;margin-left:523.119873pt;margin-top:781.897522pt;width:17.5pt;height:11pt;mso-position-horizontal-relative:page;mso-position-vertical-relative:page;z-index:-14064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406392" type="#_x0000_t75" stroked="false">
          <v:imagedata r:id="rId1" o:title=""/>
        </v:shape>
      </w:pict>
    </w:r>
    <w:r>
      <w:rPr/>
      <w:pict>
        <v:shape style="position:absolute;margin-left:523.119873pt;margin-top:781.897522pt;width:17.5pt;height:11pt;mso-position-horizontal-relative:page;mso-position-vertical-relative:page;z-index:-14063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135</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406344" type="#_x0000_t75" stroked="false">
          <v:imagedata r:id="rId1" o:title=""/>
        </v:shape>
      </w:pict>
    </w:r>
    <w:r>
      <w:rPr/>
      <w:pict>
        <v:shape style="position:absolute;margin-left:523.119873pt;margin-top:781.897522pt;width:17.5pt;height:11pt;mso-position-horizontal-relative:page;mso-position-vertical-relative:page;z-index:-140632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181</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406296" type="#_x0000_t75" stroked="false">
          <v:imagedata r:id="rId1" o:title=""/>
        </v:shape>
      </w:pict>
    </w:r>
    <w:r>
      <w:rPr/>
      <w:pict>
        <v:shape style="position:absolute;margin-left:524.119873pt;margin-top:781.897522pt;width:15.5pt;height:11pt;mso-position-horizontal-relative:page;mso-position-vertical-relative:page;z-index:-1406272"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200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5.609985pt;margin-top:806.796997pt;width:59.499296pt;height:26.797393pt;mso-position-horizontal-relative:page;mso-position-vertical-relative:page;z-index:-1406248" type="#_x0000_t75" stroked="false">
          <v:imagedata r:id="rId1" o:title=""/>
        </v:shape>
      </w:pict>
    </w:r>
    <w:r>
      <w:rPr/>
      <w:pict>
        <v:shape style="position:absolute;margin-left:523.119873pt;margin-top:781.897522pt;width:17.5pt;height:11pt;mso-position-horizontal-relative:page;mso-position-vertical-relative:page;z-index:-140622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201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44.179993pt;margin-top:36.325325pt;width:195.45pt;height:11.5pt;mso-position-horizontal-relative:page;mso-position-vertical-relative:page;z-index:-1406608" type="#_x0000_t202" filled="false" stroked="false">
          <v:textbox inset="0,0,0,0">
            <w:txbxContent>
              <w:p>
                <w:pPr>
                  <w:pStyle w:val="BodyText"/>
                  <w:spacing w:line="214" w:lineRule="exact"/>
                  <w:ind w:left="20" w:right="0"/>
                  <w:jc w:val="left"/>
                </w:pPr>
                <w:r>
                  <w:rPr/>
                  <w:t>福建榕基软件股份有限公司</w:t>
                </w:r>
                <w:r>
                  <w:rPr>
                    <w:spacing w:val="-46"/>
                  </w:rPr>
                  <w:t> </w:t>
                </w:r>
                <w:r>
                  <w:rPr>
                    <w:rFonts w:ascii="Times New Roman" w:hAnsi="Times New Roman" w:cs="Times New Roman" w:eastAsia="Times New Roman" w:hint="default"/>
                  </w:rPr>
                  <w:t>2019</w:t>
                </w:r>
                <w:r>
                  <w:rPr>
                    <w:rFonts w:ascii="Times New Roman" w:hAnsi="Times New Roman" w:cs="Times New Roman" w:eastAsia="Times New Roman" w:hint="default"/>
                    <w:spacing w:val="-1"/>
                  </w:rPr>
                  <w:t> </w:t>
                </w:r>
                <w:r>
                  <w:rPr/>
                  <w:t>年年度报告全文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6"/>
      <w:ind w:left="153"/>
    </w:pPr>
    <w:rPr>
      <w:rFonts w:ascii="宋体" w:hAnsi="宋体" w:eastAsia="宋体"/>
      <w:sz w:val="28"/>
      <w:szCs w:val="28"/>
    </w:rPr>
  </w:style>
  <w:style w:styleId="BodyText" w:type="paragraph">
    <w:name w:val="Body Text"/>
    <w:basedOn w:val="Normal"/>
    <w:uiPriority w:val="1"/>
    <w:qFormat/>
    <w:pPr>
      <w:ind w:left="154"/>
    </w:pPr>
    <w:rPr>
      <w:rFonts w:ascii="宋体" w:hAnsi="宋体" w:eastAsia="宋体"/>
      <w:sz w:val="18"/>
      <w:szCs w:val="18"/>
    </w:rPr>
  </w:style>
  <w:style w:styleId="Heading1" w:type="paragraph">
    <w:name w:val="Heading 1"/>
    <w:basedOn w:val="Normal"/>
    <w:uiPriority w:val="1"/>
    <w:qFormat/>
    <w:pPr>
      <w:spacing w:before="1"/>
      <w:ind w:left="1641"/>
      <w:outlineLvl w:val="1"/>
    </w:pPr>
    <w:rPr>
      <w:rFonts w:ascii="宋体" w:hAnsi="宋体" w:eastAsia="宋体"/>
      <w:b/>
      <w:bCs/>
      <w:sz w:val="32"/>
      <w:szCs w:val="32"/>
    </w:rPr>
  </w:style>
  <w:style w:styleId="Heading2" w:type="paragraph">
    <w:name w:val="Heading 2"/>
    <w:basedOn w:val="Normal"/>
    <w:uiPriority w:val="1"/>
    <w:qFormat/>
    <w:pPr>
      <w:ind w:left="154"/>
      <w:outlineLvl w:val="2"/>
    </w:pPr>
    <w:rPr>
      <w:rFonts w:ascii="宋体" w:hAnsi="宋体" w:eastAsia="宋体"/>
      <w:b/>
      <w:bCs/>
      <w:sz w:val="24"/>
      <w:szCs w:val="24"/>
    </w:rPr>
  </w:style>
  <w:style w:styleId="Heading3" w:type="paragraph">
    <w:name w:val="Heading 3"/>
    <w:basedOn w:val="Normal"/>
    <w:uiPriority w:val="1"/>
    <w:qFormat/>
    <w:pPr>
      <w:spacing w:before="11"/>
      <w:ind w:left="154"/>
      <w:outlineLvl w:val="3"/>
    </w:pPr>
    <w:rPr>
      <w:rFonts w:ascii="宋体" w:hAnsi="宋体" w:eastAsia="宋体"/>
      <w:sz w:val="24"/>
      <w:szCs w:val="24"/>
    </w:rPr>
  </w:style>
  <w:style w:styleId="Heading4" w:type="paragraph">
    <w:name w:val="Heading 4"/>
    <w:basedOn w:val="Normal"/>
    <w:uiPriority w:val="1"/>
    <w:qFormat/>
    <w:pPr>
      <w:ind w:left="154"/>
      <w:outlineLvl w:val="4"/>
    </w:pPr>
    <w:rPr>
      <w:rFonts w:ascii="宋体" w:hAnsi="宋体" w:eastAsia="宋体"/>
      <w:b/>
      <w:bCs/>
      <w:sz w:val="21"/>
      <w:szCs w:val="21"/>
    </w:rPr>
  </w:style>
  <w:style w:styleId="Heading5" w:type="paragraph">
    <w:name w:val="Heading 5"/>
    <w:basedOn w:val="Normal"/>
    <w:uiPriority w:val="1"/>
    <w:qFormat/>
    <w:pPr>
      <w:spacing w:before="35"/>
      <w:outlineLvl w:val="5"/>
    </w:pPr>
    <w:rPr>
      <w:rFonts w:ascii="宋体" w:hAnsi="宋体" w:eastAsia="宋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rongji.com/" TargetMode="External"/><Relationship Id="rId10" Type="http://schemas.openxmlformats.org/officeDocument/2006/relationships/hyperlink" Target="mailto:rongji@rongji.com" TargetMode="External"/><Relationship Id="rId11" Type="http://schemas.openxmlformats.org/officeDocument/2006/relationships/hyperlink" Target="mailto:wanxiaoxiong@rongji.com" TargetMode="External"/><Relationship Id="rId12" Type="http://schemas.openxmlformats.org/officeDocument/2006/relationships/hyperlink" Target="mailto:chenlve@rongji.com" TargetMode="External"/><Relationship Id="rId13" Type="http://schemas.openxmlformats.org/officeDocument/2006/relationships/hyperlink" Target="http://www.cninfo.com.cn/" TargetMode="External"/><Relationship Id="rId14" Type="http://schemas.openxmlformats.org/officeDocument/2006/relationships/hyperlink" Target="http://view.officeapps.live.com/op/vie" TargetMode="External"/><Relationship Id="rId15" Type="http://schemas.openxmlformats.org/officeDocument/2006/relationships/hyperlink" Target="http://www.cninfo.com.cn/cninfo-new/disclosure/szse_sme/bulletin_d" TargetMode="External"/><Relationship Id="rId16" Type="http://schemas.openxmlformats.org/officeDocument/2006/relationships/hyperlink" Target="http://www.cninfo.com.cn/new/disclosure/detail?plate=szse&amp;amp;stockCode=002474&amp;amp;announcementId=1205208002&amp;amp;annou" TargetMode="External"/><Relationship Id="rId17" Type="http://schemas.openxmlformats.org/officeDocument/2006/relationships/hyperlink" Target="http://www.cninfo.com.cn/new/disclosure/detail?plate=szse&amp;amp;orgId=9900014447&amp;amp;stockCode=002474&amp;amp;announcementId" TargetMode="External"/><Relationship Id="rId18" Type="http://schemas.openxmlformats.org/officeDocument/2006/relationships/image" Target="media/image3.png"/><Relationship Id="rId19" Type="http://schemas.openxmlformats.org/officeDocument/2006/relationships/hyperlink" Target="http://www.cninfo.c/" TargetMode="External"/><Relationship Id="rId20" Type="http://schemas.openxmlformats.org/officeDocument/2006/relationships/footer" Target="footer3.xml"/><Relationship Id="rId21" Type="http://schemas.openxmlformats.org/officeDocument/2006/relationships/footer" Target="footer4.xml"/><Relationship Id="rId22" Type="http://schemas.openxmlformats.org/officeDocument/2006/relationships/footer" Target="footer5.xml"/><Relationship Id="rId23" Type="http://schemas.openxmlformats.org/officeDocument/2006/relationships/footer" Target="footer6.xml"/><Relationship Id="rId24" Type="http://schemas.openxmlformats.org/officeDocument/2006/relationships/footer" Target="footer7.xml"/><Relationship Id="rId25" Type="http://schemas.openxmlformats.org/officeDocument/2006/relationships/footer" Target="footer8.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6.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&lt;4D6963726F736F667420576F7264202D20312D323032302D303230202032303139C4EAC4EAB6C8B1A8B8E6C8ABCEC4A3A8D6D5B8E5A3A92E646F63&gt;</dc:title>
  <dcterms:created xsi:type="dcterms:W3CDTF">2020-05-19T14:02:56Z</dcterms:created>
  <dcterms:modified xsi:type="dcterms:W3CDTF">2020-05-19T14:02:56Z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2020-04-28T00:00:00Z</vt:filetime>
  </property>
  <property fmtid="{D5CDD505-2E9C-101B-9397-08002B2CF9AE}" pid="3" name="Creator">
    <vt:lpwstr>PScript5.dll Version 5.2.2</vt:lpwstr>
  </property>
  <property fmtid="{D5CDD505-2E9C-101B-9397-08002B2CF9AE}" pid="4" name="LastSaved">
    <vt:filetime>2020-05-19T00:00:00Z</vt:filetime>
  </property>
</Properties>
</file>