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00" w:after="0" w:line="240" w:lineRule="auto"/>
        <w:ind w:left="0" w:right="0" w:firstLine="0"/>
        <w:jc w:val="center"/>
        <w:rPr>
          <w:sz w:val="52"/>
          <w:szCs w:val="52"/>
        </w:rPr>
      </w:pPr>
      <w:r>
        <w:rPr>
          <w:rFonts w:ascii="SimHei" w:eastAsia="SimHei" w:hAnsi="SimHei" w:cs="SimHei"/>
          <w:b/>
          <w:bCs/>
          <w:color w:val="000000"/>
          <w:spacing w:val="0"/>
          <w:w w:val="100"/>
          <w:position w:val="0"/>
          <w:sz w:val="52"/>
          <w:szCs w:val="52"/>
        </w:rPr>
        <w:t>福建榕基软件股份有限公司</w:t>
      </w:r>
    </w:p>
    <w:p>
      <w:pPr>
        <w:pStyle w:val="Style2"/>
        <w:keepNext w:val="0"/>
        <w:keepLines w:val="0"/>
        <w:widowControl w:val="0"/>
        <w:shd w:val="clear" w:color="auto" w:fill="auto"/>
        <w:bidi w:val="0"/>
        <w:spacing w:before="0" w:after="140" w:line="240" w:lineRule="auto"/>
        <w:ind w:left="0" w:right="0" w:firstLine="0"/>
        <w:jc w:val="center"/>
        <w:rPr>
          <w:sz w:val="30"/>
          <w:szCs w:val="30"/>
        </w:rPr>
      </w:pPr>
      <w:r>
        <w:rPr>
          <w:rFonts w:ascii="Arial" w:eastAsia="Arial" w:hAnsi="Arial" w:cs="Arial"/>
          <w:b/>
          <w:bCs/>
          <w:color w:val="000000"/>
          <w:spacing w:val="0"/>
          <w:w w:val="100"/>
          <w:position w:val="0"/>
          <w:sz w:val="30"/>
          <w:szCs w:val="30"/>
        </w:rPr>
        <w:t>Fujian Rongji Software Co., Ltd.</w:t>
      </w:r>
    </w:p>
    <w:p>
      <w:pPr>
        <w:pStyle w:val="Style2"/>
        <w:keepNext w:val="0"/>
        <w:keepLines w:val="0"/>
        <w:widowControl w:val="0"/>
        <w:shd w:val="clear" w:color="auto" w:fill="auto"/>
        <w:bidi w:val="0"/>
        <w:spacing w:before="0" w:after="940" w:line="240" w:lineRule="auto"/>
        <w:ind w:left="0" w:right="0" w:firstLine="0"/>
        <w:jc w:val="center"/>
        <w:rPr>
          <w:sz w:val="32"/>
          <w:szCs w:val="32"/>
        </w:rPr>
      </w:pPr>
      <w:r>
        <w:rPr>
          <w:rFonts w:ascii="SimHei" w:eastAsia="SimHei" w:hAnsi="SimHei" w:cs="SimHei"/>
          <w:b/>
          <w:bCs/>
          <w:color w:val="000000"/>
          <w:spacing w:val="0"/>
          <w:w w:val="100"/>
          <w:position w:val="0"/>
          <w:sz w:val="32"/>
          <w:szCs w:val="32"/>
        </w:rPr>
        <w:t>（福州市鼓楼区铜盘路福州软件园产业基地）</w:t>
      </w:r>
    </w:p>
    <w:p>
      <w:pPr>
        <w:widowControl w:val="0"/>
        <w:jc w:val="center"/>
        <w:rPr>
          <w:sz w:val="2"/>
          <w:szCs w:val="2"/>
        </w:rPr>
      </w:pPr>
      <w:r>
        <w:drawing>
          <wp:inline>
            <wp:extent cx="1268095" cy="11398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68095" cy="1139825"/>
                    </a:xfrm>
                    <a:prstGeom prst="rect"/>
                  </pic:spPr>
                </pic:pic>
              </a:graphicData>
            </a:graphic>
          </wp:inline>
        </w:drawing>
      </w:r>
    </w:p>
    <w:p>
      <w:pPr>
        <w:widowControl w:val="0"/>
        <w:spacing w:after="819" w:line="1" w:lineRule="exact"/>
      </w:pPr>
    </w:p>
    <w:p>
      <w:pPr>
        <w:pStyle w:val="Style2"/>
        <w:keepNext w:val="0"/>
        <w:keepLines w:val="0"/>
        <w:widowControl w:val="0"/>
        <w:shd w:val="clear" w:color="auto" w:fill="auto"/>
        <w:bidi w:val="0"/>
        <w:spacing w:before="0" w:after="4000" w:line="240" w:lineRule="auto"/>
        <w:ind w:left="0" w:right="0" w:firstLine="0"/>
        <w:jc w:val="center"/>
        <w:rPr>
          <w:sz w:val="72"/>
          <w:szCs w:val="72"/>
        </w:rPr>
      </w:pPr>
      <w:r>
        <w:rPr>
          <w:rFonts w:ascii="Arial" w:eastAsia="Arial" w:hAnsi="Arial" w:cs="Arial"/>
          <w:b/>
          <w:bCs/>
          <w:color w:val="000000"/>
          <w:spacing w:val="0"/>
          <w:w w:val="100"/>
          <w:position w:val="0"/>
          <w:sz w:val="72"/>
          <w:szCs w:val="72"/>
        </w:rPr>
        <w:t>2021</w:t>
      </w:r>
      <w:r>
        <w:rPr>
          <w:rFonts w:ascii="SimHei" w:eastAsia="SimHei" w:hAnsi="SimHei" w:cs="SimHei"/>
          <w:b/>
          <w:bCs/>
          <w:color w:val="000000"/>
          <w:spacing w:val="0"/>
          <w:w w:val="100"/>
          <w:position w:val="0"/>
          <w:sz w:val="72"/>
          <w:szCs w:val="72"/>
        </w:rPr>
        <w:t>年年度报告</w:t>
      </w:r>
    </w:p>
    <w:p>
      <w:pPr>
        <w:pStyle w:val="Style2"/>
        <w:keepNext w:val="0"/>
        <w:keepLines w:val="0"/>
        <w:widowControl w:val="0"/>
        <w:shd w:val="clear" w:color="auto" w:fill="auto"/>
        <w:bidi w:val="0"/>
        <w:spacing w:before="0" w:after="140" w:line="240" w:lineRule="auto"/>
        <w:ind w:left="4920" w:right="0" w:firstLine="0"/>
        <w:jc w:val="left"/>
        <w:rPr>
          <w:sz w:val="26"/>
          <w:szCs w:val="26"/>
        </w:rPr>
      </w:pPr>
      <w:r>
        <w:rPr>
          <w:rFonts w:ascii="SimHei" w:eastAsia="SimHei" w:hAnsi="SimHei" w:cs="SimHei"/>
          <w:b/>
          <w:bCs/>
          <w:color w:val="000000"/>
          <w:spacing w:val="0"/>
          <w:w w:val="100"/>
          <w:position w:val="0"/>
          <w:sz w:val="28"/>
          <w:szCs w:val="28"/>
        </w:rPr>
        <w:t>公告编号：</w:t>
      </w:r>
      <w:r>
        <w:rPr>
          <w:rFonts w:ascii="Arial" w:eastAsia="Arial" w:hAnsi="Arial" w:cs="Arial"/>
          <w:b/>
          <w:bCs/>
          <w:color w:val="000000"/>
          <w:spacing w:val="0"/>
          <w:w w:val="100"/>
          <w:position w:val="0"/>
          <w:sz w:val="26"/>
          <w:szCs w:val="26"/>
        </w:rPr>
        <w:t>2022-015</w:t>
      </w:r>
    </w:p>
    <w:p>
      <w:pPr>
        <w:pStyle w:val="Style2"/>
        <w:keepNext w:val="0"/>
        <w:keepLines w:val="0"/>
        <w:widowControl w:val="0"/>
        <w:shd w:val="clear" w:color="auto" w:fill="auto"/>
        <w:bidi w:val="0"/>
        <w:spacing w:before="0" w:after="140" w:line="240" w:lineRule="auto"/>
        <w:ind w:left="4920" w:right="0" w:firstLine="0"/>
        <w:jc w:val="left"/>
        <w:rPr>
          <w:sz w:val="26"/>
          <w:szCs w:val="26"/>
        </w:rPr>
      </w:pPr>
      <w:r>
        <w:rPr>
          <w:rFonts w:ascii="SimHei" w:eastAsia="SimHei" w:hAnsi="SimHei" w:cs="SimHei"/>
          <w:b/>
          <w:bCs/>
          <w:color w:val="000000"/>
          <w:spacing w:val="0"/>
          <w:w w:val="100"/>
          <w:position w:val="0"/>
          <w:sz w:val="28"/>
          <w:szCs w:val="28"/>
        </w:rPr>
        <w:t>证券代码:</w:t>
      </w:r>
      <w:r>
        <w:rPr>
          <w:rFonts w:ascii="Arial" w:eastAsia="Arial" w:hAnsi="Arial" w:cs="Arial"/>
          <w:b/>
          <w:bCs/>
          <w:color w:val="000000"/>
          <w:spacing w:val="0"/>
          <w:w w:val="100"/>
          <w:position w:val="0"/>
          <w:sz w:val="26"/>
          <w:szCs w:val="26"/>
        </w:rPr>
        <w:t>002474</w:t>
      </w:r>
    </w:p>
    <w:p>
      <w:pPr>
        <w:pStyle w:val="Style2"/>
        <w:keepNext w:val="0"/>
        <w:keepLines w:val="0"/>
        <w:widowControl w:val="0"/>
        <w:shd w:val="clear" w:color="auto" w:fill="auto"/>
        <w:bidi w:val="0"/>
        <w:spacing w:before="0" w:after="140" w:line="240" w:lineRule="auto"/>
        <w:ind w:left="4920" w:right="0" w:firstLine="0"/>
        <w:jc w:val="left"/>
        <w:rPr>
          <w:sz w:val="28"/>
          <w:szCs w:val="28"/>
        </w:rPr>
      </w:pPr>
      <w:r>
        <w:rPr>
          <w:rFonts w:ascii="SimHei" w:eastAsia="SimHei" w:hAnsi="SimHei" w:cs="SimHei"/>
          <w:b/>
          <w:bCs/>
          <w:color w:val="000000"/>
          <w:spacing w:val="0"/>
          <w:w w:val="100"/>
          <w:position w:val="0"/>
          <w:sz w:val="28"/>
          <w:szCs w:val="28"/>
        </w:rPr>
        <w:t>证券简称：榕基软件</w:t>
      </w:r>
    </w:p>
    <w:p>
      <w:pPr>
        <w:pStyle w:val="Style2"/>
        <w:keepNext w:val="0"/>
        <w:keepLines w:val="0"/>
        <w:widowControl w:val="0"/>
        <w:shd w:val="clear" w:color="auto" w:fill="auto"/>
        <w:bidi w:val="0"/>
        <w:spacing w:before="0" w:after="140" w:line="240" w:lineRule="auto"/>
        <w:ind w:left="4920" w:right="0" w:firstLine="0"/>
        <w:jc w:val="left"/>
        <w:rPr>
          <w:sz w:val="28"/>
          <w:szCs w:val="28"/>
        </w:rPr>
      </w:pPr>
      <w:r>
        <w:rPr>
          <w:rFonts w:ascii="SimHei" w:eastAsia="SimHei" w:hAnsi="SimHei" w:cs="SimHei"/>
          <w:b/>
          <w:bCs/>
          <w:color w:val="000000"/>
          <w:spacing w:val="0"/>
          <w:w w:val="100"/>
          <w:position w:val="0"/>
          <w:sz w:val="28"/>
          <w:szCs w:val="28"/>
        </w:rPr>
        <w:t>披露日期：</w:t>
      </w:r>
      <w:r>
        <w:rPr>
          <w:rFonts w:ascii="Arial" w:eastAsia="Arial" w:hAnsi="Arial" w:cs="Arial"/>
          <w:b/>
          <w:bCs/>
          <w:color w:val="000000"/>
          <w:spacing w:val="0"/>
          <w:w w:val="100"/>
          <w:position w:val="0"/>
          <w:sz w:val="26"/>
          <w:szCs w:val="26"/>
        </w:rPr>
        <w:t>2022</w:t>
      </w:r>
      <w:r>
        <w:rPr>
          <w:rFonts w:ascii="SimHei" w:eastAsia="SimHei" w:hAnsi="SimHei" w:cs="SimHei"/>
          <w:b/>
          <w:bCs/>
          <w:color w:val="000000"/>
          <w:spacing w:val="0"/>
          <w:w w:val="100"/>
          <w:position w:val="0"/>
          <w:sz w:val="28"/>
          <w:szCs w:val="28"/>
        </w:rPr>
        <w:t>年</w:t>
      </w:r>
      <w:r>
        <w:rPr>
          <w:rFonts w:ascii="Arial" w:eastAsia="Arial" w:hAnsi="Arial" w:cs="Arial"/>
          <w:b/>
          <w:bCs/>
          <w:color w:val="000000"/>
          <w:spacing w:val="0"/>
          <w:w w:val="100"/>
          <w:position w:val="0"/>
          <w:sz w:val="26"/>
          <w:szCs w:val="26"/>
        </w:rPr>
        <w:t>4</w:t>
      </w:r>
      <w:r>
        <w:rPr>
          <w:rFonts w:ascii="SimHei" w:eastAsia="SimHei" w:hAnsi="SimHei" w:cs="SimHei"/>
          <w:b/>
          <w:bCs/>
          <w:color w:val="000000"/>
          <w:spacing w:val="0"/>
          <w:w w:val="100"/>
          <w:position w:val="0"/>
          <w:sz w:val="28"/>
          <w:szCs w:val="28"/>
        </w:rPr>
        <w:t>月</w:t>
      </w:r>
      <w:r>
        <w:rPr>
          <w:rFonts w:ascii="Arial" w:eastAsia="Arial" w:hAnsi="Arial" w:cs="Arial"/>
          <w:b/>
          <w:bCs/>
          <w:color w:val="000000"/>
          <w:spacing w:val="0"/>
          <w:w w:val="100"/>
          <w:position w:val="0"/>
          <w:sz w:val="26"/>
          <w:szCs w:val="26"/>
        </w:rPr>
        <w:t>1</w:t>
      </w:r>
      <w:r>
        <w:rPr>
          <w:rFonts w:ascii="SimHei" w:eastAsia="SimHei" w:hAnsi="SimHei" w:cs="SimHei"/>
          <w:b/>
          <w:bCs/>
          <w:color w:val="000000"/>
          <w:spacing w:val="0"/>
          <w:w w:val="100"/>
          <w:position w:val="0"/>
          <w:sz w:val="28"/>
          <w:szCs w:val="28"/>
        </w:rPr>
        <w:t>日</w:t>
      </w: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3"/>
        <w:keepNext w:val="0"/>
        <w:keepLines w:val="0"/>
        <w:widowControl w:val="0"/>
        <w:shd w:val="clear" w:color="auto" w:fill="auto"/>
        <w:bidi w:val="0"/>
        <w:spacing w:before="0"/>
        <w:ind w:left="0" w:right="0"/>
        <w:jc w:val="both"/>
      </w:pPr>
      <w:r>
        <w:rPr>
          <w:color w:val="000000"/>
          <w:spacing w:val="0"/>
          <w:w w:val="100"/>
          <w:position w:val="0"/>
        </w:rPr>
        <w:t>公司负责人鲁峰、主管会计工作负责人侯伟及会计机构负责人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镇千金声明：保证本年度报告中财务报告的真实、准确、完整。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本年度报告涉及未来计划等前瞻性陈述，并不代表公司对未来年度的盈利 预测及对投资者的实质承诺，请投资者注意投资风险。</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中详细描述了公司经营中可能存在的风险，敬请投资者关注相关内容。</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37" w:right="987" w:bottom="2778" w:left="110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622,200,000.00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56"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10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262"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38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414"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56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429"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57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569"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72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633"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78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pPr>
      <w:hyperlink w:anchor="bookmark637"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79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2"/>
          <w:szCs w:val="22"/>
        </w:rPr>
        <w:sectPr>
          <w:footnotePr>
            <w:pos w:val="pageBottom"/>
            <w:numFmt w:val="decimal"/>
            <w:numRestart w:val="continuous"/>
          </w:footnotePr>
          <w:pgSz w:w="11900" w:h="16840"/>
          <w:pgMar w:top="2864" w:right="1121" w:bottom="2864" w:left="1107" w:header="0" w:footer="3" w:gutter="0"/>
          <w:cols w:space="720"/>
          <w:noEndnote/>
          <w:rtlGutter w:val="0"/>
          <w:docGrid w:linePitch="360"/>
        </w:sectPr>
      </w:pPr>
      <w:hyperlink w:anchor="bookmark641"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80</w:t>
        </w:r>
      </w:hyperlink>
      <w:r>
        <w:fldChar w:fldCharType="end"/>
      </w:r>
    </w:p>
    <w:p>
      <w:pPr>
        <w:pStyle w:val="Style2"/>
        <w:keepNext w:val="0"/>
        <w:keepLines w:val="0"/>
        <w:widowControl w:val="0"/>
        <w:shd w:val="clear" w:color="auto" w:fill="auto"/>
        <w:bidi w:val="0"/>
        <w:spacing w:before="66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531" w:val="left"/>
        </w:tabs>
        <w:bidi w:val="0"/>
        <w:spacing w:before="0" w:after="10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载有公司负责人、主管会计工作负责人、会计机构负责人签名并盖章的财务报表。</w:t>
      </w:r>
    </w:p>
    <w:p>
      <w:pPr>
        <w:pStyle w:val="Style21"/>
        <w:keepNext w:val="0"/>
        <w:keepLines w:val="0"/>
        <w:widowControl w:val="0"/>
        <w:shd w:val="clear" w:color="auto" w:fill="auto"/>
        <w:tabs>
          <w:tab w:pos="531" w:val="left"/>
        </w:tabs>
        <w:bidi w:val="0"/>
        <w:spacing w:before="0" w:after="10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1"/>
        <w:keepNext w:val="0"/>
        <w:keepLines w:val="0"/>
        <w:widowControl w:val="0"/>
        <w:shd w:val="clear" w:color="auto" w:fill="auto"/>
        <w:tabs>
          <w:tab w:pos="531" w:val="left"/>
        </w:tabs>
        <w:bidi w:val="0"/>
        <w:spacing w:before="0" w:after="10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p>
    <w:p>
      <w:pPr>
        <w:pStyle w:val="Style21"/>
        <w:keepNext w:val="0"/>
        <w:keepLines w:val="0"/>
        <w:widowControl w:val="0"/>
        <w:shd w:val="clear" w:color="auto" w:fill="auto"/>
        <w:tabs>
          <w:tab w:pos="531" w:val="left"/>
        </w:tabs>
        <w:bidi w:val="0"/>
        <w:spacing w:before="0" w:after="10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在其他证券市场公布的年度报告。</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上述文件备置于公司证券部备查。</w:t>
      </w:r>
      <w:r>
        <w:br w:type="page"/>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公司、本公司、榕基软件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上海榕基软件开发有限公司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创华公司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福州创华电气自动化有限公司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浙江榕基信息技术有限公司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五一公司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榕基五一（北京）信息技术有限公司</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福建榕基软件工程有限公司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河南榕基信息技术有限公司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中榕基公司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北京中榕基信息技术有限公司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马鞍山榕基软件信息科技有限公司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福建榕基投资有限公司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信阳榕基信息技术有限公司</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榕基国际控股有限公司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亿榕信息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福建亿榕信息技术有限公司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星云大数据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福建省星云大数据应用服务有限公司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福建星榕基信息科技有限责任公司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容大物联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福建容大物联网科技有限公司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福水智联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福水智联技术有限公司</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公司主营业务领域、五大业务领域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电子政务、协同管理、信息安全、大数据、物联网等</w:t>
            </w: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公共管理组织在政务活动中，综合运用现代信息技术，实现服务职能 和管理职能重组优化的运作模式。电子政务有狭义和广义之分。狭义 的电子政务专指政府部门的管理和服务，广义的电子政务包括各类行 政管理活动，例如电子政府（狭义电子政务）、电子党务、电子政协、 电子人大。</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指无法在一定时间范围内用常规软件工具进行捕捉、管理和处理的数 据集合，是需要新处理模式才能具有更强的决策力、洞察发现力和流 程优化能力的海量、高增长率和多样化的信息资产。大数据技术，是 指从各种各样类型的数据中，快速获得有价值信息的能力。</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是指通过各种信息传感设备，实时采集任何需要监控、连接、互动的 物体或过程等各种需要的信息，与互联网结合形成的一个巨大网络。 其目是实现物与物、物与人，所有物品与网络的连接，方便识别、管 理和控制。</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是信息化应用创新的简称。信创发展是当前的一项国家战略，是经济 发展的新动能。中国要逐步建立自主的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底层架构和标准，从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 础设置、基础软件、应用软件、信息安全等几个方面推进和提倡行业 的创新发展，形成自主开放生态。</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金关工程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是国家重大电子政务工程项目。金关工程为国家、社会公众提供海关</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业务服务和信息资源服务，为构建开放型国家经济新体制提供有力支 撑，为落实国家一带一路、跨境新政、全国一体化通关改革等重大决 策提供了有力保障。涉及智慧监管、智慧口岸、智慧物流、智慧供应 链、大数据应用、贸易安全等领域的智能技术信息化建设体系。</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金环工程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建设国家和地方环境保护信息系统。构建环境保护信息基础网络平 台，建设国家环境数据信息库和环境管理决策支持体系，建立高效、 便捷的环境污染事故应急指挥信息传输系统，构筑数字环保，完善信 息发布制度，促进环境信息共享。</w:t>
            </w:r>
          </w:p>
        </w:tc>
      </w:tr>
      <w:tr>
        <w:trPr>
          <w:trHeight w:val="15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协同管理软件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基于网络的、实现组织内部多人或者多组织共同完成管理事务、提高 组织的灵活性和应变能力的软件。榕基</w:t>
            </w:r>
            <w:r>
              <w:rPr>
                <w:rFonts w:ascii="Times New Roman" w:eastAsia="Times New Roman" w:hAnsi="Times New Roman" w:cs="Times New Roman"/>
                <w:color w:val="000000"/>
                <w:spacing w:val="0"/>
                <w:w w:val="100"/>
                <w:position w:val="0"/>
                <w:sz w:val="18"/>
                <w:szCs w:val="18"/>
              </w:rPr>
              <w:t>iTask</w:t>
            </w:r>
            <w:r>
              <w:rPr>
                <w:color w:val="000000"/>
                <w:spacing w:val="0"/>
                <w:w w:val="100"/>
                <w:position w:val="0"/>
              </w:rPr>
              <w:t>移动协同管理平台为远 程办公提供一体化支撑与服务，可进行任务的部署、协调与监督；该 平台不仅可以有效承载复杂而庞大的组织工作，而且还能对团队工作 进行分解，对具体工作落实情况进行追踪。</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天平工程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最高人民法院在''十二五''期间，推进全国法院信息化建设的重大举措， 是国家电子政务重点业务信息系统建设项目。</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以计算机科学为基础，研究、开发用于模拟、延伸和扩展人的智能的 理论、方法、技术及应用系统，该领域的研究包括机器人、语言识别、 图像识别、自然语言处理和专家系统等。公司已为政务服务、智慧口 岸、信用体系、能源管理等开展应用创新业务。</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3" w:right="1145" w:bottom="1573" w:left="1083" w:header="0" w:footer="3" w:gutter="0"/>
          <w:cols w:space="720"/>
          <w:noEndnote/>
          <w:rtlGutter w:val="0"/>
          <w:docGrid w:linePitch="360"/>
        </w:sectPr>
      </w:pPr>
    </w:p>
    <w:p>
      <w:pPr>
        <w:pStyle w:val="Style11"/>
        <w:keepNext/>
        <w:keepLines/>
        <w:widowControl w:val="0"/>
        <w:shd w:val="clear" w:color="auto" w:fill="auto"/>
        <w:bidi w:val="0"/>
        <w:spacing w:before="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7301"/>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093" w:val="left"/>
              </w:tabs>
              <w:bidi w:val="0"/>
              <w:spacing w:before="0" w:after="0" w:line="240" w:lineRule="auto"/>
              <w:ind w:left="0" w:right="0" w:firstLine="0"/>
              <w:jc w:val="left"/>
              <w:rPr>
                <w:sz w:val="18"/>
                <w:szCs w:val="18"/>
              </w:rPr>
            </w:pPr>
            <w:r>
              <w:rPr>
                <w:color w:val="000000"/>
                <w:spacing w:val="0"/>
                <w:w w:val="100"/>
                <w:position w:val="0"/>
                <w:sz w:val="17"/>
                <w:szCs w:val="17"/>
              </w:rPr>
              <w:t>榕基软件</w:t>
              <w:tab/>
              <w:t>股票代码</w:t>
              <w:tab/>
            </w:r>
            <w:r>
              <w:rPr>
                <w:rFonts w:ascii="Times New Roman" w:eastAsia="Times New Roman" w:hAnsi="Times New Roman" w:cs="Times New Roman"/>
                <w:color w:val="000000"/>
                <w:spacing w:val="0"/>
                <w:w w:val="100"/>
                <w:position w:val="0"/>
                <w:sz w:val="18"/>
                <w:szCs w:val="18"/>
              </w:rPr>
              <w:t>002474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FUJIAN RONGJI SOFTWARE Co., Ltd.</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RONGJI SOFTWARE</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rongj </w:t>
            </w:r>
            <w:r>
              <w:rPr>
                <w:rFonts w:ascii="Times New Roman" w:eastAsia="Times New Roman" w:hAnsi="Times New Roman" w:cs="Times New Roman"/>
                <w:color w:val="000000"/>
                <w:spacing w:val="0"/>
                <w:w w:val="100"/>
                <w:position w:val="0"/>
                <w:sz w:val="18"/>
                <w:szCs w:val="18"/>
              </w:rPr>
              <w:t>i.com</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rongj i@ro </w:t>
            </w:r>
            <w:r>
              <w:rPr>
                <w:rFonts w:ascii="Times New Roman" w:eastAsia="Times New Roman" w:hAnsi="Times New Roman" w:cs="Times New Roman"/>
                <w:color w:val="000000"/>
                <w:spacing w:val="0"/>
                <w:w w:val="100"/>
                <w:position w:val="0"/>
                <w:sz w:val="18"/>
                <w:szCs w:val="18"/>
              </w:rPr>
              <w:t>ngji.com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陈略</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0591-83517761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0591-87303569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0591-87869595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0591-87869595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"mailto:wanxiaoxiong@rongji.com" </w:instrText>
            </w:r>
            <w:r>
              <w:fldChar w:fldCharType="separate"/>
            </w:r>
            <w:r>
              <w:rPr>
                <w:rFonts w:ascii="Times New Roman" w:eastAsia="Times New Roman" w:hAnsi="Times New Roman" w:cs="Times New Roman"/>
                <w:color w:val="000000"/>
                <w:spacing w:val="0"/>
                <w:w w:val="100"/>
                <w:position w:val="0"/>
                <w:sz w:val="18"/>
                <w:szCs w:val="18"/>
              </w:rPr>
              <w:t>wanxiaoxiong@rongji.com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"mailto:chenlve@rongji.com" </w:instrText>
            </w:r>
            <w:r>
              <w:fldChar w:fldCharType="separate"/>
            </w:r>
            <w:r>
              <w:rPr>
                <w:rFonts w:ascii="Times New Roman" w:eastAsia="Times New Roman" w:hAnsi="Times New Roman" w:cs="Times New Roman"/>
                <w:color w:val="000000"/>
                <w:spacing w:val="0"/>
                <w:w w:val="100"/>
                <w:position w:val="0"/>
                <w:sz w:val="18"/>
                <w:szCs w:val="18"/>
              </w:rPr>
              <w:t>chenlve@rongji.com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4008"/>
        <w:gridCol w:w="558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http: //www. szse. cn</w:t>
            </w:r>
            <w:r>
              <w:rPr>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《证券时报》、《证券日报》、《中国证券报》及巨潮资讯网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3202"/>
        <w:gridCol w:w="638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913500006285075795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202"/>
        <w:gridCol w:w="638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号赛特广场五层</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林新田、林震霆</w:t>
            </w:r>
          </w:p>
        </w:tc>
      </w:tr>
    </w:tbl>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、主要会计数据和财务指标</w:t>
      </w:r>
      <w:bookmarkEnd w:id="31"/>
      <w:bookmarkEnd w:id="32"/>
      <w:bookmarkEnd w:id="34"/>
    </w:p>
    <w:p>
      <w:pPr>
        <w:pStyle w:val="Style26"/>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727,322,833.38</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29,938215.68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49,598,630.03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49,816,021.80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11,821,380.15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20,920,322.09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618,405.60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64217,756.88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108,243,966.33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2,914,840,484.16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2,758,681,945.09</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1,609,960,761.30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1,537,547,113.10</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、境内外会计准则下会计数据差异</w:t>
      </w:r>
      <w:bookmarkEnd w:id="35"/>
      <w:bookmarkEnd w:id="36"/>
      <w:bookmarkEnd w:id="38"/>
    </w:p>
    <w:p>
      <w:pPr>
        <w:pStyle w:val="Style32"/>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、同时按照国际会计准则与按照中国会计准则披露的财务报告中净利润和净资产差异情况</w:t>
      </w:r>
      <w:bookmarkEnd w:id="39"/>
      <w:bookmarkEnd w:id="40"/>
      <w:bookmarkEnd w:id="4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、同时按照境外会计准则与按照中国会计准则披露的财务报告中净利润和净资产差异情况</w:t>
      </w:r>
      <w:bookmarkEnd w:id="43"/>
      <w:bookmarkEnd w:id="44"/>
      <w:bookmarkEnd w:id="46"/>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、分季度主要财务指标</w:t>
      </w:r>
      <w:bookmarkEnd w:id="47"/>
      <w:bookmarkEnd w:id="48"/>
      <w:bookmarkEnd w:id="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152,420,580.76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171,835,628.20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122,816,587.10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270,137,259.97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14,005244.91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4,446,560.27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10,960,111.02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526,299.48</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11,582,553.45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637,856.73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7,910,489.66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-8,309,519.69</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-17,320263.85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-32,782,766.05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-9,073,971.75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123,394,758.53</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-402,807.32</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14,562,255.65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22,097,426.18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13,727,666.46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5,428,534.11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14,698,136.77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19,433,133.13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1,777,378.44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22,665,421.95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3,722,997.72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5,938,788.64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287,009.38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18,116,835.53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28,678,307.94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49,197,616.20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285"/>
        <w:gridCol w:w="2126"/>
        <w:gridCol w:w="517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273,150.51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与公司经常性经营活动相关</w:t>
            </w:r>
          </w:p>
        </w:tc>
      </w:tr>
    </w:tbl>
    <w:p>
      <w:pPr>
        <w:pStyle w:val="Style11"/>
        <w:keepNext/>
        <w:keepLines/>
        <w:widowControl w:val="0"/>
        <w:shd w:val="clear" w:color="auto" w:fill="auto"/>
        <w:bidi w:val="0"/>
        <w:spacing w:before="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4"/>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、报告期内公司所处的行业情况</w:t>
      </w:r>
      <w:bookmarkEnd w:id="59"/>
      <w:bookmarkEnd w:id="60"/>
      <w:bookmarkEnd w:id="62"/>
      <w:bookmarkEnd w:id="58"/>
    </w:p>
    <w:p>
      <w:pPr>
        <w:pStyle w:val="Style21"/>
        <w:keepNext w:val="0"/>
        <w:keepLines w:val="0"/>
        <w:widowControl w:val="0"/>
        <w:shd w:val="clear" w:color="auto" w:fill="auto"/>
        <w:bidi w:val="0"/>
        <w:spacing w:before="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1"/>
        <w:keepNext w:val="0"/>
        <w:keepLines w:val="0"/>
        <w:widowControl w:val="0"/>
        <w:shd w:val="clear" w:color="auto" w:fill="auto"/>
        <w:bidi w:val="0"/>
        <w:spacing w:before="0" w:line="313" w:lineRule="exact"/>
        <w:ind w:left="0" w:right="0"/>
        <w:jc w:val="both"/>
      </w:pPr>
      <w:r>
        <w:rPr>
          <w:color w:val="000000"/>
          <w:spacing w:val="0"/>
          <w:w w:val="100"/>
          <w:position w:val="0"/>
        </w:rPr>
        <w:t>公司所属行业为信息产业中的软件和信息技术服务业。</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国内软件和信息技术服务业作为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，受益于国家对新一代信息技术产业持续的政策和资金扶持，市场规 模持续扩大。同时，国民经济的发展和社会信息化的建设，引导社会各方面力量向软件产业领域持续投入，也将为软件产业 的发展提供巨大的需求。未来，国家将继续加大对信息技术应用创新的支持力度，信息领域新产品、新服务、新业态将大量 涌现。在云计算、大数据、物联网、人工智能和区块链等新一代信息技术驱动下，将进一步加快软件业向服务化转型的步伐， 使社会各领域信息化水平持续提升。围绕着政府信息化、智慧城市建设、民生服务应用、信息基础设施建设等新的市场需求 将不断被激发，为中国软件企业带来新的市场机遇和发展活力。</w:t>
      </w:r>
    </w:p>
    <w:p>
      <w:pPr>
        <w:pStyle w:val="Style21"/>
        <w:keepNext w:val="0"/>
        <w:keepLines w:val="0"/>
        <w:widowControl w:val="0"/>
        <w:shd w:val="clear" w:color="auto" w:fill="auto"/>
        <w:tabs>
          <w:tab w:pos="666" w:val="left"/>
        </w:tabs>
        <w:bidi w:val="0"/>
        <w:spacing w:before="0" w:after="0" w:line="313" w:lineRule="exact"/>
        <w:ind w:left="0" w:right="0"/>
        <w:jc w:val="both"/>
      </w:pPr>
      <w:bookmarkStart w:id="63" w:name="bookmark63"/>
      <w:r>
        <w:rPr>
          <w:color w:val="000000"/>
          <w:spacing w:val="0"/>
          <w:w w:val="100"/>
          <w:position w:val="0"/>
          <w:sz w:val="18"/>
          <w:szCs w:val="18"/>
        </w:rPr>
        <w:t>1</w:t>
      </w:r>
      <w:bookmarkEnd w:id="63"/>
      <w:r>
        <w:rPr>
          <w:color w:val="000000"/>
          <w:spacing w:val="0"/>
          <w:w w:val="100"/>
          <w:position w:val="0"/>
        </w:rPr>
        <w:t>、</w:t>
        <w:tab/>
        <w:t>软件和信息技术服务业发展概况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软件和信息技术服务业，是国家战略性新兴产业。我国软件和信息技术服务业持续健康稳定发展，新技术、新模式、新 业态等新机会不断涌现，正在成为数字政府建设、数字经济发展、智慧社会演进的重要驱动力量，数字化转型将整体驱动生 产方式、生活方式和治理方式变革。根据工业和信息化部发布的《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 软件和信息技术服务业运行态势良好，全国软件和信息技术服务业规模以上企业超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万家，软件业务收入保持较快增长，累 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sz w:val="18"/>
          <w:szCs w:val="18"/>
        </w:rPr>
        <w:t xml:space="preserve">15.5% </w:t>
      </w:r>
      <w:r>
        <w:rPr>
          <w:color w:val="000000"/>
          <w:spacing w:val="0"/>
          <w:w w:val="100"/>
          <w:position w:val="0"/>
        </w:rPr>
        <w:t>；盈利能力稳步提升，累计利润总额</w:t>
      </w:r>
      <w:r>
        <w:rPr>
          <w:rFonts w:ascii="Times New Roman" w:eastAsia="Times New Roman" w:hAnsi="Times New Roman" w:cs="Times New Roman"/>
          <w:color w:val="000000"/>
          <w:spacing w:val="0"/>
          <w:w w:val="100"/>
          <w:position w:val="0"/>
          <w:sz w:val="18"/>
          <w:szCs w:val="18"/>
        </w:rPr>
        <w:t>11,875</w:t>
      </w:r>
      <w:r>
        <w:rPr>
          <w:color w:val="000000"/>
          <w:spacing w:val="0"/>
          <w:w w:val="100"/>
          <w:position w:val="0"/>
        </w:rPr>
        <w:t>亿元； 软件业从业人员规模不断扩大，达到</w:t>
      </w:r>
      <w:r>
        <w:rPr>
          <w:rFonts w:ascii="Times New Roman" w:eastAsia="Times New Roman" w:hAnsi="Times New Roman" w:cs="Times New Roman"/>
          <w:color w:val="000000"/>
          <w:spacing w:val="0"/>
          <w:w w:val="100"/>
          <w:position w:val="0"/>
          <w:sz w:val="18"/>
          <w:szCs w:val="18"/>
        </w:rPr>
        <w:t>809</w:t>
      </w:r>
      <w:r>
        <w:rPr>
          <w:color w:val="000000"/>
          <w:spacing w:val="0"/>
          <w:w w:val="100"/>
          <w:position w:val="0"/>
        </w:rPr>
        <w:t>万人，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实现良好开局。</w:t>
      </w:r>
    </w:p>
    <w:p>
      <w:pPr>
        <w:pStyle w:val="Style21"/>
        <w:keepNext w:val="0"/>
        <w:keepLines w:val="0"/>
        <w:widowControl w:val="0"/>
        <w:shd w:val="clear" w:color="auto" w:fill="auto"/>
        <w:tabs>
          <w:tab w:pos="669" w:val="left"/>
        </w:tabs>
        <w:bidi w:val="0"/>
        <w:spacing w:before="0" w:after="0" w:line="313" w:lineRule="exact"/>
        <w:ind w:left="0" w:right="0"/>
        <w:jc w:val="both"/>
      </w:pPr>
      <w:bookmarkStart w:id="64" w:name="bookmark64"/>
      <w:r>
        <w:rPr>
          <w:color w:val="000000"/>
          <w:spacing w:val="0"/>
          <w:w w:val="100"/>
          <w:position w:val="0"/>
          <w:sz w:val="18"/>
          <w:szCs w:val="18"/>
        </w:rPr>
        <w:t>2</w:t>
      </w:r>
      <w:bookmarkEnd w:id="64"/>
      <w:r>
        <w:rPr>
          <w:color w:val="000000"/>
          <w:spacing w:val="0"/>
          <w:w w:val="100"/>
          <w:position w:val="0"/>
        </w:rPr>
        <w:t>、</w:t>
        <w:tab/>
        <w:t>国内电子政务发展概况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电子政务与国家治理、经济社会生活密不可分，以电子政务赋能经济社会高质量发展已成为全球化趋势，为开启全面建 设社会主义现代化国家新征程提供了新的路径。十九届五中全会公报为我国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时期经济社会发展作出了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加强数字社 会、数字政府建设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扩大基础公共信息数据有序开放，建设国家数据统一共享开放平台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保障国家数据安全，加强个人信息 保护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建设职责明确、依法行政的政府治理体系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等战略部署。</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在国家的大力支持和推动下，我国电子政务经过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多年的发展取得了巨大进展，为提高政府行政效率、推动政府职能转 变、带动整个国民经济和社会信息化发展发挥了重要作用。电子政务建设已成为提升公共服务治理水平的重要抓手和引擎以 及推动政府治理现代化的内在要求。随着部委改革的落地，机构之间的分拆合并及职能调整将为电子政务带来巨大的新增需 求以及业务协同升级需求。云计算、大数据、物联网、人工智能和区块链等新一代信息技术已广泛应用于电子政务建设，应 用场景不断涌现，已成为数字政府建设的重要驱动力。国务院及各地政府纷纷出台数字政府建设相关政策文件，加速电子政 务建设进程，软件及服务市场在电子政务市场中蓬勃发展，电子政务建设具有广阔的市场发展前景。</w:t>
      </w:r>
    </w:p>
    <w:p>
      <w:pPr>
        <w:pStyle w:val="Style21"/>
        <w:keepNext w:val="0"/>
        <w:keepLines w:val="0"/>
        <w:widowControl w:val="0"/>
        <w:shd w:val="clear" w:color="auto" w:fill="auto"/>
        <w:tabs>
          <w:tab w:pos="669" w:val="left"/>
        </w:tabs>
        <w:bidi w:val="0"/>
        <w:spacing w:before="0" w:after="0" w:line="313" w:lineRule="exact"/>
        <w:ind w:left="0" w:right="0"/>
        <w:jc w:val="both"/>
      </w:pPr>
      <w:bookmarkStart w:id="65" w:name="bookmark65"/>
      <w:r>
        <w:rPr>
          <w:color w:val="000000"/>
          <w:spacing w:val="0"/>
          <w:w w:val="100"/>
          <w:position w:val="0"/>
          <w:sz w:val="18"/>
          <w:szCs w:val="18"/>
        </w:rPr>
        <w:t>3</w:t>
      </w:r>
      <w:bookmarkEnd w:id="65"/>
      <w:r>
        <w:rPr>
          <w:color w:val="000000"/>
          <w:spacing w:val="0"/>
          <w:w w:val="100"/>
          <w:position w:val="0"/>
        </w:rPr>
        <w:t>、</w:t>
        <w:tab/>
        <w:t>国内信创产业发展概况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信创产业是国家坚持走信息技术应用自主创新之路的必然结果，信创产业加速落地，已成为推动产业升级和数字经济发 展的重要推动力。我国明确提出建设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和新基建的发展战略，推动数字经济和实体经济深度融合，驱动政府、制造、 金融、能源等产业与数字化融合加速，数字政府建设进程加速，行业数字化转型加快，信创产业迎来高速发展期。</w:t>
      </w:r>
    </w:p>
    <w:p>
      <w:pPr>
        <w:pStyle w:val="Style21"/>
        <w:keepNext w:val="0"/>
        <w:keepLines w:val="0"/>
        <w:widowControl w:val="0"/>
        <w:shd w:val="clear" w:color="auto" w:fill="auto"/>
        <w:bidi w:val="0"/>
        <w:spacing w:before="0" w:line="313" w:lineRule="exact"/>
        <w:ind w:left="0" w:right="0"/>
        <w:jc w:val="both"/>
      </w:pPr>
      <w:r>
        <w:rPr>
          <w:color w:val="000000"/>
          <w:spacing w:val="0"/>
          <w:w w:val="100"/>
          <w:position w:val="0"/>
        </w:rPr>
        <w:t>《国民经济和社会发展第十四个五年规划和二</w:t>
      </w:r>
      <w:r>
        <w:rPr>
          <w:color w:val="000000"/>
          <w:spacing w:val="0"/>
          <w:w w:val="100"/>
          <w:position w:val="0"/>
          <w:sz w:val="18"/>
          <w:szCs w:val="18"/>
        </w:rPr>
        <w:t>O</w:t>
      </w:r>
      <w:r>
        <w:rPr>
          <w:color w:val="000000"/>
          <w:spacing w:val="0"/>
          <w:w w:val="100"/>
          <w:position w:val="0"/>
        </w:rPr>
        <w:t>三五年远景目标》指出，坚持创新在我国现代化建设全局中的核心地位， 把科技自立自强作为国家发展的战略支撑，明确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期间将不断拓宽信创产业边际并扩大信创产业的支撑范围。构建自 主可控的信创技术体系是国家培育发展核心信息技术产业和实现网络安全的立足之本，强化核心技术自主创新、增强产业链 供应链自主可控能力是构建国家高质量新发展格局的基础，已成为国家重要战略部署。广东、上海、福建等全国各地政府纷 纷出台与信创有关的意见、规划等相关政策文件，为进一步推动我国信创产业发展提供有力的政策支持，为数字政府建设和 数字经济发展奠定了坚实的基础。</w:t>
      </w:r>
    </w:p>
    <w:p>
      <w:pPr>
        <w:pStyle w:val="Style21"/>
        <w:keepNext w:val="0"/>
        <w:keepLines w:val="0"/>
        <w:widowControl w:val="0"/>
        <w:shd w:val="clear" w:color="auto" w:fill="auto"/>
        <w:bidi w:val="0"/>
        <w:spacing w:before="0" w:after="360" w:line="314" w:lineRule="exact"/>
        <w:ind w:left="0" w:right="0"/>
        <w:jc w:val="left"/>
      </w:pPr>
      <w:r>
        <w:rPr>
          <w:color w:val="000000"/>
          <w:spacing w:val="0"/>
          <w:w w:val="100"/>
          <w:position w:val="0"/>
        </w:rPr>
        <w:t>我国信创产业规模和产业结构调整快速发展，信创市场空间显著扩大，重点行业应用创新工作深入推进，覆盖操作系统、 数据库、中间件、应用软件以及基础软硬件和平台等国内信创产业新生态逐渐完善。信创产业得到国家政策层面的高度重视， 随着我国经济的持续稳定恢复，疫情的有效控制，自主可控信创产业需求将进一步释放，产业链将进一步完善，市场竞争将 进一步规范有序，信创产业在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期间将持续快速发展。</w:t>
      </w:r>
    </w:p>
    <w:p>
      <w:pPr>
        <w:pStyle w:val="Style24"/>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、报告期内公司从事的主要业务</w:t>
      </w:r>
      <w:bookmarkEnd w:id="66"/>
      <w:bookmarkEnd w:id="67"/>
      <w:bookmarkEnd w:id="69"/>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公司一直专注于行业应用软件研发、系统集成和运维服务，为党政、海关、能源、司法、环保等行业提供信息系统全生 命周期、全方位的专业服务。公司是海西软件产业的龙头企业，是国内电子政务和协同管理细分领域的领先服务厂商，为金 关工程、天平工程、金环工程、司法行政、智能电网等提供核心技术与服务，是国内行业信息化、信创工程细分领域领先服 务商，智慧政务、协同管理领域先行者，最具竞争力、拥有最多实用化客户的服务商之一。作为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建设长期服务商， 公司伴随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数字福建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启动，参与了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数字福建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数字浙江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以及中央和国家部委一系列数字化项目建设，成为国家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金环工程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司法行政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等国家电子政务工程的重要服务商。</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报告期内，公司进一步推进软件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经营战略，依托长期积累的品牌、团队、产品、技术等综合 优势，积极进行技术创新和商业模式创新，进一步提升公司的核心竞争力，积极培育和拓展信创工程、大数据、物联网、区 块链和人工智能等新技术、新业务，为实现公司经营业绩的持续稳健增长提供了有效支撑。</w:t>
      </w:r>
    </w:p>
    <w:p>
      <w:pPr>
        <w:pStyle w:val="Style21"/>
        <w:keepNext w:val="0"/>
        <w:keepLines w:val="0"/>
        <w:widowControl w:val="0"/>
        <w:shd w:val="clear" w:color="auto" w:fill="auto"/>
        <w:bidi w:val="0"/>
        <w:spacing w:before="0" w:after="0" w:line="360" w:lineRule="auto"/>
        <w:ind w:left="0" w:right="0"/>
        <w:jc w:val="both"/>
      </w:pPr>
      <w:bookmarkStart w:id="70" w:name="bookmark70"/>
      <w:r>
        <w:rPr>
          <w:rFonts w:ascii="Times New Roman" w:eastAsia="Times New Roman" w:hAnsi="Times New Roman" w:cs="Times New Roman"/>
          <w:color w:val="000000"/>
          <w:spacing w:val="0"/>
          <w:w w:val="100"/>
          <w:position w:val="0"/>
          <w:sz w:val="18"/>
          <w:szCs w:val="18"/>
        </w:rPr>
        <w:t>1</w:t>
      </w:r>
      <w:bookmarkEnd w:id="70"/>
      <w:r>
        <w:rPr>
          <w:color w:val="000000"/>
          <w:spacing w:val="0"/>
          <w:w w:val="100"/>
          <w:position w:val="0"/>
        </w:rPr>
        <w:t>、电子政务领域</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报告期内，在电子政务领域，公司积极进行大数据、区块链和人工智能等新技术创新以及电子政务行业应用软件产品研 发，在信创领域、互联网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党建、司法行政、社会信用以及大数据、区块链、人工智能等领域获得</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多项软 件著作权及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项发明专利，在全国重点区域重点行业全面推广应用，进一步巩固和提升了公司在国内电子政务细分领域的竞 争优势。</w:t>
      </w:r>
    </w:p>
    <w:p>
      <w:pPr>
        <w:pStyle w:val="Style21"/>
        <w:keepNext w:val="0"/>
        <w:keepLines w:val="0"/>
        <w:widowControl w:val="0"/>
        <w:shd w:val="clear" w:color="auto" w:fill="auto"/>
        <w:bidi w:val="0"/>
        <w:spacing w:before="0" w:after="0" w:line="313" w:lineRule="exact"/>
        <w:ind w:left="0" w:right="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）信创工程</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公司将发展自主可控信创业务作为企业核心战略，由全资子公司榕基工程承担，聚焦发展党政机关协同办公、电子公文、 数字档案、社会信用、社会治理和公共服务以及司法、海关、环保等优势行业领域信创业务，是国内信创产业细分领域软件 开发和系统集成服务的先行者和领导者之一。</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公司拥有信创工程先发优势，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年即通过参与国家核高基项目开展自主可控关键技术预研工作，积极参加国家信创技 术研讨交流、信创联盟工作组标准编写以及应用指南、典型案例修订工作。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年成立福建省中间件软件技术重点实验室， 启动榕基自主可控技术创新工程项目，构建了完善的信创技术架构体系和研发适配测试平台，该创新工程荣获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年福建 省科技进步奖（企业创新）二等奖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公司专注于研发政务信创应用共性关键技术、政务信创行业应用平台及相关应用软件产品，已重构研发形成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多项自主 知识产权政务信创产品，包括非结构化数据服务、分布式全文检索、工作流平台等中间件，党政综合办公系统、电子公文系 统、数字档案管理系统、司法综合管理信息平台等政务应用软件以及网络隐患扫描系统等信息安全产品。公司自主信创产品 与所有信创基础软硬件目录产品完成适配和兼容性互认证测试，与鲲鹏云、黄河云和阿里云等主要国产信创云计算平台完成 适配验证工作，覆盖整个信创核心产品生态体系。</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公司建立了完善的信创工程全生命周期过程服务体系，与信创产业生态合作协同发展，形成了全面的、一体化的信创工 程解决方案和建设模式，为基于信创平台环境的党政机关协同办公、移动办公、社会信用、政务服务、党建工作、电子公文 和数字档案以及法院、环保、海关等行业应用提供全业务、全场景、智能化支撑服务。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年公司承建了五个国家第二批信 创电子公文试点项目，是承担福建省内最多国家试点项目建设任务的服务商。公司积极布局全国重点区域信创工程服务支撑 体系建设，信创业务已覆盖福建、北京、上海、浙江、河南、山东、湖北、江西、宁夏等全国各地。</w:t>
      </w:r>
    </w:p>
    <w:p>
      <w:pPr>
        <w:pStyle w:val="Style21"/>
        <w:keepNext w:val="0"/>
        <w:keepLines w:val="0"/>
        <w:widowControl w:val="0"/>
        <w:shd w:val="clear" w:color="auto" w:fill="auto"/>
        <w:bidi w:val="0"/>
        <w:spacing w:before="0" w:after="80" w:line="313" w:lineRule="exact"/>
        <w:ind w:left="0" w:right="0"/>
        <w:jc w:val="both"/>
      </w:pPr>
      <w:r>
        <w:rPr>
          <w:color w:val="000000"/>
          <w:spacing w:val="0"/>
          <w:w w:val="100"/>
          <w:position w:val="0"/>
        </w:rPr>
        <w:t>报告期内，公司通过持续创新、优化和迭代，进一步完善了电子政务信创产品体系，发布了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多项自主知识产权信创产 品，包括电子文件系统、移动会议系统、智能协同办公云平台等政务办公应用软件产品，数字档案信息资源管理系统、数字 档案馆一体化平台、数字档案馆馆藏资源管理系统等数字档案软件产品，以及内容管理系统、数据传输系统、手写签批系统、 即时通讯平台、基础支撑平台等信创基础组件和中间件产品，为信创业务发展提供创新动力。</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报告期内，公司集中资源加强重点区域、重点行业的市场拓展力度，通过重大示范工程落地，深入推进政务信创软件产 品化、行业化、平台化、服务化，中标了福建、浙江、河南、上海、湖北和江西等地区上百个信创工程项目，覆盖党委、政 府、人大、海关、公安、法院、司法行政、环保及民政等各级党政机关，继续巩固和提升了公司在区域电子政务信创工程细 分领域的竞争优势地位，信创业务呈现良好发展势头。</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报告期内，公司与福建省档案馆联合研制的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信创环境下电子公文处理与归档和电子档案管理系统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年福建 省信息技术应用创新解决方案应用示范案例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年（第三届）信息技术应用创新解决方案创新奖七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榕基安全可靠 一体化智能政务应用解决方案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福州市优秀应用解决方案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月，榕基工程因在专注于自主可控信创工程领域政 务应用共性关键技术创新、应用成果产业化以及细分领域市场地位等方面取得的优秀成绩而入选了工信部第三批专精特新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企业名单。</w:t>
      </w:r>
    </w:p>
    <w:p>
      <w:pPr>
        <w:pStyle w:val="Style21"/>
        <w:keepNext w:val="0"/>
        <w:keepLines w:val="0"/>
        <w:widowControl w:val="0"/>
        <w:shd w:val="clear" w:color="auto" w:fill="auto"/>
        <w:bidi w:val="0"/>
        <w:spacing w:before="0" w:line="314" w:lineRule="exact"/>
        <w:ind w:left="0" w:right="0"/>
        <w:jc w:val="both"/>
      </w:pPr>
      <w:r>
        <w:rPr>
          <w:color w:val="000000"/>
          <w:spacing w:val="0"/>
          <w:w w:val="100"/>
          <w:position w:val="0"/>
        </w:rPr>
        <w:t>国内党政机关信创市场将进一步深入发展，重要行业信创市场已逐步铺开，公司将依托信创领域的先发优势、行业经验 优势、产品技术优势和本地化服务优势以及综合实力，紧抓国家自主可控信创产业战略发展机遇，全面推进公司信创业务持 续健康发展。</w:t>
      </w:r>
    </w:p>
    <w:p>
      <w:pPr>
        <w:pStyle w:val="Style21"/>
        <w:keepNext w:val="0"/>
        <w:keepLines w:val="0"/>
        <w:widowControl w:val="0"/>
        <w:shd w:val="clear" w:color="auto" w:fill="auto"/>
        <w:tabs>
          <w:tab w:pos="755" w:val="left"/>
        </w:tabs>
        <w:bidi w:val="0"/>
        <w:spacing w:before="0" w:line="314" w:lineRule="exact"/>
        <w:ind w:left="0" w:right="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p>
    <w:p>
      <w:pPr>
        <w:pStyle w:val="Style21"/>
        <w:keepNext w:val="0"/>
        <w:keepLines w:val="0"/>
        <w:widowControl w:val="0"/>
        <w:shd w:val="clear" w:color="auto" w:fill="auto"/>
        <w:bidi w:val="0"/>
        <w:spacing w:before="0" w:line="310" w:lineRule="exact"/>
        <w:ind w:left="0" w:right="0"/>
        <w:jc w:val="both"/>
      </w:pPr>
      <w:r>
        <w:rPr>
          <w:color w:val="000000"/>
          <w:spacing w:val="0"/>
          <w:w w:val="100"/>
          <w:position w:val="0"/>
        </w:rPr>
        <w:t>公司坚持技术创新，采用大数据、云计算、工作流、智能交互等新技术，积极打造政务信息资源共享平台和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一体化解决方案，在福建、北京、上海、浙江、河南、湖北等地成功推广应用，公司将加大市场开拓力度，依托 全国营销服务网络，积极拓展互联网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政务服务区域市场。</w:t>
      </w:r>
    </w:p>
    <w:p>
      <w:pPr>
        <w:pStyle w:val="Style21"/>
        <w:keepNext w:val="0"/>
        <w:keepLines w:val="0"/>
        <w:widowControl w:val="0"/>
        <w:shd w:val="clear" w:color="auto" w:fill="auto"/>
        <w:tabs>
          <w:tab w:pos="755" w:val="left"/>
        </w:tabs>
        <w:bidi w:val="0"/>
        <w:spacing w:before="0" w:line="314" w:lineRule="exact"/>
        <w:ind w:left="0" w:right="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金关工程</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公司拥有丰富的智慧海关信息化服务和建设经验，对海关所属检验检疫业务深耕二十多年，是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的领先服务厂 商。智慧海关是涉及智慧风控、智慧监管、智慧办公、智慧口岸、智慧物流、智慧供应链、大数据应用、贸易安全等领域的 智能技术信息化建设体系。</w:t>
      </w:r>
    </w:p>
    <w:p>
      <w:pPr>
        <w:pStyle w:val="Style21"/>
        <w:keepNext w:val="0"/>
        <w:keepLines w:val="0"/>
        <w:widowControl w:val="0"/>
        <w:shd w:val="clear" w:color="auto" w:fill="auto"/>
        <w:bidi w:val="0"/>
        <w:spacing w:before="0" w:line="314" w:lineRule="exact"/>
        <w:ind w:left="0" w:right="0"/>
        <w:jc w:val="both"/>
      </w:pPr>
      <w:r>
        <w:rPr>
          <w:color w:val="000000"/>
          <w:spacing w:val="0"/>
          <w:w w:val="100"/>
          <w:position w:val="0"/>
        </w:rPr>
        <w:t>公司一是继续参与金关三期工程的研发，特别是海关</w:t>
      </w:r>
      <w:r>
        <w:rPr>
          <w:rFonts w:ascii="Times New Roman" w:eastAsia="Times New Roman" w:hAnsi="Times New Roman" w:cs="Times New Roman"/>
          <w:color w:val="000000"/>
          <w:spacing w:val="0"/>
          <w:w w:val="100"/>
          <w:position w:val="0"/>
          <w:sz w:val="18"/>
          <w:szCs w:val="18"/>
        </w:rPr>
        <w:t>H2018</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相关系统建设工作，进一步优化通关流程和提升通关 效率。二是按照海关总署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规划的统一部署，继续做好基础支撑平台支持工作，同时在出口前监管与目的地查验系统 及各类综合保税区智慧园区项目中进行挖掘。三是公司已在海关信息化、外贸行业耕耘多年，将继续发挥自己优势，结合行 业发展前景、国家发展规划及企业能力，持续为海关输出榕基智慧，包括核心业务系统架构设计、人工智能、大数据分析、 物联网等核心领域的建设，加强与海关在建系统的合作，创新业务模式改革探索，完善海关信息化协同生态建设，提升服务 能力和水平，推动业务智慧化升级，助力国门安全应急响应能力，以高品质、高水准的智慧方案服务于海关，以促进中国外 贸经济发展。</w:t>
      </w:r>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继成功实施海关总署</w:t>
      </w:r>
      <w:r>
        <w:rPr>
          <w:rFonts w:ascii="Times New Roman" w:eastAsia="Times New Roman" w:hAnsi="Times New Roman" w:cs="Times New Roman"/>
          <w:color w:val="000000"/>
          <w:spacing w:val="0"/>
          <w:w w:val="100"/>
          <w:position w:val="0"/>
          <w:sz w:val="18"/>
          <w:szCs w:val="18"/>
        </w:rPr>
        <w:t>H2018</w:t>
      </w:r>
      <w:r>
        <w:rPr>
          <w:color w:val="000000"/>
          <w:spacing w:val="0"/>
          <w:w w:val="100"/>
          <w:position w:val="0"/>
        </w:rPr>
        <w:t>系统中的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出证拟证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业务子系统、海关总署智慧卫生检疫系统业务融合及升级优化项目后， 公司承建开发的智慧卫生平台即将上线。该系统是海关总署支持疫情防控、疫情风险分析的关键系统，为新冠疫情防控做出 贡献。</w:t>
      </w:r>
    </w:p>
    <w:p>
      <w:pPr>
        <w:pStyle w:val="Style21"/>
        <w:keepNext w:val="0"/>
        <w:keepLines w:val="0"/>
        <w:widowControl w:val="0"/>
        <w:shd w:val="clear" w:color="auto" w:fill="auto"/>
        <w:bidi w:val="0"/>
        <w:spacing w:before="0" w:line="314" w:lineRule="exact"/>
        <w:ind w:left="0" w:right="0"/>
        <w:jc w:val="both"/>
      </w:pPr>
      <w:r>
        <w:rPr>
          <w:color w:val="000000"/>
          <w:spacing w:val="0"/>
          <w:w w:val="100"/>
          <w:position w:val="0"/>
        </w:rPr>
        <w:t>报告期内，公司承接了海关总署稽核查业务管理系统的研发任务，该系统运用大数据、云计算、移动互联等信息技术， 使全国企业稽核查作业进系统、标准化、留痕迹、可追溯，并构建配套机制，实现稽查部门执法由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 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经验化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转变，提高稽核查工作的精准性和有效性，提升稽核查执法能力和风险防控水平，为海关系统全面深 化改革和现代化建设提供更有利的后续监管保障。</w:t>
      </w:r>
    </w:p>
    <w:p>
      <w:pPr>
        <w:pStyle w:val="Style21"/>
        <w:keepNext w:val="0"/>
        <w:keepLines w:val="0"/>
        <w:widowControl w:val="0"/>
        <w:shd w:val="clear" w:color="auto" w:fill="auto"/>
        <w:bidi w:val="0"/>
        <w:spacing w:before="0" w:line="310" w:lineRule="exact"/>
        <w:ind w:left="0" w:right="0"/>
        <w:jc w:val="both"/>
      </w:pPr>
      <w:r>
        <w:rPr>
          <w:color w:val="000000"/>
          <w:spacing w:val="0"/>
          <w:w w:val="100"/>
          <w:position w:val="0"/>
        </w:rPr>
        <w:t>报告期内，公司承接了海关总署属地查检业务管理系统的研发任务，该系统建立新海关对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出口申报前监管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进口目 的地检验检疫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信息化监管能力，统一全国属地查检管理模式和作业标准，实现全业务流程的跟踪、追溯，提升整个查检工 作的效率。通过与</w:t>
      </w:r>
      <w:r>
        <w:rPr>
          <w:rFonts w:ascii="Times New Roman" w:eastAsia="Times New Roman" w:hAnsi="Times New Roman" w:cs="Times New Roman"/>
          <w:color w:val="000000"/>
          <w:spacing w:val="0"/>
          <w:w w:val="100"/>
          <w:position w:val="0"/>
          <w:sz w:val="18"/>
          <w:szCs w:val="18"/>
        </w:rPr>
        <w:t>H2018</w:t>
      </w:r>
      <w:r>
        <w:rPr>
          <w:color w:val="000000"/>
          <w:spacing w:val="0"/>
          <w:w w:val="100"/>
          <w:position w:val="0"/>
        </w:rPr>
        <w:t>通关管理系统协同构建完整的海关信息化监管体系。</w:t>
      </w:r>
    </w:p>
    <w:p>
      <w:pPr>
        <w:pStyle w:val="Style21"/>
        <w:keepNext w:val="0"/>
        <w:keepLines w:val="0"/>
        <w:widowControl w:val="0"/>
        <w:shd w:val="clear" w:color="auto" w:fill="auto"/>
        <w:tabs>
          <w:tab w:pos="755" w:val="left"/>
        </w:tabs>
        <w:bidi w:val="0"/>
        <w:spacing w:before="0" w:line="314"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坚持服务初心，献礼建党百年。榕基公司自主研发的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智慧党建一体化平台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结合云计算、移动互联网、大数据等新一代 技术，提供服务、教育、管理、监督、宣传、展示的六大阵地功能，以党的政治建设为统领，不忘初心，牢记使命，努力以 高质量党建引领高质量发展，将党建工作高效融入到党员的日常生活中，为基层党组织提供了全新的工作形式，适应企事业、 机关、高校、社区、县区等多种场合。</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公众号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大屏的多端适配，实现党务工作各环节全贯通，为进一步服务党 组织建设，提高工作效能提供良好服务。同时，为了更好的服务于党员党性教育，公司同步研发</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 xml:space="preserve">智慧党建教育平台，通 </w:t>
      </w:r>
      <w:r>
        <w:rPr>
          <w:color w:val="000000"/>
          <w:spacing w:val="0"/>
          <w:w w:val="100"/>
          <w:position w:val="0"/>
        </w:rPr>
        <w:t>过虚拟现实技术手段，展示</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党建主题教育应用场景，实现了沉浸式党性教育体验，开创党员教育新阵地。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智慧党建一体 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年度第一批福建省工业和信息化重点新产品推广目录，得到了各级党委组织部门的关注，现已在部分省市 上线运行。</w:t>
      </w:r>
    </w:p>
    <w:p>
      <w:pPr>
        <w:pStyle w:val="Style21"/>
        <w:keepNext w:val="0"/>
        <w:keepLines w:val="0"/>
        <w:widowControl w:val="0"/>
        <w:shd w:val="clear" w:color="auto" w:fill="auto"/>
        <w:tabs>
          <w:tab w:pos="755" w:val="left"/>
        </w:tabs>
        <w:bidi w:val="0"/>
        <w:spacing w:before="0" w:line="312"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法院行业</w:t>
      </w:r>
    </w:p>
    <w:p>
      <w:pPr>
        <w:pStyle w:val="Style21"/>
        <w:keepNext w:val="0"/>
        <w:keepLines w:val="0"/>
        <w:widowControl w:val="0"/>
        <w:shd w:val="clear" w:color="auto" w:fill="auto"/>
        <w:bidi w:val="0"/>
        <w:spacing w:before="0" w:line="326" w:lineRule="exact"/>
        <w:ind w:left="0" w:right="0"/>
        <w:jc w:val="both"/>
      </w:pPr>
      <w:r>
        <w:rPr>
          <w:color w:val="000000"/>
          <w:spacing w:val="0"/>
          <w:w w:val="100"/>
          <w:position w:val="0"/>
        </w:rPr>
        <w:t>法院行业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天平工程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是国家电子政务建设的重要组成。公司持续扩展智慧法院信息化建设，从</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端和移动端、当事人 和法官、专网和互联网等多方位打造完整的法院信息化生态服务，为推进人民法院信息化建设提供有力的保障。</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报告期内，升级审判业务系统，实现审判业务系统与中国移动微法院的对接，为中国移动微法院提供业务支撑，最终实 现审判业务系统与中国移动微法院的互联互通、信息共享。</w:t>
      </w:r>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报告期内，升级司法执行查控系统，对接税务局实现定向询价。在对被执行人名下土地房产、银行存款、机动车辆、工 商股权等主要财产类型网络查控全覆盖之后，定价询价的开通，成为法院智慧执行工作的又一利刃。</w:t>
      </w:r>
    </w:p>
    <w:p>
      <w:pPr>
        <w:pStyle w:val="Style21"/>
        <w:keepNext w:val="0"/>
        <w:keepLines w:val="0"/>
        <w:widowControl w:val="0"/>
        <w:shd w:val="clear" w:color="auto" w:fill="auto"/>
        <w:bidi w:val="0"/>
        <w:spacing w:before="0" w:line="307" w:lineRule="exact"/>
        <w:ind w:left="0" w:right="0"/>
        <w:jc w:val="both"/>
      </w:pPr>
      <w:r>
        <w:rPr>
          <w:color w:val="000000"/>
          <w:spacing w:val="0"/>
          <w:w w:val="100"/>
          <w:position w:val="0"/>
        </w:rPr>
        <w:t>报告期内，继续推进工信部协同攻关和体验推广中心项目，引领智慧法院方向，整合公司在法律方面的数据解构能力和 行业应用的开发经验，为人民法院提供一套全流程全业务的智慧法院服务系统和体验推广中心。</w:t>
      </w:r>
    </w:p>
    <w:p>
      <w:pPr>
        <w:pStyle w:val="Style21"/>
        <w:keepNext w:val="0"/>
        <w:keepLines w:val="0"/>
        <w:widowControl w:val="0"/>
        <w:shd w:val="clear" w:color="auto" w:fill="auto"/>
        <w:tabs>
          <w:tab w:pos="755" w:val="left"/>
        </w:tabs>
        <w:bidi w:val="0"/>
        <w:spacing w:before="0" w:line="312"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金环工程</w:t>
      </w:r>
    </w:p>
    <w:p>
      <w:pPr>
        <w:pStyle w:val="Style21"/>
        <w:keepNext w:val="0"/>
        <w:keepLines w:val="0"/>
        <w:widowControl w:val="0"/>
        <w:shd w:val="clear" w:color="auto" w:fill="auto"/>
        <w:bidi w:val="0"/>
        <w:spacing w:before="0" w:line="309" w:lineRule="exact"/>
        <w:ind w:left="0" w:right="0"/>
        <w:jc w:val="both"/>
      </w:pPr>
      <w:r>
        <w:rPr>
          <w:color w:val="000000"/>
          <w:spacing w:val="0"/>
          <w:w w:val="100"/>
          <w:position w:val="0"/>
        </w:rPr>
        <w:t>公司是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金环工程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的重要合作伙伴，自主研发了榕基环境监测管理信息系统、榕基污染监控管理信息系统、榕基生态保 护管理信息系统、榕基核安全与辐射管理信息系统、榕基环境应急管理信息系统等软件产品；公司参与了中国沙尘暴监测全 国网（涉及北方</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个城市）、中国环境监测总站</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重点城市空气质量数据传输和实时发布系统项目（涉及全国</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 省站）、生态环境大数据建设项目、</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城市空气质量自动监测站数据采集与传输项目、核安全管理局核安全与辐射管理 信息系统开发以及中国环境监测总站土壤环境监测采样管理系统等多个环保信息化建设项目，高科技环保研发成果在国家环 保领域焕发强大的生命力，造福全社会。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月公司中标信阳市生态环境局环境空气质量监控信息中心建设项目。</w:t>
      </w:r>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公司承建的武夷山国家公园森林生态监测平台（软件开发服务类）项目，目前正在试运行，运行效果良好。该项目运用 智能化技术，实现了对公园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天地空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、全天候监测管理，提升了生态保护能力。</w:t>
      </w:r>
    </w:p>
    <w:p>
      <w:pPr>
        <w:pStyle w:val="Style21"/>
        <w:keepNext w:val="0"/>
        <w:keepLines w:val="0"/>
        <w:widowControl w:val="0"/>
        <w:shd w:val="clear" w:color="auto" w:fill="auto"/>
        <w:tabs>
          <w:tab w:pos="755" w:val="left"/>
        </w:tabs>
        <w:bidi w:val="0"/>
        <w:spacing w:before="0" w:line="312"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司法行政行业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近年来，司法部大力推进全国智慧司法的信息化建设工作，建成涵盖司法行政各项业务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一平台、两中心、三支撑、四 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的智慧司法行政综合管理平台，使信息化、智慧化与司法行政的深度融合，借助区块链、大数据等前沿技术打通公检 法司的信息壁垒，实现四家执法单位的线上协同办案平台，从而推动司法行政工作提升到一个新水平。司法行政信息化需求 强劲，市场规模得到快速发展。</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报告期内，公司继续加大司法行政行业信息化解决方案研发投入，进一步完善刑事执行、公共法律服务、行政执法、行 政立法等行业应用解决方案，司法行政大数据协同办案平台、监狱综合信息管理平台、智慧司法社区矫正综合管理平台系统、 律师律所管理系统、公共法律服务平台、执法证件管理、执法人员考试等解决方案在福建、河南、湖北、河北等地多个项目 推广应用，公司司法行政行业业务保持稳健增长。公司承建的河南社区矫正综合管理指挥平台于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年底正式上线，于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月中旬司法部组织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全国智慧矫正平台验收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的远程验收环节名列全国第一，并于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通过率帮助河南省司 法厅完成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个部级智慧矫正中心的建设工作。公司将进一步配合河南省推进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智慧矫正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建设工作，持续服务当地打造具有河 南特色的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大平台共享、大系统共治、大数据慧治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智慧矫正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建设模式。</w:t>
      </w:r>
    </w:p>
    <w:p>
      <w:pPr>
        <w:pStyle w:val="Style21"/>
        <w:keepNext w:val="0"/>
        <w:keepLines w:val="0"/>
        <w:widowControl w:val="0"/>
        <w:shd w:val="clear" w:color="auto" w:fill="auto"/>
        <w:bidi w:val="0"/>
        <w:spacing w:before="0" w:after="16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月，公司依托国家司法行政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一大统筹、四大职能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的指导思想，参与河南省司法行政一期的信息化项目建设， 以司法行政数据中心为抓手，摒弃各业务系统烟囱式建设模式，以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综合应用一体化、业务处理智能化、法律服务便民化、 数据治理标准化、安全保障体系化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为目标，开创全国司法行政信息化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新时代。</w:t>
      </w:r>
    </w:p>
    <w:p>
      <w:pPr>
        <w:pStyle w:val="Style21"/>
        <w:keepNext w:val="0"/>
        <w:keepLines w:val="0"/>
        <w:widowControl w:val="0"/>
        <w:shd w:val="clear" w:color="auto" w:fill="auto"/>
        <w:bidi w:val="0"/>
        <w:spacing w:before="0" w:after="0" w:line="360" w:lineRule="auto"/>
        <w:ind w:left="0" w:right="0"/>
        <w:jc w:val="both"/>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、大数据平台</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随着中国信息化政策环境、经济环境的日益成熟，企业提升自身核心竞争力、实现可持续发展的迫切愿望将加大信息化 需求，中小企业、政府公共服务信息化市场将迅速成长并将带动各类行业应用软件市场的快速增长，为公司协同管理软件平 台、公共信用信息平台等成熟产品提供巨大的潜在市场。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近年来，社会信用体系行业蓬勃发展。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年，公司入选首批河南省综合信用服务机构试点单位，全面参与河南省社会 信用体系建设。公司先后承建了河南省公共信用信息平台（一期）项目、河南省新乡市发改委新乡市市县一体化联合奖惩系 统项目、驻马店公共信用信息平台升级改造项目、许昌市公共信用信息共享平台升级改造项目、鄢陵县公共信用信息平台建 </w:t>
      </w:r>
      <w:r>
        <w:rPr>
          <w:color w:val="000000"/>
          <w:spacing w:val="0"/>
          <w:w w:val="100"/>
          <w:position w:val="0"/>
        </w:rPr>
        <w:t>设项目、泌阳县公共信用信息平台建设项目、西平县公共信用信息平台建设项目、遂平县公共信用信息平台建设项目、河南 省信用信息平台二期项目和新乡市一体化公共信用信息平台升级改造项目。</w:t>
      </w:r>
    </w:p>
    <w:p>
      <w:pPr>
        <w:pStyle w:val="Style21"/>
        <w:keepNext w:val="0"/>
        <w:keepLines w:val="0"/>
        <w:widowControl w:val="0"/>
        <w:shd w:val="clear" w:color="auto" w:fill="auto"/>
        <w:bidi w:val="0"/>
        <w:spacing w:before="0" w:line="311" w:lineRule="exact"/>
        <w:ind w:left="0" w:right="0"/>
        <w:jc w:val="both"/>
      </w:pPr>
      <w:r>
        <w:rPr>
          <w:color w:val="000000"/>
          <w:spacing w:val="0"/>
          <w:w w:val="100"/>
          <w:position w:val="0"/>
        </w:rPr>
        <w:t>榕基软件作为河南省社会信用体系建设的主力军，先后承建了河南省公共信用信息平台一期、二期项目，充分发挥社会 信用体系建设技术优势，协助河南省构建全省</w:t>
      </w:r>
      <w:r>
        <w:rPr>
          <w:rFonts w:ascii="Times New Roman" w:eastAsia="Times New Roman" w:hAnsi="Times New Roman" w:cs="Times New Roman"/>
          <w:color w:val="000000"/>
          <w:spacing w:val="0"/>
          <w:w w:val="100"/>
          <w:position w:val="0"/>
          <w:sz w:val="18"/>
          <w:szCs w:val="18"/>
        </w:rPr>
        <w:t>“1+3+X”</w:t>
      </w:r>
      <w:r>
        <w:rPr>
          <w:color w:val="000000"/>
          <w:spacing w:val="0"/>
          <w:w w:val="100"/>
          <w:position w:val="0"/>
        </w:rPr>
        <w:t>智慧信用服务体系（即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个智慧中枢，智慧共享、智慧监管、智慧应 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大服务支撑，在金融、交通、环保等多个重点领域落地智慧应用），实现了平台服务智慧化。参与编制河南省市县三级 统一的公共信用信息目录，建立自动化归集、协同化治理、常态化考核机制，归集数据总量突破</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亿条，覆盖社保、税务、 水电气等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多个领域，实现了数据归集精准化。打造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信用河南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一站式公示窗口，将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双公示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拓展至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十公示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，其中重点行 业信息公示覆盖</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个重点民生领域，实现了信息公示全景化。建成全省一体化信用监管系统，全流程嵌入各级各部门</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个 业务系统，项目审批、资质审核等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多个领域形成信用信息核查、承诺践诺归集、信用评价共享、奖惩结果反馈闭环应用， 实现了信用监管智能化。运用区块链、大数据等技术，持续拓展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应用场景，实施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招才引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农产品安全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，实现了惠民场景多元化。在国家发展改革委举办的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年全国信用信息共享平台和网站观摩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 中，支撑河南省再次取得前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名的优秀成绩，荣获国家发展改革委颁发的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示范性平台网站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21"/>
        <w:keepNext w:val="0"/>
        <w:keepLines w:val="0"/>
        <w:widowControl w:val="0"/>
        <w:shd w:val="clear" w:color="auto" w:fill="auto"/>
        <w:bidi w:val="0"/>
        <w:spacing w:before="0" w:after="160" w:line="311" w:lineRule="exact"/>
        <w:ind w:left="0" w:right="0"/>
        <w:jc w:val="both"/>
      </w:pPr>
      <w:r>
        <w:rPr>
          <w:color w:val="000000"/>
          <w:spacing w:val="0"/>
          <w:w w:val="100"/>
          <w:position w:val="0"/>
        </w:rPr>
        <w:t>在大数据支撑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信易贷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方面，以河南省信用信息共享平台为枢纽，以依法共享为原则，建立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全国信易贷河南站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和信易 贷专用数据服务，形成全省</w:t>
      </w:r>
      <w:r>
        <w:rPr>
          <w:rFonts w:ascii="Times New Roman" w:eastAsia="Times New Roman" w:hAnsi="Times New Roman" w:cs="Times New Roman"/>
          <w:color w:val="000000"/>
          <w:spacing w:val="0"/>
          <w:w w:val="100"/>
          <w:position w:val="0"/>
          <w:sz w:val="18"/>
          <w:szCs w:val="18"/>
        </w:rPr>
        <w:t>“1+18+N”</w:t>
      </w:r>
      <w:r>
        <w:rPr>
          <w:color w:val="000000"/>
          <w:spacing w:val="0"/>
          <w:w w:val="100"/>
          <w:position w:val="0"/>
        </w:rPr>
        <w:t>信易贷平台体系，强化信用信息归集共享、白名单认定、风险缓释、宣传推广、督导 考核等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，为中小企业、金融机构、政府部门提供信用评级、风险防控等服务，全省信易贷平台累计注册企业用户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万家，发放贷款金额超过</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亿元，实现了信用应用特色化。</w:t>
      </w:r>
    </w:p>
    <w:p>
      <w:pPr>
        <w:pStyle w:val="Style21"/>
        <w:keepNext w:val="0"/>
        <w:keepLines w:val="0"/>
        <w:widowControl w:val="0"/>
        <w:shd w:val="clear" w:color="auto" w:fill="auto"/>
        <w:bidi w:val="0"/>
        <w:spacing w:before="0" w:after="0" w:line="360" w:lineRule="auto"/>
        <w:ind w:left="0" w:right="0"/>
        <w:jc w:val="both"/>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、物联网</w:t>
      </w:r>
    </w:p>
    <w:p>
      <w:pPr>
        <w:pStyle w:val="Style21"/>
        <w:keepNext w:val="0"/>
        <w:keepLines w:val="0"/>
        <w:widowControl w:val="0"/>
        <w:shd w:val="clear" w:color="auto" w:fill="auto"/>
        <w:bidi w:val="0"/>
        <w:spacing w:before="0" w:line="314" w:lineRule="exact"/>
        <w:ind w:left="0" w:right="0"/>
        <w:jc w:val="both"/>
      </w:pPr>
      <w:r>
        <w:rPr>
          <w:color w:val="000000"/>
          <w:spacing w:val="0"/>
          <w:w w:val="100"/>
          <w:position w:val="0"/>
        </w:rPr>
        <w:t>亿榕信息系国网信息通信产业集团下属国有控股企业，公司持股</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。亿榕信息紧跟国家新基建、碳中和、碳达峰等 发展战略，结合大数据、云计算、数字化、人工智能等技术的深度应用，支撑各专业领域业务应用智能化升级与新业务的快 速构建，为国网总部、各省市公司及其直属产业公司等近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家单位提供专业信息化服务。</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控股子公司容大物联网以电力行业为主要目标客户，持续推进物联网应用技术的研发及在电力行业信息化建设领域的持 续拓展。</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参股子公司福水智联技术有限公司，由福州市创业投资有限责任公司、福州开发区国有资产营运有限公司等投资方共同 出资成立的混合所有制企业，专注于水治理数字化、网络化、可视化、智能化解决方案的服务。福水智联与华为、三大运营 商建立战略合作伙伴关系，以</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窄带物联网和大数据应用为载体，构建综合性的智慧水务大数据云平台，为水行业以 及整个城市提供包括用智慧计量、智慧用水管理、管网监控、管网</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系统、水资源监测、水质监测、城市内涝监测在内的 水务整体运营解决方案，致力成为物联网领军企业。</w:t>
      </w:r>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控股子公司星榕基以物联网领域为方向，运营业务为主业的公司，积极拓展发展物联网、中小企业信息化、党建信息化、 行业信息化四大业务。</w:t>
      </w:r>
    </w:p>
    <w:p>
      <w:pPr>
        <w:pStyle w:val="Style21"/>
        <w:keepNext w:val="0"/>
        <w:keepLines w:val="0"/>
        <w:widowControl w:val="0"/>
        <w:shd w:val="clear" w:color="auto" w:fill="auto"/>
        <w:bidi w:val="0"/>
        <w:spacing w:before="0" w:after="160" w:line="312" w:lineRule="exact"/>
        <w:ind w:left="0" w:right="0"/>
        <w:jc w:val="both"/>
      </w:pPr>
      <w:r>
        <w:rPr>
          <w:color w:val="000000"/>
          <w:spacing w:val="0"/>
          <w:w w:val="100"/>
          <w:position w:val="0"/>
        </w:rPr>
        <w:t>（三）公司经营模式</w:t>
      </w:r>
    </w:p>
    <w:p>
      <w:pPr>
        <w:pStyle w:val="Style21"/>
        <w:keepNext w:val="0"/>
        <w:keepLines w:val="0"/>
        <w:widowControl w:val="0"/>
        <w:shd w:val="clear" w:color="auto" w:fill="auto"/>
        <w:bidi w:val="0"/>
        <w:spacing w:before="0" w:after="0" w:line="360" w:lineRule="auto"/>
        <w:ind w:left="0" w:right="0"/>
        <w:jc w:val="both"/>
      </w:pPr>
      <w:bookmarkStart w:id="80" w:name="bookmark80"/>
      <w:r>
        <w:rPr>
          <w:rFonts w:ascii="Times New Roman" w:eastAsia="Times New Roman" w:hAnsi="Times New Roman" w:cs="Times New Roman"/>
          <w:color w:val="000000"/>
          <w:spacing w:val="0"/>
          <w:w w:val="100"/>
          <w:position w:val="0"/>
          <w:sz w:val="18"/>
          <w:szCs w:val="18"/>
        </w:rPr>
        <w:t>1</w:t>
      </w:r>
      <w:bookmarkEnd w:id="80"/>
      <w:r>
        <w:rPr>
          <w:color w:val="000000"/>
          <w:spacing w:val="0"/>
          <w:w w:val="100"/>
          <w:position w:val="0"/>
        </w:rPr>
        <w:t>、业务模式</w:t>
      </w:r>
    </w:p>
    <w:p>
      <w:pPr>
        <w:pStyle w:val="Style21"/>
        <w:keepNext w:val="0"/>
        <w:keepLines w:val="0"/>
        <w:widowControl w:val="0"/>
        <w:shd w:val="clear" w:color="auto" w:fill="auto"/>
        <w:tabs>
          <w:tab w:pos="755" w:val="left"/>
        </w:tabs>
        <w:bidi w:val="0"/>
        <w:spacing w:before="0" w:line="312"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软件开发业务模式</w:t>
      </w:r>
    </w:p>
    <w:p>
      <w:pPr>
        <w:pStyle w:val="Style21"/>
        <w:keepNext w:val="0"/>
        <w:keepLines w:val="0"/>
        <w:widowControl w:val="0"/>
        <w:shd w:val="clear" w:color="auto" w:fill="auto"/>
        <w:bidi w:val="0"/>
        <w:spacing w:before="0" w:line="313" w:lineRule="exact"/>
        <w:ind w:left="0" w:right="0"/>
        <w:jc w:val="both"/>
      </w:pPr>
      <w:r>
        <w:rPr>
          <w:color w:val="000000"/>
          <w:spacing w:val="0"/>
          <w:w w:val="100"/>
          <w:position w:val="0"/>
        </w:rPr>
        <w:t>公司软件产品的生产以项目制方式进行，针对不同的项目由一个或多个部门成立项目组，负责项目的开发实施工作。软 件产品的生产主要包括需求调研、架构设计、编码、调试、测试、现场实施等阶段。公司依照</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 xml:space="preserve">ISO27001 </w:t>
      </w:r>
      <w:r>
        <w:rPr>
          <w:color w:val="000000"/>
          <w:spacing w:val="0"/>
          <w:w w:val="100"/>
          <w:position w:val="0"/>
        </w:rPr>
        <w:t>信息安全管理体系、</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信息技术服务运维服务和</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级的要求，建立了严密科学的软件开发过程管控体系，采用前后 端分离开发模式，贯彻</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开发运维机制，引进项目管理工具、代码管理工具、自动化部署工具、自动化测试工具等， 有效保证了软件开发工作的规范化以及技术和产品等研发成果的水平和质量。</w:t>
      </w:r>
    </w:p>
    <w:p>
      <w:pPr>
        <w:pStyle w:val="Style21"/>
        <w:keepNext w:val="0"/>
        <w:keepLines w:val="0"/>
        <w:widowControl w:val="0"/>
        <w:shd w:val="clear" w:color="auto" w:fill="auto"/>
        <w:tabs>
          <w:tab w:pos="755" w:val="left"/>
        </w:tabs>
        <w:bidi w:val="0"/>
        <w:spacing w:before="0" w:line="312"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计算机系统集成业务模式</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根据用户实际情况，协助用户分析其具体的信息系统应用需求、定义其应用模型；提出系统架构，按照用户的需求，对 众多的技术和产品合理地选择最佳配置的各种软件和硬件产品与资源，形成完整的、能够解决客户具体应用需求的集成方案； 设计具体项目方案（包括数据中心系统方案、网络系统方案、安全系统方案、系统软件方案、应用软件适配方案、容灾备份 系统方案等）；项目现场实施，构建系统硬件平台、配置系统软件、按需配置基础应用软件；系统测试与试运行；用户培训； 工程验收；系统开通；系统运维保障。</w:t>
      </w:r>
    </w:p>
    <w:p>
      <w:pPr>
        <w:pStyle w:val="Style21"/>
        <w:keepNext w:val="0"/>
        <w:keepLines w:val="0"/>
        <w:widowControl w:val="0"/>
        <w:numPr>
          <w:ilvl w:val="0"/>
          <w:numId w:val="1"/>
        </w:numPr>
        <w:shd w:val="clear" w:color="auto" w:fill="auto"/>
        <w:bidi w:val="0"/>
        <w:spacing w:before="0" w:line="314" w:lineRule="exact"/>
        <w:ind w:left="0" w:right="0"/>
        <w:jc w:val="both"/>
      </w:pPr>
      <w:bookmarkStart w:id="83" w:name="bookmark83"/>
      <w:bookmarkEnd w:id="83"/>
      <w:r>
        <w:rPr>
          <w:color w:val="000000"/>
          <w:spacing w:val="0"/>
          <w:w w:val="100"/>
          <w:position w:val="0"/>
        </w:rPr>
        <w:t>技术支持与服务业务模式</w:t>
      </w:r>
    </w:p>
    <w:p>
      <w:pPr>
        <w:pStyle w:val="Style21"/>
        <w:keepNext w:val="0"/>
        <w:keepLines w:val="0"/>
        <w:widowControl w:val="0"/>
        <w:shd w:val="clear" w:color="auto" w:fill="auto"/>
        <w:bidi w:val="0"/>
        <w:spacing w:before="0" w:line="312" w:lineRule="exact"/>
        <w:ind w:left="0" w:right="0"/>
        <w:jc w:val="left"/>
      </w:pPr>
      <w:r>
        <w:rPr>
          <w:color w:val="000000"/>
          <w:spacing w:val="0"/>
          <w:w w:val="100"/>
          <w:position w:val="0"/>
        </w:rPr>
        <w:t>主要向进出口企业提供外贸进出口企业端软件的运维服务及向其他客户提供系统维护、性能优化、硬件维修与备件服务、 技术咨询、软件升级等方面的技术支持服务。金关工程及智慧海关相关企业端软件的运维服务，是指公司免费向进出口企业 提供金关工程及智慧海关相关的报关、原产地证等业务的企业端软件，通过客户服务呼叫中心、服务网点等途径为客户提供 企业端软件的维护服务，并按年收取服务费的业务。技术支持服务主要由技术支持中心承担，以呼叫中心、电子邮件、传真、 网站、实地等多种方式提供。</w:t>
      </w:r>
    </w:p>
    <w:p>
      <w:pPr>
        <w:pStyle w:val="Style21"/>
        <w:keepNext w:val="0"/>
        <w:keepLines w:val="0"/>
        <w:widowControl w:val="0"/>
        <w:shd w:val="clear" w:color="auto" w:fill="auto"/>
        <w:tabs>
          <w:tab w:pos="671" w:val="left"/>
        </w:tabs>
        <w:bidi w:val="0"/>
        <w:spacing w:before="0" w:line="314" w:lineRule="exact"/>
        <w:ind w:left="0" w:right="0"/>
        <w:jc w:val="both"/>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采购模式</w:t>
      </w:r>
    </w:p>
    <w:p>
      <w:pPr>
        <w:pStyle w:val="Style21"/>
        <w:keepNext w:val="0"/>
        <w:keepLines w:val="0"/>
        <w:widowControl w:val="0"/>
        <w:shd w:val="clear" w:color="auto" w:fill="auto"/>
        <w:bidi w:val="0"/>
        <w:spacing w:before="0" w:line="312" w:lineRule="exact"/>
        <w:ind w:left="0" w:right="0"/>
        <w:jc w:val="left"/>
      </w:pPr>
      <w:r>
        <w:rPr>
          <w:color w:val="000000"/>
          <w:spacing w:val="0"/>
          <w:w w:val="100"/>
          <w:position w:val="0"/>
        </w:rPr>
        <w:t>公司软件开发、系统集成所需硬件和软件均列入公司统一采购范畴，公司工作物流部负责采购需求的受理、供方的商谈、 采购合同编制、采购的实施和验收、采购资料的管理及组织供方的评审，各部门根据需要提出采购需求并填写采购申请表， 经公司相关人员审批后提交工作物流部采购。与公司发生采购业务的所有供货方均需从《合格供方名单》中选取，《合格供 方名单》由公司工作物流部、项目管理部、技术部门等相关部门人员共同对供方进行评定确认。每个年度工作物流部依据供 货响应速度、所供货物质量及售后服务情况等指标对已评定的合格供方进行严格考核评价，填写《合格供方年度评定表》， 不合格的供方取消其合格供方资格，并编制新的《合格供方名单》。采购的产品由工作物流部和采购申请部门进行验收，并 实行采购负责制度。</w:t>
      </w:r>
    </w:p>
    <w:p>
      <w:pPr>
        <w:pStyle w:val="Style21"/>
        <w:keepNext w:val="0"/>
        <w:keepLines w:val="0"/>
        <w:widowControl w:val="0"/>
        <w:shd w:val="clear" w:color="auto" w:fill="auto"/>
        <w:tabs>
          <w:tab w:pos="671" w:val="left"/>
        </w:tabs>
        <w:bidi w:val="0"/>
        <w:spacing w:before="0" w:line="314" w:lineRule="exact"/>
        <w:ind w:left="0" w:right="0"/>
        <w:jc w:val="left"/>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w:t>
        <w:tab/>
        <w:t>销售模式</w:t>
      </w:r>
    </w:p>
    <w:p>
      <w:pPr>
        <w:pStyle w:val="Style21"/>
        <w:keepNext w:val="0"/>
        <w:keepLines w:val="0"/>
        <w:widowControl w:val="0"/>
        <w:shd w:val="clear" w:color="auto" w:fill="auto"/>
        <w:bidi w:val="0"/>
        <w:spacing w:before="0" w:line="312" w:lineRule="exact"/>
        <w:ind w:left="0" w:right="0"/>
        <w:jc w:val="left"/>
      </w:pPr>
      <w:r>
        <w:rPr>
          <w:color w:val="000000"/>
          <w:spacing w:val="0"/>
          <w:w w:val="100"/>
          <w:position w:val="0"/>
        </w:rPr>
        <w:t>根据公司业务特点，分别采用不同的销售模式。电子政务等传统领域的软件开发和计算机系统集成业务，基本上采用直 销方式，由公司业务经理直接面向客户提供服务，获取需求和销售机会，最终通过参加投标，中标后取得业务合同。</w:t>
      </w:r>
    </w:p>
    <w:p>
      <w:pPr>
        <w:pStyle w:val="Style21"/>
        <w:keepNext w:val="0"/>
        <w:keepLines w:val="0"/>
        <w:widowControl w:val="0"/>
        <w:shd w:val="clear" w:color="auto" w:fill="auto"/>
        <w:bidi w:val="0"/>
        <w:spacing w:before="0" w:line="307" w:lineRule="exact"/>
        <w:ind w:left="0" w:right="0"/>
        <w:jc w:val="left"/>
      </w:pPr>
      <w:r>
        <w:rPr>
          <w:color w:val="000000"/>
          <w:spacing w:val="0"/>
          <w:w w:val="100"/>
          <w:position w:val="0"/>
        </w:rPr>
        <w:t>信息安全产品则采用直销和渠道代销相结合的方式，除了由本公司营销网络直接面向客户销售外，还积极发展区域、行 业代理商，推动产品和服务的产业化销售。</w:t>
      </w:r>
    </w:p>
    <w:p>
      <w:pPr>
        <w:pStyle w:val="Style21"/>
        <w:keepNext w:val="0"/>
        <w:keepLines w:val="0"/>
        <w:widowControl w:val="0"/>
        <w:shd w:val="clear" w:color="auto" w:fill="auto"/>
        <w:bidi w:val="0"/>
        <w:spacing w:before="0" w:line="322" w:lineRule="exact"/>
        <w:ind w:left="0" w:right="0"/>
        <w:jc w:val="left"/>
      </w:pPr>
      <w:r>
        <w:rPr>
          <w:color w:val="000000"/>
          <w:spacing w:val="0"/>
          <w:w w:val="100"/>
          <w:position w:val="0"/>
        </w:rPr>
        <w:t>协同管理软件除了采用传统直销、渠道代销方式外，还建立协同平台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应用模式，通过互联网向用户提供软件产品和 服务，用户可通过租用方式来使用软件。</w:t>
      </w:r>
    </w:p>
    <w:p>
      <w:pPr>
        <w:pStyle w:val="Style21"/>
        <w:keepNext w:val="0"/>
        <w:keepLines w:val="0"/>
        <w:widowControl w:val="0"/>
        <w:shd w:val="clear" w:color="auto" w:fill="auto"/>
        <w:bidi w:val="0"/>
        <w:spacing w:before="0" w:line="314" w:lineRule="exact"/>
        <w:ind w:left="0" w:right="0"/>
        <w:jc w:val="left"/>
      </w:pPr>
      <w:r>
        <w:rPr>
          <w:color w:val="000000"/>
          <w:spacing w:val="0"/>
          <w:w w:val="100"/>
          <w:position w:val="0"/>
        </w:rPr>
        <w:t>(四)公司经营概况</w:t>
      </w:r>
    </w:p>
    <w:p>
      <w:pPr>
        <w:pStyle w:val="Style21"/>
        <w:keepNext w:val="0"/>
        <w:keepLines w:val="0"/>
        <w:widowControl w:val="0"/>
        <w:shd w:val="clear" w:color="auto" w:fill="auto"/>
        <w:bidi w:val="0"/>
        <w:spacing w:before="0" w:line="317" w:lineRule="exact"/>
        <w:ind w:left="0" w:right="0"/>
        <w:jc w:val="left"/>
      </w:pPr>
      <w:r>
        <w:rPr>
          <w:color w:val="000000"/>
          <w:spacing w:val="0"/>
          <w:w w:val="100"/>
          <w:position w:val="0"/>
        </w:rPr>
        <w:t>报告期内，公司共实现营业收入</w:t>
      </w:r>
      <w:r>
        <w:rPr>
          <w:rFonts w:ascii="Times New Roman" w:eastAsia="Times New Roman" w:hAnsi="Times New Roman" w:cs="Times New Roman"/>
          <w:color w:val="000000"/>
          <w:spacing w:val="0"/>
          <w:w w:val="100"/>
          <w:position w:val="0"/>
          <w:sz w:val="18"/>
          <w:szCs w:val="18"/>
        </w:rPr>
        <w:t>71,721.01</w:t>
      </w:r>
      <w:r>
        <w:rPr>
          <w:color w:val="000000"/>
          <w:spacing w:val="0"/>
          <w:w w:val="100"/>
          <w:position w:val="0"/>
        </w:rPr>
        <w:t>万元，比上年同期减少</w:t>
      </w:r>
      <w:r>
        <w:rPr>
          <w:rFonts w:ascii="Times New Roman" w:eastAsia="Times New Roman" w:hAnsi="Times New Roman" w:cs="Times New Roman"/>
          <w:color w:val="000000"/>
          <w:spacing w:val="0"/>
          <w:w w:val="100"/>
          <w:position w:val="0"/>
          <w:sz w:val="18"/>
          <w:szCs w:val="18"/>
        </w:rPr>
        <w:t>1.82%</w:t>
      </w:r>
      <w:r>
        <w:rPr>
          <w:color w:val="000000"/>
          <w:spacing w:val="0"/>
          <w:w w:val="100"/>
          <w:position w:val="0"/>
        </w:rPr>
        <w:t>；营业成本比上年同期减少</w:t>
      </w:r>
      <w:r>
        <w:rPr>
          <w:rFonts w:ascii="Times New Roman" w:eastAsia="Times New Roman" w:hAnsi="Times New Roman" w:cs="Times New Roman"/>
          <w:color w:val="000000"/>
          <w:spacing w:val="0"/>
          <w:w w:val="100"/>
          <w:position w:val="0"/>
          <w:sz w:val="18"/>
          <w:szCs w:val="18"/>
        </w:rPr>
        <w:t>1.97%</w:t>
      </w:r>
      <w:r>
        <w:rPr>
          <w:color w:val="000000"/>
          <w:spacing w:val="0"/>
          <w:w w:val="100"/>
          <w:position w:val="0"/>
        </w:rPr>
        <w:t>；销售费用比 上年同期增加</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，管理费用比上年同期增加</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，研发费用比上年同期减少</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rPr>
        <w:t>，财务费用比上年同期减少</w:t>
      </w:r>
      <w:r>
        <w:rPr>
          <w:rFonts w:ascii="Times New Roman" w:eastAsia="Times New Roman" w:hAnsi="Times New Roman" w:cs="Times New Roman"/>
          <w:color w:val="000000"/>
          <w:spacing w:val="0"/>
          <w:w w:val="100"/>
          <w:position w:val="0"/>
          <w:sz w:val="18"/>
          <w:szCs w:val="18"/>
        </w:rPr>
        <w:t>5.74%</w:t>
      </w:r>
      <w:r>
        <w:rPr>
          <w:color w:val="000000"/>
          <w:spacing w:val="0"/>
          <w:w w:val="100"/>
          <w:position w:val="0"/>
        </w:rPr>
        <w:t>： 研发费用比上年同期减少主要是职工薪酬减少，财务费用比上年同期减少主要是利息收入增加及汇兑损失减少。</w:t>
      </w:r>
    </w:p>
    <w:p>
      <w:pPr>
        <w:pStyle w:val="Style21"/>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报告期内，公司经营活动产生的现金流量净额较上年同期减少</w:t>
      </w:r>
      <w:r>
        <w:rPr>
          <w:rFonts w:ascii="Times New Roman" w:eastAsia="Times New Roman" w:hAnsi="Times New Roman" w:cs="Times New Roman"/>
          <w:color w:val="000000"/>
          <w:spacing w:val="0"/>
          <w:w w:val="100"/>
          <w:position w:val="0"/>
          <w:sz w:val="18"/>
          <w:szCs w:val="18"/>
        </w:rPr>
        <w:t>11.09%</w:t>
      </w:r>
      <w:r>
        <w:rPr>
          <w:color w:val="000000"/>
          <w:spacing w:val="0"/>
          <w:w w:val="100"/>
          <w:position w:val="0"/>
        </w:rPr>
        <w:t>，主要是报告期购买商品、接受劳务支付的现金 等增加；投资活动产生的现金流量净额较上年同期减少</w:t>
      </w:r>
      <w:r>
        <w:rPr>
          <w:rFonts w:ascii="Times New Roman" w:eastAsia="Times New Roman" w:hAnsi="Times New Roman" w:cs="Times New Roman"/>
          <w:color w:val="000000"/>
          <w:spacing w:val="0"/>
          <w:w w:val="100"/>
          <w:position w:val="0"/>
          <w:sz w:val="18"/>
          <w:szCs w:val="18"/>
        </w:rPr>
        <w:t>27,922.69%</w:t>
      </w:r>
      <w:r>
        <w:rPr>
          <w:color w:val="000000"/>
          <w:spacing w:val="0"/>
          <w:w w:val="100"/>
          <w:position w:val="0"/>
        </w:rPr>
        <w:t>，主要是报告期理财产品到期赎回净额减少；筹资活动产 生的现金流量净额较上年同期减少</w:t>
      </w:r>
      <w:r>
        <w:rPr>
          <w:rFonts w:ascii="Times New Roman" w:eastAsia="Times New Roman" w:hAnsi="Times New Roman" w:cs="Times New Roman"/>
          <w:color w:val="000000"/>
          <w:spacing w:val="0"/>
          <w:w w:val="100"/>
          <w:position w:val="0"/>
          <w:sz w:val="18"/>
          <w:szCs w:val="18"/>
        </w:rPr>
        <w:t>168.99%</w:t>
      </w:r>
      <w:r>
        <w:rPr>
          <w:color w:val="000000"/>
          <w:spacing w:val="0"/>
          <w:w w:val="100"/>
          <w:position w:val="0"/>
        </w:rPr>
        <w:t>，主要是报告期取得短期借款净额减少。</w:t>
      </w:r>
    </w:p>
    <w:p>
      <w:pPr>
        <w:pStyle w:val="Style24"/>
        <w:keepNext/>
        <w:keepLines/>
        <w:widowControl w:val="0"/>
        <w:shd w:val="clear" w:color="auto" w:fill="auto"/>
        <w:bidi w:val="0"/>
        <w:spacing w:before="0" w:after="24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、核心竞争力分析</w:t>
      </w:r>
      <w:bookmarkEnd w:id="86"/>
      <w:bookmarkEnd w:id="87"/>
      <w:bookmarkEnd w:id="89"/>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公司一直专注于行业应用软件研发、系统集成和运维服务，经过多年的不懈努力，已在客户资源、技术创新、行业经验、 企业管理与人力资源、销售和服务网络等方面形成了公司的核心竞争力，成为国内知名的软件产品和服务提供商。</w:t>
      </w:r>
    </w:p>
    <w:p>
      <w:pPr>
        <w:pStyle w:val="Style21"/>
        <w:keepNext w:val="0"/>
        <w:keepLines w:val="0"/>
        <w:widowControl w:val="0"/>
        <w:shd w:val="clear" w:color="auto" w:fill="auto"/>
        <w:tabs>
          <w:tab w:pos="652" w:val="left"/>
        </w:tabs>
        <w:bidi w:val="0"/>
        <w:spacing w:before="0" w:line="314" w:lineRule="exact"/>
        <w:ind w:left="0" w:right="0"/>
        <w:jc w:val="both"/>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客户资源</w:t>
      </w:r>
    </w:p>
    <w:p>
      <w:pPr>
        <w:pStyle w:val="Style21"/>
        <w:keepNext w:val="0"/>
        <w:keepLines w:val="0"/>
        <w:widowControl w:val="0"/>
        <w:shd w:val="clear" w:color="auto" w:fill="auto"/>
        <w:bidi w:val="0"/>
        <w:spacing w:before="0" w:line="319" w:lineRule="exact"/>
        <w:ind w:left="0" w:right="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年的发展和积累，客户涵盖了党政、海关、能源、司法、环保等行业，拥有了广泛、优质的客户资源，公司 客户群整体质量突出。公司始终强调品牌建设，重视客户需求，技术支持和服务到位，客户满意度和忠诚度较高，客户对公 司各类产品形成了较强的粘性，稳定客户的保有率不断提高。</w:t>
      </w:r>
    </w:p>
    <w:p>
      <w:pPr>
        <w:pStyle w:val="Style21"/>
        <w:keepNext w:val="0"/>
        <w:keepLines w:val="0"/>
        <w:widowControl w:val="0"/>
        <w:shd w:val="clear" w:color="auto" w:fill="auto"/>
        <w:tabs>
          <w:tab w:pos="671" w:val="left"/>
        </w:tabs>
        <w:bidi w:val="0"/>
        <w:spacing w:before="0" w:line="314" w:lineRule="exact"/>
        <w:ind w:left="0" w:right="0"/>
        <w:jc w:val="both"/>
      </w:pPr>
      <w:bookmarkStart w:id="91" w:name="bookmark91"/>
      <w:r>
        <w:rPr>
          <w:rFonts w:ascii="Times New Roman" w:eastAsia="Times New Roman" w:hAnsi="Times New Roman" w:cs="Times New Roman"/>
          <w:color w:val="000000"/>
          <w:spacing w:val="0"/>
          <w:w w:val="100"/>
          <w:position w:val="0"/>
          <w:sz w:val="18"/>
          <w:szCs w:val="18"/>
        </w:rPr>
        <w:t>2</w:t>
      </w:r>
      <w:bookmarkEnd w:id="91"/>
      <w:r>
        <w:rPr>
          <w:color w:val="000000"/>
          <w:spacing w:val="0"/>
          <w:w w:val="100"/>
          <w:position w:val="0"/>
        </w:rPr>
        <w:t>、</w:t>
        <w:tab/>
        <w:t>技术研发</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公司连续近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年被评为国家规划布局内重点软件企业，拥有国家企业技术中心、省级工程研究中心、省级企业重点实验 室、省级新型研发机构、省级软件技术研发中心等高水平科研创新平台，被认定为国家创新型试点企业、福建省创新型企业、 福建省科技成果产业化基地、福建省工业和信息化省级龙头企业、福州市软件业龙头企业、福州市民营数字经济示范企业； 曾荣获中国优秀计算机信息系统集成企业、中国十大创新软件企业、信息化影响中国贡献企业、推动中国电子政务软件突出 </w:t>
      </w:r>
      <w:r>
        <w:rPr>
          <w:color w:val="000000"/>
          <w:spacing w:val="0"/>
          <w:w w:val="100"/>
          <w:position w:val="0"/>
        </w:rPr>
        <w:t>贡献奖、全国用户满意企业、福建省战略性新兴产业骨干企业、福建省知识产权优势企业等称号。公司作为中国软件产品开 发与销售的先行者之一，建立了以企业技术中心为核心的创新体系，多次承担国家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项目、电子信息产业发展基金、创新 基金以及高科技产业化专项基金项目课题，在所处领域中拥有多项国内领先的创新技术，已形成较强的核心技术竞争力。</w:t>
      </w:r>
    </w:p>
    <w:p>
      <w:pPr>
        <w:pStyle w:val="Style21"/>
        <w:keepNext w:val="0"/>
        <w:keepLines w:val="0"/>
        <w:widowControl w:val="0"/>
        <w:shd w:val="clear" w:color="auto" w:fill="auto"/>
        <w:bidi w:val="0"/>
        <w:spacing w:before="0" w:after="140" w:line="317" w:lineRule="exact"/>
        <w:ind w:left="0" w:right="0"/>
        <w:jc w:val="both"/>
      </w:pPr>
      <w:r>
        <w:rPr>
          <w:color w:val="000000"/>
          <w:spacing w:val="0"/>
          <w:w w:val="100"/>
          <w:position w:val="0"/>
        </w:rPr>
        <w:t>公司结合自身条件和外部市场环境，在信创工程、云计算、大数据、移动办公云平台、智慧政务、智慧城市、中小企业 信息化等方向上取得了技术创新。截至目前，公司及控股子公司拥有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项专利（发明专利</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项、外观新型专利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项计算机软件著作权。近年来有多个自主产品被列入国家和省部级创新产 品，获得多项国家、省、市科技进步奖和优秀产品等荣誉。</w:t>
      </w:r>
    </w:p>
    <w:p>
      <w:pPr>
        <w:pStyle w:val="Style21"/>
        <w:keepNext w:val="0"/>
        <w:keepLines w:val="0"/>
        <w:widowControl w:val="0"/>
        <w:shd w:val="clear" w:color="auto" w:fill="auto"/>
        <w:tabs>
          <w:tab w:pos="672" w:val="left"/>
        </w:tabs>
        <w:bidi w:val="0"/>
        <w:spacing w:before="0" w:after="0" w:line="360" w:lineRule="auto"/>
        <w:ind w:left="0" w:right="0"/>
        <w:jc w:val="both"/>
      </w:pPr>
      <w:bookmarkStart w:id="92" w:name="bookmark92"/>
      <w:r>
        <w:rPr>
          <w:rFonts w:ascii="Times New Roman" w:eastAsia="Times New Roman" w:hAnsi="Times New Roman" w:cs="Times New Roman"/>
          <w:color w:val="000000"/>
          <w:spacing w:val="0"/>
          <w:w w:val="100"/>
          <w:position w:val="0"/>
          <w:sz w:val="18"/>
          <w:szCs w:val="18"/>
        </w:rPr>
        <w:t>3</w:t>
      </w:r>
      <w:bookmarkEnd w:id="92"/>
      <w:r>
        <w:rPr>
          <w:color w:val="000000"/>
          <w:spacing w:val="0"/>
          <w:w w:val="100"/>
          <w:position w:val="0"/>
        </w:rPr>
        <w:t>、</w:t>
        <w:tab/>
        <w:t>行业经验</w:t>
      </w:r>
    </w:p>
    <w:p>
      <w:pPr>
        <w:pStyle w:val="Style21"/>
        <w:keepNext w:val="0"/>
        <w:keepLines w:val="0"/>
        <w:widowControl w:val="0"/>
        <w:shd w:val="clear" w:color="auto" w:fill="auto"/>
        <w:bidi w:val="0"/>
        <w:spacing w:before="0" w:after="140" w:line="310" w:lineRule="exact"/>
        <w:ind w:left="0" w:right="0"/>
        <w:jc w:val="both"/>
      </w:pPr>
      <w:r>
        <w:rPr>
          <w:color w:val="000000"/>
          <w:spacing w:val="0"/>
          <w:w w:val="100"/>
          <w:position w:val="0"/>
        </w:rPr>
        <w:t>公司作为主营业务领域的龙头企业和骨干企业，具备突出的行业业务理解能力，具备较强的综合集成、软件开发、数据 服务、安全运维等一体化综合服务能力，承担了政府政务云计算平台、信创工程、金关工程、金环工程、天平工程、信息安 全等国家重大信息化项目以及多个行业核心业务支撑系统和关键共性技术平台，具有典型示范和辐射带动作用。</w:t>
      </w:r>
    </w:p>
    <w:p>
      <w:pPr>
        <w:pStyle w:val="Style21"/>
        <w:keepNext w:val="0"/>
        <w:keepLines w:val="0"/>
        <w:widowControl w:val="0"/>
        <w:shd w:val="clear" w:color="auto" w:fill="auto"/>
        <w:tabs>
          <w:tab w:pos="682" w:val="left"/>
        </w:tabs>
        <w:bidi w:val="0"/>
        <w:spacing w:before="0" w:after="0" w:line="360" w:lineRule="auto"/>
        <w:ind w:left="0" w:right="0"/>
        <w:jc w:val="both"/>
      </w:pPr>
      <w:bookmarkStart w:id="93" w:name="bookmark93"/>
      <w:r>
        <w:rPr>
          <w:rFonts w:ascii="Times New Roman" w:eastAsia="Times New Roman" w:hAnsi="Times New Roman" w:cs="Times New Roman"/>
          <w:color w:val="000000"/>
          <w:spacing w:val="0"/>
          <w:w w:val="100"/>
          <w:position w:val="0"/>
          <w:sz w:val="18"/>
          <w:szCs w:val="18"/>
        </w:rPr>
        <w:t>4</w:t>
      </w:r>
      <w:bookmarkEnd w:id="93"/>
      <w:r>
        <w:rPr>
          <w:color w:val="000000"/>
          <w:spacing w:val="0"/>
          <w:w w:val="100"/>
          <w:position w:val="0"/>
        </w:rPr>
        <w:t>、</w:t>
        <w:tab/>
        <w:t>人力优势</w:t>
      </w:r>
    </w:p>
    <w:p>
      <w:pPr>
        <w:pStyle w:val="Style21"/>
        <w:keepNext w:val="0"/>
        <w:keepLines w:val="0"/>
        <w:widowControl w:val="0"/>
        <w:shd w:val="clear" w:color="auto" w:fill="auto"/>
        <w:bidi w:val="0"/>
        <w:spacing w:before="0" w:after="140" w:line="314" w:lineRule="exact"/>
        <w:ind w:left="0" w:right="0"/>
        <w:jc w:val="both"/>
      </w:pPr>
      <w:r>
        <w:rPr>
          <w:color w:val="000000"/>
          <w:spacing w:val="0"/>
          <w:w w:val="100"/>
          <w:position w:val="0"/>
        </w:rPr>
        <w:t>人才是软件企业的核心资源之一，是软件企业的第一生产力，是软件企业核心竞争力的主要体现。公司在多年的经营实 践中形成了稳定的、受过良好教育又具有行业经验的核心管理团队和优秀的、富有经验的业务、研发技术团队。公司建立了 人员招聘体系、职务职责体系、薪酬福利体系、绩效考核体系、研发和创新激励体系等一系列机制，吸引、培养了一支技术 水平高、经验丰富、富有团队协作精神，且对公司的企业文化有较高的认同感的研发技术团队，为公司规模化发展提供了有 力的保障。</w:t>
      </w:r>
    </w:p>
    <w:p>
      <w:pPr>
        <w:pStyle w:val="Style21"/>
        <w:keepNext w:val="0"/>
        <w:keepLines w:val="0"/>
        <w:widowControl w:val="0"/>
        <w:shd w:val="clear" w:color="auto" w:fill="auto"/>
        <w:tabs>
          <w:tab w:pos="682" w:val="left"/>
        </w:tabs>
        <w:bidi w:val="0"/>
        <w:spacing w:before="0" w:after="0" w:line="360" w:lineRule="auto"/>
        <w:ind w:left="0" w:right="0"/>
        <w:jc w:val="both"/>
      </w:pPr>
      <w:bookmarkStart w:id="94" w:name="bookmark94"/>
      <w:r>
        <w:rPr>
          <w:rFonts w:ascii="Times New Roman" w:eastAsia="Times New Roman" w:hAnsi="Times New Roman" w:cs="Times New Roman"/>
          <w:color w:val="000000"/>
          <w:spacing w:val="0"/>
          <w:w w:val="100"/>
          <w:position w:val="0"/>
          <w:sz w:val="18"/>
          <w:szCs w:val="18"/>
        </w:rPr>
        <w:t>5</w:t>
      </w:r>
      <w:bookmarkEnd w:id="94"/>
      <w:r>
        <w:rPr>
          <w:color w:val="000000"/>
          <w:spacing w:val="0"/>
          <w:w w:val="100"/>
          <w:position w:val="0"/>
        </w:rPr>
        <w:t>、</w:t>
        <w:tab/>
        <w:t>销售和服务网络</w:t>
      </w:r>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公司总部设在福州，在北京、上海、深圳、杭州和郑州设立五个区域分部，在全国设立了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多家分子公司。截至报告期 末，公司建立了完善的客户服务支持系统、客户服务中心、服务管理体系在内的运维服务体系，提高了公司的运维服务能力 和服务质量，进一步提高了市场占有率。</w:t>
      </w:r>
    </w:p>
    <w:p>
      <w:pPr>
        <w:pStyle w:val="Style24"/>
        <w:keepNext/>
        <w:keepLines/>
        <w:widowControl w:val="0"/>
        <w:shd w:val="clear" w:color="auto" w:fill="auto"/>
        <w:bidi w:val="0"/>
        <w:spacing w:before="0" w:after="38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四</w:t>
      </w:r>
      <w:bookmarkEnd w:id="97"/>
      <w:r>
        <w:rPr>
          <w:color w:val="000000"/>
          <w:spacing w:val="0"/>
          <w:w w:val="100"/>
          <w:position w:val="0"/>
          <w:sz w:val="24"/>
          <w:szCs w:val="24"/>
        </w:rPr>
        <w:t>、主营业务分析</w:t>
      </w:r>
      <w:bookmarkEnd w:id="95"/>
      <w:bookmarkEnd w:id="96"/>
      <w:bookmarkEnd w:id="98"/>
    </w:p>
    <w:p>
      <w:pPr>
        <w:pStyle w:val="Style32"/>
        <w:keepNext/>
        <w:keepLines/>
        <w:widowControl w:val="0"/>
        <w:shd w:val="clear" w:color="auto" w:fill="auto"/>
        <w:tabs>
          <w:tab w:pos="312" w:val="left"/>
        </w:tabs>
        <w:bidi w:val="0"/>
        <w:spacing w:before="0" w:after="26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报告期内，在公司经营管理班子和全体员工的共同努力下，公司继续推进软件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经营布局，持 续加大产品研发的投入和力度，巩固了电子政务、协同管理等领域的综合竞争优势，积极培育以信创工程、大数据、物联网 技术为基础的新业务，致力于传统和创新两大运营服务体系建设，开拓了新的业务增长点，提升了公司的竞争力。</w:t>
      </w:r>
    </w:p>
    <w:p>
      <w:pPr>
        <w:pStyle w:val="Style21"/>
        <w:keepNext w:val="0"/>
        <w:keepLines w:val="0"/>
        <w:widowControl w:val="0"/>
        <w:shd w:val="clear" w:color="auto" w:fill="auto"/>
        <w:tabs>
          <w:tab w:pos="864" w:val="left"/>
        </w:tabs>
        <w:bidi w:val="0"/>
        <w:spacing w:before="0" w:after="0" w:line="317" w:lineRule="exact"/>
        <w:ind w:left="0" w:right="0"/>
        <w:jc w:val="both"/>
      </w:pPr>
      <w:bookmarkStart w:id="103" w:name="bookmark103"/>
      <w:r>
        <w:rPr>
          <w:color w:val="000000"/>
          <w:spacing w:val="0"/>
          <w:w w:val="100"/>
          <w:position w:val="0"/>
          <w:sz w:val="18"/>
          <w:szCs w:val="18"/>
        </w:rPr>
        <w:t>（</w:t>
      </w:r>
      <w:bookmarkEnd w:id="103"/>
      <w:r>
        <w:rPr>
          <w:color w:val="000000"/>
          <w:spacing w:val="0"/>
          <w:w w:val="100"/>
          <w:position w:val="0"/>
          <w:sz w:val="18"/>
          <w:szCs w:val="18"/>
        </w:rPr>
        <w:t>1）</w:t>
        <w:tab/>
      </w:r>
      <w:r>
        <w:rPr>
          <w:color w:val="000000"/>
          <w:spacing w:val="0"/>
          <w:w w:val="100"/>
          <w:position w:val="0"/>
        </w:rPr>
        <w:t>报告期内，公司共实现营业收入</w:t>
      </w:r>
      <w:r>
        <w:rPr>
          <w:color w:val="000000"/>
          <w:spacing w:val="0"/>
          <w:w w:val="100"/>
          <w:position w:val="0"/>
          <w:sz w:val="18"/>
          <w:szCs w:val="18"/>
        </w:rPr>
        <w:t>71,721.01</w:t>
      </w:r>
      <w:r>
        <w:rPr>
          <w:color w:val="000000"/>
          <w:spacing w:val="0"/>
          <w:w w:val="100"/>
          <w:position w:val="0"/>
        </w:rPr>
        <w:t>万元，比上年同期减少</w:t>
      </w:r>
      <w:r>
        <w:rPr>
          <w:color w:val="000000"/>
          <w:spacing w:val="0"/>
          <w:w w:val="100"/>
          <w:position w:val="0"/>
          <w:sz w:val="18"/>
          <w:szCs w:val="18"/>
        </w:rPr>
        <w:t>1.82%；</w:t>
      </w:r>
      <w:r>
        <w:rPr>
          <w:color w:val="000000"/>
          <w:spacing w:val="0"/>
          <w:w w:val="100"/>
          <w:position w:val="0"/>
        </w:rPr>
        <w:t>营业成本比上年同期减少</w:t>
      </w:r>
      <w:r>
        <w:rPr>
          <w:color w:val="000000"/>
          <w:spacing w:val="0"/>
          <w:w w:val="100"/>
          <w:position w:val="0"/>
          <w:sz w:val="18"/>
          <w:szCs w:val="18"/>
        </w:rPr>
        <w:t>1.97%；</w:t>
      </w:r>
      <w:r>
        <w:rPr>
          <w:color w:val="000000"/>
          <w:spacing w:val="0"/>
          <w:w w:val="100"/>
          <w:position w:val="0"/>
        </w:rPr>
        <w:t>销售费 用比上年同期增加</w:t>
      </w:r>
      <w:r>
        <w:rPr>
          <w:color w:val="000000"/>
          <w:spacing w:val="0"/>
          <w:w w:val="100"/>
          <w:position w:val="0"/>
          <w:sz w:val="18"/>
          <w:szCs w:val="18"/>
        </w:rPr>
        <w:t xml:space="preserve">2. </w:t>
      </w:r>
      <w:r>
        <w:rPr>
          <w:color w:val="000000"/>
          <w:spacing w:val="0"/>
          <w:w w:val="100"/>
          <w:position w:val="0"/>
          <w:sz w:val="18"/>
          <w:szCs w:val="18"/>
        </w:rPr>
        <w:t>53%</w:t>
      </w:r>
      <w:r>
        <w:rPr>
          <w:color w:val="000000"/>
          <w:spacing w:val="0"/>
          <w:w w:val="100"/>
          <w:position w:val="0"/>
        </w:rPr>
        <w:t>，管理费用比上年同期增加</w:t>
      </w:r>
      <w:r>
        <w:rPr>
          <w:color w:val="000000"/>
          <w:spacing w:val="0"/>
          <w:w w:val="100"/>
          <w:position w:val="0"/>
          <w:sz w:val="18"/>
          <w:szCs w:val="18"/>
        </w:rPr>
        <w:t xml:space="preserve">1. </w:t>
      </w:r>
      <w:r>
        <w:rPr>
          <w:color w:val="000000"/>
          <w:spacing w:val="0"/>
          <w:w w:val="100"/>
          <w:position w:val="0"/>
          <w:sz w:val="18"/>
          <w:szCs w:val="18"/>
        </w:rPr>
        <w:t>70%，</w:t>
      </w:r>
      <w:r>
        <w:rPr>
          <w:color w:val="000000"/>
          <w:spacing w:val="0"/>
          <w:w w:val="100"/>
          <w:position w:val="0"/>
        </w:rPr>
        <w:t>研发费用比上年同期减少</w:t>
      </w:r>
      <w:r>
        <w:rPr>
          <w:color w:val="000000"/>
          <w:spacing w:val="0"/>
          <w:w w:val="100"/>
          <w:position w:val="0"/>
          <w:sz w:val="18"/>
          <w:szCs w:val="18"/>
        </w:rPr>
        <w:t>11.68%，</w:t>
      </w:r>
      <w:r>
        <w:rPr>
          <w:color w:val="000000"/>
          <w:spacing w:val="0"/>
          <w:w w:val="100"/>
          <w:position w:val="0"/>
        </w:rPr>
        <w:t>财务费用比上年同期减少</w:t>
      </w:r>
      <w:r>
        <w:rPr>
          <w:color w:val="000000"/>
          <w:spacing w:val="0"/>
          <w:w w:val="100"/>
          <w:position w:val="0"/>
          <w:sz w:val="18"/>
          <w:szCs w:val="18"/>
        </w:rPr>
        <w:t xml:space="preserve">5. </w:t>
      </w:r>
      <w:r>
        <w:rPr>
          <w:color w:val="000000"/>
          <w:spacing w:val="0"/>
          <w:w w:val="100"/>
          <w:position w:val="0"/>
          <w:sz w:val="18"/>
          <w:szCs w:val="18"/>
        </w:rPr>
        <w:t xml:space="preserve">74%： </w:t>
      </w:r>
      <w:r>
        <w:rPr>
          <w:color w:val="000000"/>
          <w:spacing w:val="0"/>
          <w:w w:val="100"/>
          <w:position w:val="0"/>
        </w:rPr>
        <w:t>研发费用比上年同期减少主要是职工薪酬减少，财务费用比上年同期减少主要是利息收入增加及汇兑损失减少。</w:t>
      </w:r>
    </w:p>
    <w:p>
      <w:pPr>
        <w:pStyle w:val="Style21"/>
        <w:keepNext w:val="0"/>
        <w:keepLines w:val="0"/>
        <w:widowControl w:val="0"/>
        <w:shd w:val="clear" w:color="auto" w:fill="auto"/>
        <w:tabs>
          <w:tab w:pos="859" w:val="left"/>
        </w:tabs>
        <w:bidi w:val="0"/>
        <w:spacing w:before="0" w:after="380" w:line="312" w:lineRule="exact"/>
        <w:ind w:left="0" w:right="0"/>
        <w:jc w:val="both"/>
      </w:pPr>
      <w:bookmarkStart w:id="104" w:name="bookmark104"/>
      <w:r>
        <w:rPr>
          <w:color w:val="000000"/>
          <w:spacing w:val="0"/>
          <w:w w:val="100"/>
          <w:position w:val="0"/>
          <w:sz w:val="18"/>
          <w:szCs w:val="18"/>
        </w:rPr>
        <w:t>（</w:t>
      </w:r>
      <w:bookmarkEnd w:id="104"/>
      <w:r>
        <w:rPr>
          <w:color w:val="000000"/>
          <w:spacing w:val="0"/>
          <w:w w:val="100"/>
          <w:position w:val="0"/>
          <w:sz w:val="18"/>
          <w:szCs w:val="18"/>
        </w:rPr>
        <w:t>2）</w:t>
        <w:tab/>
      </w:r>
      <w:r>
        <w:rPr>
          <w:color w:val="000000"/>
          <w:spacing w:val="0"/>
          <w:w w:val="100"/>
          <w:position w:val="0"/>
        </w:rPr>
        <w:t>报告期内，公司经营活动产生的现金流量净额较上年同期减少</w:t>
      </w:r>
      <w:r>
        <w:rPr>
          <w:color w:val="000000"/>
          <w:spacing w:val="0"/>
          <w:w w:val="100"/>
          <w:position w:val="0"/>
          <w:sz w:val="18"/>
          <w:szCs w:val="18"/>
        </w:rPr>
        <w:t>11.09%</w:t>
      </w:r>
      <w:r>
        <w:rPr>
          <w:color w:val="000000"/>
          <w:spacing w:val="0"/>
          <w:w w:val="100"/>
          <w:position w:val="0"/>
        </w:rPr>
        <w:t>，主要是报告期购买商品、接受劳务支付的 现金等增加；投资活动产生的现金流量净额较上年同期减少</w:t>
      </w:r>
      <w:r>
        <w:rPr>
          <w:color w:val="000000"/>
          <w:spacing w:val="0"/>
          <w:w w:val="100"/>
          <w:position w:val="0"/>
          <w:sz w:val="18"/>
          <w:szCs w:val="18"/>
        </w:rPr>
        <w:t>27,922.69%，</w:t>
      </w:r>
      <w:r>
        <w:rPr>
          <w:color w:val="000000"/>
          <w:spacing w:val="0"/>
          <w:w w:val="100"/>
          <w:position w:val="0"/>
        </w:rPr>
        <w:t>主要是报告期理财产品到期赎回净额减少；筹资活 动产生的现金流量净额较上年同期减少</w:t>
      </w:r>
      <w:r>
        <w:rPr>
          <w:color w:val="000000"/>
          <w:spacing w:val="0"/>
          <w:w w:val="100"/>
          <w:position w:val="0"/>
          <w:sz w:val="18"/>
          <w:szCs w:val="18"/>
        </w:rPr>
        <w:t xml:space="preserve">168. </w:t>
      </w:r>
      <w:r>
        <w:rPr>
          <w:color w:val="000000"/>
          <w:spacing w:val="0"/>
          <w:w w:val="100"/>
          <w:position w:val="0"/>
          <w:sz w:val="18"/>
          <w:szCs w:val="18"/>
        </w:rPr>
        <w:t>99%，</w:t>
      </w:r>
      <w:r>
        <w:rPr>
          <w:color w:val="000000"/>
          <w:spacing w:val="0"/>
          <w:w w:val="100"/>
          <w:position w:val="0"/>
        </w:rPr>
        <w:t>主要是报告期取得短期借款净额减少。</w:t>
      </w:r>
    </w:p>
    <w:p>
      <w:pPr>
        <w:pStyle w:val="Style32"/>
        <w:keepNext/>
        <w:keepLines/>
        <w:widowControl w:val="0"/>
        <w:shd w:val="clear" w:color="auto" w:fill="auto"/>
        <w:tabs>
          <w:tab w:pos="321"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6"/>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3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2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675,037,781.25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702,712,224.02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园区开发与运营行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42,172274.78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27,763,293.23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32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363,894,344.10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378,187,630.99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软件产品及服务收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311,143,437.15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324,524,593.03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园区开发与运营收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42,172274.78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27,763,293.23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31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30,439,546.61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59,655,775.37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181,449,853.60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150,126,788.28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322,599,498.47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303,182,842.49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159,840,409.67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141,614,692.54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22,880,747.68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75,895,418.57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w:t>
            </w:r>
          </w:p>
        </w:tc>
      </w:tr>
      <w:tr>
        <w:trPr>
          <w:trHeight w:val="312"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18"/>
        <w:gridCol w:w="1008"/>
        <w:gridCol w:w="1008"/>
        <w:gridCol w:w="1008"/>
        <w:gridCol w:w="1013"/>
        <w:gridCol w:w="1008"/>
        <w:gridCol w:w="998"/>
        <w:gridCol w:w="101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152,420,580.7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171,835,628.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122,816,587.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78,016294.6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175,093,677.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163,413,038.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313,952,506.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14,005,244.91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4,446,560.27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10,960,111.0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526,299.48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19,164,310.5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14,475,452.1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23,857,164.9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说明经营季节性（或周期性）发生的原因及波动风险 无</w:t>
      </w:r>
    </w:p>
    <w:p>
      <w:pPr>
        <w:widowControl w:val="0"/>
        <w:spacing w:after="279" w:line="1" w:lineRule="exact"/>
      </w:pPr>
    </w:p>
    <w:p>
      <w:pPr>
        <w:pStyle w:val="Style36"/>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675,037,781.25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422,197,253.88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22"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363,894,344.10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315,352,513.99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软件产品及服务 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311,143,437.15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106,844,739.89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58"/>
        <w:gridCol w:w="1368"/>
        <w:gridCol w:w="1392"/>
      </w:tblGrid>
      <w:tr>
        <w:trPr>
          <w:trHeight w:val="331"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181,449,853.60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75,648,720.91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322,599,498.47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235,615,025.68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159,840,409.67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110,174,645.24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36"/>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94"/>
        <w:gridCol w:w="1598"/>
        <w:gridCol w:w="1594"/>
        <w:gridCol w:w="1589"/>
        <w:gridCol w:w="160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363,894,344.1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378,187,630.99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206,647,151.08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154,296,605.9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库存较上年期末增加，主要是报告期未完工集成项目增加导致。</w:t>
      </w:r>
    </w:p>
    <w:p>
      <w:pPr>
        <w:widowControl w:val="0"/>
        <w:spacing w:after="359" w:line="1" w:lineRule="exact"/>
      </w:pPr>
    </w:p>
    <w:p>
      <w:pPr>
        <w:pStyle w:val="Style36"/>
        <w:keepNext/>
        <w:keepLines/>
        <w:widowControl w:val="0"/>
        <w:shd w:val="clear" w:color="auto" w:fill="auto"/>
        <w:tabs>
          <w:tab w:pos="483" w:val="left"/>
        </w:tabs>
        <w:bidi w:val="0"/>
        <w:spacing w:before="0" w:after="2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1"/>
      <w:bookmarkEnd w:id="122"/>
      <w:bookmarkEnd w:id="124"/>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万元的正在履行的合同情况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tabs>
          <w:tab w:pos="483" w:val="left"/>
        </w:tabs>
        <w:bidi w:val="0"/>
        <w:spacing w:before="0" w:after="2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1"/>
        <w:keepNext w:val="0"/>
        <w:keepLines w:val="0"/>
        <w:widowControl w:val="0"/>
        <w:shd w:val="clear" w:color="auto" w:fill="auto"/>
        <w:bidi w:val="0"/>
        <w:spacing w:before="0" w:after="80" w:line="310" w:lineRule="exact"/>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外购设备及外购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316,432,837.36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303,813,679.43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105,764,416.52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139,828,264.36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园区开发与运营 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折旧、开发成本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30,571,041.31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18219,430.85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r>
    </w:tbl>
    <w:p>
      <w:pPr>
        <w:pStyle w:val="Style26"/>
        <w:keepNext w:val="0"/>
        <w:keepLines w:val="0"/>
        <w:widowControl w:val="0"/>
        <w:shd w:val="clear" w:color="auto" w:fill="auto"/>
        <w:bidi w:val="0"/>
        <w:spacing w:before="0" w:after="120" w:line="326" w:lineRule="exact"/>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315,352,513.99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323,813,679.43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106,844,739.89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119,828,264.36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园区开发与运营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30,571,041.31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18219,430.85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r>
    </w:tbl>
    <w:p>
      <w:pPr>
        <w:widowControl w:val="0"/>
        <w:spacing w:after="339" w:line="1" w:lineRule="exact"/>
      </w:pPr>
    </w:p>
    <w:p>
      <w:pPr>
        <w:pStyle w:val="Style36"/>
        <w:keepNext/>
        <w:keepLines/>
        <w:widowControl w:val="0"/>
        <w:shd w:val="clear" w:color="auto" w:fill="auto"/>
        <w:tabs>
          <w:tab w:pos="483" w:val="left"/>
        </w:tabs>
        <w:bidi w:val="0"/>
        <w:spacing w:before="0" w:after="2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340" w:line="326" w:lineRule="exact"/>
        <w:ind w:left="0" w:right="0" w:firstLine="360"/>
        <w:jc w:val="left"/>
      </w:pPr>
      <w:r>
        <w:rPr>
          <w:color w:val="000000"/>
          <w:spacing w:val="0"/>
          <w:w w:val="100"/>
          <w:position w:val="0"/>
        </w:rPr>
        <w:t>孙公司河南裕信德置业有限公司于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日注销，注销时的资产总额为</w:t>
      </w:r>
      <w:r>
        <w:rPr>
          <w:rFonts w:ascii="Times New Roman" w:eastAsia="Times New Roman" w:hAnsi="Times New Roman" w:cs="Times New Roman"/>
          <w:color w:val="000000"/>
          <w:spacing w:val="0"/>
          <w:w w:val="100"/>
          <w:position w:val="0"/>
          <w:sz w:val="18"/>
          <w:szCs w:val="18"/>
        </w:rPr>
        <w:t>157.12</w:t>
      </w:r>
      <w:r>
        <w:rPr>
          <w:color w:val="000000"/>
          <w:spacing w:val="0"/>
          <w:w w:val="100"/>
          <w:position w:val="0"/>
        </w:rPr>
        <w:t>元。除前述事项外，本期无其 他合并范围变动的事项。</w:t>
      </w:r>
    </w:p>
    <w:p>
      <w:pPr>
        <w:pStyle w:val="Style36"/>
        <w:keepNext/>
        <w:keepLines/>
        <w:widowControl w:val="0"/>
        <w:shd w:val="clear" w:color="auto" w:fill="auto"/>
        <w:tabs>
          <w:tab w:pos="483" w:val="left"/>
        </w:tabs>
        <w:bidi w:val="0"/>
        <w:spacing w:before="0" w:after="2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1"/>
        <w:keepNext w:val="0"/>
        <w:keepLines w:val="0"/>
        <w:widowControl w:val="0"/>
        <w:shd w:val="clear" w:color="auto" w:fill="auto"/>
        <w:bidi w:val="0"/>
        <w:spacing w:before="0" w:after="38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4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101,258,574.18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27,405,726.34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20,931,030.97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19,839,111.28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17,622,455.59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15,460250.00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101,258,574.18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140,884,015.47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59,766,325.88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46,039,379.65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12224,070.80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11,546,479.13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11,307,760.01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140,884,015.47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26.64%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79" w:line="1" w:lineRule="exact"/>
      </w:pPr>
    </w:p>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42205,410.23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41,165,489.88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84,835,029.01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83,413 266.70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23,425,536.13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24,852,330.08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92,693,791.20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104,947,275.12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主要是职工薪酬较上年同期减少所 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20"/>
        <w:gridCol w:w="1622"/>
        <w:gridCol w:w="2256"/>
        <w:gridCol w:w="225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新一代智慧政务大 数据基础服务平台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进一步完善运维服务体 系、加强产业化工作， 完善公司在电子政务领 域的产品线，继续提升 竞争能力，继续保持和 扩大电子政务行业软件 的市场占有率。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通过对数量巨大、来源分散、 格式众多的数据进行采集、 存储和分析，并以可视化图 表的方式直观展示出来，为 数字政府、城市大脑、政务 服务等多领域的建设提供全 面的大数据量化分析服务。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进一步提升产品性能及市场 竞争力，提高用户体验和满 意度</w:t>
            </w:r>
          </w:p>
        </w:tc>
      </w:tr>
      <w:tr>
        <w:trPr>
          <w:trHeight w:val="50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榕基技术能力支撑 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基于大数据分析技术， 通过数据挖掘、自动化 建模的形式，帮助整合、 分析行业数据，实现信 息共享及数据协同，通 过数据驱动业务发展。 通过可视化形式，将数 据结果根据领域模型及 面向对象，精准展示给 对应用户群体，降低数 据读取复杂性，打破各 类用户群体之间的沟通 壁垒，提升决策及风险 防控能力，提高业务运 作效率，提升服务治理 的精准性及有效性。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六大智慧领域，五个 基础平台，一套生态体系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为目标的嵌入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能力的大 数据管理产品。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进一步提升产品性能及市场 竞争力，提高用户体验和满 意度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5"/>
        <w:gridCol w:w="2400"/>
        <w:gridCol w:w="2390"/>
        <w:gridCol w:w="2395"/>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bl>
    <w:p>
      <w:pPr>
        <w:spacing w:lineRule="exact" w:line="1"/>
        <w:rPr>
          <w:sz w:val="2"/>
          <w:szCs w:val="2"/>
        </w:rPr>
      </w:pPr>
      <w:r>
        <w:br w:type="page"/>
      </w:r>
    </w:p>
    <w:tbl>
      <w:tblPr>
        <w:tblOverlap w:val="never"/>
        <w:jc w:val="center"/>
        <w:tblLayout w:type="fixed"/>
      </w:tblPr>
      <w:tblGrid>
        <w:gridCol w:w="2405"/>
        <w:gridCol w:w="2400"/>
        <w:gridCol w:w="2390"/>
        <w:gridCol w:w="23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39" w:line="1" w:lineRule="exact"/>
      </w:pP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105,159,518.80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107,835,471.49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52,937,984.81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43,011,068.80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10.45%</w:t>
            </w:r>
          </w:p>
        </w:tc>
      </w:tr>
    </w:tbl>
    <w:p>
      <w:pPr>
        <w:widowControl w:val="0"/>
        <w:spacing w:after="3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589"/>
        <w:gridCol w:w="4646"/>
        <w:gridCol w:w="960"/>
      </w:tblGrid>
      <w:tr>
        <w:trPr>
          <w:trHeight w:val="5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实施进度</w:t>
            </w:r>
          </w:p>
        </w:tc>
      </w:tr>
      <w:tr>
        <w:trPr>
          <w:trHeight w:val="1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政务内部事项联合审批系统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1,407,157.84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本系统实现行政机关内部的跨单位联合事项办理的全业 务流程一体化，提供事项登记、事项办理、事项审批、办 件跟踪等功能，提供统一用户管理、流程引擎、自定义表 单管理等支撑平台服务，提供事项的转入、分发、反馈等 接口服务。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1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便民服务大数据研判系统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1,969,992.65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通过便民服务大数据研判系统的建设，对各省直、各设区 市</w:t>
            </w:r>
            <w:r>
              <w:rPr>
                <w:rFonts w:ascii="Times New Roman" w:eastAsia="Times New Roman" w:hAnsi="Times New Roman" w:cs="Times New Roman"/>
                <w:color w:val="000000"/>
                <w:spacing w:val="0"/>
                <w:w w:val="100"/>
                <w:position w:val="0"/>
                <w:sz w:val="18"/>
                <w:szCs w:val="18"/>
              </w:rPr>
              <w:t>12345</w:t>
            </w:r>
            <w:r>
              <w:rPr>
                <w:color w:val="000000"/>
                <w:spacing w:val="0"/>
                <w:w w:val="100"/>
                <w:position w:val="0"/>
              </w:rPr>
              <w:t>便民服务平台数据进行分析，对市民、企业的诉 求进行更深层次的分析和挖掘，运用大数据分析技术主动 整理汇聚市民、企业关心的热点、社会舆情的焦点，深度 挖掘分析事件之间关联关系，形成辅助分析报告，为政府 了解民生民意、科学决策提供支撑。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8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移动会议智能一体化平台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1,390,362.19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基于国产基础软硬件平台设计运行。该产品遵循国家规范 标准，是一个基于</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的混合架构的智能一体化平台， 由移动端会议审批、文件同屏、移动文件安全等组件服务 构成，将多种信息化、智能化技术融入会议的各个环节， 为与会各方提供极为便捷实用的会议平台，同时也带来全 新的会议体验。解决传统的会议模式因为效率低、应变能 力差、表现形式单一、设备操作复杂、资源浪费严重以及 安全保密隐患等诸多问题。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bl>
    <w:p>
      <w:pPr>
        <w:spacing w:lineRule="exact" w:line="1"/>
        <w:rPr>
          <w:sz w:val="2"/>
          <w:szCs w:val="2"/>
        </w:rPr>
      </w:pPr>
      <w:r>
        <w:br w:type="page"/>
      </w:r>
    </w:p>
    <w:tbl>
      <w:tblPr>
        <w:tblOverlap w:val="never"/>
        <w:jc w:val="center"/>
        <w:tblLayout w:type="fixed"/>
      </w:tblPr>
      <w:tblGrid>
        <w:gridCol w:w="2395"/>
        <w:gridCol w:w="1589"/>
        <w:gridCol w:w="4646"/>
        <w:gridCol w:w="960"/>
      </w:tblGrid>
      <w:tr>
        <w:trPr>
          <w:trHeight w:val="21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榕基微商城销售平台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1,919,766.15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榕基微商城销售平台开发完成后可实现基于互联网模式 的微商城销售平台，平台实现公众号、小程序、</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数 据云中台的互联互通和信息共享，以及实现开启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社群</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消费新模式，通过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化模式集中化管理运 营，降低企业电商入门门槛，助力政府、企业、商户、个 体户打开新的销售渠道及走上互联网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社群电商模式。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外贸智能证单自助打印平台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39,658.27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通过建立专门的外贸智能证单自助打印平台，为进出口企 业、全国消费者提供检验检疫证书自助查询与打印服务， 将前检验检疫进出口货物的纸质检验检疫证书变革为电 子证书，简化检验检疫证书制证、签发一系列流程，加快 货物进出境通关效率。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4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2,108,012.01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本项目是以成型的指标体系及管理方法促进科技与业务 的融合，精准高效落地可视化展示，提供多维度的数据分 析，为管理者决策提供数据支撑。通过配置化的形式直连 或采集企业内外多种数据源，包括各类数据库、大数据平 台、网络爬虫、</w:t>
            </w:r>
            <w:r>
              <w:rPr>
                <w:rFonts w:ascii="Times New Roman" w:eastAsia="Times New Roman" w:hAnsi="Times New Roman" w:cs="Times New Roman"/>
                <w:color w:val="000000"/>
                <w:spacing w:val="0"/>
                <w:w w:val="100"/>
                <w:position w:val="0"/>
                <w:sz w:val="18"/>
                <w:szCs w:val="18"/>
              </w:rPr>
              <w:t>FTP</w:t>
            </w:r>
            <w:r>
              <w:rPr>
                <w:color w:val="000000"/>
                <w:spacing w:val="0"/>
                <w:w w:val="100"/>
                <w:position w:val="0"/>
              </w:rPr>
              <w:t>文件等资源，全方位满足</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基于 全面数据的个性化业务场景定制及管理需求，满足</w:t>
            </w:r>
            <w:r>
              <w:rPr>
                <w:rFonts w:ascii="Times New Roman" w:eastAsia="Times New Roman" w:hAnsi="Times New Roman" w:cs="Times New Roman"/>
                <w:color w:val="000000"/>
                <w:spacing w:val="0"/>
                <w:w w:val="100"/>
                <w:position w:val="0"/>
                <w:sz w:val="18"/>
                <w:szCs w:val="18"/>
              </w:rPr>
              <w:t xml:space="preserve">CEO </w:t>
            </w:r>
            <w:r>
              <w:rPr>
                <w:color w:val="000000"/>
                <w:spacing w:val="0"/>
                <w:w w:val="100"/>
                <w:position w:val="0"/>
              </w:rPr>
              <w:t>对企业指标的管控、查询、分析等多样化场景。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4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智慧法院智能审判业务系统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1,553,425.25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系统基于人民法院信息化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版规划而建设，采用以文书 驱动为中心设定业务模块和工作流程，从根本上改变了传 统数据录入和立案审案的工作模式。系统通过</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图文 识别、语义分析等技术实现收案、当事人自助登记、立案、 分案、开庭、合议、结案、生效、上诉和归档的整个案件 审理周期全过程、全流程辅助法官办案。系统以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信息共 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为目标，构建了智能、灵活的数据交换 平台，支撑上下级法院、跨辖区法院，以及法院与公安、 检察院、司法行政机关等政法相关单位之间的业务协作， 实现以省为单位司法数据的汇聚、共享，并最终实现全省 法院案件数据向最高院数据平台集中汇聚，使法院审判工 作形成一个规范的、有序的、共享的整体。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31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离退休老干部服务管理系统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1,035,792.01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为进一步落实中组部提出的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离休干部是个特殊群体，始 终是我们工作的重点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要求，坚持以人为本、服务至上的 理念，结合现阶段离退休干部管理工作需求及发展趋势， 各地老干部局迫切需要建设一套涵盖全省离退休干部管 理工作的信息化系统，实现离退休干部管理工作的信息化 应用，全面提高各级部门的离退休干部管理工作水平及效 率，通过信息化手段保障工作的顺利开展。建设内容包括： 基础档案管理、老干部慰问管理、健康档案管理、组织生 活管理、政治学习管理、困难补助管理、养老服务管理、 信访管理、政策业务管理等。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bl>
    <w:p>
      <w:pPr>
        <w:spacing w:lineRule="exact" w:line="1"/>
        <w:rPr>
          <w:sz w:val="2"/>
          <w:szCs w:val="2"/>
        </w:rPr>
      </w:pPr>
      <w:r>
        <w:br w:type="page"/>
      </w:r>
    </w:p>
    <w:tbl>
      <w:tblPr>
        <w:tblOverlap w:val="never"/>
        <w:jc w:val="center"/>
        <w:tblLayout w:type="fixed"/>
      </w:tblPr>
      <w:tblGrid>
        <w:gridCol w:w="2395"/>
        <w:gridCol w:w="1589"/>
        <w:gridCol w:w="4646"/>
        <w:gridCol w:w="960"/>
      </w:tblGrid>
      <w:tr>
        <w:trPr>
          <w:trHeight w:val="24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榕基电子公文归档一体化平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961,142.58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本产品提供以公文流转、归档为核心，实现了公文的收发、 处理、归档和管理的一体化电子管理平台。该一体化平台 主要包括电子公文的起草或登记，审核、会签、签发、批 阅、归档等工作以及过程的催办、反馈、查询与统计等， 实现对归档电子公文的统一收集、归档、保管、利用、移 交等功能，提供用户管理、日志管理等服务。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1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榕基政务数据共享利用平台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1,367,165.22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本平台将基于国产基础软硬件平台设计运行，采集原始业 务数据，并根据相关规范和业务规则对原始数据进行清洗 比对，形成标准化的整合数据库，基于整合数据库进行目 录编制，提供政务数据共享利用，将会极大推动政府部门 所有横向和纵向的政务信息资源整合共享建设。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4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就业促进服务管理平台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1,022,820.41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本项目通过建设就业促进服务管理平台，加强部门协同事 务处理，构件高效考核体系，实现管理功能融合化，业务 工作项目化，达到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职能整合、业务磨合、工作融合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 作效果。包括就业补贴子系统、创业服务子系统、职业培 训子系统、资金上会子系统、失业保险子系统、统计分析 子系统、调查摸底子系统、系统管理、公共服务以及门户。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6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繁简分流和速裁办案平台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817,455.12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通过繁简分流和调解平台的建设，推进案件繁简分流机制 改革，探索案件繁简分流新机制，科学调配和高效运用审 判资源，有效实现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简案快审、繁案精审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的分流目标。通 过诉讼环节、案件类型以及涉案要素三个方面细化案件分 流标准，形成多维度的分流处理机制。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20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新一代智慧政务大数据基础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10,598,822.36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榕基智慧政务大数据基础服务平台遵循国家规范标准，是 一个基于</w:t>
            </w:r>
            <w:r>
              <w:rPr>
                <w:rFonts w:ascii="Times New Roman" w:eastAsia="Times New Roman" w:hAnsi="Times New Roman" w:cs="Times New Roman"/>
                <w:color w:val="000000"/>
                <w:spacing w:val="0"/>
                <w:w w:val="100"/>
                <w:position w:val="0"/>
                <w:sz w:val="18"/>
                <w:szCs w:val="18"/>
              </w:rPr>
              <w:t>J2EE+SOA+</w:t>
            </w:r>
            <w:r>
              <w:rPr>
                <w:color w:val="000000"/>
                <w:spacing w:val="0"/>
                <w:w w:val="100"/>
                <w:position w:val="0"/>
              </w:rPr>
              <w:t>云部署相结合的基础服务平台，通 过对数量巨大、来源分散、格式众多的数据进行采集、存 储和分析，并以可视化图表的方式直观展示出来，为数字 政府、城市大脑、政务服务等多领域的建设提供全面的大 数据量化分析服务。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2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榕基视频专网安全管理系统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2,168,167.37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根据智能视频监控市场发展需求，结合物联网技术与网络 安全技术，在全新的物联网安全领域研发智慧视频专网安 全检测监控相关关键技术，并形成的视频专网安全检测产 品，能够针对物联网</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视频感知设备进行检测，为测 评机构及公安交警行业等用户提供视频监控专网设备安 全检测，识别出视频监控设备已知和未知的漏洞，以及视 频网络服务配置协议等缺陷。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spacing w:lineRule="exact" w:line="1"/>
        <w:rPr>
          <w:sz w:val="2"/>
          <w:szCs w:val="2"/>
        </w:rPr>
      </w:pPr>
      <w:r>
        <w:br w:type="page"/>
      </w:r>
    </w:p>
    <w:tbl>
      <w:tblPr>
        <w:tblOverlap w:val="never"/>
        <w:jc w:val="center"/>
        <w:tblLayout w:type="fixed"/>
      </w:tblPr>
      <w:tblGrid>
        <w:gridCol w:w="2395"/>
        <w:gridCol w:w="1589"/>
        <w:gridCol w:w="4646"/>
        <w:gridCol w:w="960"/>
      </w:tblGrid>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立案风险自动提醒拦截系统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2,148,151.58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立案风险自动提醒拦截系统建设完成后将智能辅助福建 法院立案人员快速准确排查风险，节省人工筛查时间，有 效提高办案办公效率；有效助力福建法院整治拖延立案、 限制立案、久调不立等违反立案登记制的顽瘴痼疾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21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榕基云打印服务平台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2,017,375.58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榕基云打印服务平台完成后将有效解决政府机关单位、企 业的打印需求，实现了灵活可配置打印、多种服务调用接 口、复杂业务定制服务，来满足用户所见即所得，无需培 训要求；调用傻瓜，无门槛；定制服务，功能全覆盖；服 务各行各业各种差异化打印需求的打印服务平台，极大提 高了报表生成打印效率。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信息化项目管理系统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1,269,019.74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本项目根据福建省高级人民法院的要求实现全省法院信 息化项目立项、招标、实施、验收、运维、成果、备案的 全过程管理，同时对信息化建设相关的资金使用情况、政 策法规、评审专家等进行电子化管理。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21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榕基安全可靠一体化会议管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1,156,700.65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榕基安全可靠一体化会议管理系统，基于国产基础软硬件 平台设计运行。该产品遵循国家规范标准，是一个基于 </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的混合架构的一体化会议管理系统，由</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端会议审 批、移动端文件同屏、移动文件安全等组件服务构成，将 多种信息化、智能化技术融入会议的各个环节，真正实现 便捷智能的会议管理系统。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3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榕基安全可靠一体化数字档 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2,291,466.74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榕基安全可靠一体化会议管理系统开发完成后实现云计 算环境下安全可靠智能化的数字档案管理平台，符合技术 发展趋势，遵循数字档案室建设指南，形成具有地方政府 特色云计算环境下的安全可靠智能化档案管理平台、提供 安全可靠基础软硬件平台集成、适配、调优技术和整体解 决方案。有利于助推电子政务行业安全可靠智能化系统的 推广和国产化替代速度，带动安全可靠上游基础软硬件厂 商和下游应用服务厂商共同发展，为安全可靠党政机关智 能化档案管理平台发展提供示范应用，提升党政机关档案 管理水平，为国家安全可靠产业提供助力和有力保障。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242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廉政谈话系统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1,266,494.56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廉政谈话系统由公司负责成立项目组，负责需求调研、产 品设计、系统设计、开发和测试工作。开发完成后整合电 子笔录子系统、录音录像子系统、集中刻录子系统，提供 谈话系统信息收集利用能力、指挥协调能力、快速反应能 力、联合作战能力；实现谈话电子化、规范化、确保办案 人员的执法规范化、保障被谈话人员的合法权益、客观公 正谈话的全过程、有效反击事后翻供现象。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spacing w:lineRule="exact" w:line="1"/>
        <w:rPr>
          <w:sz w:val="2"/>
          <w:szCs w:val="2"/>
        </w:rPr>
      </w:pPr>
      <w:r>
        <w:br w:type="page"/>
      </w:r>
    </w:p>
    <w:tbl>
      <w:tblPr>
        <w:tblOverlap w:val="never"/>
        <w:jc w:val="center"/>
        <w:tblLayout w:type="fixed"/>
      </w:tblPr>
      <w:tblGrid>
        <w:gridCol w:w="2395"/>
        <w:gridCol w:w="1589"/>
        <w:gridCol w:w="4646"/>
        <w:gridCol w:w="960"/>
      </w:tblGrid>
      <w:tr>
        <w:trPr>
          <w:trHeight w:val="17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无纸化干部任免上会系统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620,032.77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无纸化干部任免上会系统以《全国组织干部人事管理信息 系统信息结构体系标准》《干部选拔任用条例》《公务员职 务与职级并行规定》等相关文件为规范标准，为组织部门 提供高效便捷的干部任免上会功能，提人事任免工作效 率，为领导决策提供数据支撑。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3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榕基技术能力支撑服务平台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9,147,752.06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榕基技术能力支撑平台</w:t>
            </w:r>
            <w:r>
              <w:rPr>
                <w:rFonts w:ascii="Times New Roman" w:eastAsia="Times New Roman" w:hAnsi="Times New Roman" w:cs="Times New Roman"/>
                <w:color w:val="000000"/>
                <w:spacing w:val="0"/>
                <w:w w:val="100"/>
                <w:position w:val="0"/>
                <w:sz w:val="18"/>
                <w:szCs w:val="18"/>
              </w:rPr>
              <w:t>RJ-TCSP</w:t>
            </w:r>
            <w:r>
              <w:rPr>
                <w:color w:val="000000"/>
                <w:spacing w:val="0"/>
                <w:w w:val="100"/>
                <w:position w:val="0"/>
              </w:rPr>
              <w:t>基于大数据分析技术， 通过数据挖掘、自动化建模的形式，帮助整合、分析行业 数据，实现信息共享及数据协同，通过数据驱动业务发展。 通过可视化形式，将数据结果根据领域模型及面向对象， 精准展示给对应用户群体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降低数据读取复杂性，打破各 类用户群体之间的沟通壁垒，提升决策及风险防控能力， 提高业务运作效率，提升服务治理的精准性及有效性。与 物联网技术结合实现集智能信息采集、数据治理、数据应 用、指令落地等全决策链条闭环联动。平台通过一站式的 数据分析梳理，实现数据分析五层目标。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r>
        <w:trPr>
          <w:trHeight w:val="14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榕基疫情防控管理系统软件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1,271,546.01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榕基疫情防控管理系统软件主要针对政府部门，建设包括 精密智控指数管理、交办单、精密指控大屏展示几部分构 成，实现精密指控全流程交办、打分和结果晾晒功能。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榕基因私出入境审批系统软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件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1,607,634.23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榕基因私出入境审批系统软件主要针对政府部门，根据 《国家工作人员因私出国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管理工作操作规范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浙公通字</w:t>
            </w:r>
            <w:r>
              <w:rPr>
                <w:rFonts w:ascii="Times New Roman" w:eastAsia="Times New Roman" w:hAnsi="Times New Roman" w:cs="Times New Roman"/>
                <w:color w:val="000000"/>
                <w:spacing w:val="0"/>
                <w:w w:val="100"/>
                <w:position w:val="0"/>
                <w:sz w:val="18"/>
                <w:szCs w:val="18"/>
              </w:rPr>
              <w:t>C2015058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等文件规定的要求，对公务员因 私出国进行统一化、规范化线上管理。并实现在线审批和 证件管理功能。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r>
        <w:trPr>
          <w:trHeight w:val="1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榕基领导批示审批系统软件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1,782,071.46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榕基领导批示审批系统软件主要由数据看板、批示检索、 批示办理、所有批示、领导批示专报、批示统计几部分构 成，从而实现领导批示的在线起草、在线审批、在线分办、 在线起草专报、办理结果晾晒。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r>
    </w:tbl>
    <w:p>
      <w:pPr>
        <w:pStyle w:val="Style26"/>
        <w:keepNext w:val="0"/>
        <w:keepLines w:val="0"/>
        <w:widowControl w:val="0"/>
        <w:shd w:val="clear" w:color="auto" w:fill="auto"/>
        <w:bidi w:val="0"/>
        <w:spacing w:before="0" w:after="0" w:line="240" w:lineRule="auto"/>
        <w:ind w:left="336" w:right="0" w:firstLine="0"/>
        <w:jc w:val="left"/>
      </w:pPr>
      <w:r>
        <w:rPr>
          <w:color w:val="000000"/>
          <w:spacing w:val="0"/>
          <w:w w:val="100"/>
          <w:position w:val="0"/>
          <w:sz w:val="18"/>
          <w:szCs w:val="18"/>
        </w:rPr>
        <w:t>（1）</w:t>
      </w:r>
      <w:r>
        <w:rPr>
          <w:color w:val="000000"/>
          <w:spacing w:val="0"/>
          <w:w w:val="100"/>
          <w:position w:val="0"/>
        </w:rPr>
        <w:t>公司目前资本化的研发支出项目中，项目均在研发测试阶段，公司完成该无形资产以使其能够使用或者出售在技</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术上具有可行性；</w:t>
      </w:r>
    </w:p>
    <w:p>
      <w:pPr>
        <w:pStyle w:val="Style21"/>
        <w:keepNext w:val="0"/>
        <w:keepLines w:val="0"/>
        <w:widowControl w:val="0"/>
        <w:shd w:val="clear" w:color="auto" w:fill="auto"/>
        <w:tabs>
          <w:tab w:pos="891" w:val="left"/>
        </w:tabs>
        <w:bidi w:val="0"/>
        <w:spacing w:before="0" w:after="0" w:line="326" w:lineRule="exact"/>
        <w:ind w:left="0" w:right="0"/>
        <w:jc w:val="left"/>
      </w:pPr>
      <w:bookmarkStart w:id="149" w:name="bookmark149"/>
      <w:r>
        <w:rPr>
          <w:color w:val="000000"/>
          <w:spacing w:val="0"/>
          <w:w w:val="100"/>
          <w:position w:val="0"/>
          <w:sz w:val="18"/>
          <w:szCs w:val="18"/>
        </w:rPr>
        <w:t>（</w:t>
      </w:r>
      <w:bookmarkEnd w:id="149"/>
      <w:r>
        <w:rPr>
          <w:color w:val="000000"/>
          <w:spacing w:val="0"/>
          <w:w w:val="100"/>
          <w:position w:val="0"/>
          <w:sz w:val="18"/>
          <w:szCs w:val="18"/>
        </w:rPr>
        <w:t>2）</w:t>
        <w:tab/>
      </w:r>
      <w:r>
        <w:rPr>
          <w:color w:val="000000"/>
          <w:spacing w:val="0"/>
          <w:w w:val="100"/>
          <w:position w:val="0"/>
        </w:rPr>
        <w:t>公司所有研发支出项目均是针对特定市场需求进行相关开发，以备将来出售，具有完成该无形资产并使用或出售 的意图；</w:t>
      </w:r>
    </w:p>
    <w:p>
      <w:pPr>
        <w:pStyle w:val="Style21"/>
        <w:keepNext w:val="0"/>
        <w:keepLines w:val="0"/>
        <w:widowControl w:val="0"/>
        <w:shd w:val="clear" w:color="auto" w:fill="auto"/>
        <w:tabs>
          <w:tab w:pos="901" w:val="left"/>
        </w:tabs>
        <w:bidi w:val="0"/>
        <w:spacing w:before="0" w:after="0" w:line="326" w:lineRule="exact"/>
        <w:ind w:left="0" w:right="0"/>
        <w:jc w:val="left"/>
      </w:pPr>
      <w:bookmarkStart w:id="150" w:name="bookmark150"/>
      <w:r>
        <w:rPr>
          <w:color w:val="000000"/>
          <w:spacing w:val="0"/>
          <w:w w:val="100"/>
          <w:position w:val="0"/>
          <w:sz w:val="18"/>
          <w:szCs w:val="18"/>
        </w:rPr>
        <w:t>（</w:t>
      </w:r>
      <w:bookmarkEnd w:id="150"/>
      <w:r>
        <w:rPr>
          <w:color w:val="000000"/>
          <w:spacing w:val="0"/>
          <w:w w:val="100"/>
          <w:position w:val="0"/>
          <w:sz w:val="18"/>
          <w:szCs w:val="18"/>
        </w:rPr>
        <w:t>3）</w:t>
        <w:tab/>
      </w:r>
      <w:r>
        <w:rPr>
          <w:color w:val="000000"/>
          <w:spacing w:val="0"/>
          <w:w w:val="100"/>
          <w:position w:val="0"/>
        </w:rPr>
        <w:t>公司所有研发支出资本化项目均会形成测试版软件，表明公司运用该无形资产生产的产品存在市场或无形资产自 身存在市场；</w:t>
      </w:r>
    </w:p>
    <w:p>
      <w:pPr>
        <w:pStyle w:val="Style21"/>
        <w:keepNext w:val="0"/>
        <w:keepLines w:val="0"/>
        <w:widowControl w:val="0"/>
        <w:shd w:val="clear" w:color="auto" w:fill="auto"/>
        <w:tabs>
          <w:tab w:pos="906" w:val="left"/>
        </w:tabs>
        <w:bidi w:val="0"/>
        <w:spacing w:before="0" w:after="80" w:line="331" w:lineRule="exact"/>
        <w:ind w:left="0" w:right="0"/>
        <w:jc w:val="left"/>
      </w:pPr>
      <w:bookmarkStart w:id="151" w:name="bookmark151"/>
      <w:r>
        <w:rPr>
          <w:color w:val="000000"/>
          <w:spacing w:val="0"/>
          <w:w w:val="100"/>
          <w:position w:val="0"/>
          <w:sz w:val="18"/>
          <w:szCs w:val="18"/>
        </w:rPr>
        <w:t>（</w:t>
      </w:r>
      <w:bookmarkEnd w:id="151"/>
      <w:r>
        <w:rPr>
          <w:color w:val="000000"/>
          <w:spacing w:val="0"/>
          <w:w w:val="100"/>
          <w:position w:val="0"/>
          <w:sz w:val="18"/>
          <w:szCs w:val="18"/>
        </w:rPr>
        <w:t>4）</w:t>
        <w:tab/>
      </w:r>
      <w:r>
        <w:rPr>
          <w:color w:val="000000"/>
          <w:spacing w:val="0"/>
          <w:w w:val="100"/>
          <w:position w:val="0"/>
        </w:rPr>
        <w:t>公司掌握研发支出资本化项目的核心技术，有能力完成相关无形资产的研发，表明公司有足够的技术、财务资源 和其他资源支持，以完成该无形资产的开发，并有能力出售该无形资产；</w:t>
      </w:r>
    </w:p>
    <w:p>
      <w:pPr>
        <w:pStyle w:val="Style21"/>
        <w:keepNext w:val="0"/>
        <w:keepLines w:val="0"/>
        <w:widowControl w:val="0"/>
        <w:shd w:val="clear" w:color="auto" w:fill="auto"/>
        <w:tabs>
          <w:tab w:pos="830" w:val="left"/>
        </w:tabs>
        <w:bidi w:val="0"/>
        <w:spacing w:before="0" w:after="400" w:line="240" w:lineRule="auto"/>
        <w:ind w:left="0" w:right="0"/>
        <w:jc w:val="left"/>
      </w:pPr>
      <w:bookmarkStart w:id="152" w:name="bookmark152"/>
      <w:r>
        <w:rPr>
          <w:color w:val="000000"/>
          <w:spacing w:val="0"/>
          <w:w w:val="100"/>
          <w:position w:val="0"/>
          <w:sz w:val="18"/>
          <w:szCs w:val="18"/>
        </w:rPr>
        <w:t>（</w:t>
      </w:r>
      <w:bookmarkEnd w:id="152"/>
      <w:r>
        <w:rPr>
          <w:color w:val="000000"/>
          <w:spacing w:val="0"/>
          <w:w w:val="100"/>
          <w:position w:val="0"/>
          <w:sz w:val="18"/>
          <w:szCs w:val="18"/>
        </w:rPr>
        <w:t>5）</w:t>
        <w:tab/>
      </w:r>
      <w:r>
        <w:rPr>
          <w:color w:val="000000"/>
          <w:spacing w:val="0"/>
          <w:w w:val="100"/>
          <w:position w:val="0"/>
        </w:rPr>
        <w:t>公司资本化研发支出分部门按项目统计相关支出，归属于该无形资产开发阶段的支出能够可靠地计量。</w:t>
      </w:r>
    </w:p>
    <w:p>
      <w:pPr>
        <w:pStyle w:val="Style32"/>
        <w:keepNext/>
        <w:keepLines/>
        <w:widowControl w:val="0"/>
        <w:shd w:val="clear" w:color="auto" w:fill="auto"/>
        <w:bidi w:val="0"/>
        <w:spacing w:before="0" w:after="2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825,695,737.94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825,747,644.46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761,477,981.06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753,523,065.83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64217,756.88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72224,578.63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324,002,156.97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1,270,662,439.67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-74.50%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515,664,914.25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1,269,973,567.51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-59.40%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-191,662,757.28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-27,922.69%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1,061,021,000.00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1,184,826,355.70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1,017,788,561.62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-29,826,355.70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43,232,438.38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-159,462,269.67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109,567,160.95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-245.54%</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330" w:val="left"/>
        </w:tabs>
        <w:bidi w:val="0"/>
        <w:spacing w:before="0" w:after="10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1</w:t>
      </w:r>
      <w:bookmarkEnd w:id="157"/>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sz w:val="18"/>
          <w:szCs w:val="18"/>
        </w:rPr>
        <w:t>27,922.69%</w:t>
      </w:r>
      <w:r>
        <w:rPr>
          <w:color w:val="000000"/>
          <w:spacing w:val="0"/>
          <w:w w:val="100"/>
          <w:position w:val="0"/>
        </w:rPr>
        <w:t>，主要是报告期理财产品到期赎回净额减少所致。</w:t>
      </w:r>
    </w:p>
    <w:p>
      <w:pPr>
        <w:pStyle w:val="Style21"/>
        <w:keepNext w:val="0"/>
        <w:keepLines w:val="0"/>
        <w:widowControl w:val="0"/>
        <w:shd w:val="clear" w:color="auto" w:fill="auto"/>
        <w:tabs>
          <w:tab w:pos="349" w:val="left"/>
        </w:tabs>
        <w:bidi w:val="0"/>
        <w:spacing w:before="0" w:after="10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2</w:t>
      </w:r>
      <w:bookmarkEnd w:id="158"/>
      <w:r>
        <w:rPr>
          <w:color w:val="000000"/>
          <w:spacing w:val="0"/>
          <w:w w:val="100"/>
          <w:position w:val="0"/>
        </w:rPr>
        <w:t>、</w:t>
        <w:tab/>
        <w:t>筹资活动产生的现金流量净额较上年同期减少</w:t>
      </w:r>
      <w:r>
        <w:rPr>
          <w:rFonts w:ascii="Times New Roman" w:eastAsia="Times New Roman" w:hAnsi="Times New Roman" w:cs="Times New Roman"/>
          <w:color w:val="000000"/>
          <w:spacing w:val="0"/>
          <w:w w:val="100"/>
          <w:position w:val="0"/>
          <w:sz w:val="18"/>
          <w:szCs w:val="18"/>
        </w:rPr>
        <w:t>168.99%</w:t>
      </w:r>
      <w:r>
        <w:rPr>
          <w:color w:val="000000"/>
          <w:spacing w:val="0"/>
          <w:w w:val="100"/>
          <w:position w:val="0"/>
        </w:rPr>
        <w:t>，主要是报告期取得短期借款净额减少所致。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因本报告期无形资产摊销、折旧、利息支出金额较大导致经营活动产生的现金净流量与净利润存在重大差异。</w:t>
      </w:r>
    </w:p>
    <w:p>
      <w:pPr>
        <w:pStyle w:val="Style24"/>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五</w:t>
      </w:r>
      <w:bookmarkEnd w:id="161"/>
      <w:r>
        <w:rPr>
          <w:color w:val="000000"/>
          <w:spacing w:val="0"/>
          <w:w w:val="100"/>
          <w:position w:val="0"/>
          <w:sz w:val="24"/>
          <w:szCs w:val="24"/>
        </w:rPr>
        <w:t>、非主营业务分析</w:t>
      </w:r>
      <w:bookmarkEnd w:id="159"/>
      <w:bookmarkEnd w:id="160"/>
      <w:bookmarkEnd w:id="162"/>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536"/>
        <w:gridCol w:w="1920"/>
        <w:gridCol w:w="1622"/>
        <w:gridCol w:w="2160"/>
        <w:gridCol w:w="235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12,659,736.62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理财收益、对联营企业的投 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对联营企业的投资收益可持 续，理财收益不具有可持续性</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-4,139,473.39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主要是存货跌价及合同资 产减值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191,257.58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主要是保险赔偿收入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815,236.76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主要是发放单位补助款计 算有误退回及对外捐赠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六</w:t>
      </w:r>
      <w:bookmarkEnd w:id="165"/>
      <w:r>
        <w:rPr>
          <w:color w:val="000000"/>
          <w:spacing w:val="0"/>
          <w:w w:val="100"/>
          <w:position w:val="0"/>
          <w:sz w:val="24"/>
          <w:szCs w:val="24"/>
        </w:rPr>
        <w:t>、资产及负债状况分析</w:t>
      </w:r>
      <w:bookmarkEnd w:id="163"/>
      <w:bookmarkEnd w:id="164"/>
      <w:bookmarkEnd w:id="166"/>
    </w:p>
    <w:p>
      <w:pPr>
        <w:pStyle w:val="Style32"/>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598"/>
        <w:gridCol w:w="859"/>
        <w:gridCol w:w="1411"/>
        <w:gridCol w:w="854"/>
        <w:gridCol w:w="998"/>
        <w:gridCol w:w="2482"/>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4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608"/>
        <w:gridCol w:w="854"/>
        <w:gridCol w:w="1416"/>
        <w:gridCol w:w="854"/>
        <w:gridCol w:w="998"/>
        <w:gridCol w:w="2482"/>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312,092,896.54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主要是报告期理财产品到期赎 回净额及借款净额减少所致。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152,847,521.00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14,793,303.41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1,154,254,376.05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93,971,895.11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130,205,203.11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17206,069.22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11,348,805.05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569,510,645.20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152,556,921.49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10,965,221.32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境外资产占比较高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4"/>
        <w:gridCol w:w="1094"/>
        <w:gridCol w:w="1090"/>
        <w:gridCol w:w="1099"/>
        <w:gridCol w:w="1090"/>
        <w:gridCol w:w="960"/>
        <w:gridCol w:w="970"/>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320,505,000.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12,471,704.3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110,761,462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184,939,758.6</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12,471,704.3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320,505,000.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138,506,462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184,939,758.6</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12,471,704.3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320,505,000.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138,506,462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p>
      <w:pPr>
        <w:pStyle w:val="Style26"/>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单位：元</w:t>
      </w:r>
    </w:p>
    <w:tbl>
      <w:tblPr>
        <w:tblOverlap w:val="never"/>
        <w:jc w:val="center"/>
        <w:tblLayout w:type="fixed"/>
      </w:tblPr>
      <w:tblGrid>
        <w:gridCol w:w="1997"/>
        <w:gridCol w:w="3691"/>
        <w:gridCol w:w="3845"/>
      </w:tblGrid>
      <w:tr>
        <w:trPr>
          <w:trHeight w:val="33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4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3,208.33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应计利息</w:t>
            </w:r>
          </w:p>
        </w:tc>
      </w:tr>
    </w:tbl>
    <w:tbl>
      <w:tblPr>
        <w:tblOverlap w:val="never"/>
        <w:jc w:val="center"/>
        <w:tblLayout w:type="fixed"/>
      </w:tblPr>
      <w:tblGrid>
        <w:gridCol w:w="1992"/>
        <w:gridCol w:w="3696"/>
        <w:gridCol w:w="3845"/>
      </w:tblGrid>
      <w:tr>
        <w:trPr>
          <w:trHeight w:val="4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16,663,583.18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保函保证金、履约保证金</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银行承兑汇票保证金</w:t>
            </w:r>
          </w:p>
        </w:tc>
      </w:tr>
      <w:tr>
        <w:trPr>
          <w:trHeight w:val="15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债权投资对应的借款于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日提前结 清，中国农业银行股份有限公司福州鼓楼支行未 及时办理解押手续，于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月办理了解押手 续，在此期间该笔大额存单未对任何融资提供质 押担保。</w:t>
            </w:r>
          </w:p>
        </w:tc>
      </w:tr>
      <w:tr>
        <w:trPr>
          <w:trHeight w:val="43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120,486,713.20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sz w:val="24"/>
          <w:szCs w:val="24"/>
        </w:rPr>
        <w:t>七</w:t>
      </w:r>
      <w:bookmarkEnd w:id="181"/>
      <w:r>
        <w:rPr>
          <w:color w:val="000000"/>
          <w:spacing w:val="0"/>
          <w:w w:val="100"/>
          <w:position w:val="0"/>
          <w:sz w:val="24"/>
          <w:szCs w:val="24"/>
        </w:rPr>
        <w:t>、投资状况分析</w:t>
      </w:r>
      <w:bookmarkEnd w:id="179"/>
      <w:bookmarkEnd w:id="180"/>
      <w:bookmarkEnd w:id="182"/>
    </w:p>
    <w:p>
      <w:pPr>
        <w:pStyle w:val="Style32"/>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2"/>
        <w:keepNext/>
        <w:keepLines/>
        <w:widowControl w:val="0"/>
        <w:shd w:val="clear" w:color="auto" w:fill="auto"/>
        <w:tabs>
          <w:tab w:pos="368" w:val="left"/>
        </w:tabs>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金融资产投资</w:t>
      </w:r>
      <w:bookmarkEnd w:id="195"/>
      <w:bookmarkEnd w:id="196"/>
      <w:bookmarkEnd w:id="198"/>
    </w:p>
    <w:p>
      <w:pPr>
        <w:pStyle w:val="Style36"/>
        <w:keepNext/>
        <w:keepLines/>
        <w:widowControl w:val="0"/>
        <w:shd w:val="clear" w:color="auto" w:fill="auto"/>
        <w:tabs>
          <w:tab w:pos="483" w:val="left"/>
        </w:tabs>
        <w:bidi w:val="0"/>
        <w:spacing w:before="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9"/>
      <w:bookmarkEnd w:id="200"/>
      <w:bookmarkEnd w:id="202"/>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公司报告期不存在证券投资。</w:t>
      </w:r>
    </w:p>
    <w:p>
      <w:pPr>
        <w:pStyle w:val="Style36"/>
        <w:keepNext/>
        <w:keepLines/>
        <w:widowControl w:val="0"/>
        <w:shd w:val="clear" w:color="auto" w:fill="auto"/>
        <w:tabs>
          <w:tab w:pos="483" w:val="left"/>
        </w:tabs>
        <w:bidi w:val="0"/>
        <w:spacing w:before="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3"/>
      <w:bookmarkEnd w:id="204"/>
      <w:bookmarkEnd w:id="206"/>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公司报告期不存在衍生品投资。</w:t>
      </w:r>
    </w:p>
    <w:p>
      <w:pPr>
        <w:pStyle w:val="Style32"/>
        <w:keepNext/>
        <w:keepLines/>
        <w:widowControl w:val="0"/>
        <w:shd w:val="clear" w:color="auto" w:fill="auto"/>
        <w:tabs>
          <w:tab w:pos="368" w:val="left"/>
        </w:tabs>
        <w:bidi w:val="0"/>
        <w:spacing w:before="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6"/>
        <w:keepNext/>
        <w:keepLines/>
        <w:widowControl w:val="0"/>
        <w:numPr>
          <w:ilvl w:val="0"/>
          <w:numId w:val="3"/>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募集资金总体使用情况</w:t>
      </w:r>
      <w:bookmarkEnd w:id="211"/>
      <w:bookmarkEnd w:id="212"/>
      <w:bookmarkEnd w:id="214"/>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78"/>
        <w:gridCol w:w="854"/>
        <w:gridCol w:w="888"/>
        <w:gridCol w:w="864"/>
        <w:gridCol w:w="869"/>
        <w:gridCol w:w="874"/>
        <w:gridCol w:w="874"/>
      </w:tblGrid>
      <w:tr>
        <w:trPr>
          <w:trHeight w:val="12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向社会公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开发行股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募集资金总体使用，</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青况说明</w:t>
            </w:r>
          </w:p>
        </w:tc>
      </w:tr>
      <w:tr>
        <w:trPr>
          <w:trHeight w:val="189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公司实际募集资金净额</w:t>
            </w:r>
            <w:r>
              <w:rPr>
                <w:rFonts w:ascii="Times New Roman" w:eastAsia="Times New Roman" w:hAnsi="Times New Roman" w:cs="Times New Roman"/>
                <w:color w:val="000000"/>
                <w:spacing w:val="0"/>
                <w:w w:val="100"/>
                <w:position w:val="0"/>
                <w:sz w:val="18"/>
                <w:szCs w:val="18"/>
              </w:rPr>
              <w:t>90,566.32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3,885.65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年度使用募集资金总额为 </w:t>
            </w:r>
            <w:r>
              <w:rPr>
                <w:rFonts w:ascii="Times New Roman" w:eastAsia="Times New Roman" w:hAnsi="Times New Roman" w:cs="Times New Roman"/>
                <w:color w:val="000000"/>
                <w:spacing w:val="0"/>
                <w:w w:val="100"/>
                <w:position w:val="0"/>
                <w:sz w:val="18"/>
                <w:szCs w:val="18"/>
              </w:rPr>
              <w:t>9,734.67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15,939.63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7,976.94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年度使 用募集资金总额为</w:t>
            </w:r>
            <w:r>
              <w:rPr>
                <w:rFonts w:ascii="Times New Roman" w:eastAsia="Times New Roman" w:hAnsi="Times New Roman" w:cs="Times New Roman"/>
                <w:color w:val="000000"/>
                <w:spacing w:val="0"/>
                <w:w w:val="100"/>
                <w:position w:val="0"/>
                <w:sz w:val="18"/>
                <w:szCs w:val="18"/>
              </w:rPr>
              <w:t>9,698.53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6,958.79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 xml:space="preserve">1,485.82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16,309.17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sz w:val="18"/>
                <w:szCs w:val="18"/>
              </w:rPr>
              <w:t>2,891.77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年度使用募集资 金</w:t>
            </w:r>
            <w:r>
              <w:rPr>
                <w:rFonts w:ascii="Times New Roman" w:eastAsia="Times New Roman" w:hAnsi="Times New Roman" w:cs="Times New Roman"/>
                <w:color w:val="000000"/>
                <w:spacing w:val="0"/>
                <w:w w:val="100"/>
                <w:position w:val="0"/>
                <w:sz w:val="18"/>
                <w:szCs w:val="18"/>
              </w:rPr>
              <w:t>9,710.07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7,114.65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年度募集资金投入</w:t>
            </w:r>
            <w:r>
              <w:rPr>
                <w:rFonts w:ascii="Times New Roman" w:eastAsia="Times New Roman" w:hAnsi="Times New Roman" w:cs="Times New Roman"/>
                <w:color w:val="000000"/>
                <w:spacing w:val="0"/>
                <w:w w:val="100"/>
                <w:position w:val="0"/>
                <w:sz w:val="18"/>
                <w:szCs w:val="18"/>
              </w:rPr>
              <w:t>1,805.78</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募集资金累计投入</w:t>
            </w:r>
            <w:r>
              <w:rPr>
                <w:rFonts w:ascii="Times New Roman" w:eastAsia="Times New Roman" w:hAnsi="Times New Roman" w:cs="Times New Roman"/>
                <w:color w:val="000000"/>
                <w:spacing w:val="0"/>
                <w:w w:val="100"/>
                <w:position w:val="0"/>
                <w:sz w:val="18"/>
                <w:szCs w:val="18"/>
              </w:rPr>
              <w:t>93,511.47</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11,640.41</w:t>
            </w:r>
            <w:r>
              <w:rPr>
                <w:color w:val="000000"/>
                <w:spacing w:val="0"/>
                <w:w w:val="100"/>
                <w:position w:val="0"/>
              </w:rPr>
              <w:t>万元。</w:t>
            </w:r>
          </w:p>
        </w:tc>
      </w:tr>
    </w:tbl>
    <w:p>
      <w:pPr>
        <w:widowControl w:val="0"/>
        <w:spacing w:after="319" w:line="1" w:lineRule="exact"/>
      </w:pPr>
    </w:p>
    <w:p>
      <w:pPr>
        <w:pStyle w:val="Style36"/>
        <w:keepNext/>
        <w:keepLines/>
        <w:widowControl w:val="0"/>
        <w:numPr>
          <w:ilvl w:val="0"/>
          <w:numId w:val="3"/>
        </w:numPr>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募集资金承诺项目情况</w:t>
      </w:r>
      <w:bookmarkEnd w:id="215"/>
      <w:bookmarkEnd w:id="216"/>
      <w:bookmarkEnd w:id="218"/>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664" w:right="0" w:firstLine="0"/>
        <w:jc w:val="left"/>
      </w:pPr>
      <w:r>
        <w:rPr>
          <w:color w:val="000000"/>
          <w:spacing w:val="0"/>
          <w:w w:val="100"/>
          <w:position w:val="0"/>
        </w:rPr>
        <w:t>单位：万元</w:t>
      </w:r>
    </w:p>
    <w:tbl>
      <w:tblPr>
        <w:tblOverlap w:val="never"/>
        <w:jc w:val="center"/>
        <w:tblLayout w:type="fixed"/>
      </w:tblPr>
      <w:tblGrid>
        <w:gridCol w:w="1786"/>
        <w:gridCol w:w="768"/>
        <w:gridCol w:w="782"/>
        <w:gridCol w:w="782"/>
        <w:gridCol w:w="778"/>
        <w:gridCol w:w="782"/>
        <w:gridCol w:w="782"/>
        <w:gridCol w:w="778"/>
        <w:gridCol w:w="782"/>
        <w:gridCol w:w="782"/>
        <w:gridCol w:w="787"/>
      </w:tblGrid>
      <w:tr>
        <w:trPr>
          <w:trHeight w:val="1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化</w:t>
            </w:r>
          </w:p>
        </w:tc>
      </w:tr>
      <w:tr>
        <w:trPr>
          <w:trHeight w:val="326"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、新一代电子政务应 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、信息安全风险综合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、质检三电工程企业 端软件运维服务平台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、协同管理软件平台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、技术研发与创新中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40,154.08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40,154.08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42266.81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82"/>
        <w:gridCol w:w="787"/>
        <w:gridCol w:w="773"/>
        <w:gridCol w:w="787"/>
        <w:gridCol w:w="782"/>
        <w:gridCol w:w="782"/>
      </w:tblGrid>
      <w:tr>
        <w:trPr>
          <w:trHeight w:val="331"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、投资设立子公司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体验馆项目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、新一代智慧政务大 数据基础服务平台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、榕基技术能力支撑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51244.66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93,511.47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为了应对市场需求发生变化和技术发展需要，满足客户需求，公司继续加大研发投入促进产品升级 换代，适当延长研发期间；同时募集资金投资项目尚未整体达产，其规模效应还未充分发挥，虽然 销售出现了一定程度增长，却未完全达到预期。基于上述原因，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年度募集资金投资项目形成的 现有效益未能完全达到招股说明书承诺的项目整体完成后的预期收益。</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3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年，榕基软件使用超募资金支付新一代智慧政务大数据基础服务平台项目支出</w:t>
            </w:r>
            <w:r>
              <w:rPr>
                <w:rFonts w:ascii="Times New Roman" w:eastAsia="Times New Roman" w:hAnsi="Times New Roman" w:cs="Times New Roman"/>
                <w:color w:val="000000"/>
                <w:spacing w:val="0"/>
                <w:w w:val="100"/>
                <w:position w:val="0"/>
                <w:sz w:val="18"/>
                <w:szCs w:val="18"/>
              </w:rPr>
              <w:t>807.98</w:t>
            </w:r>
            <w:r>
              <w:rPr>
                <w:color w:val="000000"/>
                <w:spacing w:val="0"/>
                <w:w w:val="100"/>
                <w:position w:val="0"/>
              </w:rPr>
              <w:t>万元；北 京中榕基信息技术有限公司使用超募资金支付榕基技术能力支撑服务平台项目支出</w:t>
            </w:r>
            <w:r>
              <w:rPr>
                <w:rFonts w:ascii="Times New Roman" w:eastAsia="Times New Roman" w:hAnsi="Times New Roman" w:cs="Times New Roman"/>
                <w:color w:val="000000"/>
                <w:spacing w:val="0"/>
                <w:w w:val="100"/>
                <w:position w:val="0"/>
                <w:sz w:val="18"/>
                <w:szCs w:val="18"/>
              </w:rPr>
              <w:t>997.80</w:t>
            </w:r>
            <w:r>
              <w:rPr>
                <w:color w:val="000000"/>
                <w:spacing w:val="0"/>
                <w:w w:val="100"/>
                <w:position w:val="0"/>
              </w:rPr>
              <w:t>万元。</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1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1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年，福建榕基软件股份有限公司使用部分超募资金投资建设新一代智慧政务大数据基础服务平 台项目，全资子公司北京中榕基信息技术有限公司使用部分超募资金投资建设榕基技术能力支撑服 务平台项目。福建榕基软件股份有限公司根据募集资金专户结存情况，统一调配，从两个募集资金 账户动用</w:t>
            </w:r>
            <w:r>
              <w:rPr>
                <w:rFonts w:ascii="Times New Roman" w:eastAsia="Times New Roman" w:hAnsi="Times New Roman" w:cs="Times New Roman"/>
                <w:color w:val="000000"/>
                <w:spacing w:val="0"/>
                <w:w w:val="100"/>
                <w:position w:val="0"/>
                <w:sz w:val="18"/>
                <w:szCs w:val="18"/>
              </w:rPr>
              <w:t>1,805.78</w:t>
            </w:r>
            <w:r>
              <w:rPr>
                <w:color w:val="000000"/>
                <w:spacing w:val="0"/>
                <w:w w:val="100"/>
                <w:position w:val="0"/>
              </w:rPr>
              <w:t>万元，分别投入前述两个项目中，具体如下：（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）中国农业银行福州冶山支行动 用</w:t>
            </w:r>
            <w:r>
              <w:rPr>
                <w:rFonts w:ascii="Times New Roman" w:eastAsia="Times New Roman" w:hAnsi="Times New Roman" w:cs="Times New Roman"/>
                <w:color w:val="000000"/>
                <w:spacing w:val="0"/>
                <w:w w:val="100"/>
                <w:position w:val="0"/>
                <w:sz w:val="18"/>
                <w:szCs w:val="18"/>
              </w:rPr>
              <w:t>807.98</w:t>
            </w:r>
            <w:r>
              <w:rPr>
                <w:color w:val="000000"/>
                <w:spacing w:val="0"/>
                <w:w w:val="100"/>
                <w:position w:val="0"/>
              </w:rPr>
              <w:t>万元投入新一代智慧政务大数据基础服务平台；（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）厦门国际银行北京中关村支行动用 </w:t>
            </w:r>
            <w:r>
              <w:rPr>
                <w:rFonts w:ascii="Times New Roman" w:eastAsia="Times New Roman" w:hAnsi="Times New Roman" w:cs="Times New Roman"/>
                <w:color w:val="000000"/>
                <w:spacing w:val="0"/>
                <w:w w:val="100"/>
                <w:position w:val="0"/>
                <w:sz w:val="18"/>
                <w:szCs w:val="18"/>
              </w:rPr>
              <w:t>997.80</w:t>
            </w:r>
            <w:r>
              <w:rPr>
                <w:color w:val="000000"/>
                <w:spacing w:val="0"/>
                <w:w w:val="100"/>
                <w:position w:val="0"/>
              </w:rPr>
              <w:t>万元投入榕基技术能力支撑服务平台。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鉴于公司募投项目已基本执行完毕，为提高公司竞争力与提升公司盈利能力及综合运营能力，公司</w:t>
            </w:r>
          </w:p>
        </w:tc>
      </w:tr>
    </w:tbl>
    <w:p>
      <w:pPr>
        <w:spacing w:lineRule="exact" w:line="1"/>
        <w:rPr>
          <w:sz w:val="2"/>
          <w:szCs w:val="2"/>
        </w:rPr>
      </w:pPr>
      <w:r>
        <w:br w:type="page"/>
      </w:r>
    </w:p>
    <w:tbl>
      <w:tblPr>
        <w:tblOverlap w:val="never"/>
        <w:jc w:val="center"/>
        <w:tblLayout w:type="fixed"/>
      </w:tblPr>
      <w:tblGrid>
        <w:gridCol w:w="1786"/>
        <w:gridCol w:w="7805"/>
      </w:tblGrid>
      <w:tr>
        <w:trPr>
          <w:trHeight w:val="12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第五届董事会第九次会议以及公司第五届监事会第八次会议于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日审议通过了《关于 使用部分超募资金投资建设新一代智慧政务大数据基础服务平台项目的议案》、《关于子公司使用部 分超募资金投资建设榕基技术能力支撑服务平台项目的议案》，同意使用部分超募资金投资建设上述 两个项目，并于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年度第一次临时股东大会审议通过。</w:t>
            </w:r>
          </w:p>
        </w:tc>
      </w:tr>
    </w:tbl>
    <w:p>
      <w:pPr>
        <w:widowControl w:val="0"/>
        <w:spacing w:after="339" w:line="1" w:lineRule="exact"/>
      </w:pPr>
    </w:p>
    <w:p>
      <w:pPr>
        <w:pStyle w:val="Style36"/>
        <w:keepNext/>
        <w:keepLines/>
        <w:widowControl w:val="0"/>
        <w:numPr>
          <w:ilvl w:val="0"/>
          <w:numId w:val="3"/>
        </w:numPr>
        <w:shd w:val="clear" w:color="auto" w:fill="auto"/>
        <w:bidi w:val="0"/>
        <w:spacing w:before="0" w:after="4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募集资金变更项目情况</w:t>
      </w:r>
      <w:bookmarkEnd w:id="219"/>
      <w:bookmarkEnd w:id="220"/>
      <w:bookmarkEnd w:id="222"/>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0"/>
        <w:gridCol w:w="960"/>
        <w:gridCol w:w="950"/>
        <w:gridCol w:w="960"/>
        <w:gridCol w:w="965"/>
        <w:gridCol w:w="955"/>
        <w:gridCol w:w="950"/>
        <w:gridCol w:w="960"/>
        <w:gridCol w:w="965"/>
        <w:gridCol w:w="970"/>
      </w:tblGrid>
      <w:tr>
        <w:trPr>
          <w:trHeight w:val="1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定可使用状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新一代智慧 政务大数据 基础服务平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无，属于新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榕基技术能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力支撑服务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无，属于新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87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日召开了第五届董事会第九次会议，审议通过了《关于 使用部分超募资金投资建设新一代智慧政务大数据基础服务平台项目的议案》、《关于 子公司使用部分超募资金投资建设榕基技术能力支撑服务平台项目的议案》，同意公 司使用部分超募资金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万元投资建设新一代智慧政务大数据基础服务平台项目， 同意子公司北京中榕基信息技术有限公司使用部分超募资金</w:t>
            </w:r>
            <w:r>
              <w:rPr>
                <w:rFonts w:ascii="Times New Roman" w:eastAsia="Times New Roman" w:hAnsi="Times New Roman" w:cs="Times New Roman"/>
                <w:color w:val="000000"/>
                <w:spacing w:val="0"/>
                <w:w w:val="100"/>
                <w:position w:val="0"/>
                <w:sz w:val="18"/>
                <w:szCs w:val="18"/>
              </w:rPr>
              <w:t>3,098.36</w:t>
            </w:r>
            <w:r>
              <w:rPr>
                <w:color w:val="000000"/>
                <w:spacing w:val="0"/>
                <w:w w:val="100"/>
                <w:position w:val="0"/>
              </w:rPr>
              <w:t>万元投资建设榕 基技术能力支撑服务平台项目。</w:t>
            </w:r>
          </w:p>
        </w:tc>
      </w:tr>
      <w:tr>
        <w:trPr>
          <w:trHeight w:val="63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4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、重大资产和股权出售</w:t>
      </w:r>
      <w:bookmarkEnd w:id="223"/>
      <w:bookmarkEnd w:id="224"/>
      <w:bookmarkEnd w:id="226"/>
    </w:p>
    <w:p>
      <w:pPr>
        <w:pStyle w:val="Style32"/>
        <w:keepNext/>
        <w:keepLines/>
        <w:widowControl w:val="0"/>
        <w:shd w:val="clear" w:color="auto" w:fill="auto"/>
        <w:tabs>
          <w:tab w:pos="358" w:val="left"/>
        </w:tabs>
        <w:bidi w:val="0"/>
        <w:spacing w:before="0" w:after="34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68" w:val="left"/>
        </w:tabs>
        <w:bidi w:val="0"/>
        <w:spacing w:before="0" w:after="34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、主要控股参股公司分析</w:t>
      </w:r>
      <w:bookmarkEnd w:id="235"/>
      <w:bookmarkEnd w:id="236"/>
      <w:bookmarkEnd w:id="238"/>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电气自动化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福州创华电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气自动化系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控制系统服 务、计算机 软件销售， 计算机网络 安装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124,707,672.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123,562,830.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4,911,057.15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4,917,589.67</w:t>
            </w:r>
          </w:p>
        </w:tc>
      </w:tr>
      <w:tr>
        <w:trPr>
          <w:trHeight w:val="15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 计算机维 修，计算机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left w:val="single" w:sz="4"/>
            </w:tcBorders>
            <w:shd w:val="clear" w:color="auto" w:fill="FFFFFF"/>
            <w:vAlign w:val="top"/>
          </w:tcPr>
          <w:p>
            <w:pPr>
              <w:pStyle w:val="Style2"/>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北京中榕基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52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系统服务， 销售计算 机、软件及 辅助设备、 机械设备， 技术进出 口、货物进 出口、代理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进出口</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109,625,844.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30,853215.2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-4,132,717.5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1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计算机网络 软件研发与 设计服务， 计算机硬件 技术服务， 信息系统集 成服务，电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5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20" w:after="120" w:line="240" w:lineRule="auto"/>
              <w:ind w:left="0" w:right="0" w:firstLine="0"/>
              <w:jc w:val="left"/>
            </w:pPr>
            <w:r>
              <w:rPr>
                <w:color w:val="000000"/>
                <w:spacing w:val="0"/>
                <w:w w:val="100"/>
                <w:position w:val="0"/>
              </w:rPr>
              <w:t>福建榕基软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件工程有限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20" w:after="0" w:line="240" w:lineRule="auto"/>
              <w:ind w:left="0" w:right="0" w:firstLine="0"/>
              <w:jc w:val="left"/>
            </w:pPr>
            <w:r>
              <w:rPr>
                <w:color w:val="000000"/>
                <w:spacing w:val="0"/>
                <w:w w:val="100"/>
                <w:position w:val="0"/>
              </w:rPr>
              <w:t>子公司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子计算机及 配件的批发 零售，建筑 智能化的设 计与施工服 务，安防工 程的设计与 施工服务， 自营和代理 各类商品和 技术的进出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570,207,962.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240,425,816.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311,563,044.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16,812,867.6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13,350264.4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口，国家限 定公司经营 或禁止进出 口的商品和 技术除外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信阳榕基信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息技术有限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房地产开发 销售、计算 机软件开 发、计算机 硬件技术服 务、产品销 售、技术服 务、系统集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714,688,741.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35,960,063.9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-2,113,497.0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 务，软件开 发、销售及 平面设计， 系统集成， 硬件及耗 材、办公设 备租赁、销 售，网络技 术咨询服 务，办公自 动化产品销 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275,905,436.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55,850,953.2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10,928,920.0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-3,842,384.5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-5,380,810.2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福建星榕基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电子产品的 研发、制造、 销售；计算 机、软件及 辅助设备的 批发、零售; 国内贸易代 理；信息技 术咨询服 务；对外贸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36,366,710.7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33,034,775.5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1,630,694.99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-3,087,309.3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-3,183,622.3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8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浙江榕基信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技术咨询、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成果转让，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计算机数据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处理、计算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75,931,187.1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24,357,834.7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28,630,007.3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9,727,949.91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11,146,916.4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机数据库、 计算机维护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马鞍山榕基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置业投资有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对房地产业 的投资；房 地产开发， 销售，咨询； 房地产中介 服务；物业 管理；室内 外装装饰工 程；园林绿 化工程；企 业管理咨 询；企业形 象策划；工 程管理服 务；投资咨 询服务；经 济与商务 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159,815,937.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-33,498,630.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-6,291,392.2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-7,745,723.0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5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电力行业协 同办公系 统、电力仪 器仪表、电 能计量设备 和电力信息 化建设咨询 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750,918,763.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227,192,232.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457,679,666.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12,666,700.7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12,130,681.2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河南裕信德置业有限公司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十、公司控制的结构化主体情况</w:t>
      </w:r>
      <w:bookmarkEnd w:id="239"/>
      <w:bookmarkEnd w:id="240"/>
      <w:bookmarkEnd w:id="24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十一、公司未来发展的展望</w:t>
      </w:r>
      <w:bookmarkEnd w:id="242"/>
      <w:bookmarkEnd w:id="243"/>
      <w:bookmarkEnd w:id="244"/>
    </w:p>
    <w:p>
      <w:pPr>
        <w:pStyle w:val="Style21"/>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、行业竞争格局和发展趋势</w:t>
      </w:r>
    </w:p>
    <w:p>
      <w:pPr>
        <w:pStyle w:val="Style2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公司所属行业为信息产业中的软件和信息技术服务业。</w:t>
      </w:r>
    </w:p>
    <w:p>
      <w:pPr>
        <w:pStyle w:val="Style21"/>
        <w:keepNext w:val="0"/>
        <w:keepLines w:val="0"/>
        <w:widowControl w:val="0"/>
        <w:shd w:val="clear" w:color="auto" w:fill="auto"/>
        <w:bidi w:val="0"/>
        <w:spacing w:before="0" w:line="311" w:lineRule="exact"/>
        <w:ind w:left="0" w:right="0"/>
        <w:jc w:val="both"/>
      </w:pPr>
      <w:r>
        <w:rPr>
          <w:color w:val="000000"/>
          <w:spacing w:val="0"/>
          <w:w w:val="100"/>
          <w:position w:val="0"/>
        </w:rPr>
        <w:t>国内软件和信息技术服务业作为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，受益于国家对新一代信息技术产业持续的政策和资金扶持，市场规 模持续扩大。同时，国民经济的发展和社会信息化的建设，引导社会各方面力量向软件产业领域持续投入，也将为软件产业 的发展提供巨大的需求。未来，国家将继续加大对信息技术应用创新的支持力度，汇聚产业资源，促进技术创新，推动信息 技术新产品和技术在更多领域应用推广，信息领域新产品、新服务、新业态将大量涌现，在云计算、大数据、物联网、人工 智能和区块链等新一代信息技术驱动下，将进一步加快软件业向服务化转型的步伐，使社会各领域信息化水平持续提升。围 绕着智慧城市建设、信息惠民工程建设，民生服务应用、政府信息化、信息基础设施建设等新的市场需求将不断被激发，为 中国软件企业带来新的市场机遇和发展活力。</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年工业和信息化部公布了《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软件和信息技术服务业发展规划》，软件是新一代信息技术的灵魂，是数字经 济发展的基础，是制造强国、网络强国、数字中国建设的关键支撑。发展软件和信息技术服务业，对于加快建设现代产业体 系具有重要意义。</w:t>
      </w:r>
    </w:p>
    <w:p>
      <w:pPr>
        <w:pStyle w:val="Style21"/>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年，我国软件和信息技术服务业运行态势良好，软件业务收入保持较快增长，盈利能力稳步提升，软件业务出口保 持增长，从业人员规模不断扩大，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实现良好开局。《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年，全国软件 和信息技术服务业累计完成软件业务收入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。其中信息技术服务收入占 全行业收入比重达到</w:t>
      </w:r>
      <w:r>
        <w:rPr>
          <w:rFonts w:ascii="Times New Roman" w:eastAsia="Times New Roman" w:hAnsi="Times New Roman" w:cs="Times New Roman"/>
          <w:color w:val="000000"/>
          <w:spacing w:val="0"/>
          <w:w w:val="100"/>
          <w:position w:val="0"/>
          <w:sz w:val="18"/>
          <w:szCs w:val="18"/>
        </w:rPr>
        <w:t>63.5%</w:t>
      </w:r>
      <w:r>
        <w:rPr>
          <w:color w:val="000000"/>
          <w:spacing w:val="0"/>
          <w:w w:val="100"/>
          <w:position w:val="0"/>
        </w:rPr>
        <w:t>。软件业从业人员规模不断扩大，达到</w:t>
      </w:r>
      <w:r>
        <w:rPr>
          <w:rFonts w:ascii="Times New Roman" w:eastAsia="Times New Roman" w:hAnsi="Times New Roman" w:cs="Times New Roman"/>
          <w:color w:val="000000"/>
          <w:spacing w:val="0"/>
          <w:w w:val="100"/>
          <w:position w:val="0"/>
          <w:sz w:val="18"/>
          <w:szCs w:val="18"/>
        </w:rPr>
        <w:t>809</w:t>
      </w:r>
      <w:r>
        <w:rPr>
          <w:color w:val="000000"/>
          <w:spacing w:val="0"/>
          <w:w w:val="100"/>
          <w:position w:val="0"/>
        </w:rPr>
        <w:t>万人。</w:t>
      </w:r>
    </w:p>
    <w:p>
      <w:pPr>
        <w:pStyle w:val="Style21"/>
        <w:keepNext w:val="0"/>
        <w:keepLines w:val="0"/>
        <w:widowControl w:val="0"/>
        <w:shd w:val="clear" w:color="auto" w:fill="auto"/>
        <w:bidi w:val="0"/>
        <w:spacing w:before="0" w:after="140" w:line="310" w:lineRule="exact"/>
        <w:ind w:left="0" w:right="0"/>
        <w:jc w:val="both"/>
      </w:pPr>
      <w:r>
        <w:rPr>
          <w:color w:val="000000"/>
          <w:spacing w:val="0"/>
          <w:w w:val="100"/>
          <w:position w:val="0"/>
        </w:rPr>
        <w:t>综上所述，软件和信息技术服务业的市场空间进一步加大，预计软件市场将保持持续增长，为公司软件研发、生产、销 售和技术服务提供了良好的外部环境。云计算、大数据、人工智能、工业互联网等新一代信息技术将会加速渗透到经济和社 会生活各个领域，为公司的发展提供了新的机遇。</w:t>
      </w:r>
    </w:p>
    <w:p>
      <w:pPr>
        <w:pStyle w:val="Style21"/>
        <w:keepNext w:val="0"/>
        <w:keepLines w:val="0"/>
        <w:widowControl w:val="0"/>
        <w:shd w:val="clear" w:color="auto" w:fill="auto"/>
        <w:tabs>
          <w:tab w:pos="669" w:val="left"/>
        </w:tabs>
        <w:bidi w:val="0"/>
        <w:spacing w:before="0" w:after="0" w:line="360"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2</w:t>
      </w:r>
      <w:bookmarkEnd w:id="245"/>
      <w:r>
        <w:rPr>
          <w:color w:val="000000"/>
          <w:spacing w:val="0"/>
          <w:w w:val="100"/>
          <w:position w:val="0"/>
        </w:rPr>
        <w:t>、</w:t>
        <w:tab/>
        <w:t>公司发展战略</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公司将紧抓软件服务行业信创工程、云计算、物联网、移动互联网、大数据、智慧城市等新一代信息技术对传统行业信 息化的升级改造和迁移的发展趋势，继续推动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发展战略，坚持技术创新，带动软件平台化和服务 化商业模式创新，培育新的利润增长点，推动公司持续成长，实现规模化、跨越式发展。</w:t>
      </w:r>
    </w:p>
    <w:p>
      <w:pPr>
        <w:pStyle w:val="Style21"/>
        <w:keepNext w:val="0"/>
        <w:keepLines w:val="0"/>
        <w:widowControl w:val="0"/>
        <w:shd w:val="clear" w:color="auto" w:fill="auto"/>
        <w:tabs>
          <w:tab w:pos="669" w:val="left"/>
        </w:tabs>
        <w:bidi w:val="0"/>
        <w:spacing w:before="0" w:after="0" w:line="360" w:lineRule="auto"/>
        <w:ind w:left="0" w:right="0"/>
        <w:jc w:val="both"/>
      </w:pPr>
      <w:bookmarkStart w:id="246" w:name="bookmark246"/>
      <w:r>
        <w:rPr>
          <w:rFonts w:ascii="Times New Roman" w:eastAsia="Times New Roman" w:hAnsi="Times New Roman" w:cs="Times New Roman"/>
          <w:color w:val="000000"/>
          <w:spacing w:val="0"/>
          <w:w w:val="100"/>
          <w:position w:val="0"/>
          <w:sz w:val="18"/>
          <w:szCs w:val="18"/>
        </w:rPr>
        <w:t>3</w:t>
      </w:r>
      <w:bookmarkEnd w:id="2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w:t>
      </w:r>
    </w:p>
    <w:p>
      <w:pPr>
        <w:pStyle w:val="Style21"/>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年，公司将努力扩大收入规模，提升细分业务领域的盈利水平。同时公司选择和公司当前业务、技术背景较为接近 且市场潜力较大的信创工程、互联网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政务、金关工程、互联网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党建、物联网平台、大数据平台等作为重点业务方向，优 化产业链布局，保持对关键业务和技术的投入力度，为未来发展奠定坚实基础。</w:t>
      </w:r>
    </w:p>
    <w:p>
      <w:pPr>
        <w:pStyle w:val="Style21"/>
        <w:keepNext w:val="0"/>
        <w:keepLines w:val="0"/>
        <w:widowControl w:val="0"/>
        <w:shd w:val="clear" w:color="auto" w:fill="auto"/>
        <w:tabs>
          <w:tab w:pos="826" w:val="left"/>
        </w:tabs>
        <w:bidi w:val="0"/>
        <w:spacing w:before="0" w:line="312" w:lineRule="exact"/>
        <w:ind w:left="0" w:right="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继续在重点发展行业巩固现有优势，加强顶层设计，以产品化和行业化思路强化行业布局；在持续跟进行业，以 持续创新的思路规划解决方案、产品和服务，逐步扩大核心业务比例。</w:t>
      </w:r>
    </w:p>
    <w:p>
      <w:pPr>
        <w:pStyle w:val="Style21"/>
        <w:keepNext w:val="0"/>
        <w:keepLines w:val="0"/>
        <w:widowControl w:val="0"/>
        <w:shd w:val="clear" w:color="auto" w:fill="auto"/>
        <w:tabs>
          <w:tab w:pos="831" w:val="left"/>
        </w:tabs>
        <w:bidi w:val="0"/>
        <w:spacing w:before="0" w:line="317" w:lineRule="exact"/>
        <w:ind w:left="0" w:right="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公司将进一步贯彻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的经营战略创新，继续坚持以市场为导向、以企业技术中心为核心 的自主创新体系，健全创新机制，加强人才队伍培养和引进，提升优势领域软件产品的研发和产业化速度，推动商业模式创 新，推动逐步发展新的利润增长点。</w:t>
      </w:r>
    </w:p>
    <w:p>
      <w:pPr>
        <w:pStyle w:val="Style21"/>
        <w:keepNext w:val="0"/>
        <w:keepLines w:val="0"/>
        <w:widowControl w:val="0"/>
        <w:shd w:val="clear" w:color="auto" w:fill="auto"/>
        <w:tabs>
          <w:tab w:pos="836" w:val="left"/>
        </w:tabs>
        <w:bidi w:val="0"/>
        <w:spacing w:before="0" w:line="322"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的基本管理思想，建立科学、快速的利益响应机制，稳定公司核心骨干，引进中高层次人才， 优化人才结构，建立适合公司的激励机制。</w:t>
      </w:r>
    </w:p>
    <w:p>
      <w:pPr>
        <w:pStyle w:val="Style21"/>
        <w:keepNext w:val="0"/>
        <w:keepLines w:val="0"/>
        <w:widowControl w:val="0"/>
        <w:shd w:val="clear" w:color="auto" w:fill="auto"/>
        <w:tabs>
          <w:tab w:pos="831" w:val="left"/>
        </w:tabs>
        <w:bidi w:val="0"/>
        <w:spacing w:before="0" w:line="326"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在技术创新方面，公司将加大在所处领域的核心产品和技术研发及产业化投入，不断增强技术实力，保持行业技 术领先水平，增强企业的核心竞争能力，为公司的成长提供产品和技术优势。</w:t>
      </w:r>
    </w:p>
    <w:p>
      <w:pPr>
        <w:pStyle w:val="Style21"/>
        <w:keepNext w:val="0"/>
        <w:keepLines w:val="0"/>
        <w:widowControl w:val="0"/>
        <w:shd w:val="clear" w:color="auto" w:fill="auto"/>
        <w:tabs>
          <w:tab w:pos="831" w:val="left"/>
        </w:tabs>
        <w:bidi w:val="0"/>
        <w:spacing w:before="0" w:line="319" w:lineRule="exact"/>
        <w:ind w:left="0" w:right="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在市场营销与服务体系建设方面，公司已初步建立以北京为指挥中心、遍布全国的营销和服务网络体系，公司将 继续完善北京、上海、河南、浙江等区域中心体系建设，增强运维服务网点营销服务能力，继续完善产品代理体系，加大品 牌宣传力度，促进公司规模化发展。</w:t>
      </w:r>
    </w:p>
    <w:p>
      <w:pPr>
        <w:pStyle w:val="Style21"/>
        <w:keepNext w:val="0"/>
        <w:keepLines w:val="0"/>
        <w:widowControl w:val="0"/>
        <w:shd w:val="clear" w:color="auto" w:fill="auto"/>
        <w:tabs>
          <w:tab w:pos="669" w:val="left"/>
        </w:tabs>
        <w:bidi w:val="0"/>
        <w:spacing w:before="0" w:line="312"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4</w:t>
      </w:r>
      <w:bookmarkEnd w:id="252"/>
      <w:r>
        <w:rPr>
          <w:color w:val="000000"/>
          <w:spacing w:val="0"/>
          <w:w w:val="100"/>
          <w:position w:val="0"/>
        </w:rPr>
        <w:t>、</w:t>
        <w:tab/>
        <w:t>未来面对的风险及应对措施</w:t>
      </w:r>
    </w:p>
    <w:p>
      <w:pPr>
        <w:pStyle w:val="Style21"/>
        <w:keepNext w:val="0"/>
        <w:keepLines w:val="0"/>
        <w:widowControl w:val="0"/>
        <w:shd w:val="clear" w:color="auto" w:fill="auto"/>
        <w:bidi w:val="0"/>
        <w:spacing w:before="0" w:line="312" w:lineRule="exact"/>
        <w:ind w:left="0" w:right="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）宏观经济波动的风险</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公司坚持致力于成为中国民族软件产业的旗帜性企业之一，实现持续经营的理念，加快研发和应用技术创新，持续巩固 电子政务、协同管理等领域的综合竞争优势，不断在信创工程、大数据、物联网技术为基础的新业务上打造出有竞争力的综 合解决方案，通过增强内生创新能力与更广泛的市场拓展，增强企业抵御外部风险的能力。</w:t>
      </w:r>
    </w:p>
    <w:p>
      <w:pPr>
        <w:pStyle w:val="Style21"/>
        <w:keepNext w:val="0"/>
        <w:keepLines w:val="0"/>
        <w:widowControl w:val="0"/>
        <w:shd w:val="clear" w:color="auto" w:fill="auto"/>
        <w:tabs>
          <w:tab w:pos="783" w:val="left"/>
        </w:tabs>
        <w:bidi w:val="0"/>
        <w:spacing w:before="0" w:line="313" w:lineRule="exact"/>
        <w:ind w:left="0" w:right="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行业技术风险</w:t>
      </w:r>
    </w:p>
    <w:p>
      <w:pPr>
        <w:pStyle w:val="Style21"/>
        <w:keepNext w:val="0"/>
        <w:keepLines w:val="0"/>
        <w:widowControl w:val="0"/>
        <w:shd w:val="clear" w:color="auto" w:fill="auto"/>
        <w:bidi w:val="0"/>
        <w:spacing w:before="0" w:line="314" w:lineRule="exact"/>
        <w:ind w:left="0" w:right="0"/>
        <w:jc w:val="both"/>
      </w:pPr>
      <w:r>
        <w:rPr>
          <w:color w:val="000000"/>
          <w:spacing w:val="0"/>
          <w:w w:val="100"/>
          <w:position w:val="0"/>
        </w:rPr>
        <w:t>伴随云计算、大数据、人工智能、物联网、区块链等各种创新技术的发展融合，客户对产品融合性要求趋于专业化和个 性化以及公司规模化扩张对公司保持持续的技术领先提出了更高的要求。公司将继续跟踪、学习和应用新的技术，准确把握 国际信息技术发展趋势，继续积极开发具有自有知识产权的新产品，开发出功能和性能更加完善的新产品，以满足客户更加 多样化、个性化的需求。</w:t>
      </w:r>
    </w:p>
    <w:p>
      <w:pPr>
        <w:pStyle w:val="Style21"/>
        <w:keepNext w:val="0"/>
        <w:keepLines w:val="0"/>
        <w:widowControl w:val="0"/>
        <w:shd w:val="clear" w:color="auto" w:fill="auto"/>
        <w:tabs>
          <w:tab w:pos="783" w:val="left"/>
        </w:tabs>
        <w:bidi w:val="0"/>
        <w:spacing w:before="0" w:line="313" w:lineRule="exact"/>
        <w:ind w:left="0" w:right="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公司管理能力风险</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随着公司业务规模的扩大，人员的增长，对运营管控能力提出更高的要求。如果公司管理能力不能跟上规模和人员发展 的要求，将会对公司业绩产生影响。</w:t>
      </w:r>
    </w:p>
    <w:p>
      <w:pPr>
        <w:pStyle w:val="Style21"/>
        <w:keepNext w:val="0"/>
        <w:keepLines w:val="0"/>
        <w:widowControl w:val="0"/>
        <w:shd w:val="clear" w:color="auto" w:fill="auto"/>
        <w:bidi w:val="0"/>
        <w:spacing w:before="0" w:line="317" w:lineRule="exact"/>
        <w:ind w:left="0" w:right="0"/>
        <w:jc w:val="both"/>
      </w:pPr>
      <w:r>
        <w:rPr>
          <w:color w:val="000000"/>
          <w:spacing w:val="0"/>
          <w:w w:val="100"/>
          <w:position w:val="0"/>
        </w:rPr>
        <w:t>公司将通过进一步完善法人治理结构，建立健全的内部组织结构，细化内控的具体执行办法，完成对相关人员的业务和 风险防范培训、考核、监督与评价工作等方式，从而避免在公司管理能力出现的风险，积极应对公司规模扩张带来的挑战。</w:t>
      </w:r>
    </w:p>
    <w:p>
      <w:pPr>
        <w:pStyle w:val="Style21"/>
        <w:keepNext w:val="0"/>
        <w:keepLines w:val="0"/>
        <w:widowControl w:val="0"/>
        <w:shd w:val="clear" w:color="auto" w:fill="auto"/>
        <w:tabs>
          <w:tab w:pos="783" w:val="left"/>
        </w:tabs>
        <w:bidi w:val="0"/>
        <w:spacing w:before="0" w:line="313" w:lineRule="exact"/>
        <w:ind w:left="0" w:right="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新业务投入风险</w:t>
      </w:r>
    </w:p>
    <w:p>
      <w:pPr>
        <w:pStyle w:val="Style21"/>
        <w:keepNext w:val="0"/>
        <w:keepLines w:val="0"/>
        <w:widowControl w:val="0"/>
        <w:shd w:val="clear" w:color="auto" w:fill="auto"/>
        <w:bidi w:val="0"/>
        <w:spacing w:before="0" w:line="322" w:lineRule="exact"/>
        <w:ind w:left="0" w:right="0"/>
        <w:jc w:val="both"/>
      </w:pPr>
      <w:r>
        <w:rPr>
          <w:color w:val="000000"/>
          <w:spacing w:val="0"/>
          <w:w w:val="100"/>
          <w:position w:val="0"/>
        </w:rPr>
        <w:t>公司依照发展战略及面临的市场形势，</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年将继续保持新业务的投入力度。新业务的投入会相应增加公司经营成本， 如遭遇重大市场环境变化，有可能达不到预期的投资目标。</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公司将通过跟踪新业务市场发展趋势，定期进行新业务研讨、严格审核大额新业务投入等措施提高新业务开展的预见性， 降低由此带来的经营风险。</w:t>
      </w:r>
    </w:p>
    <w:p>
      <w:pPr>
        <w:pStyle w:val="Style21"/>
        <w:keepNext w:val="0"/>
        <w:keepLines w:val="0"/>
        <w:widowControl w:val="0"/>
        <w:shd w:val="clear" w:color="auto" w:fill="auto"/>
        <w:tabs>
          <w:tab w:pos="783" w:val="left"/>
        </w:tabs>
        <w:bidi w:val="0"/>
        <w:spacing w:before="0" w:line="313" w:lineRule="exact"/>
        <w:ind w:left="0" w:right="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人力资源风险</w:t>
      </w:r>
    </w:p>
    <w:p>
      <w:pPr>
        <w:pStyle w:val="Style21"/>
        <w:keepNext w:val="0"/>
        <w:keepLines w:val="0"/>
        <w:widowControl w:val="0"/>
        <w:shd w:val="clear" w:color="auto" w:fill="auto"/>
        <w:bidi w:val="0"/>
        <w:spacing w:before="0" w:line="313" w:lineRule="exact"/>
        <w:ind w:left="0" w:right="0"/>
        <w:jc w:val="both"/>
      </w:pPr>
      <w:r>
        <w:rPr>
          <w:color w:val="000000"/>
          <w:spacing w:val="0"/>
          <w:w w:val="100"/>
          <w:position w:val="0"/>
        </w:rPr>
        <w:t>公司规模的迅速扩张带来人才上的瓶颈，高端人才比较紧缺仍然是公司目前存在的主要困难，特别是研发人员扩张速度 跟不上公司业务规模的扩张，导致公司潜在的新用户的需求得不到很好的满足，这可能会使公司失去一些市场机会。</w:t>
      </w:r>
    </w:p>
    <w:p>
      <w:pPr>
        <w:pStyle w:val="Style21"/>
        <w:keepNext w:val="0"/>
        <w:keepLines w:val="0"/>
        <w:widowControl w:val="0"/>
        <w:shd w:val="clear" w:color="auto" w:fill="auto"/>
        <w:bidi w:val="0"/>
        <w:spacing w:before="0" w:after="36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年度公司将继续从人才培养和激励机制两方面来完善公司人才建设，建立多层次培训体系、薪酬体系和有效的激励 措施，满足研发技术类的人才需求；加强企业文化建设，把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服务于社会以促进企业发展，贡献于企业以追求个人进步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 核心价值观，努力培育团结、创新、开拓、务实的企业文化精神，争取广大员工的认可；将投入更多资源改善工作环境和工 作条件，增强公司对高素质人才的吸引力和归属感。公司将在河南、上海设立区域研发中心，未来还将根据发展需要在其他 地区设立区域研发中心。</w:t>
      </w:r>
    </w:p>
    <w:p>
      <w:pPr>
        <w:pStyle w:val="Style24"/>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十二、报告期内接待调研、沟通、采访等活动</w:t>
      </w:r>
      <w:bookmarkEnd w:id="258"/>
      <w:bookmarkEnd w:id="259"/>
      <w:bookmarkEnd w:id="26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296"/>
        <w:gridCol w:w="1301"/>
        <w:gridCol w:w="1296"/>
        <w:gridCol w:w="1286"/>
        <w:gridCol w:w="1296"/>
        <w:gridCol w:w="1810"/>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谈论的主要内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容及提供的资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度报告网上说 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主要内容详见： </w:t>
            </w: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o.com.cn/new/di</w:t>
            </w:r>
            <w:r>
              <w:rPr>
                <w:rFonts w:ascii="Times New Roman" w:eastAsia="Times New Roman" w:hAnsi="Times New Roman" w:cs="Times New Roman"/>
                <w:color w:val="000000"/>
                <w:spacing w:val="0"/>
                <w:w w:val="100"/>
                <w:position w:val="0"/>
                <w:sz w:val="18"/>
                <w:szCs w:val="18"/>
              </w:rPr>
              <w:t xml:space="preserve"> sclosure/detail?p late=szse&amp;orgId </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9900014447&amp;s tockCode=0024 74&amp;announc eme ntId=120969946 7&amp;announcemen tTime=2021-04- 15 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cn/new/disclosure/detai l?plate=szse&amp;orgId=99 00014447&amp;stockCode= 002474&amp;announcement Id=1209699467&amp;annou ncementTime=2021-04- 15 17:53</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主要内容详见：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06"/>
        <w:gridCol w:w="1296"/>
        <w:gridCol w:w="1301"/>
        <w:gridCol w:w="1296"/>
        <w:gridCol w:w="1286"/>
        <w:gridCol w:w="1296"/>
        <w:gridCol w:w="1810"/>
      </w:tblGrid>
      <w:tr>
        <w:trPr>
          <w:trHeight w:val="34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度福建上市公 司投资者网上 集体接待日活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 </w:t>
            </w:r>
            <w:r>
              <w:rPr>
                <w:rFonts w:ascii="Times New Roman" w:eastAsia="Times New Roman" w:hAnsi="Times New Roman" w:cs="Times New Roman"/>
                <w:color w:val="000000"/>
                <w:spacing w:val="0"/>
                <w:w w:val="100"/>
                <w:position w:val="0"/>
                <w:sz w:val="18"/>
                <w:szCs w:val="18"/>
              </w:rPr>
              <w:t>o.com.cn/new/di</w:t>
            </w:r>
            <w:r>
              <w:rPr>
                <w:rFonts w:ascii="Times New Roman" w:eastAsia="Times New Roman" w:hAnsi="Times New Roman" w:cs="Times New Roman"/>
                <w:color w:val="000000"/>
                <w:spacing w:val="0"/>
                <w:w w:val="100"/>
                <w:position w:val="0"/>
                <w:sz w:val="18"/>
                <w:szCs w:val="18"/>
              </w:rPr>
              <w:t xml:space="preserve"> sclosure/detail?p late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 xml:space="preserve">szse&amp;orgId </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9900014447&amp;s tockCode=0024 74&amp;announc eme ntId=120998253 4&amp;announcemen tTime=2021-05- 14 18:53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cn/new/disclosure/detai 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szse&amp;orgId=99 00014447&amp;stockCode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002474&amp;announcement Id=1209982534&amp;annou nc ementT ime=2021-05- 14 18:53</w:t>
            </w:r>
          </w:p>
        </w:tc>
      </w:tr>
    </w:tbl>
    <w:p>
      <w:pPr>
        <w:sectPr>
          <w:footnotePr>
            <w:pos w:val="pageBottom"/>
            <w:numFmt w:val="decimal"/>
            <w:numRestart w:val="continuous"/>
          </w:footnotePr>
          <w:pgSz w:w="11900" w:h="16840"/>
          <w:pgMar w:top="1376" w:right="1064" w:bottom="1434" w:left="1049" w:header="0" w:footer="3" w:gutter="0"/>
          <w:cols w:space="720"/>
          <w:noEndnote/>
          <w:rtlGutter w:val="0"/>
          <w:docGrid w:linePitch="360"/>
        </w:sectPr>
      </w:pPr>
    </w:p>
    <w:p>
      <w:pPr>
        <w:pStyle w:val="Style11"/>
        <w:keepNext/>
        <w:keepLines/>
        <w:widowControl w:val="0"/>
        <w:shd w:val="clear" w:color="auto" w:fill="auto"/>
        <w:bidi w:val="0"/>
        <w:spacing w:before="580" w:line="240" w:lineRule="auto"/>
        <w:ind w:left="0" w:right="0" w:firstLine="0"/>
        <w:jc w:val="center"/>
      </w:pPr>
      <w:bookmarkStart w:id="261" w:name="bookmark261"/>
      <w:bookmarkStart w:id="262" w:name="bookmark262"/>
      <w:bookmarkStart w:id="263" w:name="bookmark263"/>
      <w:r>
        <w:rPr>
          <w:color w:val="000000"/>
          <w:spacing w:val="0"/>
          <w:w w:val="100"/>
          <w:position w:val="0"/>
        </w:rPr>
        <w:t>第四节公司治理</w:t>
      </w:r>
      <w:bookmarkEnd w:id="261"/>
      <w:bookmarkEnd w:id="262"/>
      <w:bookmarkEnd w:id="263"/>
    </w:p>
    <w:p>
      <w:pPr>
        <w:pStyle w:val="Style24"/>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bookmarkStart w:id="268" w:name="bookmark268"/>
      <w:r>
        <w:rPr>
          <w:color w:val="000000"/>
          <w:spacing w:val="0"/>
          <w:w w:val="100"/>
          <w:position w:val="0"/>
          <w:sz w:val="24"/>
          <w:szCs w:val="24"/>
        </w:rPr>
        <w:t>一</w:t>
      </w:r>
      <w:bookmarkEnd w:id="267"/>
      <w:r>
        <w:rPr>
          <w:color w:val="000000"/>
          <w:spacing w:val="0"/>
          <w:w w:val="100"/>
          <w:position w:val="0"/>
          <w:sz w:val="24"/>
          <w:szCs w:val="24"/>
        </w:rPr>
        <w:t>、公司治理的基本状况</w:t>
      </w:r>
      <w:bookmarkEnd w:id="265"/>
      <w:bookmarkEnd w:id="266"/>
      <w:bookmarkEnd w:id="268"/>
      <w:bookmarkEnd w:id="264"/>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公司严格按照《公司法》《证券法》《深圳证券交易所股票上市规则》《深圳证券交易所上市公司自律监管指引第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主板上市公司规范运作》《深圳证券交易所上市公司自律监管指引第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号——信息披露事务管理》和中国证监会、深圳 证券交易所颁布的其他相关法律、法规和规范性文件的相关规定，制定了《公司章程》《股东大会议事规则》《董事会议事 规则》《独立董事工作制度》《监事会议事规则》《信息披露管理制度》及其他内部控制制度，不断完善公司内部法人治理 结构、优化内部控制环境，建立健全内部管理制度，规范公司行为，促进和确保公司规范有效运作，维护公司和投资者的合 法权益。截止本报告期未，公司治理的实际状况符合中国证监会、深圳证券交易所有关上市公司治理的相关规范性文件要求。 具体情况如下：</w:t>
      </w:r>
    </w:p>
    <w:p>
      <w:pPr>
        <w:pStyle w:val="Style21"/>
        <w:keepNext w:val="0"/>
        <w:keepLines w:val="0"/>
        <w:widowControl w:val="0"/>
        <w:shd w:val="clear" w:color="auto" w:fill="auto"/>
        <w:tabs>
          <w:tab w:pos="861" w:val="left"/>
        </w:tabs>
        <w:bidi w:val="0"/>
        <w:spacing w:before="0" w:after="0" w:line="314" w:lineRule="exact"/>
        <w:ind w:left="0" w:right="0"/>
        <w:jc w:val="left"/>
      </w:pPr>
      <w:bookmarkStart w:id="269" w:name="bookmark269"/>
      <w:r>
        <w:rPr>
          <w:color w:val="000000"/>
          <w:spacing w:val="0"/>
          <w:w w:val="100"/>
          <w:position w:val="0"/>
        </w:rPr>
        <w:t>（</w:t>
      </w:r>
      <w:bookmarkEnd w:id="269"/>
      <w:r>
        <w:rPr>
          <w:color w:val="000000"/>
          <w:spacing w:val="0"/>
          <w:w w:val="100"/>
          <w:position w:val="0"/>
        </w:rPr>
        <w:t>一）</w:t>
        <w:tab/>
        <w:t>关于股东与股东大会</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公司严格按照《公司法》《公司章程》《股东大会议事规则》的规定和要求，规范股东大会的召集、召开和表决程序。 股东大会的召集、召开程序、出席股东大会的人员资格及股东大会的表决程序均符合《公司法》《股东大会议事规则》及其 他法律法规的规定。公司股东大会提案审议符合程序，股东大会采取现场与网络投票相结合的方式进行表决，确保所有股东， 特别是中小股东充分行使表决权，并聘请律师见证，保证股东大会会议召集、召开和表决程序的合法性；公司平等对待所有 股东，确保中小股东与大股东享有平等地位，确保所有股东能够充分行使自己的权利。</w:t>
      </w:r>
    </w:p>
    <w:p>
      <w:pPr>
        <w:pStyle w:val="Style21"/>
        <w:keepNext w:val="0"/>
        <w:keepLines w:val="0"/>
        <w:widowControl w:val="0"/>
        <w:shd w:val="clear" w:color="auto" w:fill="auto"/>
        <w:tabs>
          <w:tab w:pos="861" w:val="left"/>
        </w:tabs>
        <w:bidi w:val="0"/>
        <w:spacing w:before="0" w:after="0" w:line="314" w:lineRule="exact"/>
        <w:ind w:left="0" w:right="0"/>
        <w:jc w:val="both"/>
      </w:pPr>
      <w:bookmarkStart w:id="270" w:name="bookmark270"/>
      <w:r>
        <w:rPr>
          <w:color w:val="000000"/>
          <w:spacing w:val="0"/>
          <w:w w:val="100"/>
          <w:position w:val="0"/>
        </w:rPr>
        <w:t>（</w:t>
      </w:r>
      <w:bookmarkEnd w:id="270"/>
      <w:r>
        <w:rPr>
          <w:color w:val="000000"/>
          <w:spacing w:val="0"/>
          <w:w w:val="100"/>
          <w:position w:val="0"/>
        </w:rPr>
        <w:t>二）</w:t>
        <w:tab/>
        <w:t>关于公司与控股股东</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公司与控股股东实行人员、资产、财务分开，机构、业务独立，各自独立核算、独立承担责任和风险，公司具有独立完 整的业务和自主经营的能力。公司的业务独立于公司的控股股东、实际控制人及其控制的其他企业。报告期内公司与其控股 股东、实际控制人及其控制的其他企业不存在关联交易。</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公司的重大决策按《公司章程》等规定履行相应的审批程序，公司董事会、监事会和内部管理机构依照《公司法》《公 司章程》的规定独立运作。公司的董事、监事均根据《公司法》《公司章程》的规定选举产生，通过合法程序进行；公司的 高级管理人员均由董事会聘任或解聘，公司的高级管理人员不存在在控股股东、实际控制人及其控制的企业担任董事、监事 之外的其他职务或领薪的情形。公司控股股东严格规范自身行为，通过股东大会行使股东权利，不存在直接或间接干预公司 的决策和经营活动的行为，也不存在损害公司及中小股东利益的情形。</w:t>
      </w:r>
    </w:p>
    <w:p>
      <w:pPr>
        <w:pStyle w:val="Style21"/>
        <w:keepNext w:val="0"/>
        <w:keepLines w:val="0"/>
        <w:widowControl w:val="0"/>
        <w:shd w:val="clear" w:color="auto" w:fill="auto"/>
        <w:tabs>
          <w:tab w:pos="861" w:val="left"/>
        </w:tabs>
        <w:bidi w:val="0"/>
        <w:spacing w:before="0" w:after="0" w:line="314" w:lineRule="exact"/>
        <w:ind w:left="0" w:right="0"/>
        <w:jc w:val="both"/>
      </w:pPr>
      <w:bookmarkStart w:id="271" w:name="bookmark271"/>
      <w:r>
        <w:rPr>
          <w:color w:val="000000"/>
          <w:spacing w:val="0"/>
          <w:w w:val="100"/>
          <w:position w:val="0"/>
        </w:rPr>
        <w:t>（</w:t>
      </w:r>
      <w:bookmarkEnd w:id="271"/>
      <w:r>
        <w:rPr>
          <w:color w:val="000000"/>
          <w:spacing w:val="0"/>
          <w:w w:val="100"/>
          <w:position w:val="0"/>
        </w:rPr>
        <w:t>三）</w:t>
        <w:tab/>
        <w:t>关于董事与董事会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名，董事会的人数及人员构成符合法律、法规和《公司章程》的要求。全体董事 依据《公司章程》《董事会议事规则》《独立董事工作制度》等开展工作，出席董事会和股东大会，勤勉尽责地履行职责和 义务，同时积极参加相关培训，熟悉相关法律法规。公司董事会下设的审计、提名、薪酬与考核、战略四个专门委员会正常 履行职责，为董事会的决策提供科学和专业的意见参考。</w:t>
      </w:r>
    </w:p>
    <w:p>
      <w:pPr>
        <w:pStyle w:val="Style21"/>
        <w:keepNext w:val="0"/>
        <w:keepLines w:val="0"/>
        <w:widowControl w:val="0"/>
        <w:shd w:val="clear" w:color="auto" w:fill="auto"/>
        <w:tabs>
          <w:tab w:pos="861" w:val="left"/>
        </w:tabs>
        <w:bidi w:val="0"/>
        <w:spacing w:before="0" w:after="0" w:line="314" w:lineRule="exact"/>
        <w:ind w:left="0" w:right="0"/>
        <w:jc w:val="both"/>
      </w:pPr>
      <w:bookmarkStart w:id="272" w:name="bookmark272"/>
      <w:r>
        <w:rPr>
          <w:color w:val="000000"/>
          <w:spacing w:val="0"/>
          <w:w w:val="100"/>
          <w:position w:val="0"/>
        </w:rPr>
        <w:t>（</w:t>
      </w:r>
      <w:bookmarkEnd w:id="272"/>
      <w:r>
        <w:rPr>
          <w:color w:val="000000"/>
          <w:spacing w:val="0"/>
          <w:w w:val="100"/>
          <w:position w:val="0"/>
        </w:rPr>
        <w:t>四）</w:t>
        <w:tab/>
        <w:t>关于监事和监事会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名，监事会的人数和构成符合法律、法规的要求。全体监事严格按照《监事会议 事规则》的要求，认真履行自己的职责，对公司重大事项、关联交易、财务状况以及董事、高级管理人员履行职责的合法合 规性进行监督。</w:t>
      </w:r>
    </w:p>
    <w:p>
      <w:pPr>
        <w:pStyle w:val="Style21"/>
        <w:keepNext w:val="0"/>
        <w:keepLines w:val="0"/>
        <w:widowControl w:val="0"/>
        <w:shd w:val="clear" w:color="auto" w:fill="auto"/>
        <w:tabs>
          <w:tab w:pos="861" w:val="left"/>
        </w:tabs>
        <w:bidi w:val="0"/>
        <w:spacing w:before="0" w:after="0" w:line="314" w:lineRule="exact"/>
        <w:ind w:left="0" w:right="0"/>
        <w:jc w:val="both"/>
      </w:pPr>
      <w:bookmarkStart w:id="273" w:name="bookmark273"/>
      <w:r>
        <w:rPr>
          <w:color w:val="000000"/>
          <w:spacing w:val="0"/>
          <w:w w:val="100"/>
          <w:position w:val="0"/>
        </w:rPr>
        <w:t>（</w:t>
      </w:r>
      <w:bookmarkEnd w:id="273"/>
      <w:r>
        <w:rPr>
          <w:color w:val="000000"/>
          <w:spacing w:val="0"/>
          <w:w w:val="100"/>
          <w:position w:val="0"/>
        </w:rPr>
        <w:t>五）</w:t>
        <w:tab/>
        <w:t>关于绩效评价与激励约束机制</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公司董事、监事、高级管理人员的任免程序公开、透明，依照法律、法规及《公司章程》的有关规定进行，公司薪酬考 核方案对经营班子的考核进行明确约定。公司将不断完善董事、监事、高级管理人员绩效评价标准和激励约束机制。</w:t>
      </w:r>
    </w:p>
    <w:p>
      <w:pPr>
        <w:pStyle w:val="Style21"/>
        <w:keepNext w:val="0"/>
        <w:keepLines w:val="0"/>
        <w:widowControl w:val="0"/>
        <w:shd w:val="clear" w:color="auto" w:fill="auto"/>
        <w:tabs>
          <w:tab w:pos="861" w:val="left"/>
        </w:tabs>
        <w:bidi w:val="0"/>
        <w:spacing w:before="0" w:after="0" w:line="314" w:lineRule="exact"/>
        <w:ind w:left="0" w:right="0"/>
        <w:jc w:val="both"/>
      </w:pPr>
      <w:bookmarkStart w:id="274" w:name="bookmark274"/>
      <w:r>
        <w:rPr>
          <w:color w:val="000000"/>
          <w:spacing w:val="0"/>
          <w:w w:val="100"/>
          <w:position w:val="0"/>
        </w:rPr>
        <w:t>（</w:t>
      </w:r>
      <w:bookmarkEnd w:id="274"/>
      <w:r>
        <w:rPr>
          <w:color w:val="000000"/>
          <w:spacing w:val="0"/>
          <w:w w:val="100"/>
          <w:position w:val="0"/>
        </w:rPr>
        <w:t>六）</w:t>
        <w:tab/>
        <w:t>关于相关利益者</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公司积极履行社会责任，充分尊重和维护相关利益者的合法权益，加强与各方的沟通和交流，实现社会、股东、公司、 供应商、客户、员工等各方利益的协调平衡，以推动公司持续、稳定、健康地发展。</w:t>
      </w:r>
    </w:p>
    <w:p>
      <w:pPr>
        <w:pStyle w:val="Style21"/>
        <w:keepNext w:val="0"/>
        <w:keepLines w:val="0"/>
        <w:widowControl w:val="0"/>
        <w:shd w:val="clear" w:color="auto" w:fill="auto"/>
        <w:tabs>
          <w:tab w:pos="861" w:val="left"/>
        </w:tabs>
        <w:bidi w:val="0"/>
        <w:spacing w:before="0" w:after="260" w:line="314" w:lineRule="exact"/>
        <w:ind w:left="0" w:right="0"/>
        <w:jc w:val="both"/>
      </w:pPr>
      <w:bookmarkStart w:id="275" w:name="bookmark275"/>
      <w:r>
        <w:rPr>
          <w:color w:val="000000"/>
          <w:spacing w:val="0"/>
          <w:w w:val="100"/>
          <w:position w:val="0"/>
        </w:rPr>
        <w:t>（</w:t>
      </w:r>
      <w:bookmarkEnd w:id="275"/>
      <w:r>
        <w:rPr>
          <w:color w:val="000000"/>
          <w:spacing w:val="0"/>
          <w:w w:val="100"/>
          <w:position w:val="0"/>
        </w:rPr>
        <w:t>七）</w:t>
        <w:tab/>
        <w:t>关于信息披露与透明度</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公司严格按照《深圳证券交易所股票上市规则》《深圳证券交易所上市公司自律监管指引第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 运作》《深圳证券交易所上市公司自律监管指引第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号——信息披露事务管理》《公司章程》和《信息披露管理制度》等规 定认真履行信息披露义务。公司指定董事会秘书负责信息披露工作及投资者关系管理，确保公司真实、准确、完整和及时进 行信息披露。公司指定《中国证券报》《证券日报》《证券时报》和巨潮资讯网（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为公司指定信息披 露媒体和网站，保障投资者的知情权，确保公司所有股东公平获取公司信息。同时，公司还建立了多样化的投资者沟通渠道， 包括专线电话、专用邮箱、投资者互动平台等多种形式，充分保证广大投资者的知情权。</w:t>
      </w:r>
    </w:p>
    <w:p>
      <w:pPr>
        <w:pStyle w:val="Style21"/>
        <w:keepNext w:val="0"/>
        <w:keepLines w:val="0"/>
        <w:widowControl w:val="0"/>
        <w:shd w:val="clear" w:color="auto" w:fill="auto"/>
        <w:tabs>
          <w:tab w:pos="859" w:val="left"/>
        </w:tabs>
        <w:bidi w:val="0"/>
        <w:spacing w:before="0" w:after="0" w:line="313" w:lineRule="exact"/>
        <w:ind w:left="0" w:right="0"/>
        <w:jc w:val="both"/>
      </w:pPr>
      <w:bookmarkStart w:id="276" w:name="bookmark276"/>
      <w:r>
        <w:rPr>
          <w:color w:val="000000"/>
          <w:spacing w:val="0"/>
          <w:w w:val="100"/>
          <w:position w:val="0"/>
        </w:rPr>
        <w:t>（</w:t>
      </w:r>
      <w:bookmarkEnd w:id="276"/>
      <w:r>
        <w:rPr>
          <w:color w:val="000000"/>
          <w:spacing w:val="0"/>
          <w:w w:val="100"/>
          <w:position w:val="0"/>
        </w:rPr>
        <w:t>八）</w:t>
        <w:tab/>
        <w:t>关于投资者关系管理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公司高度重视投资者关系管理，通过电话沟通、网上业绩说明会、现场交流等多种方式，及时耐心地解答投资者提出的 问题，将投资者的需求、建议及合理诉求及时向管理层汇报。</w:t>
      </w:r>
    </w:p>
    <w:p>
      <w:pPr>
        <w:pStyle w:val="Style21"/>
        <w:keepNext w:val="0"/>
        <w:keepLines w:val="0"/>
        <w:widowControl w:val="0"/>
        <w:shd w:val="clear" w:color="auto" w:fill="auto"/>
        <w:tabs>
          <w:tab w:pos="859" w:val="left"/>
        </w:tabs>
        <w:bidi w:val="0"/>
        <w:spacing w:before="0" w:after="0" w:line="313" w:lineRule="exact"/>
        <w:ind w:left="0" w:right="0"/>
        <w:jc w:val="both"/>
      </w:pPr>
      <w:bookmarkStart w:id="277" w:name="bookmark277"/>
      <w:r>
        <w:rPr>
          <w:color w:val="000000"/>
          <w:spacing w:val="0"/>
          <w:w w:val="100"/>
          <w:position w:val="0"/>
        </w:rPr>
        <w:t>（</w:t>
      </w:r>
      <w:bookmarkEnd w:id="277"/>
      <w:r>
        <w:rPr>
          <w:color w:val="000000"/>
          <w:spacing w:val="0"/>
          <w:w w:val="100"/>
          <w:position w:val="0"/>
        </w:rPr>
        <w:t>九）</w:t>
        <w:tab/>
        <w:t>关于内部审计制度</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公司董事会下设审计委员会，负责公司审计事项的沟通，监督审查公司内部控制制度的执行情况，审查公司的财务信息 等。公司将逐步加强内部审计制度的建立与完善，有效规范经营管理，在控制风险的同时确保经营活动正常开展。</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60" w:line="312"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二</w:t>
      </w:r>
      <w:bookmarkEnd w:id="280"/>
      <w:r>
        <w:rPr>
          <w:color w:val="000000"/>
          <w:spacing w:val="0"/>
          <w:w w:val="100"/>
          <w:position w:val="0"/>
          <w:sz w:val="24"/>
          <w:szCs w:val="24"/>
        </w:rPr>
        <w:t>、公司相对于控股股东、实际控制人在保证公司资产、人员、财务、机构、业务等方面的 独立情况</w:t>
      </w:r>
      <w:bookmarkEnd w:id="278"/>
      <w:bookmarkEnd w:id="279"/>
      <w:bookmarkEnd w:id="281"/>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公司控股股东严格自律、行为规范，没有超越股东大会直接或间接干涉公司的决策和生产经营活动；控股股东与公司之 间实行业务、人员、资产、财务、机构独立，确保公司重大决策由公司独立作出和实施。同时公司的控股股东未以任何形式 占用公司的货币资金或其他资产，公司具有独立完整的业务及自主经营能力。</w:t>
      </w:r>
    </w:p>
    <w:p>
      <w:pPr>
        <w:pStyle w:val="Style21"/>
        <w:keepNext w:val="0"/>
        <w:keepLines w:val="0"/>
        <w:widowControl w:val="0"/>
        <w:shd w:val="clear" w:color="auto" w:fill="auto"/>
        <w:tabs>
          <w:tab w:pos="859" w:val="left"/>
        </w:tabs>
        <w:bidi w:val="0"/>
        <w:spacing w:before="0" w:after="0" w:line="314" w:lineRule="exact"/>
        <w:ind w:left="0" w:right="0"/>
        <w:jc w:val="both"/>
      </w:pPr>
      <w:bookmarkStart w:id="282" w:name="bookmark282"/>
      <w:r>
        <w:rPr>
          <w:color w:val="000000"/>
          <w:spacing w:val="0"/>
          <w:w w:val="100"/>
          <w:position w:val="0"/>
        </w:rPr>
        <w:t>（</w:t>
      </w:r>
      <w:bookmarkEnd w:id="282"/>
      <w:r>
        <w:rPr>
          <w:color w:val="000000"/>
          <w:spacing w:val="0"/>
          <w:w w:val="100"/>
          <w:position w:val="0"/>
        </w:rPr>
        <w:t>一）</w:t>
        <w:tab/>
        <w:t>业务独立</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公司主营业务为软件产品的开发与销售、计算机系统集成及技术支持与服务，公司独立进行产品的技术研发、生产和销 售，具有独立的软件开发技术，拥有具有自主知识产权的软件产品，拥有独立的注册商标，具备相关业务市场的准入资质， 公司已建立了完整的职能部门架构，拥有独立的采购、生产、销售和研发系统，具有面向市场独立开展业务的能力；公司生 产经营所需技术为公司合法独立拥有，没有产权争议；公司独立对外签订所有合同，具有独立生产经营决策，独立从事生产 经营活动的能力，所有业务环节不依赖于控股股东或其它任何关联方；公司业务与控股股东、实际控制人及其控制的其他企 业之间不存在同业竞争；控股股东、实际控制人不存在直接或间接干预公司经营的情形。</w:t>
      </w:r>
    </w:p>
    <w:p>
      <w:pPr>
        <w:pStyle w:val="Style21"/>
        <w:keepNext w:val="0"/>
        <w:keepLines w:val="0"/>
        <w:widowControl w:val="0"/>
        <w:shd w:val="clear" w:color="auto" w:fill="auto"/>
        <w:tabs>
          <w:tab w:pos="859" w:val="left"/>
        </w:tabs>
        <w:bidi w:val="0"/>
        <w:spacing w:before="0" w:after="0" w:line="314" w:lineRule="exact"/>
        <w:ind w:left="0" w:right="0"/>
        <w:jc w:val="both"/>
      </w:pPr>
      <w:bookmarkStart w:id="283" w:name="bookmark283"/>
      <w:r>
        <w:rPr>
          <w:color w:val="000000"/>
          <w:spacing w:val="0"/>
          <w:w w:val="100"/>
          <w:position w:val="0"/>
        </w:rPr>
        <w:t>（</w:t>
      </w:r>
      <w:bookmarkEnd w:id="283"/>
      <w:r>
        <w:rPr>
          <w:color w:val="000000"/>
          <w:spacing w:val="0"/>
          <w:w w:val="100"/>
          <w:position w:val="0"/>
        </w:rPr>
        <w:t>二）</w:t>
        <w:tab/>
        <w:t>人员独立</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公司的董事、监事、高级管理人员的任职，均按照《公司法》及其他法律、法规、规范性文件、《公司章程》规定的程 序进行。公司高级管理人员不存在有关法律法规禁止的兼职情况，未在控股股东、实际控制人及其下属企业担任除董事以外 的任何职务和领取报酬，公司的人事及工资管理与控股股东、实际控制人完全独立。</w:t>
      </w:r>
    </w:p>
    <w:p>
      <w:pPr>
        <w:pStyle w:val="Style21"/>
        <w:keepNext w:val="0"/>
        <w:keepLines w:val="0"/>
        <w:widowControl w:val="0"/>
        <w:shd w:val="clear" w:color="auto" w:fill="auto"/>
        <w:tabs>
          <w:tab w:pos="859" w:val="left"/>
        </w:tabs>
        <w:bidi w:val="0"/>
        <w:spacing w:before="0" w:after="0" w:line="314" w:lineRule="exact"/>
        <w:ind w:left="0" w:right="0"/>
        <w:jc w:val="both"/>
      </w:pPr>
      <w:bookmarkStart w:id="284" w:name="bookmark284"/>
      <w:r>
        <w:rPr>
          <w:color w:val="000000"/>
          <w:spacing w:val="0"/>
          <w:w w:val="100"/>
          <w:position w:val="0"/>
        </w:rPr>
        <w:t>（</w:t>
      </w:r>
      <w:bookmarkEnd w:id="284"/>
      <w:r>
        <w:rPr>
          <w:color w:val="000000"/>
          <w:spacing w:val="0"/>
          <w:w w:val="100"/>
          <w:position w:val="0"/>
        </w:rPr>
        <w:t>三）</w:t>
        <w:tab/>
        <w:t>资产独立</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公司合法拥有开展主营业务相关的土地、办公场所、设备、专利和商标等的所有权和使用权。公司资产不存在被控股股 东、实际控制人及其控制的其他企业占用的情形。</w:t>
      </w:r>
    </w:p>
    <w:p>
      <w:pPr>
        <w:pStyle w:val="Style21"/>
        <w:keepNext w:val="0"/>
        <w:keepLines w:val="0"/>
        <w:widowControl w:val="0"/>
        <w:shd w:val="clear" w:color="auto" w:fill="auto"/>
        <w:tabs>
          <w:tab w:pos="859" w:val="left"/>
        </w:tabs>
        <w:bidi w:val="0"/>
        <w:spacing w:before="0" w:after="0" w:line="314" w:lineRule="exact"/>
        <w:ind w:left="0" w:right="0"/>
        <w:jc w:val="both"/>
      </w:pPr>
      <w:bookmarkStart w:id="285" w:name="bookmark285"/>
      <w:r>
        <w:rPr>
          <w:color w:val="000000"/>
          <w:spacing w:val="0"/>
          <w:w w:val="100"/>
          <w:position w:val="0"/>
        </w:rPr>
        <w:t>（</w:t>
      </w:r>
      <w:bookmarkEnd w:id="285"/>
      <w:r>
        <w:rPr>
          <w:color w:val="000000"/>
          <w:spacing w:val="0"/>
          <w:w w:val="100"/>
          <w:position w:val="0"/>
        </w:rPr>
        <w:t>四）</w:t>
        <w:tab/>
        <w:t>财务独立</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公司依据《中华人民共和国会计法》《企业会计准则》的要求建立了一套独立、完整、规范的财务会计核算体系和财务 管理制度，并建立健全了相应的内部控制制度，独立作出财务决策。公司设置了独立的财务部门，并按照业务要求配备了独 立的财务人员，建立了独立的会计核算体系。公司经营活动和重大资产处置行为的财务会计处理，均以股东大会决议、董事 会决议及相关合同文本为依据，未出现股东干预公司财务部门业务开展的情形。公司拥有独立的银行账号并依法独立纳税， 不存在与控股股东、实际控制人及其控制的其他企业共用银行账户的情形。</w:t>
      </w:r>
    </w:p>
    <w:p>
      <w:pPr>
        <w:pStyle w:val="Style21"/>
        <w:keepNext w:val="0"/>
        <w:keepLines w:val="0"/>
        <w:widowControl w:val="0"/>
        <w:shd w:val="clear" w:color="auto" w:fill="auto"/>
        <w:tabs>
          <w:tab w:pos="859" w:val="left"/>
        </w:tabs>
        <w:bidi w:val="0"/>
        <w:spacing w:before="0" w:after="120" w:line="314" w:lineRule="exact"/>
        <w:ind w:left="0" w:right="0"/>
        <w:jc w:val="both"/>
      </w:pPr>
      <w:bookmarkStart w:id="286" w:name="bookmark286"/>
      <w:r>
        <w:rPr>
          <w:color w:val="000000"/>
          <w:spacing w:val="0"/>
          <w:w w:val="100"/>
          <w:position w:val="0"/>
        </w:rPr>
        <w:t>（</w:t>
      </w:r>
      <w:bookmarkEnd w:id="286"/>
      <w:r>
        <w:rPr>
          <w:color w:val="000000"/>
          <w:spacing w:val="0"/>
          <w:w w:val="100"/>
          <w:position w:val="0"/>
        </w:rPr>
        <w:t>五）</w:t>
        <w:tab/>
        <w:t>机构独立</w:t>
      </w:r>
    </w:p>
    <w:p>
      <w:pPr>
        <w:pStyle w:val="Style21"/>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公司建立了健全的组织机构体系，股东大会、董事会、监事会及各职能部门均独立行使各自职权。公司具有独立的生产 经营和办公机构，完全独立于控股股东、实际控制人及其控制的其他企业，不存在混合经营、合署办公的情况，控股股东、 实际控制人及其控制的其他企业未干预公司的机构设置和生产经营活动。</w:t>
      </w:r>
    </w:p>
    <w:p>
      <w:pPr>
        <w:pStyle w:val="Style24"/>
        <w:keepNext/>
        <w:keepLines/>
        <w:widowControl w:val="0"/>
        <w:shd w:val="clear" w:color="auto" w:fill="auto"/>
        <w:bidi w:val="0"/>
        <w:spacing w:before="0" w:after="24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、同业竞争情况</w:t>
      </w:r>
      <w:bookmarkEnd w:id="287"/>
      <w:bookmarkEnd w:id="288"/>
      <w:bookmarkEnd w:id="290"/>
    </w:p>
    <w:p>
      <w:pPr>
        <w:pStyle w:val="Style21"/>
        <w:keepNext w:val="0"/>
        <w:keepLines w:val="0"/>
        <w:widowControl w:val="0"/>
        <w:shd w:val="clear" w:color="auto" w:fill="auto"/>
        <w:bidi w:val="0"/>
        <w:spacing w:before="0" w:after="34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、报告期内召开的年度股东大会和临时股东大会的有关情况</w:t>
      </w:r>
      <w:bookmarkEnd w:id="291"/>
      <w:bookmarkEnd w:id="292"/>
      <w:bookmarkEnd w:id="294"/>
    </w:p>
    <w:p>
      <w:pPr>
        <w:pStyle w:val="Style32"/>
        <w:keepNext/>
        <w:keepLines/>
        <w:widowControl w:val="0"/>
        <w:shd w:val="clear" w:color="auto" w:fill="auto"/>
        <w:bidi w:val="0"/>
        <w:spacing w:before="0" w:after="340" w:line="240" w:lineRule="auto"/>
        <w:ind w:left="0" w:right="0" w:firstLine="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、本报告期股东大会情况</w:t>
      </w:r>
      <w:bookmarkEnd w:id="295"/>
      <w:bookmarkEnd w:id="296"/>
      <w:bookmarkEnd w:id="298"/>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8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度股东大会决议公 告（公告编号： </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18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 xml:space="preserve">详见巨潮资讯网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第一次临时股东大 会决议公告（公告编 号：</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、表决权恢复的优先股股东请求召开临时股东大会</w:t>
      </w:r>
      <w:bookmarkEnd w:id="299"/>
      <w:bookmarkEnd w:id="300"/>
      <w:bookmarkEnd w:id="302"/>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、董事、监事和高级管理人员情况</w:t>
      </w:r>
      <w:bookmarkEnd w:id="303"/>
      <w:bookmarkEnd w:id="304"/>
      <w:bookmarkEnd w:id="306"/>
    </w:p>
    <w:p>
      <w:pPr>
        <w:pStyle w:val="Style32"/>
        <w:keepNext/>
        <w:keepLines/>
        <w:widowControl w:val="0"/>
        <w:shd w:val="clear" w:color="auto" w:fill="auto"/>
        <w:bidi w:val="0"/>
        <w:spacing w:before="0" w:after="340" w:line="240" w:lineRule="auto"/>
        <w:ind w:left="0" w:right="0" w:firstLine="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、基本情况</w:t>
      </w:r>
      <w:bookmarkEnd w:id="307"/>
      <w:bookmarkEnd w:id="308"/>
      <w:bookmarkEnd w:id="310"/>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121,500, 740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113,320, 740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个人减 持</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副董事 长、常务 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个人减 持</w:t>
            </w: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5,396,14</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1,141,00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1,160,99</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44"/>
        <w:gridCol w:w="739"/>
        <w:gridCol w:w="734"/>
        <w:gridCol w:w="744"/>
        <w:gridCol w:w="725"/>
        <w:gridCol w:w="734"/>
        <w:gridCol w:w="744"/>
        <w:gridCol w:w="734"/>
        <w:gridCol w:w="730"/>
        <w:gridCol w:w="749"/>
        <w:gridCol w:w="739"/>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报告期是否存在任期内董事、监事离任和高级管理人员解聘的情况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400" w:line="305" w:lineRule="exact"/>
        <w:ind w:left="0" w:right="0" w:firstLine="0"/>
        <w:jc w:val="left"/>
      </w:pPr>
      <w:r>
        <w:rPr>
          <w:color w:val="000000"/>
          <w:spacing w:val="0"/>
          <w:w w:val="100"/>
          <w:position w:val="0"/>
        </w:rPr>
        <w:t xml:space="preserve">公司董事、监事、高级管理人员变动情况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、任职情况</w:t>
      </w:r>
      <w:bookmarkEnd w:id="311"/>
      <w:bookmarkEnd w:id="312"/>
      <w:bookmarkEnd w:id="314"/>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鲁峰：中国国籍，男，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年生，毕业于中科院沈阳计算技术研究所，研究生学历，工学硕士学位。长期从事行业应用 软件开发及计算机信息系统集成工作，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年参与创建福建榕基软件开发有限公司，主持业务、研发和技术管理工作。</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年，荣获福建省人事厅、信息产业厅颁发的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首届福建省软件杰出人才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荣誉称号。荣获福建省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劳动奖章，获得福建省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新长征突击手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中国信息产业年度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大新锐人物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第四届中国软件行业杰出青年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海西 创业英才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福建省互联网优秀人才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福建省高层次人才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等荣誉称号。现任公司董事长、总裁、上海榕基软件开发有限公司 执行董事。</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侯伟：中国国籍，男，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年生，毕业于郑州大学，本科学历，学士学位。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年至今在公司工作，长期从事公司内务 管理和市场管理工作，荣获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福建省第三批企业高级经营管理人才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福建省高层次人才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等荣誉称号。现任公司副董事长、常 务副总裁、福建容大物联网科技有限公司董事长。</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陈明平：中国国籍，男，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年生，毕业于北京理工大学，本科学历，高级工程师。长期从事行业应用软件开发及计算 机信息系统集成工作，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年加入公司，负责企业技术开发及管理工作。具有较强的技术管理能力，负责公司技术管理体系 的建设和维护，对软件行业具有深入的理解和丰富的实践经验，曾获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首届福建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行业十大杰出青年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第二届福建省软件杰 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第二届福州市杰出科技人员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第十二届福建青年科技奖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福建省高层次人才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中国电子学会电子信息科学技术奖 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福建省优秀新产品二等奖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福建省百千万人才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年至今获得 省、市科学技术奖共</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项。现任公司董事、副总裁、福建榕基软件工程有限公司执行董事兼总经理、福建亿榕信息技术有限 公司董事。</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刘景燕：中国国籍，女，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年生，工程硕士。</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年加入公司，先后担任项目管理部经理，运营总监。具有较强的经 营管理能力，负责公司企业运营管理工作。现任公司董事、上海榕基软件开发有限公司监事。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赵坚：中国国籍，男，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年生，毕业于福州大学，本科学历。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年加入公司，先后担任系统集成工程师、项目经理、 系统集成部经理、业务副总监。现负责企业计算机系统集成、音视频系统集成、办公自动化软件、定制</w:t>
      </w:r>
      <w:r>
        <w:rPr>
          <w:rFonts w:ascii="Times New Roman" w:eastAsia="Times New Roman" w:hAnsi="Times New Roman" w:cs="Times New Roman"/>
          <w:color w:val="000000"/>
          <w:spacing w:val="0"/>
          <w:w w:val="100"/>
          <w:position w:val="0"/>
          <w:sz w:val="18"/>
          <w:szCs w:val="18"/>
        </w:rPr>
        <w:t>MIS</w:t>
      </w:r>
      <w:r>
        <w:rPr>
          <w:color w:val="000000"/>
          <w:spacing w:val="0"/>
          <w:w w:val="100"/>
          <w:position w:val="0"/>
        </w:rPr>
        <w:t>软件等工程项目 的实施及服务管理工作。具有较强的技术管理能力，承担公司工程项目管理体系的建设和维护，对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行业的工程管理具有深 入的理解和丰富的实践经验，具有较强的大型系统集成项目分析和整合规划能力，主持了公司多个重点项目的规划、实施工 作。现任公司董事、工程中心总经理、福建星榕基信息科技有限责任公司董事、福建榕基软件工程有限公司监事。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靳谊：中国国籍，男，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年生，毕业于武汉理工大学。</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年加入公司，先后担任工程师、项目经理、资深工程师、 副主任工程师、主任工程师、协同管理事业部经理。具有较强的研发管理能力与大型企业管理信息系统分析和整合规划能力， 负责协同管理业务技术管理以及企业内部信息系统建设工作，主持设计研发了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榕基电子单证系统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w:t>
      </w:r>
      <w:r>
        <w:rPr>
          <w:rFonts w:ascii="Times New Roman" w:eastAsia="Times New Roman" w:hAnsi="Times New Roman" w:cs="Times New Roman"/>
          <w:color w:val="000000"/>
          <w:spacing w:val="0"/>
          <w:w w:val="100"/>
          <w:position w:val="0"/>
          <w:sz w:val="18"/>
          <w:szCs w:val="18"/>
        </w:rPr>
        <w:t>I-TASK</w:t>
      </w:r>
      <w:r>
        <w:rPr>
          <w:color w:val="000000"/>
          <w:spacing w:val="0"/>
          <w:w w:val="100"/>
          <w:position w:val="0"/>
        </w:rPr>
        <w:t>任务管理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等公司战略产品以及能源、质检等行业十多项软件产品，曾获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福州市科学技术奖三等奖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福建省优秀信息主管 </w:t>
      </w:r>
      <w:r>
        <w:rPr>
          <w:rFonts w:ascii="Times New Roman" w:eastAsia="Times New Roman" w:hAnsi="Times New Roman" w:cs="Times New Roman"/>
          <w:color w:val="000000"/>
          <w:spacing w:val="0"/>
          <w:w w:val="100"/>
          <w:position w:val="0"/>
          <w:sz w:val="18"/>
          <w:szCs w:val="18"/>
        </w:rPr>
        <w:t>(CIO)”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信息化年度贡献人物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。现任公司董事、副总裁、首席信息官、研发总监、北京中榕基信息技术有限公司总经 理执行董事。</w:t>
      </w:r>
    </w:p>
    <w:p>
      <w:pPr>
        <w:pStyle w:val="Style21"/>
        <w:keepNext w:val="0"/>
        <w:keepLines w:val="0"/>
        <w:widowControl w:val="0"/>
        <w:shd w:val="clear" w:color="auto" w:fill="auto"/>
        <w:bidi w:val="0"/>
        <w:spacing w:before="0" w:after="280" w:line="316" w:lineRule="exact"/>
        <w:ind w:left="0" w:right="0"/>
        <w:jc w:val="left"/>
      </w:pPr>
      <w:r>
        <w:rPr>
          <w:color w:val="000000"/>
          <w:spacing w:val="0"/>
          <w:w w:val="100"/>
          <w:position w:val="0"/>
        </w:rPr>
        <w:t>孙敏：中国国籍，女，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年生，毕业于厦门大学，本科学历，法学学士学位，律师资格。历任福州铁路运输法院书记 员、助理员，天津</w:t>
      </w:r>
      <w:r>
        <w:rPr>
          <w:rFonts w:ascii="Times New Roman" w:eastAsia="Times New Roman" w:hAnsi="Times New Roman" w:cs="Times New Roman"/>
          <w:color w:val="000000"/>
          <w:spacing w:val="0"/>
          <w:w w:val="100"/>
          <w:position w:val="0"/>
          <w:sz w:val="18"/>
          <w:szCs w:val="18"/>
        </w:rPr>
        <w:t>OTIS</w:t>
      </w:r>
      <w:r>
        <w:rPr>
          <w:color w:val="000000"/>
          <w:spacing w:val="0"/>
          <w:w w:val="100"/>
          <w:position w:val="0"/>
        </w:rPr>
        <w:t>电梯有限公司福州分公司法务员，福州众智律师事务所执业律师，福建融成律师事务所任执业律师， 现任福建汇德律师事务所执业律师、合伙人。现任本公司独立董事。</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叶东毅：中国国籍，男，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年生，博士，历任福州大学计算机系讲师、教授、系主任和副院长，现任福州大学数学与 计算机科学学院教授、博士生导师、福建省信息产业专家委员会委员、福建省计算机学会副理事长、福建省人工智能学会常 务理事、福建省软件行业协会理事，福建福昕软件开发股份有限公司独立董事。现任公司独立董事。</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胡继荣：中国国籍，男，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年生，工商管理学硕士，教授，注册会计师。曾任扬州大学助教、讲师，福州大学至诚学 院副院长、教授。中国绿色食品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有限公司独立董事、四川福蓉科技股份有限公司独立董事、福建福光股份有限公司独 立董事、福建富兰光学股份有限公司独立董事（</w:t>
      </w:r>
      <w:r>
        <w:rPr>
          <w:rFonts w:ascii="Times New Roman" w:eastAsia="Times New Roman" w:hAnsi="Times New Roman" w:cs="Times New Roman"/>
          <w:color w:val="000000"/>
          <w:spacing w:val="0"/>
          <w:w w:val="100"/>
          <w:position w:val="0"/>
          <w:sz w:val="18"/>
          <w:szCs w:val="18"/>
        </w:rPr>
        <w:t>1P0</w:t>
      </w:r>
      <w:r>
        <w:rPr>
          <w:color w:val="000000"/>
          <w:spacing w:val="0"/>
          <w:w w:val="100"/>
          <w:position w:val="0"/>
        </w:rPr>
        <w:t>）</w:t>
      </w:r>
      <w:r>
        <w:rPr>
          <w:color w:val="000000"/>
          <w:spacing w:val="0"/>
          <w:w w:val="100"/>
          <w:position w:val="0"/>
        </w:rPr>
        <w:t>，福州大学经济与管理学院教授。现任公司独立董事。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周仁锟：中国国籍，男，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年生，毕业于中南工业大学，本科学历。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年加入公司，曾任公司项目经理、资深工程 师、副主任工程师。具有较强的项目组织管理和产品研发能力，在管理信息系统、电子政务等领域有着深入的技术研究和丰 富的实践经验，参与研制了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榕基政务信息化系统（</w:t>
      </w:r>
      <w:r>
        <w:rPr>
          <w:rFonts w:ascii="Times New Roman" w:eastAsia="Times New Roman" w:hAnsi="Times New Roman" w:cs="Times New Roman"/>
          <w:color w:val="000000"/>
          <w:spacing w:val="0"/>
          <w:w w:val="100"/>
          <w:position w:val="0"/>
          <w:sz w:val="18"/>
          <w:szCs w:val="18"/>
        </w:rPr>
        <w:t>RJ-eGov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榕基电子公文传输交换系统（</w:t>
      </w:r>
      <w:r>
        <w:rPr>
          <w:rFonts w:ascii="Times New Roman" w:eastAsia="Times New Roman" w:hAnsi="Times New Roman" w:cs="Times New Roman"/>
          <w:color w:val="000000"/>
          <w:spacing w:val="0"/>
          <w:w w:val="100"/>
          <w:position w:val="0"/>
          <w:sz w:val="18"/>
          <w:szCs w:val="18"/>
        </w:rPr>
        <w:t>RJ-Exchange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榕基内容管 理系统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RJ-CMS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榕基法院审判业务管理系统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RJ-Court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等公司产品，曾获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 建省优秀新产品二等奖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。现任公司监事会主席。</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陈威：中国国籍，女，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年生，毕业于福州大学工商管理专业，硕士学位、高级职称。</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月至今就职于公司， 现任公司公共发展部负责人、公司监事。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叶剑波：中国国籍，男，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年生，毕业于福建广播电视大学，大专学历。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年任职于福建之窗网络有限公 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年加入公司，一直从事</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设计工作。现任园区建设部设计经理、公司监事。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万孝雄：中国国籍，男，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年生，研究生学历，工商管理硕士。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年加入公司，先后担任研发副总监，营销总监。 具有较强的技术管理能力，负责公司信息安全业务技术管理工作，对信息安全具有深入的理解，具有丰富的安全管理、安全 服务、安全培训等实践经验，主持研发了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榕基网络隐患扫描系统（</w:t>
      </w:r>
      <w:r>
        <w:rPr>
          <w:rFonts w:ascii="Times New Roman" w:eastAsia="Times New Roman" w:hAnsi="Times New Roman" w:cs="Times New Roman"/>
          <w:color w:val="000000"/>
          <w:spacing w:val="0"/>
          <w:w w:val="100"/>
          <w:position w:val="0"/>
          <w:sz w:val="18"/>
          <w:szCs w:val="18"/>
        </w:rPr>
        <w:t>RJ-iTop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榕基风险管理系统（</w:t>
      </w:r>
      <w:r>
        <w:rPr>
          <w:rFonts w:ascii="Times New Roman" w:eastAsia="Times New Roman" w:hAnsi="Times New Roman" w:cs="Times New Roman"/>
          <w:color w:val="000000"/>
          <w:spacing w:val="0"/>
          <w:w w:val="100"/>
          <w:position w:val="0"/>
          <w:sz w:val="18"/>
          <w:szCs w:val="18"/>
        </w:rPr>
        <w:t>RJ-RMS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等公司信息 安全战略产品，其中：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榕基网络隐患扫描系统（</w:t>
      </w:r>
      <w:r>
        <w:rPr>
          <w:rFonts w:ascii="Times New Roman" w:eastAsia="Times New Roman" w:hAnsi="Times New Roman" w:cs="Times New Roman"/>
          <w:color w:val="000000"/>
          <w:spacing w:val="0"/>
          <w:w w:val="100"/>
          <w:position w:val="0"/>
          <w:sz w:val="18"/>
          <w:szCs w:val="18"/>
        </w:rPr>
        <w:t>RJ-iTop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福州市科学技术二等奖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福建省科学 技术三等奖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榕基风险管理系统（</w:t>
      </w:r>
      <w:r>
        <w:rPr>
          <w:rFonts w:ascii="Times New Roman" w:eastAsia="Times New Roman" w:hAnsi="Times New Roman" w:cs="Times New Roman"/>
          <w:color w:val="000000"/>
          <w:spacing w:val="0"/>
          <w:w w:val="100"/>
          <w:position w:val="0"/>
          <w:sz w:val="18"/>
          <w:szCs w:val="18"/>
        </w:rPr>
        <w:t>RJ-RMS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福建省科学技术三等奖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福州市科学技术二等奖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。现任公司副 总裁、董事会秘书、福建榕基投资有限公司执行董事兼总经理、榕基国际控股有限公司董事、福建文鑫莲业有限责任公司董 事、福建星榕基信息科技有限责任公司董事。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镇千金：中国国籍，女，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年生，毕业于福州大学，研究生学历，工商管理硕士。</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年加入公司，先后在客服部、 技术部及财务部工作，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年获得福建省五一劳动奖章。曾任公司工程师、会计、财务部经理、监事。现任公司财务总监、 榕基国际控股有限公司董事、福建闽光软件股份有限公司董事、福建容大物联网科技有限公司董事、福州榕易付网络科技有 限公司监事。</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尚大斌：中国国籍，男，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年生，研究生学历，软件工程硕士专业。</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年加入公司，先后担任浙江榕基信息技术有 限公司总经理助理、副总经理，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月至今担任浙江榕基信息技术有限公司总经理。具有较丰富的团队管理经验，负责 浙江榕基信息技术有限公司的管理工作，对政务信息化领域有比较深刻的理解及实践经验。现任公司副总裁、浙江榕基信息 技术有限公司执行董事兼总经理、福州榕易付网络科技有限公司执行董事兼总经理。</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宾壮兴：中国国籍，男，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年生，毕业于深圳大学。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年加入公司，先后担任榕基软件深圳分公司办公室主任、副 总经理。长期从事质检行业应用软件产品的开发及推广管理工作，对质检行业的信息化建设有一定的了解和丰富的实验经验。 具有较强的的市场开拓及企业管理能力。现任公司副总裁。</w:t>
      </w:r>
    </w:p>
    <w:p>
      <w:pPr>
        <w:pStyle w:val="Style21"/>
        <w:keepNext w:val="0"/>
        <w:keepLines w:val="0"/>
        <w:widowControl w:val="0"/>
        <w:shd w:val="clear" w:color="auto" w:fill="auto"/>
        <w:bidi w:val="0"/>
        <w:spacing w:before="0" w:after="0" w:line="316" w:lineRule="exact"/>
        <w:ind w:left="0" w:right="0"/>
        <w:jc w:val="left"/>
      </w:pPr>
      <w:r>
        <w:rPr>
          <w:color w:val="000000"/>
          <w:spacing w:val="0"/>
          <w:w w:val="100"/>
          <w:position w:val="0"/>
        </w:rPr>
        <w:t>李惠钦：中国国籍，女，</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年生，毕业于闽江学院。</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年加入公司，先后担任行政部经理、总裁助理，长期从事市 场开拓工作。现任公司副总裁。</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316" w:lineRule="exact"/>
        <w:ind w:left="0" w:right="0" w:firstLine="0"/>
        <w:jc w:val="both"/>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53"/>
        <w:gridCol w:w="3274"/>
        <w:gridCol w:w="1090"/>
        <w:gridCol w:w="1234"/>
        <w:gridCol w:w="1363"/>
        <w:gridCol w:w="1378"/>
      </w:tblGrid>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8"/>
        <w:gridCol w:w="3278"/>
        <w:gridCol w:w="1090"/>
        <w:gridCol w:w="1229"/>
        <w:gridCol w:w="1368"/>
        <w:gridCol w:w="1378"/>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福建文鑫莲业有限责任公司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福建汇德律师事务所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执业律师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四川福蓉科技股份有限公司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中国绿色食品(控股)有限公司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福建富兰光学股份有限公司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IPO)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福州大学数学与计算机科学学院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福建福昕软件开发股份有限公司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32"/>
        <w:keepNext/>
        <w:keepLines/>
        <w:widowControl w:val="0"/>
        <w:shd w:val="clear" w:color="auto" w:fill="auto"/>
        <w:bidi w:val="0"/>
        <w:spacing w:before="0" w:after="40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3</w:t>
      </w:r>
      <w:bookmarkEnd w:id="317"/>
      <w:r>
        <w:rPr>
          <w:color w:val="000000"/>
          <w:spacing w:val="0"/>
          <w:w w:val="100"/>
          <w:position w:val="0"/>
        </w:rPr>
        <w:t>、董事、监事、高级管理人员报酬情况</w:t>
      </w:r>
      <w:bookmarkEnd w:id="315"/>
      <w:bookmarkEnd w:id="316"/>
      <w:bookmarkEnd w:id="31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决策程序：董事、高级管理人员薪酬方案经薪酬与考核委员会制定，提交至董事会审议和公司股东大会审议通过后执行。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确定依据：公司董事、监事和高级管理人员报酬依据公司的经营业绩和绩效考核指标来确定。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实际支付情况：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年度，公司董事、监事和高级管理人员报酬总额为</w:t>
      </w:r>
      <w:r>
        <w:rPr>
          <w:rFonts w:ascii="Times New Roman" w:eastAsia="Times New Roman" w:hAnsi="Times New Roman" w:cs="Times New Roman"/>
          <w:color w:val="000000"/>
          <w:spacing w:val="0"/>
          <w:w w:val="100"/>
          <w:position w:val="0"/>
          <w:sz w:val="18"/>
          <w:szCs w:val="18"/>
        </w:rPr>
        <w:t>476.7</w:t>
      </w:r>
      <w:r>
        <w:rPr>
          <w:color w:val="000000"/>
          <w:spacing w:val="0"/>
          <w:w w:val="100"/>
          <w:position w:val="0"/>
        </w:rPr>
        <w:t>万元。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副董事长、常务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六</w:t>
      </w:r>
      <w:bookmarkEnd w:id="321"/>
      <w:r>
        <w:rPr>
          <w:color w:val="000000"/>
          <w:spacing w:val="0"/>
          <w:w w:val="100"/>
          <w:position w:val="0"/>
          <w:sz w:val="24"/>
          <w:szCs w:val="24"/>
        </w:rPr>
        <w:t>、报告期内董事履行职责的情况</w:t>
      </w:r>
      <w:bookmarkEnd w:id="319"/>
      <w:bookmarkEnd w:id="320"/>
      <w:bookmarkEnd w:id="322"/>
    </w:p>
    <w:p>
      <w:pPr>
        <w:pStyle w:val="Style32"/>
        <w:keepNext/>
        <w:keepLines/>
        <w:widowControl w:val="0"/>
        <w:shd w:val="clear" w:color="auto" w:fill="auto"/>
        <w:bidi w:val="0"/>
        <w:spacing w:before="0" w:after="30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、本报告期董事会情况</w:t>
      </w:r>
      <w:bookmarkEnd w:id="323"/>
      <w:bookmarkEnd w:id="324"/>
      <w:bookmarkEnd w:id="326"/>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6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年度总裁工作报告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 工作报告</w:t>
            </w:r>
            <w:r>
              <w:rPr>
                <w:color w:val="000000"/>
                <w:spacing w:val="0"/>
                <w:w w:val="100"/>
                <w:position w:val="0"/>
                <w:sz w:val="18"/>
                <w:szCs w:val="18"/>
              </w:rPr>
              <w:t>〉</w:t>
            </w:r>
            <w:r>
              <w:rPr>
                <w:color w:val="000000"/>
                <w:spacing w:val="0"/>
                <w:w w:val="100"/>
                <w:position w:val="0"/>
                <w:sz w:val="17"/>
                <w:szCs w:val="17"/>
              </w:rPr>
              <w:t>的议案》《关于</w:t>
            </w:r>
            <w:r>
              <w:rPr>
                <w:color w:val="000000"/>
                <w:spacing w:val="0"/>
                <w:w w:val="100"/>
                <w:position w:val="0"/>
                <w:sz w:val="18"/>
                <w:szCs w:val="18"/>
              </w:rPr>
              <w:t>〈</w:t>
            </w:r>
            <w:r>
              <w:rPr>
                <w:color w:val="000000"/>
                <w:spacing w:val="0"/>
                <w:w w:val="100"/>
                <w:position w:val="0"/>
                <w:sz w:val="17"/>
                <w:szCs w:val="17"/>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w:t>
            </w:r>
            <w:r>
              <w:rPr>
                <w:color w:val="000000"/>
                <w:spacing w:val="0"/>
                <w:w w:val="100"/>
                <w:position w:val="0"/>
                <w:sz w:val="18"/>
                <w:szCs w:val="18"/>
              </w:rPr>
              <w:t>〉</w:t>
            </w:r>
            <w:r>
              <w:rPr>
                <w:color w:val="000000"/>
                <w:spacing w:val="0"/>
                <w:w w:val="100"/>
                <w:position w:val="0"/>
                <w:sz w:val="17"/>
                <w:szCs w:val="17"/>
              </w:rPr>
              <w:t>的 议案》《关于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利润分配预案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的议案》《关于 </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 评价报告</w:t>
            </w:r>
            <w:r>
              <w:rPr>
                <w:color w:val="000000"/>
                <w:spacing w:val="0"/>
                <w:w w:val="100"/>
                <w:position w:val="0"/>
                <w:sz w:val="18"/>
                <w:szCs w:val="18"/>
              </w:rPr>
              <w:t>〉</w:t>
            </w:r>
            <w:r>
              <w:rPr>
                <w:color w:val="000000"/>
                <w:spacing w:val="0"/>
                <w:w w:val="100"/>
                <w:position w:val="0"/>
                <w:sz w:val="17"/>
                <w:szCs w:val="17"/>
              </w:rPr>
              <w:t>的议案》《关于</w:t>
            </w:r>
            <w:r>
              <w:rPr>
                <w:color w:val="000000"/>
                <w:spacing w:val="0"/>
                <w:w w:val="100"/>
                <w:position w:val="0"/>
                <w:sz w:val="18"/>
                <w:szCs w:val="18"/>
              </w:rPr>
              <w:t>〈</w:t>
            </w:r>
            <w:r>
              <w:rPr>
                <w:color w:val="000000"/>
                <w:spacing w:val="0"/>
                <w:w w:val="100"/>
                <w:position w:val="0"/>
                <w:sz w:val="17"/>
                <w:szCs w:val="17"/>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年度社会责任报告</w:t>
            </w:r>
            <w:r>
              <w:rPr>
                <w:color w:val="000000"/>
                <w:spacing w:val="0"/>
                <w:w w:val="100"/>
                <w:position w:val="0"/>
                <w:sz w:val="18"/>
                <w:szCs w:val="18"/>
              </w:rPr>
              <w:t>〉</w:t>
            </w:r>
            <w:r>
              <w:rPr>
                <w:color w:val="000000"/>
                <w:spacing w:val="0"/>
                <w:w w:val="100"/>
                <w:position w:val="0"/>
                <w:sz w:val="17"/>
                <w:szCs w:val="17"/>
              </w:rPr>
              <w:t>的 议案》《关于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募集资金存放与实际使用情 况的专项报告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的议案》《关于 </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年年度报告及其摘 要</w:t>
            </w:r>
            <w:r>
              <w:rPr>
                <w:color w:val="000000"/>
                <w:spacing w:val="0"/>
                <w:w w:val="100"/>
                <w:position w:val="0"/>
                <w:sz w:val="18"/>
                <w:szCs w:val="18"/>
              </w:rPr>
              <w:t>〉</w:t>
            </w:r>
            <w:r>
              <w:rPr>
                <w:color w:val="000000"/>
                <w:spacing w:val="0"/>
                <w:w w:val="100"/>
                <w:position w:val="0"/>
                <w:sz w:val="17"/>
                <w:szCs w:val="17"/>
              </w:rPr>
              <w:t>的议案》《关于拟续聘</w:t>
            </w:r>
            <w:r>
              <w:rPr>
                <w:rFonts w:ascii="Times New Roman" w:eastAsia="Times New Roman" w:hAnsi="Times New Roman" w:cs="Times New Roman"/>
                <w:color w:val="000000"/>
                <w:spacing w:val="0"/>
                <w:w w:val="100"/>
                <w:position w:val="0"/>
                <w:sz w:val="18"/>
                <w:szCs w:val="18"/>
              </w:rPr>
              <w:t>2021</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53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年度会计师事务所的议案》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 联交易预计</w:t>
            </w:r>
            <w:r>
              <w:rPr>
                <w:color w:val="000000"/>
                <w:spacing w:val="0"/>
                <w:w w:val="100"/>
                <w:position w:val="0"/>
                <w:sz w:val="18"/>
                <w:szCs w:val="18"/>
              </w:rPr>
              <w:t>〉</w:t>
            </w:r>
            <w:r>
              <w:rPr>
                <w:color w:val="000000"/>
                <w:spacing w:val="0"/>
                <w:w w:val="100"/>
                <w:position w:val="0"/>
              </w:rPr>
              <w:t xml:space="preserve">的议案》《关于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年度向银行申请综合授 信额度的议案》《关于</w:t>
            </w:r>
            <w:r>
              <w:rPr>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年度董事、高级管理人员 薪酬方案</w:t>
            </w:r>
            <w:r>
              <w:rPr>
                <w:color w:val="000000"/>
                <w:spacing w:val="0"/>
                <w:w w:val="100"/>
                <w:position w:val="0"/>
                <w:sz w:val="18"/>
                <w:szCs w:val="18"/>
              </w:rPr>
              <w:t>〉</w:t>
            </w:r>
            <w:r>
              <w:rPr>
                <w:color w:val="000000"/>
                <w:spacing w:val="0"/>
                <w:w w:val="100"/>
                <w:position w:val="0"/>
              </w:rPr>
              <w:t>的议案》《关于使用 部分闲置募集资金投资银行 理财产品的议案》《关于使用 自有资金投资银行理财产品 的议案》《关于会计政策变更 的议案》《关于</w:t>
            </w:r>
            <w:r>
              <w:rPr>
                <w:color w:val="000000"/>
                <w:spacing w:val="0"/>
                <w:w w:val="100"/>
                <w:position w:val="0"/>
                <w:sz w:val="18"/>
                <w:szCs w:val="18"/>
              </w:rPr>
              <w:t>〈</w:t>
            </w:r>
            <w:r>
              <w:rPr>
                <w:color w:val="000000"/>
                <w:spacing w:val="0"/>
                <w:w w:val="100"/>
                <w:position w:val="0"/>
              </w:rPr>
              <w:t>公司未来三年 股东回报规划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内幕信息 知情人登记管理制度</w:t>
            </w:r>
            <w:r>
              <w:rPr>
                <w:color w:val="000000"/>
                <w:spacing w:val="0"/>
                <w:w w:val="100"/>
                <w:position w:val="0"/>
                <w:sz w:val="18"/>
                <w:szCs w:val="18"/>
              </w:rPr>
              <w:t>〉</w:t>
            </w:r>
            <w:r>
              <w:rPr>
                <w:color w:val="000000"/>
                <w:spacing w:val="0"/>
                <w:w w:val="100"/>
                <w:position w:val="0"/>
              </w:rPr>
              <w:t>的议 案》《关于召开公司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股东大会的议案》</w:t>
            </w:r>
          </w:p>
        </w:tc>
      </w:tr>
      <w:tr>
        <w:trPr>
          <w:trHeight w:val="31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一季度报告全文及其正文》</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《关于使用部分超募资金投</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资建设新一代智慧政务大数 据基础服务平台项目的议案》</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《关于子公司使用部分超募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资金投资建设榕基技术能力</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支撑服务平台项目的议案》</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次临时股东大会的议案》</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审议通过了《关于公司第二期 员工持股计划存续期展期的 议案》</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年半年度报告全文及其摘要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半年度募集资金存放与实际 使用情况的专项报告</w:t>
            </w:r>
            <w:r>
              <w:rPr>
                <w:color w:val="000000"/>
                <w:spacing w:val="0"/>
                <w:w w:val="100"/>
                <w:position w:val="0"/>
                <w:sz w:val="18"/>
                <w:szCs w:val="18"/>
              </w:rPr>
              <w:t>〉</w:t>
            </w:r>
            <w:r>
              <w:rPr>
                <w:color w:val="000000"/>
                <w:spacing w:val="0"/>
                <w:w w:val="100"/>
                <w:position w:val="0"/>
              </w:rPr>
              <w:t>的议 案》</w:t>
            </w: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三季度报告》《关于拟以公开 摘牌方式参与子公司福建星 榕基信息科技有限责任公司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股权转让项目的议案》</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审议通过了《关于子公司信阳 榕基信息技术有限公司对外 投资的议案》</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审议通过了《关于公司第三期 员工持股计划存续期展期的 议案》</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审议通过了《关于公司第一期 员工持股计划存续期再次展 期的议案》</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、董事出席董事会及股东大会的情况</w:t>
      </w:r>
      <w:bookmarkEnd w:id="327"/>
      <w:bookmarkEnd w:id="328"/>
      <w:bookmarkEnd w:id="330"/>
    </w:p>
    <w:tbl>
      <w:tblPr>
        <w:tblOverlap w:val="never"/>
        <w:jc w:val="center"/>
        <w:tblLayout w:type="fixed"/>
      </w:tblPr>
      <w:tblGrid>
        <w:gridCol w:w="1440"/>
        <w:gridCol w:w="1162"/>
        <w:gridCol w:w="1166"/>
        <w:gridCol w:w="1166"/>
        <w:gridCol w:w="1166"/>
        <w:gridCol w:w="1162"/>
        <w:gridCol w:w="1166"/>
        <w:gridCol w:w="1176"/>
      </w:tblGrid>
      <w:tr>
        <w:trPr>
          <w:trHeight w:val="317"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连续两次未亲自出席董事会的说明 无</w:t>
      </w:r>
    </w:p>
    <w:p>
      <w:pPr>
        <w:widowControl w:val="0"/>
        <w:spacing w:after="279" w:line="1" w:lineRule="exact"/>
      </w:pPr>
    </w:p>
    <w:p>
      <w:pPr>
        <w:pStyle w:val="Style32"/>
        <w:keepNext/>
        <w:keepLines/>
        <w:widowControl w:val="0"/>
        <w:shd w:val="clear" w:color="auto" w:fill="auto"/>
        <w:tabs>
          <w:tab w:pos="368" w:val="left"/>
        </w:tabs>
        <w:bidi w:val="0"/>
        <w:spacing w:before="0" w:after="2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董事对公司有关事项提出异议的情况</w:t>
      </w:r>
      <w:bookmarkEnd w:id="331"/>
      <w:bookmarkEnd w:id="332"/>
      <w:bookmarkEnd w:id="334"/>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董事对公司有关事项是否提出异议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68" w:val="left"/>
        </w:tabs>
        <w:bidi w:val="0"/>
        <w:spacing w:before="0" w:after="2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t>董事履行职责的其他说明</w:t>
      </w:r>
      <w:bookmarkEnd w:id="335"/>
      <w:bookmarkEnd w:id="336"/>
      <w:bookmarkEnd w:id="338"/>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280" w:line="313" w:lineRule="exact"/>
        <w:ind w:left="0" w:right="0"/>
        <w:jc w:val="both"/>
        <w:sectPr>
          <w:footnotePr>
            <w:pos w:val="pageBottom"/>
            <w:numFmt w:val="decimal"/>
            <w:numRestart w:val="continuous"/>
          </w:footnotePr>
          <w:pgSz w:w="11900" w:h="16840"/>
          <w:pgMar w:top="1376" w:right="1057" w:bottom="1462" w:left="1066" w:header="0" w:footer="3" w:gutter="0"/>
          <w:cols w:space="720"/>
          <w:noEndnote/>
          <w:rtlGutter w:val="0"/>
          <w:docGrid w:linePitch="360"/>
        </w:sectPr>
      </w:pPr>
      <w:r>
        <w:rPr>
          <w:color w:val="000000"/>
          <w:spacing w:val="0"/>
          <w:w w:val="100"/>
          <w:position w:val="0"/>
        </w:rPr>
        <w:t xml:space="preserve">报告期内，公司董事严格按照《公司法》《深圳证券交易所股票上市规则》《深圳证券交易所上市公司自律监管指引第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w:t>
      </w:r>
      <w:r>
        <w:rPr>
          <w:color w:val="000000"/>
          <w:spacing w:val="0"/>
          <w:w w:val="100"/>
          <w:position w:val="0"/>
        </w:rPr>
        <w:t>主板上市公司规范运作》《公司章程》《董事会议事规则》等相关规定，忠实勤勉履行职责，按时出席相关会议，认 真审议董事会提交的各项议案，积极建言，各抒己见，在公司发展战略和重大决策等方面提出了专业性建议，提高了公司决 策的科学性，促进了公司规范运作，维护了公司和全体股东的合法权益。董事会审议的所有会议议案均获得通过，无反对票 或弃权票。</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69" w:right="1140" w:bottom="1169" w:left="1102" w:header="0" w:footer="3" w:gutter="0"/>
          <w:cols w:space="720"/>
          <w:noEndnote/>
          <w:rtlGutter w:val="0"/>
          <w:docGrid w:linePitch="360"/>
        </w:sectPr>
      </w:pPr>
    </w:p>
    <w:p>
      <w:pPr>
        <w:pStyle w:val="Style24"/>
        <w:keepNext/>
        <w:keepLines/>
        <w:framePr w:w="4858" w:h="307" w:wrap="none" w:vAnchor="text" w:hAnchor="page" w:x="1103" w:y="21"/>
        <w:widowControl w:val="0"/>
        <w:shd w:val="clear" w:color="auto" w:fill="auto"/>
        <w:bidi w:val="0"/>
        <w:spacing w:before="0" w:after="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七、董事会下设专门委员会在报告期内的情况</w:t>
      </w:r>
      <w:bookmarkEnd w:id="339"/>
      <w:bookmarkEnd w:id="340"/>
      <w:bookmarkEnd w:id="341"/>
    </w:p>
    <w:tbl>
      <w:tblPr>
        <w:tblOverlap w:val="never"/>
        <w:jc w:val="left"/>
        <w:tblLayout w:type="fixed"/>
      </w:tblPr>
      <w:tblGrid>
        <w:gridCol w:w="1210"/>
        <w:gridCol w:w="1190"/>
        <w:gridCol w:w="874"/>
        <w:gridCol w:w="1536"/>
      </w:tblGrid>
      <w:tr>
        <w:trPr>
          <w:trHeight w:val="643" w:hRule="exact"/>
        </w:trPr>
        <w:tc>
          <w:tcPr>
            <w:tcBorders>
              <w:top w:val="single" w:sz="4"/>
              <w:left w:val="single" w:sz="4"/>
            </w:tcBorders>
            <w:shd w:val="clear" w:color="auto" w:fill="D3D3D3"/>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16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framePr w:w="4810" w:h="13205" w:wrap="none" w:vAnchor="text" w:hAnchor="page" w:x="1113" w:y="601"/>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right w:val="single" w:sz="4"/>
            </w:tcBorders>
            <w:shd w:val="clear" w:color="auto" w:fill="D3D3D3"/>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3446" w:hRule="exact"/>
        </w:trPr>
        <w:tc>
          <w:tcPr>
            <w:vMerge w:val="restart"/>
            <w:tcBorders>
              <w:top w:val="single" w:sz="4"/>
              <w:lef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322" w:lineRule="exact"/>
              <w:ind w:left="0" w:right="0" w:firstLine="0"/>
              <w:jc w:val="left"/>
            </w:pPr>
            <w:r>
              <w:rPr>
                <w:color w:val="000000"/>
                <w:spacing w:val="0"/>
                <w:w w:val="100"/>
                <w:position w:val="0"/>
              </w:rPr>
              <w:t>鲁峰、胡继荣、 叶东毅</w:t>
            </w:r>
          </w:p>
        </w:tc>
        <w:tc>
          <w:tcPr>
            <w:vMerge w:val="restart"/>
            <w:tcBorders>
              <w:top w:val="single" w:sz="4"/>
              <w:lef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2198" w:hRule="exact"/>
        </w:trPr>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tcBorders>
              <w:top w:val="single" w:sz="4"/>
              <w:left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1877" w:hRule="exact"/>
        </w:trPr>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tcBorders>
              <w:top w:val="single" w:sz="4"/>
              <w:left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2194" w:hRule="exact"/>
        </w:trPr>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tcBorders>
              <w:top w:val="single" w:sz="4"/>
              <w:left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574" w:hRule="exact"/>
        </w:trPr>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vMerge/>
            <w:tcBorders>
              <w:left w:val="single" w:sz="4"/>
            </w:tcBorders>
            <w:shd w:val="clear" w:color="auto" w:fill="FFFFFF"/>
            <w:vAlign w:val="center"/>
          </w:tcPr>
          <w:p>
            <w:pPr>
              <w:framePr w:w="4810" w:h="13205" w:wrap="none" w:vAnchor="text" w:hAnchor="page" w:x="1113" w:y="601"/>
            </w:pPr>
          </w:p>
        </w:tc>
        <w:tc>
          <w:tcPr>
            <w:tcBorders>
              <w:top w:val="single" w:sz="4"/>
              <w:left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1272" w:hRule="exact"/>
        </w:trPr>
        <w:tc>
          <w:tcPr>
            <w:vMerge/>
            <w:tcBorders>
              <w:left w:val="single" w:sz="4"/>
              <w:bottom w:val="single" w:sz="4"/>
            </w:tcBorders>
            <w:shd w:val="clear" w:color="auto" w:fill="FFFFFF"/>
            <w:vAlign w:val="center"/>
          </w:tcPr>
          <w:p>
            <w:pPr>
              <w:framePr w:w="4810" w:h="13205" w:wrap="none" w:vAnchor="text" w:hAnchor="page" w:x="1113" w:y="601"/>
            </w:pPr>
          </w:p>
        </w:tc>
        <w:tc>
          <w:tcPr>
            <w:vMerge/>
            <w:tcBorders>
              <w:left w:val="single" w:sz="4"/>
              <w:bottom w:val="single" w:sz="4"/>
            </w:tcBorders>
            <w:shd w:val="clear" w:color="auto" w:fill="FFFFFF"/>
            <w:vAlign w:val="center"/>
          </w:tcPr>
          <w:p>
            <w:pPr>
              <w:framePr w:w="4810" w:h="13205" w:wrap="none" w:vAnchor="text" w:hAnchor="page" w:x="1113" w:y="601"/>
            </w:pPr>
          </w:p>
        </w:tc>
        <w:tc>
          <w:tcPr>
            <w:vMerge/>
            <w:tcBorders>
              <w:left w:val="single" w:sz="4"/>
              <w:bottom w:val="single" w:sz="4"/>
            </w:tcBorders>
            <w:shd w:val="clear" w:color="auto" w:fill="FFFFFF"/>
            <w:vAlign w:val="center"/>
          </w:tcPr>
          <w:p>
            <w:pPr>
              <w:framePr w:w="4810" w:h="13205" w:wrap="none" w:vAnchor="text" w:hAnchor="page" w:x="1113" w:y="601"/>
            </w:pPr>
          </w:p>
        </w:tc>
        <w:tc>
          <w:tcPr>
            <w:tcBorders>
              <w:top w:val="single" w:sz="4"/>
              <w:left w:val="single" w:sz="4"/>
              <w:bottom w:val="single" w:sz="4"/>
              <w:right w:val="single" w:sz="4"/>
            </w:tcBorders>
            <w:shd w:val="clear" w:color="auto" w:fill="FFFFFF"/>
            <w:vAlign w:val="center"/>
          </w:tcPr>
          <w:p>
            <w:pPr>
              <w:pStyle w:val="Style2"/>
              <w:keepNext w:val="0"/>
              <w:keepLines w:val="0"/>
              <w:framePr w:w="4810" w:h="13205" w:wrap="none" w:vAnchor="text" w:hAnchor="page" w:x="1113"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framePr w:w="4810" w:h="13205" w:wrap="none" w:vAnchor="text" w:hAnchor="page" w:x="1113" w:y="601"/>
        <w:widowControl w:val="0"/>
        <w:spacing w:line="1" w:lineRule="exact"/>
      </w:pPr>
    </w:p>
    <w:tbl>
      <w:tblPr>
        <w:tblOverlap w:val="never"/>
        <w:jc w:val="left"/>
        <w:tblLayout w:type="fixed"/>
      </w:tblPr>
      <w:tblGrid>
        <w:gridCol w:w="1464"/>
        <w:gridCol w:w="1128"/>
        <w:gridCol w:w="1008"/>
        <w:gridCol w:w="1200"/>
      </w:tblGrid>
      <w:tr>
        <w:trPr>
          <w:trHeight w:val="643" w:hRule="exact"/>
        </w:trPr>
        <w:tc>
          <w:tcPr>
            <w:tcBorders>
              <w:top w:val="single" w:sz="4"/>
              <w:left w:val="single" w:sz="4"/>
            </w:tcBorders>
            <w:shd w:val="clear" w:color="auto" w:fill="D3D3D3"/>
            <w:vAlign w:val="center"/>
          </w:tcPr>
          <w:p>
            <w:pPr>
              <w:pStyle w:val="Style2"/>
              <w:keepNext w:val="0"/>
              <w:keepLines w:val="0"/>
              <w:framePr w:w="4800" w:h="13205" w:wrap="none" w:vAnchor="text" w:hAnchor="page" w:x="5903" w:y="601"/>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framePr w:w="4800" w:h="13205" w:wrap="none" w:vAnchor="text" w:hAnchor="page" w:x="5903" w:y="601"/>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2"/>
              <w:keepNext w:val="0"/>
              <w:keepLines w:val="0"/>
              <w:framePr w:w="4800" w:h="13205" w:wrap="none" w:vAnchor="text" w:hAnchor="page" w:x="5903" w:y="601"/>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framePr w:w="4800" w:h="13205" w:wrap="none" w:vAnchor="text" w:hAnchor="page" w:x="5903" w:y="601"/>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framePr w:w="4800" w:h="13205" w:wrap="none" w:vAnchor="text" w:hAnchor="page" w:x="5903" w:y="601"/>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446" w:hRule="exact"/>
        </w:trPr>
        <w:tc>
          <w:tcPr>
            <w:tcBorders>
              <w:top w:val="single" w:sz="4"/>
              <w:left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2" w:lineRule="exact"/>
              <w:ind w:left="0" w:right="0" w:firstLine="0"/>
              <w:jc w:val="both"/>
            </w:pPr>
            <w:r>
              <w:rPr>
                <w:color w:val="000000"/>
                <w:spacing w:val="0"/>
                <w:w w:val="100"/>
                <w:position w:val="0"/>
              </w:rPr>
              <w:t xml:space="preserve">会计师事务所与 公司审计委员会、 独立董事进行审 计前沟通；审议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年度经营情 况分析；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总体审计策略；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年度具体审 计计划；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内部控制检查工 作方案</w:t>
            </w: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right w:val="single" w:sz="4"/>
            </w:tcBorders>
            <w:shd w:val="clear" w:color="auto" w:fill="FFFFFF"/>
            <w:vAlign w:val="top"/>
          </w:tcPr>
          <w:p>
            <w:pPr>
              <w:framePr w:w="4800" w:h="13205" w:wrap="none" w:vAnchor="text" w:hAnchor="page" w:x="5903" w:y="601"/>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 四季度内部审计 工作报告；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年度内部审计工 作计划；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内部审计工作报 告</w:t>
            </w: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right w:val="single" w:sz="4"/>
            </w:tcBorders>
            <w:shd w:val="clear" w:color="auto" w:fill="FFFFFF"/>
            <w:vAlign w:val="top"/>
          </w:tcPr>
          <w:p>
            <w:pPr>
              <w:framePr w:w="4800" w:h="13205" w:wrap="none" w:vAnchor="text" w:hAnchor="page" w:x="5903" w:y="601"/>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2" w:lineRule="exact"/>
              <w:ind w:left="0" w:right="0" w:firstLine="0"/>
              <w:jc w:val="both"/>
            </w:pPr>
            <w:r>
              <w:rPr>
                <w:color w:val="000000"/>
                <w:spacing w:val="0"/>
                <w:w w:val="100"/>
                <w:position w:val="0"/>
              </w:rPr>
              <w:t>注册会计师汇报 审计进展、初步审 计意见；内部审计 部负责人汇报内 部控制检查报告 情况</w:t>
            </w: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right w:val="single" w:sz="4"/>
            </w:tcBorders>
            <w:shd w:val="clear" w:color="auto" w:fill="FFFFFF"/>
            <w:vAlign w:val="top"/>
          </w:tcPr>
          <w:p>
            <w:pPr>
              <w:framePr w:w="4800" w:h="13205" w:wrap="none" w:vAnchor="text" w:hAnchor="page" w:x="5903" w:y="601"/>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部控制自我评价 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报告及其摘要；续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年度会计 师事务所；会计政 策变更</w:t>
            </w: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right w:val="single" w:sz="4"/>
            </w:tcBorders>
            <w:shd w:val="clear" w:color="auto" w:fill="FFFFFF"/>
            <w:vAlign w:val="top"/>
          </w:tcPr>
          <w:p>
            <w:pPr>
              <w:framePr w:w="4800" w:h="13205" w:wrap="none" w:vAnchor="text" w:hAnchor="page" w:x="5903" w:y="601"/>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7"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季度报告全文及 其正文；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第一季度内部审</w:t>
            </w:r>
          </w:p>
          <w:p>
            <w:pPr>
              <w:pStyle w:val="Style2"/>
              <w:keepNext w:val="0"/>
              <w:keepLines w:val="0"/>
              <w:framePr w:w="4800" w:h="13205" w:wrap="none" w:vAnchor="text" w:hAnchor="page" w:x="5903" w:y="601"/>
              <w:widowControl w:val="0"/>
              <w:shd w:val="clear" w:color="auto" w:fill="auto"/>
              <w:bidi w:val="0"/>
              <w:spacing w:before="0" w:after="0" w:line="317" w:lineRule="exact"/>
              <w:ind w:left="0" w:right="0" w:firstLine="0"/>
              <w:jc w:val="both"/>
            </w:pPr>
            <w:r>
              <w:rPr>
                <w:color w:val="000000"/>
                <w:spacing w:val="0"/>
                <w:w w:val="100"/>
                <w:position w:val="0"/>
              </w:rPr>
              <w:t>计工作报告</w:t>
            </w: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right w:val="single" w:sz="4"/>
            </w:tcBorders>
            <w:shd w:val="clear" w:color="auto" w:fill="FFFFFF"/>
            <w:vAlign w:val="top"/>
          </w:tcPr>
          <w:p>
            <w:pPr>
              <w:framePr w:w="4800" w:h="13205" w:wrap="none" w:vAnchor="text" w:hAnchor="page" w:x="5903" w:y="601"/>
              <w:widowControl w:val="0"/>
              <w:rPr>
                <w:sz w:val="10"/>
                <w:szCs w:val="10"/>
              </w:rPr>
            </w:pPr>
          </w:p>
        </w:tc>
      </w:tr>
      <w:tr>
        <w:trPr>
          <w:trHeight w:val="1272" w:hRule="exact"/>
        </w:trPr>
        <w:tc>
          <w:tcPr>
            <w:tcBorders>
              <w:top w:val="single" w:sz="4"/>
              <w:left w:val="single" w:sz="4"/>
              <w:bottom w:val="single" w:sz="4"/>
            </w:tcBorders>
            <w:shd w:val="clear" w:color="auto" w:fill="FFFFFF"/>
            <w:vAlign w:val="center"/>
          </w:tcPr>
          <w:p>
            <w:pPr>
              <w:pStyle w:val="Style2"/>
              <w:keepNext w:val="0"/>
              <w:keepLines w:val="0"/>
              <w:framePr w:w="4800" w:h="13205" w:wrap="none" w:vAnchor="text" w:hAnchor="page" w:x="5903" w:y="601"/>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
              <w:keepNext w:val="0"/>
              <w:keepLines w:val="0"/>
              <w:framePr w:w="4800" w:h="13205" w:wrap="none" w:vAnchor="text" w:hAnchor="page" w:x="5903" w:y="601"/>
              <w:widowControl w:val="0"/>
              <w:shd w:val="clear" w:color="auto" w:fill="auto"/>
              <w:bidi w:val="0"/>
              <w:spacing w:before="0" w:after="0" w:line="312" w:lineRule="exact"/>
              <w:ind w:left="0" w:right="0" w:firstLine="0"/>
              <w:jc w:val="both"/>
            </w:pPr>
            <w:r>
              <w:rPr>
                <w:color w:val="000000"/>
                <w:spacing w:val="0"/>
                <w:w w:val="100"/>
                <w:position w:val="0"/>
              </w:rPr>
              <w:t>度报告全文及其 摘要;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 二季度内部审计</w:t>
            </w:r>
          </w:p>
        </w:tc>
        <w:tc>
          <w:tcPr>
            <w:tcBorders>
              <w:top w:val="single" w:sz="4"/>
              <w:left w:val="single" w:sz="4"/>
              <w:bottom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bottom w:val="single" w:sz="4"/>
            </w:tcBorders>
            <w:shd w:val="clear" w:color="auto" w:fill="FFFFFF"/>
            <w:vAlign w:val="top"/>
          </w:tcPr>
          <w:p>
            <w:pPr>
              <w:framePr w:w="4800" w:h="13205" w:wrap="none" w:vAnchor="text" w:hAnchor="page" w:x="5903" w:y="601"/>
              <w:widowControl w:val="0"/>
              <w:rPr>
                <w:sz w:val="10"/>
                <w:szCs w:val="10"/>
              </w:rPr>
            </w:pPr>
          </w:p>
        </w:tc>
        <w:tc>
          <w:tcPr>
            <w:tcBorders>
              <w:top w:val="single" w:sz="4"/>
              <w:left w:val="single" w:sz="4"/>
              <w:bottom w:val="single" w:sz="4"/>
              <w:right w:val="single" w:sz="4"/>
            </w:tcBorders>
            <w:shd w:val="clear" w:color="auto" w:fill="FFFFFF"/>
            <w:vAlign w:val="top"/>
          </w:tcPr>
          <w:p>
            <w:pPr>
              <w:framePr w:w="4800" w:h="13205" w:wrap="none" w:vAnchor="text" w:hAnchor="page" w:x="5903" w:y="601"/>
              <w:widowControl w:val="0"/>
              <w:rPr>
                <w:sz w:val="10"/>
                <w:szCs w:val="10"/>
              </w:rPr>
            </w:pPr>
          </w:p>
        </w:tc>
      </w:tr>
    </w:tbl>
    <w:p>
      <w:pPr>
        <w:framePr w:w="4800" w:h="13205" w:wrap="none" w:vAnchor="text" w:hAnchor="page" w:x="5903" w:y="60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169" w:right="1140" w:bottom="1169" w:left="1102" w:header="0" w:footer="3" w:gutter="0"/>
          <w:cols w:space="720"/>
          <w:noEndnote/>
          <w:rtlGutter w:val="0"/>
          <w:docGrid w:linePitch="360"/>
        </w:sectPr>
      </w:pPr>
    </w:p>
    <w:tbl>
      <w:tblPr>
        <w:tblOverlap w:val="never"/>
        <w:jc w:val="center"/>
        <w:tblLayout w:type="fixed"/>
      </w:tblPr>
      <w:tblGrid>
        <w:gridCol w:w="1210"/>
        <w:gridCol w:w="1190"/>
        <w:gridCol w:w="874"/>
        <w:gridCol w:w="1526"/>
        <w:gridCol w:w="1454"/>
        <w:gridCol w:w="1128"/>
        <w:gridCol w:w="1008"/>
        <w:gridCol w:w="1200"/>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年度第三季度内 部审计工作报告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鲁峰、叶东毅、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 事、高级管理人员 薪酬方案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鲁峰、侯伟、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叶东毅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审议使用部分超 募资金投资建设 新一代智慧政务 大数据基础服务 平台项目；子公司 使用部分超募资 金投资建设榕基 技术能力支撑服 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审议子公司信阳 榕基信息技术有 限公司投资河南 滋身润心生物科 技有限公司项目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八、监事会工作情况</w:t>
      </w:r>
      <w:bookmarkEnd w:id="342"/>
      <w:bookmarkEnd w:id="343"/>
      <w:bookmarkEnd w:id="344"/>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九、公司员工情况</w:t>
      </w:r>
      <w:bookmarkEnd w:id="345"/>
      <w:bookmarkEnd w:id="346"/>
      <w:bookmarkEnd w:id="347"/>
    </w:p>
    <w:p>
      <w:pPr>
        <w:pStyle w:val="Style32"/>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892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892</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892</w:t>
            </w:r>
          </w:p>
        </w:tc>
      </w:tr>
      <w:tr>
        <w:trPr>
          <w:trHeight w:val="31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892</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、薪酬政策</w:t>
      </w:r>
      <w:bookmarkEnd w:id="352"/>
      <w:bookmarkEnd w:id="353"/>
      <w:bookmarkEnd w:id="355"/>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公司严格按照《中华人民共和国劳动合同法》和有关劳动法律法规的规定，向员工提供稳定而具有竞争力的薪酬，以充 分调动员工的积极性和创造性。</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1"/>
        <w:keepNext w:val="0"/>
        <w:keepLines w:val="0"/>
        <w:widowControl w:val="0"/>
        <w:shd w:val="clear" w:color="auto" w:fill="auto"/>
        <w:bidi w:val="0"/>
        <w:spacing w:before="0" w:after="380" w:line="319" w:lineRule="exact"/>
        <w:ind w:left="0" w:right="0"/>
        <w:jc w:val="both"/>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sz w:val="18"/>
          <w:szCs w:val="18"/>
        </w:rPr>
        <w:t>740.04</w:t>
      </w:r>
      <w:r>
        <w:rPr>
          <w:color w:val="000000"/>
          <w:spacing w:val="0"/>
          <w:w w:val="100"/>
          <w:position w:val="0"/>
        </w:rPr>
        <w:t>万元，占公司营业成本的</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核心技术人员为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0.78%</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；截至报告期末， 核心技术人员薪酬占全体员工薪酬的</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w:t>
      </w:r>
    </w:p>
    <w:p>
      <w:pPr>
        <w:pStyle w:val="Style32"/>
        <w:keepNext/>
        <w:keepLines/>
        <w:widowControl w:val="0"/>
        <w:shd w:val="clear" w:color="auto" w:fill="auto"/>
        <w:tabs>
          <w:tab w:pos="368" w:val="left"/>
        </w:tabs>
        <w:bidi w:val="0"/>
        <w:spacing w:before="0" w:after="26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培训计划</w:t>
      </w:r>
      <w:bookmarkEnd w:id="356"/>
      <w:bookmarkEnd w:id="357"/>
      <w:bookmarkEnd w:id="359"/>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公司高度重视员工的培训工作，积极寻求各种培训资源和渠道，搭建完善的培训体系，包括新员工入职培训、研发专业 技能培训、销售培训、管理能力提升培训、普法培训、保密及安全培训等。通过培训提高业务能力和管理水平，既能促进公 司整体战略目标的实施，又能满足员工个人能力和职业发展的需求，实现企业和员工的双赢。</w:t>
      </w:r>
    </w:p>
    <w:p>
      <w:pPr>
        <w:pStyle w:val="Style32"/>
        <w:keepNext/>
        <w:keepLines/>
        <w:widowControl w:val="0"/>
        <w:shd w:val="clear" w:color="auto" w:fill="auto"/>
        <w:tabs>
          <w:tab w:pos="368" w:val="left"/>
        </w:tabs>
        <w:bidi w:val="0"/>
        <w:spacing w:before="0" w:after="2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劳务外包情况</w:t>
      </w:r>
      <w:bookmarkEnd w:id="360"/>
      <w:bookmarkEnd w:id="361"/>
      <w:bookmarkEnd w:id="363"/>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364" w:name="bookmark364"/>
      <w:bookmarkStart w:id="365" w:name="bookmark365"/>
      <w:bookmarkStart w:id="366" w:name="bookmark366"/>
      <w:r>
        <w:rPr>
          <w:color w:val="000000"/>
          <w:spacing w:val="0"/>
          <w:w w:val="100"/>
          <w:position w:val="0"/>
          <w:sz w:val="24"/>
          <w:szCs w:val="24"/>
        </w:rPr>
        <w:t>十、公司利润分配及资本公积金转增股本情况</w:t>
      </w:r>
      <w:bookmarkEnd w:id="364"/>
      <w:bookmarkEnd w:id="365"/>
      <w:bookmarkEnd w:id="366"/>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本报告期利润分配及资本公积金转增股本情况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578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bl>
    <w:p>
      <w:pPr>
        <w:widowControl w:val="0"/>
        <w:spacing w:line="1" w:lineRule="exact"/>
      </w:pPr>
      <w:r>
        <w:br w:type="page"/>
      </w:r>
    </w:p>
    <w:tbl>
      <w:tblPr>
        <w:tblOverlap w:val="never"/>
        <w:jc w:val="center"/>
        <w:tblLayout w:type="fixed"/>
      </w:tblPr>
      <w:tblGrid>
        <w:gridCol w:w="3806"/>
        <w:gridCol w:w="578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511,001,336.39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1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2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5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日召开的第五届董事会第十六次会议审议通过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年年末总股本 </w:t>
            </w:r>
            <w:r>
              <w:rPr>
                <w:rFonts w:ascii="Times New Roman" w:eastAsia="Times New Roman" w:hAnsi="Times New Roman" w:cs="Times New Roman"/>
                <w:color w:val="000000"/>
                <w:spacing w:val="0"/>
                <w:w w:val="100"/>
                <w:position w:val="0"/>
                <w:sz w:val="18"/>
                <w:szCs w:val="18"/>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6222,000.00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 不以公积金转增股本。</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十一、公司股权激励计划、员工持股计划或其他员工激励措施的实施情况</w:t>
      </w:r>
      <w:bookmarkEnd w:id="367"/>
      <w:bookmarkEnd w:id="368"/>
      <w:bookmarkEnd w:id="369"/>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tabs>
          <w:tab w:pos="358" w:val="left"/>
        </w:tabs>
        <w:bidi w:val="0"/>
        <w:spacing w:before="0" w:after="2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股权激励</w:t>
      </w:r>
      <w:bookmarkEnd w:id="370"/>
      <w:bookmarkEnd w:id="371"/>
      <w:bookmarkEnd w:id="373"/>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公司董事、高级管理人员获得的股权激励情况</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公司制定了《高级管理人员薪酬管理制度》，公司董事会下设薪酬与考核委员会，薪酬与考核委员会是董事会按照股东 大会决议设立的专门工作机构，负责研究公司董事及高级管理人员的考核标准并进行考核，负责研究和审查公司董事及高级 管理人员的薪酬政策与方案。报告期内，公司高级管理人员严格按照《公司法》《公司章程》及有关法律法规认真履行职责， 积极落实公司股东大会和董事会相关决议，较好地完成了本年度的各项任务。</w:t>
      </w:r>
    </w:p>
    <w:p>
      <w:pPr>
        <w:pStyle w:val="Style32"/>
        <w:keepNext/>
        <w:keepLines/>
        <w:widowControl w:val="0"/>
        <w:shd w:val="clear" w:color="auto" w:fill="auto"/>
        <w:tabs>
          <w:tab w:pos="368"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员工持股计划的实施情况</w:t>
      </w:r>
      <w:bookmarkEnd w:id="374"/>
      <w:bookmarkEnd w:id="375"/>
      <w:bookmarkEnd w:id="377"/>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13"/>
        <w:gridCol w:w="1589"/>
        <w:gridCol w:w="1589"/>
        <w:gridCol w:w="1608"/>
        <w:gridCol w:w="1589"/>
        <w:gridCol w:w="1603"/>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持有的股票总额</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实施计划的资金来 源</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中高层管理人员、核 心骨干及监事等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12,353201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员工合法薪酬、自筹 资金和法律、行政法 规允许的其他方式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line="1" w:lineRule="exact"/>
      </w:pPr>
    </w:p>
    <w:tbl>
      <w:tblPr>
        <w:tblOverlap w:val="never"/>
        <w:jc w:val="center"/>
        <w:tblLayout w:type="fixed"/>
      </w:tblPr>
      <w:tblGrid>
        <w:gridCol w:w="1925"/>
        <w:gridCol w:w="1920"/>
        <w:gridCol w:w="1910"/>
        <w:gridCol w:w="1920"/>
        <w:gridCol w:w="1915"/>
      </w:tblGrid>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占上市公司股本总额的 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报告期内资产管理机构的变更情况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报告期内因持有人处置份额等引起的权益变动情况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报告期内股东权利行使的情况 </w:t>
      </w:r>
      <w:r>
        <w:rPr>
          <w:color w:val="000000"/>
          <w:spacing w:val="0"/>
          <w:w w:val="100"/>
          <w:position w:val="0"/>
        </w:rPr>
        <w:t>不适用</w:t>
      </w:r>
    </w:p>
    <w:p>
      <w:pPr>
        <w:pStyle w:val="Style21"/>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报告期内员工持股计划的其他相关情形及说明</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华融榕基软件员工持股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通过二级市场购入的方式累计购买公司股票</w:t>
      </w:r>
      <w:r>
        <w:rPr>
          <w:rFonts w:ascii="Times New Roman" w:eastAsia="Times New Roman" w:hAnsi="Times New Roman" w:cs="Times New Roman"/>
          <w:color w:val="000000"/>
          <w:spacing w:val="0"/>
          <w:w w:val="100"/>
          <w:position w:val="0"/>
          <w:sz w:val="18"/>
          <w:szCs w:val="18"/>
        </w:rPr>
        <w:t xml:space="preserve">1,867,900 </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日召开了公司第五届董事会第七次会议，审议通过了《关于公司第一期 员工持股计划存续期展期的议案》，同意公司第一期员工持股计划存续期展期至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日公司召开了 第五届董事会第十五次会议，审议通过了《关于公司第一期员工持股计划存续期再次展期的议案》，同意公司第一期员工持 股计划存续期展期至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1"/>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日，华融榕基软件员工持股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号定向资产管理计划（第二期）已通过二级市场购入的方式累计购买公司股 票</w:t>
      </w:r>
      <w:r>
        <w:rPr>
          <w:rFonts w:ascii="Times New Roman" w:eastAsia="Times New Roman" w:hAnsi="Times New Roman" w:cs="Times New Roman"/>
          <w:color w:val="000000"/>
          <w:spacing w:val="0"/>
          <w:w w:val="100"/>
          <w:position w:val="0"/>
          <w:sz w:val="18"/>
          <w:szCs w:val="18"/>
        </w:rPr>
        <w:t>2,629,101</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日召开了公司第五届董事会第十次会议，审议通过了《关于公 司第二期员工持股计划存续期展期的议案》，同意公司第二期员工持股计划存续期展期至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日，华融榕基软件员工持股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号定向资产管理计划（第三期）已通过二级市场购入的方式累计购买公司股票 </w:t>
      </w:r>
      <w:r>
        <w:rPr>
          <w:rFonts w:ascii="Times New Roman" w:eastAsia="Times New Roman" w:hAnsi="Times New Roman" w:cs="Times New Roman"/>
          <w:color w:val="000000"/>
          <w:spacing w:val="0"/>
          <w:w w:val="100"/>
          <w:position w:val="0"/>
          <w:sz w:val="18"/>
          <w:szCs w:val="18"/>
        </w:rPr>
        <w:t>7,856,200</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日召开了公司第五届董事会第十四次会议，审议通过了《关于 公司第三期员工持股计划存续期展期的议案》，同意公司第三期员工持股计划存续期展期至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榕基软件员工持股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期共计购买</w:t>
      </w:r>
      <w:r>
        <w:rPr>
          <w:rFonts w:ascii="Times New Roman" w:eastAsia="Times New Roman" w:hAnsi="Times New Roman" w:cs="Times New Roman"/>
          <w:color w:val="000000"/>
          <w:spacing w:val="0"/>
          <w:w w:val="100"/>
          <w:position w:val="0"/>
          <w:sz w:val="18"/>
          <w:szCs w:val="18"/>
        </w:rPr>
        <w:t>12,353,201</w:t>
      </w:r>
      <w:r>
        <w:rPr>
          <w:color w:val="000000"/>
          <w:spacing w:val="0"/>
          <w:w w:val="100"/>
          <w:position w:val="0"/>
        </w:rPr>
        <w:t>股，占公司总股本约为</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员工持股计划管理委员会成员发生变化</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员工持股计划对报告期上市公司的财务影响及相关会计处理</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报告期内员工持股计划终止的情况</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4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、其他员工激励措施</w:t>
      </w:r>
      <w:bookmarkEnd w:id="378"/>
      <w:bookmarkEnd w:id="379"/>
      <w:bookmarkEnd w:id="381"/>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24"/>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十二、报告期内的内部控制制度建设及实施情况</w:t>
      </w:r>
      <w:bookmarkEnd w:id="382"/>
      <w:bookmarkEnd w:id="383"/>
      <w:bookmarkEnd w:id="384"/>
    </w:p>
    <w:p>
      <w:pPr>
        <w:pStyle w:val="Style32"/>
        <w:keepNext/>
        <w:keepLines/>
        <w:widowControl w:val="0"/>
        <w:shd w:val="clear" w:color="auto" w:fill="auto"/>
        <w:bidi w:val="0"/>
        <w:spacing w:before="0" w:after="24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、内部控制建设及实施情况</w:t>
      </w:r>
      <w:bookmarkEnd w:id="385"/>
      <w:bookmarkEnd w:id="386"/>
      <w:bookmarkEnd w:id="388"/>
    </w:p>
    <w:p>
      <w:pPr>
        <w:pStyle w:val="Style21"/>
        <w:keepNext w:val="0"/>
        <w:keepLines w:val="0"/>
        <w:widowControl w:val="0"/>
        <w:shd w:val="clear" w:color="auto" w:fill="auto"/>
        <w:tabs>
          <w:tab w:pos="819" w:val="left"/>
        </w:tabs>
        <w:bidi w:val="0"/>
        <w:spacing w:before="0" w:after="0" w:line="315" w:lineRule="exact"/>
        <w:ind w:left="0" w:right="0" w:firstLine="30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进一步完善内控制度建设，强化内部审计监督。梳理完善董事会审计委员会及内部审计部门的职能职责，强化在 董事会领导下行使监督权，加强内审部门对公司内部控制制度执行情况的监督力度，提高内部审计工作的深度和广度。一方 面，加强内审部门对公司内部控制制度执行情况的监督力度，提高内部审计工作的深度和广度；另一方面，为防止资金占用 情况的发生，内审部门将密切关注公司大额资金往来的情况，对相关业务部门大额资金使用进行动态跟踪，发现疑似关联方 资金往来事项及时向董事会审计委员会汇报告，并督促各部门严格按照相关规定履行审议、披露程序。</w:t>
      </w:r>
    </w:p>
    <w:p>
      <w:pPr>
        <w:pStyle w:val="Style21"/>
        <w:keepNext w:val="0"/>
        <w:keepLines w:val="0"/>
        <w:widowControl w:val="0"/>
        <w:shd w:val="clear" w:color="auto" w:fill="auto"/>
        <w:tabs>
          <w:tab w:pos="805" w:val="left"/>
        </w:tabs>
        <w:bidi w:val="0"/>
        <w:spacing w:before="0" w:after="0" w:line="315" w:lineRule="exact"/>
        <w:ind w:left="0" w:right="0" w:firstLine="30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强化董事会及关键岗位的内控意识和责任，充分认识内控在改善企业管理、增强风险防控、帮助企业高质量发展 中的重要性，明确具体责任人，发挥表率作用。</w:t>
      </w:r>
    </w:p>
    <w:p>
      <w:pPr>
        <w:pStyle w:val="Style21"/>
        <w:keepNext w:val="0"/>
        <w:keepLines w:val="0"/>
        <w:widowControl w:val="0"/>
        <w:shd w:val="clear" w:color="auto" w:fill="auto"/>
        <w:tabs>
          <w:tab w:pos="819" w:val="left"/>
        </w:tabs>
        <w:bidi w:val="0"/>
        <w:spacing w:before="0" w:after="60" w:line="315" w:lineRule="exact"/>
        <w:ind w:left="0" w:right="0" w:firstLine="300"/>
        <w:jc w:val="left"/>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加强内部控制培训及学习。公司及时组织董事、监事及高级管理人员参加监管合规学习，提高管理层的公司治理 水平。有针对性地开展面向中层管理人员、普通员工的合规培训，以提高风险防范意识，强化合规经营意识，确保内部控制 制度得到有效执行，切实提升公司规范运作水平，促进公司健康可持续发展。</w:t>
      </w:r>
      <w:r>
        <w:br w:type="page"/>
      </w:r>
    </w:p>
    <w:p>
      <w:pPr>
        <w:pStyle w:val="Style32"/>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、报告期内发现的内部控制重大缺陷的具体情况</w:t>
      </w:r>
      <w:bookmarkEnd w:id="392"/>
      <w:bookmarkEnd w:id="393"/>
      <w:bookmarkEnd w:id="39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十三、公司报告期内对子公司的管理控制情况</w:t>
      </w:r>
      <w:bookmarkEnd w:id="396"/>
      <w:bookmarkEnd w:id="397"/>
      <w:bookmarkEnd w:id="398"/>
    </w:p>
    <w:tbl>
      <w:tblPr>
        <w:tblOverlap w:val="never"/>
        <w:jc w:val="center"/>
        <w:tblLayout w:type="fixed"/>
      </w:tblPr>
      <w:tblGrid>
        <w:gridCol w:w="1378"/>
        <w:gridCol w:w="1368"/>
        <w:gridCol w:w="1373"/>
        <w:gridCol w:w="1378"/>
        <w:gridCol w:w="1358"/>
        <w:gridCol w:w="1368"/>
        <w:gridCol w:w="1382"/>
      </w:tblGrid>
      <w:tr>
        <w:trPr>
          <w:trHeight w:val="6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十四、内部控制自我评价报告或内部控制审计报告</w:t>
      </w:r>
      <w:bookmarkEnd w:id="399"/>
      <w:bookmarkEnd w:id="400"/>
      <w:bookmarkEnd w:id="401"/>
    </w:p>
    <w:p>
      <w:pPr>
        <w:pStyle w:val="Style32"/>
        <w:keepNext/>
        <w:keepLines/>
        <w:widowControl w:val="0"/>
        <w:shd w:val="clear" w:color="auto" w:fill="auto"/>
        <w:bidi w:val="0"/>
        <w:spacing w:before="0" w:after="32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、内控自我评价报告</w:t>
      </w:r>
      <w:bookmarkEnd w:id="402"/>
      <w:bookmarkEnd w:id="403"/>
      <w:bookmarkEnd w:id="405"/>
    </w:p>
    <w:tbl>
      <w:tblPr>
        <w:tblOverlap w:val="never"/>
        <w:jc w:val="center"/>
        <w:tblLayout w:type="fixed"/>
      </w:tblPr>
      <w:tblGrid>
        <w:gridCol w:w="3202"/>
        <w:gridCol w:w="3331"/>
        <w:gridCol w:w="30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年度内部控制自我评价报告》详见巨潮资讯网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9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、重大缺陷的认定标准：①涉及董事、监 事、高级管理层舞弊；②注册会计师发现 当期财务报表存在重大错报，而内部控制 在运行过程中未能发现该错报；③财务报 告相关的内控控制环境失效。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的认定标准：①未依照公认会计准则选择 和应用会计政策；②对于非常规或特殊交 易的账务处理没有建立相应的控制机制或 没有实施且没有相应的补偿性控制；③对 于期末财务报告过程中的控制存在一项或 多项缺陷且不能合理保证编制的财务报表 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 除上述重大缺陷、重要缺陷之外的其他控 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评价的定性标准如下：</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、重大缺陷的认定标准：①缺乏民主 决策程序，如缺乏重大问题决策、重要 干部任免、重大项目投资决策、大额资 金使用(三重一大)决策程序；②发展 方向严重偏离战略目标、投资方向、业 务结构、商业模式等完全不能支持战略 目标的实现；③严重违反国家法律、行 政法规；④内部控制评价的结果特别是 重大缺陷未得到整改。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 认定标准：①集体决策程序存在严重缺 陷，该缺陷可能导致决策失误；②发展 方向较为严重的偏离战略目标，投资方 向、业务结构、商业模式等较大程度上 不能支持战略目标的实现；③内部控制 评价中的重要缺陷未得到整改。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 般缺陷是指其他除重要及重大缺陷之 外的事项。</w:t>
            </w:r>
          </w:p>
        </w:tc>
      </w:tr>
      <w:tr>
        <w:trPr>
          <w:trHeight w:val="9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定量标准如下：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、以财务报表错报金额指 标衡量。如错报金额大于最近一个会计年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公司确定的非财务报告内部控制缺陷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评价的定量标准如下：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以直接经济损失指标衡量，如损失大于</w:t>
            </w:r>
          </w:p>
        </w:tc>
      </w:tr>
    </w:tbl>
    <w:p>
      <w:pPr>
        <w:widowControl w:val="0"/>
        <w:spacing w:line="1" w:lineRule="exact"/>
      </w:pPr>
      <w:r>
        <w:br w:type="page"/>
      </w:r>
    </w:p>
    <w:tbl>
      <w:tblPr>
        <w:tblOverlap w:val="never"/>
        <w:jc w:val="center"/>
        <w:tblLayout w:type="fixed"/>
      </w:tblPr>
      <w:tblGrid>
        <w:gridCol w:w="3202"/>
        <w:gridCol w:w="3331"/>
        <w:gridCol w:w="3058"/>
      </w:tblGrid>
      <w:tr>
        <w:trPr>
          <w:trHeight w:val="50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度公司经审计的合并报表净利润的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则认定为重大缺陷；如错报金额位于最近 一个会计年度公司经审计的合并报表净利 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之间，则认定为重要缺陷; 如错报金额小于等于最近一个会计年度公 司经审计的合并报表净利润的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为一般缺陷。</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、以营业收入潜在影响指标衡量。如潜在 影响大于最近一个会计年度公司经审计的 合并报表营业收入的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 陷；如潜在影响位于最近一个会计年度公 司经审计的合并报表营业收入的</w:t>
            </w:r>
            <w:r>
              <w:rPr>
                <w:rFonts w:ascii="Times New Roman" w:eastAsia="Times New Roman" w:hAnsi="Times New Roman" w:cs="Times New Roman"/>
                <w:color w:val="000000"/>
                <w:spacing w:val="0"/>
                <w:w w:val="100"/>
                <w:position w:val="0"/>
                <w:sz w:val="18"/>
                <w:szCs w:val="18"/>
              </w:rPr>
              <w:t xml:space="preserve">0.5%-1% </w:t>
            </w:r>
            <w:r>
              <w:rPr>
                <w:color w:val="000000"/>
                <w:spacing w:val="0"/>
                <w:w w:val="100"/>
                <w:position w:val="0"/>
              </w:rPr>
              <w:t>之间，则认定为重要缺陷；如潜在影响小 于等于最近一个会计年度公司经审计的合 并报表营业收入的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最近一个会计年度公司经审计的合并 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 陷；如损失位于最近一个会计年度公司 经审计的合并报表资产总额的</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之间，则认定为重要缺陷；如 损失小于等于最近一个会计年度公司 经审计的合并报表资产总额的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则认定为一般缺陷。</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、内部控制审计报告</w:t>
      </w:r>
      <w:bookmarkEnd w:id="406"/>
      <w:bookmarkEnd w:id="407"/>
      <w:bookmarkEnd w:id="40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331"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26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根据公司财务报告内部控制重大缺陷的认定情况，于内部控制评价报告基准日，不存在财务报告内部控制重大缺陷，公司 已按照企业内部控制规范体系和相关规定的要求在所有重大方面保持了有效的财务报告内部控制。根据公司非财务报告内 部控制重大缺陷认定情况，于内部控制评价报告基准日，公司未发现非财务报告内部控制重大缺陷。自内部控制评价报告 基准日至内部控制评价报告发出日之间未发生影响内部控制有效性评价结论的因素。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会计师事务所是否出具非标准意见的内部控制审计报告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十五、上市公司治理专项行动自查问题整改情况</w:t>
      </w:r>
      <w:bookmarkEnd w:id="410"/>
      <w:bookmarkEnd w:id="411"/>
      <w:bookmarkEnd w:id="412"/>
    </w:p>
    <w:p>
      <w:pPr>
        <w:pStyle w:val="Style21"/>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81" w:right="1062" w:bottom="1515" w:left="1060" w:header="0" w:footer="3" w:gutter="0"/>
          <w:cols w:space="720"/>
          <w:noEndnote/>
          <w:rtlGutter w:val="0"/>
          <w:docGrid w:linePitch="360"/>
        </w:sectPr>
      </w:pPr>
      <w:r>
        <w:rPr>
          <w:color w:val="000000"/>
          <w:spacing w:val="0"/>
          <w:w w:val="100"/>
          <w:position w:val="0"/>
        </w:rPr>
        <w:t>根据国务院《关于进一步提高上市公司质量的意见》（国发〔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号）、中国证监会《关于开展上市公司治理专项 行动的公告》（证监会公告〔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号）、中国证监会福建监管局《关于开展福建辖区上市公司治理专项行动的通知》（闽 证监发〔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号）的要求，结合相关法律法规及规章制度，公司对组织机构的运行和决策、控股股东及实际控制人行为 </w:t>
      </w:r>
      <w:r>
        <w:rPr>
          <w:color w:val="000000"/>
          <w:spacing w:val="0"/>
          <w:w w:val="100"/>
          <w:position w:val="0"/>
        </w:rPr>
        <w:t>规范、关联交易、内部控制规范体系建设、信息披露、投资者关系、社会责任等方面进行了深入自查。经自查，公司不存在 影响公司治理水平的重大违规事项，公司已经按照《公司法》《证券法》《上市公司治理准则》等相关法律法规建立健全了 较为完整、合理的法人治理结构及内部控制体系。公司将以本次自查和整改为契机，进一步规范公司运作，继续提升治理水 平，夯实公司高质量发展基础。</w:t>
      </w:r>
    </w:p>
    <w:p>
      <w:pPr>
        <w:pStyle w:val="Style11"/>
        <w:keepNext/>
        <w:keepLines/>
        <w:widowControl w:val="0"/>
        <w:shd w:val="clear" w:color="auto" w:fill="auto"/>
        <w:bidi w:val="0"/>
        <w:spacing w:before="580" w:after="520" w:line="240" w:lineRule="auto"/>
        <w:ind w:left="0" w:right="0" w:firstLine="0"/>
        <w:jc w:val="center"/>
      </w:pPr>
      <w:bookmarkStart w:id="413" w:name="bookmark413"/>
      <w:bookmarkStart w:id="414" w:name="bookmark414"/>
      <w:bookmarkStart w:id="415" w:name="bookmark415"/>
      <w:r>
        <w:rPr>
          <w:color w:val="000000"/>
          <w:spacing w:val="0"/>
          <w:w w:val="100"/>
          <w:position w:val="0"/>
        </w:rPr>
        <w:t>第五节环境和社会责任</w:t>
      </w:r>
      <w:bookmarkEnd w:id="413"/>
      <w:bookmarkEnd w:id="414"/>
      <w:bookmarkEnd w:id="415"/>
    </w:p>
    <w:p>
      <w:pPr>
        <w:pStyle w:val="Style24"/>
        <w:keepNext/>
        <w:keepLines/>
        <w:widowControl w:val="0"/>
        <w:shd w:val="clear" w:color="auto" w:fill="auto"/>
        <w:bidi w:val="0"/>
        <w:spacing w:before="0" w:after="360" w:line="240" w:lineRule="auto"/>
        <w:ind w:left="0" w:right="0" w:firstLine="260"/>
        <w:jc w:val="left"/>
      </w:pPr>
      <w:bookmarkStart w:id="416" w:name="bookmark416"/>
      <w:bookmarkStart w:id="417" w:name="bookmark417"/>
      <w:bookmarkStart w:id="418" w:name="bookmark418"/>
      <w:bookmarkStart w:id="419" w:name="bookmark419"/>
      <w:r>
        <w:rPr>
          <w:color w:val="000000"/>
          <w:spacing w:val="0"/>
          <w:w w:val="100"/>
          <w:position w:val="0"/>
          <w:sz w:val="24"/>
          <w:szCs w:val="24"/>
        </w:rPr>
        <w:t>、重大环保问题</w:t>
      </w:r>
      <w:bookmarkEnd w:id="417"/>
      <w:bookmarkEnd w:id="418"/>
      <w:bookmarkEnd w:id="419"/>
      <w:bookmarkEnd w:id="41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60" w:line="317" w:lineRule="exact"/>
        <w:ind w:left="0" w:right="0"/>
        <w:jc w:val="left"/>
      </w:pPr>
      <w:r>
        <w:rPr>
          <w:color w:val="000000"/>
          <w:spacing w:val="0"/>
          <w:w w:val="100"/>
          <w:position w:val="0"/>
        </w:rPr>
        <w:t>公司及子公司均不属于环境保护部门公布的重点排污单位，公司的生产及运营严格遵守国家有关法律法规，公司将持续 加强环保监督管理，确保企业发展符合环境保护政策法规。</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二</w:t>
      </w:r>
      <w:bookmarkEnd w:id="422"/>
      <w:r>
        <w:rPr>
          <w:color w:val="000000"/>
          <w:spacing w:val="0"/>
          <w:w w:val="100"/>
          <w:position w:val="0"/>
          <w:sz w:val="24"/>
          <w:szCs w:val="24"/>
        </w:rPr>
        <w:t>、</w:t>
        <w:tab/>
        <w:t>社会责任情况</w:t>
      </w:r>
      <w:bookmarkEnd w:id="420"/>
      <w:bookmarkEnd w:id="421"/>
      <w:bookmarkEnd w:id="423"/>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年社会责任报告》。</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三</w:t>
      </w:r>
      <w:bookmarkEnd w:id="426"/>
      <w:r>
        <w:rPr>
          <w:color w:val="000000"/>
          <w:spacing w:val="0"/>
          <w:w w:val="100"/>
          <w:position w:val="0"/>
          <w:sz w:val="24"/>
          <w:szCs w:val="24"/>
        </w:rPr>
        <w:t>、</w:t>
        <w:tab/>
        <w:t>巩固拓展脱贫攻坚成果、乡村振兴的情况</w:t>
      </w:r>
      <w:bookmarkEnd w:id="424"/>
      <w:bookmarkEnd w:id="425"/>
      <w:bookmarkEnd w:id="427"/>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年社会责任报告》。</w:t>
      </w:r>
      <w:r>
        <w:br w:type="page"/>
      </w:r>
    </w:p>
    <w:p>
      <w:pPr>
        <w:pStyle w:val="Style11"/>
        <w:keepNext/>
        <w:keepLines/>
        <w:widowControl w:val="0"/>
        <w:shd w:val="clear" w:color="auto" w:fill="auto"/>
        <w:bidi w:val="0"/>
        <w:spacing w:before="0" w:line="240" w:lineRule="auto"/>
        <w:ind w:left="0" w:right="0" w:firstLine="0"/>
        <w:jc w:val="center"/>
      </w:pPr>
      <w:bookmarkStart w:id="428" w:name="bookmark428"/>
      <w:bookmarkStart w:id="429" w:name="bookmark429"/>
      <w:bookmarkStart w:id="430" w:name="bookmark430"/>
      <w:r>
        <w:rPr>
          <w:color w:val="000000"/>
          <w:spacing w:val="0"/>
          <w:w w:val="100"/>
          <w:position w:val="0"/>
        </w:rPr>
        <w:t>第六节重要事项</w:t>
      </w:r>
      <w:bookmarkEnd w:id="428"/>
      <w:bookmarkEnd w:id="429"/>
      <w:bookmarkEnd w:id="430"/>
    </w:p>
    <w:p>
      <w:pPr>
        <w:pStyle w:val="Style24"/>
        <w:keepNext/>
        <w:keepLines/>
        <w:widowControl w:val="0"/>
        <w:shd w:val="clear" w:color="auto" w:fill="auto"/>
        <w:bidi w:val="0"/>
        <w:spacing w:before="0" w:after="300" w:line="240" w:lineRule="auto"/>
        <w:ind w:left="0" w:right="0" w:firstLine="0"/>
        <w:jc w:val="left"/>
      </w:pPr>
      <w:bookmarkStart w:id="431" w:name="bookmark431"/>
      <w:bookmarkStart w:id="432" w:name="bookmark432"/>
      <w:bookmarkStart w:id="433" w:name="bookmark433"/>
      <w:bookmarkStart w:id="434" w:name="bookmark434"/>
      <w:bookmarkStart w:id="435" w:name="bookmark435"/>
      <w:r>
        <w:rPr>
          <w:color w:val="000000"/>
          <w:spacing w:val="0"/>
          <w:w w:val="100"/>
          <w:position w:val="0"/>
          <w:sz w:val="24"/>
          <w:szCs w:val="24"/>
        </w:rPr>
        <w:t>一</w:t>
      </w:r>
      <w:bookmarkEnd w:id="434"/>
      <w:r>
        <w:rPr>
          <w:color w:val="000000"/>
          <w:spacing w:val="0"/>
          <w:w w:val="100"/>
          <w:position w:val="0"/>
          <w:sz w:val="24"/>
          <w:szCs w:val="24"/>
        </w:rPr>
        <w:t>、承诺事项履行情况</w:t>
      </w:r>
      <w:bookmarkEnd w:id="432"/>
      <w:bookmarkEnd w:id="433"/>
      <w:bookmarkEnd w:id="435"/>
      <w:bookmarkEnd w:id="431"/>
    </w:p>
    <w:p>
      <w:pPr>
        <w:pStyle w:val="Style32"/>
        <w:keepNext/>
        <w:keepLines/>
        <w:widowControl w:val="0"/>
        <w:shd w:val="clear" w:color="auto" w:fill="auto"/>
        <w:bidi w:val="0"/>
        <w:spacing w:before="0" w:after="340" w:line="312" w:lineRule="exact"/>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、公司实际控制人、股东、关联方、收购人以及公司等承诺相关方在报告期内履行完毕及截至报告期末 尚未履行完毕的承诺事项</w:t>
      </w:r>
      <w:bookmarkEnd w:id="436"/>
      <w:bookmarkEnd w:id="437"/>
      <w:bookmarkEnd w:id="4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8"/>
        <w:gridCol w:w="984"/>
        <w:gridCol w:w="854"/>
        <w:gridCol w:w="3269"/>
        <w:gridCol w:w="994"/>
        <w:gridCol w:w="845"/>
        <w:gridCol w:w="7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在本公司任董事、高级管理人员的股东鲁 峰、侯伟承诺：在其任职期间每年转让的 股份不得超过其所持有本公司股份总数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；离职后半年内，不转让其所持有 的本公司股份；申报离职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个月内通过证券交易所挂牌交易出售的 发行人股票数量占其所持有发行人股票 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在职期间 以及申报 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40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为了避免将来发生同业竞争，公司控股股 东鲁峰和股东侯伟出具了《放弃竞争与利 益冲突承诺函》，承诺不生产、开发任何 与股份公司及其下属子公司生产的产品 构成竞争或可能构成竞争的产品，不直接 或间接经营任何与股份公司及其下属子 公司经营的业务构成竞争或可能构成竞 争的业务，也不参与投资任何与股份公司 及其下属子公司生产的产品或经营的业 务构成竞争或可能构成竞争的其他企业； 从第三方获得的商业机会如果属于股份 公司主营业务范围之内的，将尽可能地协 助股份公司取得该等商业机会。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188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公司属于高新技术企业，行业内技术人员 流动性较大，为了保护公司的知识产权和 保持核心人员的稳定，公司已与高级管理 人员和核心技术人员签订劳动合同，上述 人员同时对公司出具了《保密义务、技术 成果归属承诺书》。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公司所有募集资金将存放于专户管理，并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在承诺期</w:t>
            </w:r>
          </w:p>
        </w:tc>
      </w:tr>
    </w:tbl>
    <w:p>
      <w:pPr>
        <w:spacing w:lineRule="exact" w:line="1"/>
        <w:rPr>
          <w:sz w:val="2"/>
          <w:szCs w:val="2"/>
        </w:rPr>
      </w:pPr>
      <w:r>
        <w:br w:type="page"/>
      </w:r>
    </w:p>
    <w:tbl>
      <w:tblPr>
        <w:tblOverlap w:val="never"/>
        <w:jc w:val="center"/>
        <w:tblLayout w:type="fixed"/>
      </w:tblPr>
      <w:tblGrid>
        <w:gridCol w:w="1858"/>
        <w:gridCol w:w="984"/>
        <w:gridCol w:w="854"/>
        <w:gridCol w:w="3269"/>
        <w:gridCol w:w="994"/>
        <w:gridCol w:w="845"/>
        <w:gridCol w:w="787"/>
      </w:tblGrid>
      <w:tr>
        <w:trPr>
          <w:trHeight w:val="126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用于公司新一代电子政务应用平台、信息 安全风险综合管理系统、质检三电工程企 业端软件运维服务平台、协同管理软件平 台、技术研发与创新中心等主营业务。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限内，按 承诺持续 履行中</w:t>
            </w:r>
          </w:p>
        </w:tc>
      </w:tr>
      <w:tr>
        <w:trPr>
          <w:trHeight w:val="93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公司章程第一百六十五条规定：（一）公 司董事会负责制定公司的股利分配预案， 股东大会负责审批。在公司当年度盈利且 提取法定公积金及弥补以前年度亏损后 仍有剩余时，董事会应当作出现金分红预 案。公司董事会未做出现金利润分配预案 的，应当在定期报告中披露原因，公司独 立董事应当对此发表独立意见。（二）公 司每年以现金方式分配的利润应当不少 于当年可分配利润的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；公司上市后连 续三年以现金方式累计分配的利润应不 少于该连续三年实现的年均可分配利润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；在进行现金分配的同时，公司可 以进行股票股利的分配。（三）公司的利 润分配应重视对投资者的合理投资回报； 在有条件的情况下，公司可以进行中期分 配。（四）存在股东违规占用公司资金情 况的，公司应当扣减该股东所分配的现金 红利，以偿还其占用的资金。（五）公司 根据生产经营情况、投资规划和长期发展 的需要，确需调整利润分配政策的，调整 后的利润分配政策不得违反中国证监会 和证券交易所的有关规定。在对有关调整 利润分配政策的议案进行表决时，由全体 独立董事同意及监事会审议并经公司董 事会审议后方可提交公司股东大会审议， 公司控股股东应回避表决，公司可以采取 提供网络投票等方式以方便股东参与股 东大会表决。（六）公司应以每三年为一 个周期，制订周期内股东分红回报规划。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 限内，按 承诺持续 履行中</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公司部分董 事、高级管 理人员和核 心骨干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在法定期限内不减持其所持有的本公司 股份；严格遵守有关规定，不进行内幕交 易及敏感期买卖股份、短线交易。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在承诺期 限内，按 承诺持续 履行中</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2"/>
        <w:keepNext/>
        <w:keepLines/>
        <w:widowControl w:val="0"/>
        <w:shd w:val="clear" w:color="auto" w:fill="auto"/>
        <w:bidi w:val="0"/>
        <w:spacing w:before="0" w:after="260" w:line="317" w:lineRule="exact"/>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、公司资产或项目存在盈利预测，且报告期仍处在盈利预测期间，公司就资产或项目达到原盈利预测及 其原因做出说明</w:t>
      </w:r>
      <w:bookmarkEnd w:id="440"/>
      <w:bookmarkEnd w:id="441"/>
      <w:bookmarkEnd w:id="443"/>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二</w:t>
      </w:r>
      <w:bookmarkEnd w:id="446"/>
      <w:r>
        <w:rPr>
          <w:color w:val="000000"/>
          <w:spacing w:val="0"/>
          <w:w w:val="100"/>
          <w:position w:val="0"/>
          <w:sz w:val="24"/>
          <w:szCs w:val="24"/>
        </w:rPr>
        <w:t>、</w:t>
        <w:tab/>
        <w:t>控股股东及其他关联方对上市公司的非经营性占用资金情况</w:t>
      </w:r>
      <w:bookmarkEnd w:id="444"/>
      <w:bookmarkEnd w:id="445"/>
      <w:bookmarkEnd w:id="447"/>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三</w:t>
      </w:r>
      <w:bookmarkEnd w:id="450"/>
      <w:r>
        <w:rPr>
          <w:color w:val="000000"/>
          <w:spacing w:val="0"/>
          <w:w w:val="100"/>
          <w:position w:val="0"/>
          <w:sz w:val="24"/>
          <w:szCs w:val="24"/>
        </w:rPr>
        <w:t>、</w:t>
        <w:tab/>
        <w:t>违规对外担保情况</w:t>
      </w:r>
      <w:bookmarkEnd w:id="448"/>
      <w:bookmarkEnd w:id="449"/>
      <w:bookmarkEnd w:id="451"/>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四</w:t>
      </w:r>
      <w:bookmarkEnd w:id="45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2"/>
      <w:bookmarkEnd w:id="453"/>
      <w:bookmarkEnd w:id="455"/>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五</w:t>
      </w:r>
      <w:bookmarkEnd w:id="45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56"/>
      <w:bookmarkEnd w:id="457"/>
      <w:bookmarkEnd w:id="459"/>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六</w:t>
      </w:r>
      <w:bookmarkEnd w:id="462"/>
      <w:r>
        <w:rPr>
          <w:color w:val="000000"/>
          <w:spacing w:val="0"/>
          <w:w w:val="100"/>
          <w:position w:val="0"/>
          <w:sz w:val="24"/>
          <w:szCs w:val="24"/>
        </w:rPr>
        <w:t>、</w:t>
        <w:tab/>
        <w:t>与上年度财务报告相比，会计政策、会计估计变更或重大会计差错更正的情况说明</w:t>
      </w:r>
      <w:bookmarkEnd w:id="460"/>
      <w:bookmarkEnd w:id="461"/>
      <w:bookmarkEnd w:id="463"/>
    </w:p>
    <w:p>
      <w:pPr>
        <w:pStyle w:val="Style21"/>
        <w:keepNext w:val="0"/>
        <w:keepLines w:val="0"/>
        <w:widowControl w:val="0"/>
        <w:shd w:val="clear" w:color="auto" w:fill="auto"/>
        <w:bidi w:val="0"/>
        <w:spacing w:before="0" w:after="12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260" w:line="310" w:lineRule="exact"/>
        <w:ind w:left="0" w:right="0" w:firstLine="0"/>
        <w:jc w:val="left"/>
      </w:pPr>
      <w:bookmarkStart w:id="464" w:name="bookmark464"/>
      <w:r>
        <w:rPr>
          <w:color w:val="000000"/>
          <w:spacing w:val="0"/>
          <w:w w:val="100"/>
          <w:position w:val="0"/>
          <w:sz w:val="18"/>
          <w:szCs w:val="18"/>
        </w:rPr>
        <w:t>1</w:t>
      </w:r>
      <w:bookmarkEnd w:id="464"/>
      <w:r>
        <w:rPr>
          <w:color w:val="000000"/>
          <w:spacing w:val="0"/>
          <w:w w:val="100"/>
          <w:position w:val="0"/>
        </w:rPr>
        <w:t>、重要会计政策变更</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新租赁准则</w:t>
      </w:r>
    </w:p>
    <w:p>
      <w:pPr>
        <w:pStyle w:val="Style21"/>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租赁（修订）》</w:t>
      </w:r>
      <w:r>
        <w:rPr>
          <w:color w:val="000000"/>
          <w:spacing w:val="0"/>
          <w:w w:val="100"/>
          <w:position w:val="0"/>
          <w:sz w:val="18"/>
          <w:szCs w:val="18"/>
        </w:rPr>
        <w:t>，</w:t>
      </w:r>
      <w:r>
        <w:rPr>
          <w:color w:val="000000"/>
          <w:spacing w:val="0"/>
          <w:w w:val="100"/>
          <w:position w:val="0"/>
        </w:rPr>
        <w:t>要求在境内外同时上市的企业以及在境外上市并采 用国际财务报告准则或企业会计准则编制财务报表的企业，自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日召开的第五届董事会第八次会议，批准自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日起执行新租赁准则，对会计 政策相关内容进行了调整。变更后的会计政策参见附注三、</w:t>
      </w:r>
      <w:r>
        <w:rPr>
          <w:color w:val="000000"/>
          <w:spacing w:val="0"/>
          <w:w w:val="100"/>
          <w:position w:val="0"/>
          <w:sz w:val="18"/>
          <w:szCs w:val="18"/>
        </w:rPr>
        <w:t>26</w:t>
      </w:r>
      <w:r>
        <w:rPr>
          <w:color w:val="000000"/>
          <w:spacing w:val="0"/>
          <w:w w:val="100"/>
          <w:position w:val="0"/>
        </w:rPr>
        <w:t>和</w:t>
      </w:r>
      <w:r>
        <w:rPr>
          <w:color w:val="000000"/>
          <w:spacing w:val="0"/>
          <w:w w:val="100"/>
          <w:position w:val="0"/>
          <w:sz w:val="18"/>
          <w:szCs w:val="18"/>
        </w:rPr>
        <w:t>27</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对于首次执行日前已存在的合同，本公司在首次执行日选择不重新评估其是否为租赁或者包含租赁。对首次执行日之后 签订或变更的合同，本公司按照新租赁准则中租赁的定义评估合同是否为租赁或者包含租赁。</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新租赁准则中租赁的定义并未对本公司满足租赁定义的合同的范围产生重大影响。</w:t>
      </w:r>
    </w:p>
    <w:p>
      <w:pPr>
        <w:pStyle w:val="Style21"/>
        <w:keepNext w:val="0"/>
        <w:keepLines w:val="0"/>
        <w:widowControl w:val="0"/>
        <w:shd w:val="clear" w:color="auto" w:fill="auto"/>
        <w:bidi w:val="0"/>
        <w:spacing w:before="0" w:after="0" w:line="310" w:lineRule="exact"/>
        <w:ind w:left="0" w:right="0" w:firstLine="480"/>
        <w:jc w:val="left"/>
      </w:pPr>
      <w:r>
        <w:rPr>
          <w:b/>
          <w:bCs/>
          <w:color w:val="000000"/>
          <w:spacing w:val="0"/>
          <w:w w:val="100"/>
          <w:position w:val="0"/>
        </w:rPr>
        <w:t>作为承租人</w:t>
      </w:r>
    </w:p>
    <w:p>
      <w:pPr>
        <w:pStyle w:val="Style21"/>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新租赁准则要求承租人对所有租赁确认使用权资产和租赁负债，简化处理的短期租赁和低价值资产租赁除外，并分别确 认折旧和利息费用。</w:t>
      </w:r>
    </w:p>
    <w:p>
      <w:pPr>
        <w:pStyle w:val="Style21"/>
        <w:keepNext w:val="0"/>
        <w:keepLines w:val="0"/>
        <w:widowControl w:val="0"/>
        <w:shd w:val="clear" w:color="auto" w:fill="auto"/>
        <w:bidi w:val="0"/>
        <w:spacing w:before="0" w:after="0" w:line="310" w:lineRule="exact"/>
        <w:ind w:left="0" w:right="0" w:firstLine="480"/>
        <w:jc w:val="left"/>
      </w:pPr>
      <w:r>
        <w:rPr>
          <w:color w:val="000000"/>
          <w:spacing w:val="0"/>
          <w:w w:val="100"/>
          <w:position w:val="0"/>
        </w:rPr>
        <w:t>新租赁准则允许承租人选择下列方法之一对租赁进行衔接会计处理：</w:t>
      </w:r>
    </w:p>
    <w:p>
      <w:pPr>
        <w:pStyle w:val="Style21"/>
        <w:keepNext w:val="0"/>
        <w:keepLines w:val="0"/>
        <w:widowControl w:val="0"/>
        <w:shd w:val="clear" w:color="auto" w:fill="auto"/>
        <w:bidi w:val="0"/>
        <w:spacing w:before="0" w:after="0" w:line="310" w:lineRule="exact"/>
        <w:ind w:left="0" w:right="0" w:firstLine="400"/>
        <w:jc w:val="both"/>
      </w:pPr>
      <w:r>
        <w:rPr>
          <w:color w:val="000000"/>
          <w:spacing w:val="0"/>
          <w:w w:val="100"/>
          <w:position w:val="0"/>
        </w:rPr>
        <w:t>•</w:t>
      </w:r>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21"/>
        <w:keepNext w:val="0"/>
        <w:keepLines w:val="0"/>
        <w:widowControl w:val="0"/>
        <w:shd w:val="clear" w:color="auto" w:fill="auto"/>
        <w:bidi w:val="0"/>
        <w:spacing w:before="0" w:after="0" w:line="310" w:lineRule="exact"/>
        <w:ind w:left="0" w:right="0" w:firstLine="400"/>
        <w:jc w:val="both"/>
      </w:pPr>
      <w:r>
        <w:rPr>
          <w:color w:val="000000"/>
          <w:spacing w:val="0"/>
          <w:w w:val="100"/>
          <w:position w:val="0"/>
        </w:rPr>
        <w:t>•</w:t>
      </w:r>
      <w:r>
        <w:rPr>
          <w:color w:val="000000"/>
          <w:spacing w:val="0"/>
          <w:w w:val="100"/>
          <w:position w:val="0"/>
        </w:rPr>
        <w:t>根据首次执行本准则的累积影响数，调整首次执行本准则当年年初留存收益及财务报表其他相关项目金额，不调整可 比期间信息。</w:t>
      </w:r>
    </w:p>
    <w:p>
      <w:pPr>
        <w:pStyle w:val="Style21"/>
        <w:keepNext w:val="0"/>
        <w:keepLines w:val="0"/>
        <w:widowControl w:val="0"/>
        <w:shd w:val="clear" w:color="auto" w:fill="auto"/>
        <w:bidi w:val="0"/>
        <w:spacing w:before="0" w:after="260" w:line="310" w:lineRule="exact"/>
        <w:ind w:left="0" w:right="0" w:firstLine="480"/>
        <w:jc w:val="both"/>
      </w:pPr>
      <w:r>
        <w:rPr>
          <w:color w:val="000000"/>
          <w:spacing w:val="0"/>
          <w:w w:val="100"/>
          <w:position w:val="0"/>
        </w:rPr>
        <w:t>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年年初留存收益。同 时，本公司未对比较财务报表数据进行调整。</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w:t>
      </w:r>
      <w:r>
        <w:rPr>
          <w:color w:val="000000"/>
          <w:spacing w:val="0"/>
          <w:w w:val="100"/>
          <w:position w:val="0"/>
        </w:rPr>
        <w:t>对于首次执行日之前的融资租赁，本公司按照融资租入资产和应付融资租赁款的原账面价值，分别计量使用权资产和 租赁负债；</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w:t>
      </w:r>
      <w:r>
        <w:rPr>
          <w:color w:val="000000"/>
          <w:spacing w:val="0"/>
          <w:w w:val="100"/>
          <w:position w:val="0"/>
        </w:rPr>
        <w:t>对于首次执行日之前的经营租赁，本公司根据剩余租赁付款额按首次执行日的增量借款利率折现的现值计量租赁负 债，并对于所有租赁按照与租赁负债相等的金额，并根据预付租金进行必要调整计量使用权资产。</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•在首次执行日，本公司按照附注五、</w:t>
      </w:r>
      <w:r>
        <w:rPr>
          <w:color w:val="000000"/>
          <w:spacing w:val="0"/>
          <w:w w:val="100"/>
          <w:position w:val="0"/>
          <w:sz w:val="18"/>
          <w:szCs w:val="18"/>
        </w:rPr>
        <w:t>19</w:t>
      </w:r>
      <w:r>
        <w:rPr>
          <w:color w:val="000000"/>
          <w:spacing w:val="0"/>
          <w:w w:val="100"/>
          <w:position w:val="0"/>
        </w:rPr>
        <w:t>对使用权资产进行减值测试并进行相应的会计处理。</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个月内完成的经营租赁，采用简化处理，未确认 使用权资产和租赁负债。</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本公司对于首次执行日之前的经营租赁，采用了下列简化处理：</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•计量租赁负债时，具有相似特征的租赁采用同一折现率；使用权资产的计量不包含初始直接费用；</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•存在续租选择权或终止租赁选择权的，本公司根据首次执行日前选择权的实际行使及其他最新情况确定租赁期；</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w:t>
      </w:r>
      <w:r>
        <w:rPr>
          <w:color w:val="000000"/>
          <w:spacing w:val="0"/>
          <w:w w:val="100"/>
          <w:position w:val="0"/>
        </w:rPr>
        <w:t>作为使用权资产减值测试的替代，本公司评估包含租赁的合同在首次执行日前是否为亏损合同，并根据首次执行日前 计入资产负债表的亏损准备金额调整使用权资产；</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w:t>
      </w:r>
      <w:r>
        <w:rPr>
          <w:color w:val="000000"/>
          <w:spacing w:val="0"/>
          <w:w w:val="100"/>
          <w:position w:val="0"/>
        </w:rPr>
        <w:t>首次执行日前的租赁变更，本公司根据租赁变更的最终安排进行会计处理。</w:t>
      </w:r>
    </w:p>
    <w:p>
      <w:pPr>
        <w:pStyle w:val="Style21"/>
        <w:keepNext w:val="0"/>
        <w:keepLines w:val="0"/>
        <w:widowControl w:val="0"/>
        <w:shd w:val="clear" w:color="auto" w:fill="auto"/>
        <w:bidi w:val="0"/>
        <w:spacing w:before="0" w:after="80" w:line="313" w:lineRule="exact"/>
        <w:ind w:left="0" w:right="0" w:firstLine="36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日合并资产负债表项目的影响如下：</w:t>
      </w:r>
    </w:p>
    <w:p>
      <w:pPr>
        <w:pStyle w:val="Style26"/>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2592"/>
        <w:gridCol w:w="1954"/>
        <w:gridCol w:w="1421"/>
        <w:gridCol w:w="1565"/>
        <w:gridCol w:w="2275"/>
      </w:tblGrid>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调整前账面金额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重新计量</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调整后账面金额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2,902,235,650.40</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10,965221.32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1,296,181,533.26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1,311,653,867.56</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日使用权资产的账面价值构成如下:</w:t>
      </w:r>
    </w:p>
    <w:p>
      <w:pPr>
        <w:widowControl w:val="0"/>
        <w:spacing w:after="79" w:line="1" w:lineRule="exact"/>
      </w:pPr>
    </w:p>
    <w:p>
      <w:pPr>
        <w:pStyle w:val="Style26"/>
        <w:keepNext w:val="0"/>
        <w:keepLines w:val="0"/>
        <w:widowControl w:val="0"/>
        <w:shd w:val="clear" w:color="auto" w:fill="auto"/>
        <w:bidi w:val="0"/>
        <w:spacing w:before="0" w:after="0" w:line="240" w:lineRule="auto"/>
        <w:ind w:left="8467" w:right="0" w:firstLine="0"/>
        <w:jc w:val="left"/>
      </w:pPr>
      <w:r>
        <w:rPr>
          <w:color w:val="000000"/>
          <w:spacing w:val="0"/>
          <w:w w:val="100"/>
          <w:position w:val="0"/>
        </w:rPr>
        <w:t>单位：元</w:t>
      </w:r>
    </w:p>
    <w:tbl>
      <w:tblPr>
        <w:tblOverlap w:val="never"/>
        <w:jc w:val="center"/>
        <w:tblLayout w:type="fixed"/>
      </w:tblPr>
      <w:tblGrid>
        <w:gridCol w:w="5784"/>
        <w:gridCol w:w="3518"/>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2021.01.01</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15,472,334.30</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年度财务报表项目的影响如下:</w:t>
      </w:r>
    </w:p>
    <w:p>
      <w:pPr>
        <w:widowControl w:val="0"/>
        <w:spacing w:after="79" w:line="1" w:lineRule="exact"/>
      </w:pPr>
    </w:p>
    <w:p>
      <w:pPr>
        <w:pStyle w:val="Style26"/>
        <w:keepNext w:val="0"/>
        <w:keepLines w:val="0"/>
        <w:widowControl w:val="0"/>
        <w:shd w:val="clear" w:color="auto" w:fill="auto"/>
        <w:bidi w:val="0"/>
        <w:spacing w:before="0" w:after="0" w:line="240" w:lineRule="auto"/>
        <w:ind w:left="8386" w:right="0" w:firstLine="0"/>
        <w:jc w:val="left"/>
      </w:pPr>
      <w:r>
        <w:rPr>
          <w:color w:val="000000"/>
          <w:spacing w:val="0"/>
          <w:w w:val="100"/>
          <w:position w:val="0"/>
        </w:rPr>
        <w:t>单位：元</w:t>
      </w:r>
    </w:p>
    <w:tbl>
      <w:tblPr>
        <w:tblOverlap w:val="never"/>
        <w:jc w:val="left"/>
        <w:tblLayout w:type="fixed"/>
      </w:tblPr>
      <w:tblGrid>
        <w:gridCol w:w="3106"/>
        <w:gridCol w:w="1886"/>
        <w:gridCol w:w="1997"/>
        <w:gridCol w:w="2112"/>
      </w:tblGrid>
      <w:tr>
        <w:trPr>
          <w:trHeight w:val="33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日报表数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假设按原租赁准则</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11,348,805.05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11,348,805.05</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32,683,983.41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32,778,108.23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-94,124.82</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2,914,840,484.16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2,903,585,803.93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11,254,680.23</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5,044,393.70</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6,650,873.02</w:t>
            </w:r>
          </w:p>
        </w:tc>
      </w:tr>
    </w:tbl>
    <w:p>
      <w:pPr>
        <w:spacing w:lineRule="exact" w:line="1"/>
        <w:rPr>
          <w:sz w:val="2"/>
          <w:szCs w:val="2"/>
        </w:rPr>
      </w:pPr>
      <w:r>
        <w:br w:type="page"/>
      </w:r>
    </w:p>
    <w:tbl>
      <w:tblPr>
        <w:tblOverlap w:val="never"/>
        <w:jc w:val="center"/>
        <w:tblLayout w:type="fixed"/>
      </w:tblPr>
      <w:tblGrid>
        <w:gridCol w:w="3106"/>
        <w:gridCol w:w="1886"/>
        <w:gridCol w:w="1992"/>
        <w:gridCol w:w="2117"/>
      </w:tblGrid>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1,295,336,985.22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1,283,641,718.50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11,695266.72</w:t>
            </w:r>
          </w:p>
        </w:tc>
      </w:tr>
    </w:tbl>
    <w:p>
      <w:pPr>
        <w:pStyle w:val="Style26"/>
        <w:keepNext w:val="0"/>
        <w:keepLines w:val="0"/>
        <w:widowControl w:val="0"/>
        <w:shd w:val="clear" w:color="auto" w:fill="auto"/>
        <w:bidi w:val="0"/>
        <w:spacing w:before="0" w:after="0" w:line="240" w:lineRule="auto"/>
        <w:ind w:left="8026" w:right="0" w:firstLine="0"/>
        <w:jc w:val="left"/>
      </w:pPr>
      <w:r>
        <w:rPr>
          <w:color w:val="000000"/>
          <w:spacing w:val="0"/>
          <w:w w:val="100"/>
          <w:position w:val="0"/>
        </w:rPr>
        <w:t>单位：元</w:t>
      </w:r>
    </w:p>
    <w:tbl>
      <w:tblPr>
        <w:tblOverlap w:val="never"/>
        <w:jc w:val="center"/>
        <w:tblLayout w:type="fixed"/>
      </w:tblPr>
      <w:tblGrid>
        <w:gridCol w:w="2582"/>
        <w:gridCol w:w="1824"/>
        <w:gridCol w:w="2270"/>
        <w:gridCol w:w="2136"/>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合并利润表项目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年度报表数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假设按原租赁准则</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23,425,536.13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22,815,533.73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610,002.4(</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84,835,029.01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84,994,524.83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-159,495.82</w:t>
            </w:r>
          </w:p>
        </w:tc>
      </w:tr>
      <w:tr>
        <w:trPr>
          <w:trHeight w:val="34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92,693,791.20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92,703,711.28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-9,920.08</w:t>
            </w:r>
          </w:p>
        </w:tc>
      </w:tr>
    </w:tbl>
    <w:p>
      <w:pPr>
        <w:pStyle w:val="Style26"/>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作为出租人</w:t>
      </w:r>
    </w:p>
    <w:p>
      <w:pPr>
        <w:pStyle w:val="Style2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根据新租赁准则，本公司无需对其作为出租人的租赁按照衔接规定进行调整，也无需自首次执行新租赁准则之日按照新 租赁准则进行会计处理。</w:t>
      </w:r>
    </w:p>
    <w:p>
      <w:pPr>
        <w:pStyle w:val="Style21"/>
        <w:keepNext w:val="0"/>
        <w:keepLines w:val="0"/>
        <w:widowControl w:val="0"/>
        <w:shd w:val="clear" w:color="auto" w:fill="auto"/>
        <w:tabs>
          <w:tab w:pos="709" w:val="left"/>
        </w:tabs>
        <w:bidi w:val="0"/>
        <w:spacing w:before="0" w:after="0" w:line="317" w:lineRule="exact"/>
        <w:ind w:left="0" w:right="0" w:firstLine="360"/>
        <w:jc w:val="left"/>
      </w:pPr>
      <w:bookmarkStart w:id="465" w:name="bookmark465"/>
      <w:r>
        <w:rPr>
          <w:color w:val="000000"/>
          <w:spacing w:val="0"/>
          <w:w w:val="100"/>
          <w:position w:val="0"/>
          <w:sz w:val="18"/>
          <w:szCs w:val="18"/>
        </w:rPr>
        <w:t>2</w:t>
      </w:r>
      <w:bookmarkEnd w:id="465"/>
      <w:r>
        <w:rPr>
          <w:color w:val="000000"/>
          <w:spacing w:val="0"/>
          <w:w w:val="100"/>
          <w:position w:val="0"/>
        </w:rPr>
        <w:t>、</w:t>
        <w:tab/>
        <w:t>重要会计估计变更</w:t>
      </w:r>
    </w:p>
    <w:p>
      <w:pPr>
        <w:pStyle w:val="Style2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本报告期无重要会计估计变更</w:t>
      </w:r>
    </w:p>
    <w:p>
      <w:pPr>
        <w:pStyle w:val="Style21"/>
        <w:keepNext w:val="0"/>
        <w:keepLines w:val="0"/>
        <w:widowControl w:val="0"/>
        <w:shd w:val="clear" w:color="auto" w:fill="auto"/>
        <w:tabs>
          <w:tab w:pos="709" w:val="left"/>
        </w:tabs>
        <w:bidi w:val="0"/>
        <w:spacing w:before="0" w:after="260" w:line="317" w:lineRule="exact"/>
        <w:ind w:left="0" w:right="0" w:firstLine="360"/>
        <w:jc w:val="left"/>
      </w:pPr>
      <w:bookmarkStart w:id="466" w:name="bookmark466"/>
      <w:r>
        <w:rPr>
          <w:color w:val="000000"/>
          <w:spacing w:val="0"/>
          <w:w w:val="100"/>
          <w:position w:val="0"/>
          <w:sz w:val="18"/>
          <w:szCs w:val="18"/>
        </w:rPr>
        <w:t>3</w:t>
      </w:r>
      <w:bookmarkEnd w:id="466"/>
      <w:r>
        <w:rPr>
          <w:color w:val="000000"/>
          <w:spacing w:val="0"/>
          <w:w w:val="100"/>
          <w:position w:val="0"/>
        </w:rPr>
        <w:t>、</w:t>
        <w:tab/>
        <w:t>首次执行新租赁准则调整首次执行当年年初财务报表相关项目情况</w:t>
      </w:r>
    </w:p>
    <w:p>
      <w:pPr>
        <w:pStyle w:val="Style26"/>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1,945,937,813.97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1,945,937,813.97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设定受益计划净资产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145,075,489.28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145,075,489.28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36,015,874.40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36,015,874.40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25,626,839.50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25,626,839.50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940,825,502.13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956,297,836.43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2,902,235,650.40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1,194,773284.9(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1,199,280,397.88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10,965221.32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101,408,248.36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112,373,469.68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1,296,181,533.26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1,311,653,867.56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40,142,851.24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9,245,412.99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9,245,412.99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1,590,581,782.84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1,590,581,782.84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2,902,235,650.40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15,472,334.30</w:t>
            </w:r>
          </w:p>
        </w:tc>
      </w:tr>
    </w:tbl>
    <w:p>
      <w:pPr>
        <w:widowControl w:val="0"/>
        <w:spacing w:after="99" w:line="1" w:lineRule="exact"/>
      </w:pPr>
    </w:p>
    <w:p>
      <w:pPr>
        <w:pStyle w:val="Style21"/>
        <w:keepNext w:val="0"/>
        <w:keepLines w:val="0"/>
        <w:widowControl w:val="0"/>
        <w:shd w:val="clear" w:color="auto" w:fill="auto"/>
        <w:bidi w:val="0"/>
        <w:spacing w:before="0" w:after="240" w:line="307" w:lineRule="exact"/>
        <w:ind w:left="0" w:right="0" w:firstLine="0"/>
        <w:jc w:val="center"/>
      </w:pPr>
      <w:r>
        <w:rPr>
          <w:b/>
          <w:bCs/>
          <w:color w:val="000000"/>
          <w:spacing w:val="0"/>
          <w:w w:val="100"/>
          <w:position w:val="0"/>
        </w:rPr>
        <w:t>合并资产负债表</w:t>
        <w:br/>
        <w:t>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324,294,084.68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324,294,084.68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7,495,795.87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7,495,795.87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80,776,806.36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80,776,806.36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13,775,370.97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13,775,370.97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114,389,838.55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114,389,838.55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7,897,517.17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7,897,517.17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9,677,481.26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9,677,481.26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1,739,081,643.32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1,739,081,643.32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设定受益计划净资产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8,258,960.71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8,258,960.71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22,765200.10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22,765200.10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25,703,750.34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25,703,750.34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2,009,703.89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2,009,703.89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4,995,941.00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4,995,941.00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9,487,531.47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9,487,531.47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853,690,609.31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856,886,094.58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2,592,772 2 52.63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2,595,967,737.90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154,571,397.23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154,571,397.23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82,914,660.04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82,914,660.04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9,506,543.26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9,506,543.26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1,657,494.68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1,657,494.68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154,323,838.56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154,323,838.56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1,243,473.72</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13210,319.95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13210,319.95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987,694,141.22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988,937,614.94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1,243,473.72</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1886"/>
        <w:gridCol w:w="1896"/>
        <w:gridCol w:w="1901"/>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1,952,011.55</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6,641,797.12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8,593,808.67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1,952,011.55</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994,335,938.34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997,531,423.61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36,456294.82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501,375,162.77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501,375,162.77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1,598,436,314.29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1,598,436,314.29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2,592,772 2 52.63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2,595,967,737.90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3,195,485.27</w:t>
            </w:r>
          </w:p>
        </w:tc>
      </w:tr>
    </w:tbl>
    <w:p>
      <w:pPr>
        <w:pStyle w:val="Style21"/>
        <w:keepNext w:val="0"/>
        <w:keepLines w:val="0"/>
        <w:widowControl w:val="0"/>
        <w:shd w:val="clear" w:color="auto" w:fill="auto"/>
        <w:bidi w:val="0"/>
        <w:spacing w:before="0" w:after="0" w:line="317" w:lineRule="exact"/>
        <w:ind w:left="0" w:right="0"/>
        <w:jc w:val="left"/>
      </w:pPr>
      <w:bookmarkStart w:id="467" w:name="bookmark467"/>
      <w:r>
        <w:rPr>
          <w:color w:val="000000"/>
          <w:spacing w:val="0"/>
          <w:w w:val="100"/>
          <w:position w:val="0"/>
          <w:sz w:val="18"/>
          <w:szCs w:val="18"/>
        </w:rPr>
        <w:t>4</w:t>
      </w:r>
      <w:bookmarkEnd w:id="467"/>
      <w:r>
        <w:rPr>
          <w:color w:val="000000"/>
          <w:spacing w:val="0"/>
          <w:w w:val="100"/>
          <w:position w:val="0"/>
        </w:rPr>
        <w:t>、</w:t>
      </w:r>
      <w:r>
        <w:rPr>
          <w:color w:val="000000"/>
          <w:spacing w:val="0"/>
          <w:w w:val="100"/>
          <w:position w:val="0"/>
          <w:sz w:val="18"/>
          <w:szCs w:val="18"/>
        </w:rPr>
        <w:t>2021</w:t>
      </w:r>
      <w:r>
        <w:rPr>
          <w:color w:val="000000"/>
          <w:spacing w:val="0"/>
          <w:w w:val="100"/>
          <w:position w:val="0"/>
        </w:rPr>
        <w:t>年起首次执行新租赁准则追溯调整前期比较数据说明</w:t>
      </w:r>
    </w:p>
    <w:p>
      <w:pPr>
        <w:pStyle w:val="Style21"/>
        <w:keepNext w:val="0"/>
        <w:keepLines w:val="0"/>
        <w:widowControl w:val="0"/>
        <w:shd w:val="clear" w:color="auto" w:fill="auto"/>
        <w:bidi w:val="0"/>
        <w:spacing w:before="0" w:after="360" w:line="317" w:lineRule="exact"/>
        <w:ind w:left="0" w:right="0"/>
        <w:jc w:val="left"/>
      </w:pPr>
      <w:r>
        <w:rPr>
          <w:color w:val="000000"/>
          <w:spacing w:val="0"/>
          <w:w w:val="100"/>
          <w:position w:val="0"/>
        </w:rPr>
        <w:t>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年年初留存收益。同 时，本公司未对比较财务报表数据进行调整。</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七</w:t>
      </w:r>
      <w:bookmarkEnd w:id="470"/>
      <w:r>
        <w:rPr>
          <w:color w:val="000000"/>
          <w:spacing w:val="0"/>
          <w:w w:val="100"/>
          <w:position w:val="0"/>
          <w:sz w:val="24"/>
          <w:szCs w:val="24"/>
        </w:rPr>
        <w:t>、</w:t>
        <w:tab/>
        <w:t>与上年度财务报告相比，合并报表范围发生变化的情况说明</w:t>
      </w:r>
      <w:bookmarkEnd w:id="468"/>
      <w:bookmarkEnd w:id="469"/>
      <w:bookmarkEnd w:id="471"/>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22" w:lineRule="exact"/>
        <w:ind w:left="0" w:right="0"/>
        <w:jc w:val="left"/>
      </w:pPr>
      <w:r>
        <w:rPr>
          <w:color w:val="000000"/>
          <w:spacing w:val="0"/>
          <w:w w:val="100"/>
          <w:position w:val="0"/>
        </w:rPr>
        <w:t>孙公司注销</w:t>
      </w:r>
    </w:p>
    <w:p>
      <w:pPr>
        <w:pStyle w:val="Style21"/>
        <w:keepNext w:val="0"/>
        <w:keepLines w:val="0"/>
        <w:widowControl w:val="0"/>
        <w:shd w:val="clear" w:color="auto" w:fill="auto"/>
        <w:bidi w:val="0"/>
        <w:spacing w:before="0" w:after="360" w:line="326" w:lineRule="exact"/>
        <w:ind w:left="0" w:right="0"/>
        <w:jc w:val="left"/>
      </w:pPr>
      <w:r>
        <w:rPr>
          <w:color w:val="000000"/>
          <w:spacing w:val="0"/>
          <w:w w:val="100"/>
          <w:position w:val="0"/>
        </w:rPr>
        <w:t>孙公司河南裕信德置业有限公司于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日注销，注销时的资产总额为</w:t>
      </w:r>
      <w:r>
        <w:rPr>
          <w:color w:val="000000"/>
          <w:spacing w:val="0"/>
          <w:w w:val="100"/>
          <w:position w:val="0"/>
          <w:sz w:val="18"/>
          <w:szCs w:val="18"/>
        </w:rPr>
        <w:t>157.12</w:t>
      </w:r>
      <w:r>
        <w:rPr>
          <w:color w:val="000000"/>
          <w:spacing w:val="0"/>
          <w:w w:val="100"/>
          <w:position w:val="0"/>
        </w:rPr>
        <w:t>元。除前述事项外，本期无其他合 并范围变动的事项。</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八</w:t>
      </w:r>
      <w:bookmarkEnd w:id="474"/>
      <w:r>
        <w:rPr>
          <w:color w:val="000000"/>
          <w:spacing w:val="0"/>
          <w:w w:val="100"/>
          <w:position w:val="0"/>
          <w:sz w:val="24"/>
          <w:szCs w:val="24"/>
        </w:rPr>
        <w:t>、</w:t>
        <w:tab/>
        <w:t>聘任、解聘会计师事务所情况</w:t>
      </w:r>
      <w:bookmarkEnd w:id="472"/>
      <w:bookmarkEnd w:id="473"/>
      <w:bookmarkEnd w:id="47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w:t>
            </w:r>
          </w:p>
        </w:tc>
      </w:tr>
    </w:tbl>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林新田、林震霆</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九</w:t>
      </w:r>
      <w:bookmarkEnd w:id="478"/>
      <w:r>
        <w:rPr>
          <w:color w:val="000000"/>
          <w:spacing w:val="0"/>
          <w:w w:val="100"/>
          <w:position w:val="0"/>
          <w:sz w:val="24"/>
          <w:szCs w:val="24"/>
        </w:rPr>
        <w:t>、年度报告披露后面临退市情况</w:t>
      </w:r>
      <w:bookmarkEnd w:id="476"/>
      <w:bookmarkEnd w:id="477"/>
      <w:bookmarkEnd w:id="47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十、破产重整相关事项</w:t>
      </w:r>
      <w:bookmarkEnd w:id="480"/>
      <w:bookmarkEnd w:id="481"/>
      <w:bookmarkEnd w:id="482"/>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十一、重大诉讼、仲裁事项</w:t>
      </w:r>
      <w:bookmarkEnd w:id="483"/>
      <w:bookmarkEnd w:id="484"/>
      <w:bookmarkEnd w:id="485"/>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r>
        <w:rPr>
          <w:color w:val="000000"/>
          <w:spacing w:val="0"/>
          <w:w w:val="100"/>
          <w:position w:val="0"/>
          <w:sz w:val="24"/>
          <w:szCs w:val="24"/>
        </w:rPr>
        <w:t>十二、处罚及整改情况</w:t>
      </w:r>
      <w:bookmarkEnd w:id="486"/>
      <w:bookmarkEnd w:id="487"/>
      <w:bookmarkEnd w:id="488"/>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十三、公司及其控股股东、实际控制人的诚信状况</w:t>
      </w:r>
      <w:bookmarkEnd w:id="489"/>
      <w:bookmarkEnd w:id="490"/>
      <w:bookmarkEnd w:id="491"/>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4"/>
        <w:keepNext/>
        <w:keepLines/>
        <w:widowControl w:val="0"/>
        <w:shd w:val="clear" w:color="auto" w:fill="auto"/>
        <w:bidi w:val="0"/>
        <w:spacing w:before="0" w:after="360" w:line="240" w:lineRule="auto"/>
        <w:ind w:left="0" w:right="0" w:firstLine="0"/>
        <w:jc w:val="left"/>
      </w:pPr>
      <w:bookmarkStart w:id="492" w:name="bookmark492"/>
      <w:bookmarkStart w:id="493" w:name="bookmark493"/>
      <w:bookmarkStart w:id="494" w:name="bookmark494"/>
      <w:r>
        <w:rPr>
          <w:color w:val="000000"/>
          <w:spacing w:val="0"/>
          <w:w w:val="100"/>
          <w:position w:val="0"/>
          <w:sz w:val="24"/>
          <w:szCs w:val="24"/>
        </w:rPr>
        <w:t>十四、重大关联交易</w:t>
      </w:r>
      <w:bookmarkEnd w:id="492"/>
      <w:bookmarkEnd w:id="493"/>
      <w:bookmarkEnd w:id="494"/>
    </w:p>
    <w:p>
      <w:pPr>
        <w:pStyle w:val="Style32"/>
        <w:keepNext/>
        <w:keepLines/>
        <w:widowControl w:val="0"/>
        <w:shd w:val="clear" w:color="auto" w:fill="auto"/>
        <w:tabs>
          <w:tab w:pos="358"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与日常经营相关的关联交易</w:t>
      </w:r>
      <w:bookmarkEnd w:id="495"/>
      <w:bookmarkEnd w:id="496"/>
      <w:bookmarkEnd w:id="498"/>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68"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资产或股权收购、出售发生的关联交易</w:t>
      </w:r>
      <w:bookmarkEnd w:id="499"/>
      <w:bookmarkEnd w:id="500"/>
      <w:bookmarkEnd w:id="502"/>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68"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共同对外投资的关联交易</w:t>
      </w:r>
      <w:bookmarkEnd w:id="503"/>
      <w:bookmarkEnd w:id="504"/>
      <w:bookmarkEnd w:id="506"/>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68"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关联债权债务往来</w:t>
      </w:r>
      <w:bookmarkEnd w:id="507"/>
      <w:bookmarkEnd w:id="508"/>
      <w:bookmarkEnd w:id="51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6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5</w:t>
      </w:r>
      <w:bookmarkEnd w:id="513"/>
      <w:r>
        <w:rPr>
          <w:color w:val="000000"/>
          <w:spacing w:val="0"/>
          <w:w w:val="100"/>
          <w:position w:val="0"/>
        </w:rPr>
        <w:t>、</w:t>
        <w:tab/>
        <w:t>与存在关联关系的财务公司的往来情况</w:t>
      </w:r>
      <w:bookmarkEnd w:id="511"/>
      <w:bookmarkEnd w:id="512"/>
      <w:bookmarkEnd w:id="514"/>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6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6</w:t>
      </w:r>
      <w:bookmarkEnd w:id="517"/>
      <w:r>
        <w:rPr>
          <w:color w:val="000000"/>
          <w:spacing w:val="0"/>
          <w:w w:val="100"/>
          <w:position w:val="0"/>
        </w:rPr>
        <w:t>、</w:t>
        <w:tab/>
        <w:t>公司控股的财务公司与关联方的往来情况</w:t>
      </w:r>
      <w:bookmarkEnd w:id="515"/>
      <w:bookmarkEnd w:id="516"/>
      <w:bookmarkEnd w:id="51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68"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7</w:t>
      </w:r>
      <w:bookmarkEnd w:id="521"/>
      <w:r>
        <w:rPr>
          <w:color w:val="000000"/>
          <w:spacing w:val="0"/>
          <w:w w:val="100"/>
          <w:position w:val="0"/>
        </w:rPr>
        <w:t>、</w:t>
        <w:tab/>
        <w:t>其他重大关联交易</w:t>
      </w:r>
      <w:bookmarkEnd w:id="519"/>
      <w:bookmarkEnd w:id="520"/>
      <w:bookmarkEnd w:id="52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r>
        <w:rPr>
          <w:color w:val="000000"/>
          <w:spacing w:val="0"/>
          <w:w w:val="100"/>
          <w:position w:val="0"/>
          <w:sz w:val="24"/>
          <w:szCs w:val="24"/>
        </w:rPr>
        <w:t>十五、重大合同及其履行情况</w:t>
      </w:r>
      <w:bookmarkEnd w:id="523"/>
      <w:bookmarkEnd w:id="524"/>
      <w:bookmarkEnd w:id="525"/>
    </w:p>
    <w:p>
      <w:pPr>
        <w:pStyle w:val="Style32"/>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、托管、承包、租赁事项情况</w:t>
      </w:r>
      <w:bookmarkEnd w:id="526"/>
      <w:bookmarkEnd w:id="527"/>
      <w:bookmarkEnd w:id="529"/>
    </w:p>
    <w:p>
      <w:pPr>
        <w:pStyle w:val="Style36"/>
        <w:keepNext/>
        <w:keepLines/>
        <w:widowControl w:val="0"/>
        <w:shd w:val="clear" w:color="auto" w:fill="auto"/>
        <w:tabs>
          <w:tab w:pos="483"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0"/>
      <w:bookmarkEnd w:id="531"/>
      <w:bookmarkEnd w:id="53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83"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4"/>
      <w:bookmarkEnd w:id="535"/>
      <w:bookmarkEnd w:id="53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83" w:val="left"/>
        </w:tabs>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8"/>
      <w:bookmarkEnd w:id="539"/>
      <w:bookmarkEnd w:id="54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32"/>
        <w:keepNext/>
        <w:keepLines/>
        <w:widowControl w:val="0"/>
        <w:shd w:val="clear" w:color="auto" w:fill="auto"/>
        <w:tabs>
          <w:tab w:pos="368"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重大担保</w:t>
      </w:r>
      <w:bookmarkEnd w:id="542"/>
      <w:bookmarkEnd w:id="543"/>
      <w:bookmarkEnd w:id="545"/>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2"/>
        <w:keepNext/>
        <w:keepLines/>
        <w:widowControl w:val="0"/>
        <w:shd w:val="clear" w:color="auto" w:fill="auto"/>
        <w:tabs>
          <w:tab w:pos="368" w:val="left"/>
        </w:tabs>
        <w:bidi w:val="0"/>
        <w:spacing w:before="0" w:after="38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委托他人进行现金资产管理情况</w:t>
      </w:r>
      <w:bookmarkEnd w:id="546"/>
      <w:bookmarkEnd w:id="547"/>
      <w:bookmarkEnd w:id="549"/>
    </w:p>
    <w:p>
      <w:pPr>
        <w:pStyle w:val="Style36"/>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0"/>
      <w:bookmarkEnd w:id="551"/>
      <w:bookmarkEnd w:id="553"/>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6"/>
        <w:gridCol w:w="1603"/>
        <w:gridCol w:w="1546"/>
        <w:gridCol w:w="1555"/>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单项金额重大或安全性较低、流动性较差的高风险委托理财具体情况（单笔金额超过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万元（含）的委托理财）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664" w:right="0" w:firstLine="0"/>
        <w:jc w:val="left"/>
      </w:pPr>
      <w:r>
        <w:rPr>
          <w:color w:val="000000"/>
          <w:spacing w:val="0"/>
          <w:w w:val="100"/>
          <w:position w:val="0"/>
        </w:rPr>
        <w:t>单位：万元</w:t>
      </w:r>
    </w:p>
    <w:tbl>
      <w:tblPr>
        <w:tblOverlap w:val="never"/>
        <w:jc w:val="center"/>
        <w:tblLayout w:type="fixed"/>
      </w:tblPr>
      <w:tblGrid>
        <w:gridCol w:w="590"/>
        <w:gridCol w:w="586"/>
        <w:gridCol w:w="605"/>
        <w:gridCol w:w="571"/>
        <w:gridCol w:w="566"/>
        <w:gridCol w:w="566"/>
        <w:gridCol w:w="552"/>
        <w:gridCol w:w="562"/>
        <w:gridCol w:w="566"/>
        <w:gridCol w:w="566"/>
        <w:gridCol w:w="552"/>
        <w:gridCol w:w="566"/>
        <w:gridCol w:w="562"/>
        <w:gridCol w:w="552"/>
        <w:gridCol w:w="538"/>
        <w:gridCol w:w="557"/>
        <w:gridCol w:w="547"/>
      </w:tblGrid>
      <w:tr>
        <w:trPr>
          <w:trHeight w:val="22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 名称 （或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事项 概述 及相 关查 询索 引（如 有）</w:t>
            </w:r>
          </w:p>
        </w:tc>
      </w:tr>
      <w:tr>
        <w:trPr>
          <w:trHeight w:val="25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兴业 银行 股份 有限 公司 福州 湖东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兴业 银行 股份 有限 公司 福州 湖东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6"/>
        <w:gridCol w:w="586"/>
        <w:gridCol w:w="605"/>
        <w:gridCol w:w="576"/>
        <w:gridCol w:w="562"/>
        <w:gridCol w:w="566"/>
        <w:gridCol w:w="552"/>
        <w:gridCol w:w="566"/>
        <w:gridCol w:w="562"/>
        <w:gridCol w:w="566"/>
        <w:gridCol w:w="552"/>
        <w:gridCol w:w="566"/>
        <w:gridCol w:w="562"/>
        <w:gridCol w:w="552"/>
        <w:gridCol w:w="542"/>
        <w:gridCol w:w="552"/>
        <w:gridCol w:w="552"/>
      </w:tblGrid>
      <w:tr>
        <w:trPr>
          <w:trHeight w:val="2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股份 有限 公司 福州 湖东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中关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1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中关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中关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中关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厦门 国际 银行 北京 中关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委托理财出现预期无法收回本金或存在其他可能导致减值的情形</w:t>
      </w:r>
      <w:r>
        <w:br w:type="page"/>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4"/>
      <w:bookmarkEnd w:id="555"/>
      <w:bookmarkEnd w:id="557"/>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、其他重大合同</w:t>
      </w:r>
      <w:bookmarkEnd w:id="558"/>
      <w:bookmarkEnd w:id="559"/>
      <w:bookmarkEnd w:id="56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8"/>
        <w:gridCol w:w="634"/>
        <w:gridCol w:w="648"/>
        <w:gridCol w:w="643"/>
        <w:gridCol w:w="634"/>
        <w:gridCol w:w="638"/>
        <w:gridCol w:w="648"/>
        <w:gridCol w:w="634"/>
        <w:gridCol w:w="562"/>
        <w:gridCol w:w="571"/>
        <w:gridCol w:w="562"/>
        <w:gridCol w:w="566"/>
        <w:gridCol w:w="571"/>
        <w:gridCol w:w="566"/>
        <w:gridCol w:w="1080"/>
      </w:tblGrid>
      <w:tr>
        <w:trPr>
          <w:trHeight w:val="22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40" w:right="0" w:hanging="240"/>
              <w:jc w:val="both"/>
            </w:pPr>
            <w:r>
              <w:rPr>
                <w:color w:val="000000"/>
                <w:spacing w:val="0"/>
                <w:w w:val="100"/>
                <w:position w:val="0"/>
              </w:rPr>
              <w:t>合同标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评估机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构名称</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评估基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定价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报告 期末 的执 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1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基软件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洹工程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甲方委 托乙方 在上海 松江建 设上海 榕基软 件研发 及人才 培训基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主体 建造 基本 完成， 未使</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cninfo-new/di sclosure/szse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sme/bulletin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detail/true/1</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203854496?a nnounceTime =2017-08-24</w:t>
            </w:r>
          </w:p>
        </w:tc>
      </w:tr>
      <w:tr>
        <w:trPr>
          <w:trHeight w:val="3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基软件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和建设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甲方委 托乙方 在福州 闽侯建 设福建 榕基软 件工程 有限公 司软件 及服务 外包产 业基地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 用房 主体 工程</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 已达</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到验 收条 件，未 交付 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new/disclosur e/detail?plate =szse&amp;stock Code=00247 4&amp;announce mentId=1205 698735&amp;ann ouncementTi me=2018-12- 29</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562" w:name="bookmark562"/>
      <w:bookmarkStart w:id="563" w:name="bookmark563"/>
      <w:bookmarkStart w:id="564" w:name="bookmark564"/>
      <w:r>
        <w:rPr>
          <w:color w:val="000000"/>
          <w:spacing w:val="0"/>
          <w:w w:val="100"/>
          <w:position w:val="0"/>
          <w:sz w:val="24"/>
          <w:szCs w:val="24"/>
        </w:rPr>
        <w:t>十六、其他重大事项的说明</w:t>
      </w:r>
      <w:bookmarkEnd w:id="562"/>
      <w:bookmarkEnd w:id="563"/>
      <w:bookmarkEnd w:id="564"/>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313" w:lineRule="exact"/>
        <w:ind w:left="0" w:right="0" w:firstLine="36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个募投项目计划，其中场地投入</w:t>
      </w:r>
      <w:r>
        <w:rPr>
          <w:rFonts w:ascii="Times New Roman" w:eastAsia="Times New Roman" w:hAnsi="Times New Roman" w:cs="Times New Roman"/>
          <w:color w:val="000000"/>
          <w:spacing w:val="0"/>
          <w:w w:val="100"/>
          <w:position w:val="0"/>
          <w:sz w:val="18"/>
          <w:szCs w:val="18"/>
        </w:rPr>
        <w:t>5,828.75</w:t>
      </w:r>
      <w:r>
        <w:rPr>
          <w:color w:val="000000"/>
          <w:spacing w:val="0"/>
          <w:w w:val="100"/>
          <w:position w:val="0"/>
        </w:rPr>
        <w:t>万元，计划需要购置</w:t>
      </w:r>
      <w:r>
        <w:rPr>
          <w:rFonts w:ascii="Times New Roman" w:eastAsia="Times New Roman" w:hAnsi="Times New Roman" w:cs="Times New Roman"/>
          <w:color w:val="000000"/>
          <w:spacing w:val="0"/>
          <w:w w:val="100"/>
          <w:position w:val="0"/>
          <w:sz w:val="18"/>
          <w:szCs w:val="18"/>
        </w:rPr>
        <w:t>7,600</w:t>
      </w:r>
      <w:r>
        <w:rPr>
          <w:color w:val="000000"/>
          <w:spacing w:val="0"/>
          <w:w w:val="100"/>
          <w:position w:val="0"/>
        </w:rPr>
        <w:t>平方米用房，用于项目研发、测试、运营、 办公和机房环境建设。根据公司的发展规划，公司于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日召开第三届董事会第十三次会议，审议通过将变更募投 项目实施地点至福州高新技术产业开发区海西高新技术产业园内，变更募投项目实施方式，并追加投资，拟使用募集资金不 超过</w:t>
      </w:r>
      <w:r>
        <w:rPr>
          <w:rFonts w:ascii="Times New Roman" w:eastAsia="Times New Roman" w:hAnsi="Times New Roman" w:cs="Times New Roman"/>
          <w:color w:val="000000"/>
          <w:spacing w:val="0"/>
          <w:w w:val="100"/>
          <w:position w:val="0"/>
          <w:sz w:val="18"/>
          <w:szCs w:val="18"/>
        </w:rPr>
        <w:t>13,300</w:t>
      </w:r>
      <w:r>
        <w:rPr>
          <w:color w:val="000000"/>
          <w:spacing w:val="0"/>
          <w:w w:val="100"/>
          <w:position w:val="0"/>
        </w:rPr>
        <w:t>万元与榕基工程合作在该地块上建设公司研发大楼，根据公司募集资金的投入总额取得相应投入比例的研发大楼 产权使用权，用于募投项目目前实际所需研发用房。截至目前，项目研发用房主体工程建设已达到验收条件，未交付使用。 公司将严格按照募集资金管理和使用的监管要求，使得募集资金规划中的场地投入费用发挥效益。截至报告期末，本公司募 集资金累计直接投入募投项目</w:t>
      </w:r>
      <w:r>
        <w:rPr>
          <w:rFonts w:ascii="Times New Roman" w:eastAsia="Times New Roman" w:hAnsi="Times New Roman" w:cs="Times New Roman"/>
          <w:color w:val="000000"/>
          <w:spacing w:val="0"/>
          <w:w w:val="100"/>
          <w:position w:val="0"/>
          <w:sz w:val="18"/>
          <w:szCs w:val="18"/>
        </w:rPr>
        <w:t>42266.81</w:t>
      </w:r>
      <w:r>
        <w:rPr>
          <w:color w:val="000000"/>
          <w:spacing w:val="0"/>
          <w:w w:val="100"/>
          <w:position w:val="0"/>
        </w:rPr>
        <w:t>万元，募投项目建设基本完成。</w:t>
      </w:r>
    </w:p>
    <w:p>
      <w:pPr>
        <w:pStyle w:val="Style24"/>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r>
        <w:rPr>
          <w:color w:val="000000"/>
          <w:spacing w:val="0"/>
          <w:w w:val="100"/>
          <w:position w:val="0"/>
          <w:sz w:val="24"/>
          <w:szCs w:val="24"/>
        </w:rPr>
        <w:t>十七、公司子公司重大事项</w:t>
      </w:r>
      <w:bookmarkEnd w:id="565"/>
      <w:bookmarkEnd w:id="566"/>
      <w:bookmarkEnd w:id="567"/>
    </w:p>
    <w:p>
      <w:pPr>
        <w:pStyle w:val="Style21"/>
        <w:keepNext w:val="0"/>
        <w:keepLines w:val="0"/>
        <w:widowControl w:val="0"/>
        <w:shd w:val="clear" w:color="auto" w:fill="auto"/>
        <w:bidi w:val="0"/>
        <w:spacing w:before="0" w:after="300" w:line="313" w:lineRule="exact"/>
        <w:ind w:left="0" w:right="0" w:firstLine="0"/>
        <w:jc w:val="left"/>
        <w:sectPr>
          <w:footnotePr>
            <w:pos w:val="pageBottom"/>
            <w:numFmt w:val="decimal"/>
            <w:numRestart w:val="continuous"/>
          </w:footnotePr>
          <w:pgSz w:w="11900" w:h="16840"/>
          <w:pgMar w:top="1386" w:right="1084" w:bottom="1463" w:left="1005"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20" w:line="240" w:lineRule="auto"/>
        <w:ind w:left="0" w:right="0" w:firstLine="0"/>
        <w:jc w:val="center"/>
      </w:pPr>
      <w:bookmarkStart w:id="568" w:name="bookmark568"/>
      <w:bookmarkStart w:id="569" w:name="bookmark569"/>
      <w:bookmarkStart w:id="570" w:name="bookmark570"/>
      <w:r>
        <w:rPr>
          <w:color w:val="000000"/>
          <w:spacing w:val="0"/>
          <w:w w:val="100"/>
          <w:position w:val="0"/>
        </w:rPr>
        <w:t>第七节股份变动及股东情况</w:t>
      </w:r>
      <w:bookmarkEnd w:id="568"/>
      <w:bookmarkEnd w:id="569"/>
      <w:bookmarkEnd w:id="570"/>
    </w:p>
    <w:p>
      <w:pPr>
        <w:pStyle w:val="Style24"/>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bookmarkStart w:id="575" w:name="bookmark575"/>
      <w:r>
        <w:rPr>
          <w:color w:val="000000"/>
          <w:spacing w:val="0"/>
          <w:w w:val="100"/>
          <w:position w:val="0"/>
          <w:sz w:val="24"/>
          <w:szCs w:val="24"/>
        </w:rPr>
        <w:t>一</w:t>
      </w:r>
      <w:bookmarkEnd w:id="574"/>
      <w:r>
        <w:rPr>
          <w:color w:val="000000"/>
          <w:spacing w:val="0"/>
          <w:w w:val="100"/>
          <w:position w:val="0"/>
          <w:sz w:val="24"/>
          <w:szCs w:val="24"/>
        </w:rPr>
        <w:t>、股份变动情况</w:t>
      </w:r>
      <w:bookmarkEnd w:id="572"/>
      <w:bookmarkEnd w:id="573"/>
      <w:bookmarkEnd w:id="575"/>
      <w:bookmarkEnd w:id="571"/>
    </w:p>
    <w:p>
      <w:pPr>
        <w:pStyle w:val="Style32"/>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、股份变动情况</w:t>
      </w:r>
      <w:bookmarkEnd w:id="576"/>
      <w:bookmarkEnd w:id="577"/>
      <w:bookmarkEnd w:id="5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994"/>
        <w:gridCol w:w="710"/>
        <w:gridCol w:w="566"/>
        <w:gridCol w:w="576"/>
        <w:gridCol w:w="706"/>
        <w:gridCol w:w="989"/>
        <w:gridCol w:w="994"/>
        <w:gridCol w:w="1133"/>
        <w:gridCol w:w="802"/>
      </w:tblGrid>
      <w:tr>
        <w:trPr>
          <w:trHeight w:val="31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130,646,230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130,646,230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130,646,230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478,135,770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491,553,770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478,135,770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491,553,770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董事、监事、高管锁定股于每年度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日按照持有股份总数的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进行解锁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、限售股份变动情况</w:t>
      </w:r>
      <w:bookmarkEnd w:id="580"/>
      <w:bookmarkEnd w:id="581"/>
      <w:bookmarkEnd w:id="583"/>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54"/>
        <w:gridCol w:w="1349"/>
        <w:gridCol w:w="1339"/>
        <w:gridCol w:w="1363"/>
        <w:gridCol w:w="1344"/>
        <w:gridCol w:w="1354"/>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96,761,805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32,173,324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高管锁定、托管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每年第一个交易 日按照持有股份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 解锁</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144,064,230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130,646,230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、证券发行与上市情况</w:t>
      </w:r>
      <w:bookmarkEnd w:id="584"/>
      <w:bookmarkEnd w:id="585"/>
      <w:bookmarkEnd w:id="587"/>
    </w:p>
    <w:p>
      <w:pPr>
        <w:pStyle w:val="Style32"/>
        <w:keepNext/>
        <w:keepLines/>
        <w:widowControl w:val="0"/>
        <w:shd w:val="clear" w:color="auto" w:fill="auto"/>
        <w:tabs>
          <w:tab w:pos="358" w:val="left"/>
        </w:tabs>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w:t>
        <w:tab/>
        <w:t>报告期内证券发行（不含优先股）情况</w:t>
      </w:r>
      <w:bookmarkEnd w:id="588"/>
      <w:bookmarkEnd w:id="589"/>
      <w:bookmarkEnd w:id="59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公司股份总数及股东结构的变动、公司资产和负债结构的变动情况说明</w:t>
      </w:r>
      <w:bookmarkEnd w:id="592"/>
      <w:bookmarkEnd w:id="593"/>
      <w:bookmarkEnd w:id="59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现存的内部职工股情况</w:t>
      </w:r>
      <w:bookmarkEnd w:id="596"/>
      <w:bookmarkEnd w:id="597"/>
      <w:bookmarkEnd w:id="59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、股东和实际控制人情况</w:t>
      </w:r>
      <w:bookmarkEnd w:id="600"/>
      <w:bookmarkEnd w:id="601"/>
      <w:bookmarkEnd w:id="603"/>
    </w:p>
    <w:p>
      <w:pPr>
        <w:pStyle w:val="Style32"/>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、公司股东数量及持股情况</w:t>
      </w:r>
      <w:bookmarkEnd w:id="604"/>
      <w:bookmarkEnd w:id="605"/>
      <w:bookmarkEnd w:id="6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46"/>
        <w:gridCol w:w="854"/>
        <w:gridCol w:w="461"/>
        <w:gridCol w:w="730"/>
        <w:gridCol w:w="346"/>
        <w:gridCol w:w="590"/>
        <w:gridCol w:w="869"/>
        <w:gridCol w:w="130"/>
        <w:gridCol w:w="946"/>
        <w:gridCol w:w="326"/>
        <w:gridCol w:w="998"/>
        <w:gridCol w:w="936"/>
      </w:tblGrid>
      <w:tr>
        <w:trPr>
          <w:trHeight w:val="15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6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113,320,740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91,125,555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22,195,185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6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24,197,766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24,148,324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上海烜鼎资产管 理有限公司一烜 鼎长红一号私募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磐厚动量（上海） 资本管理有限公 司一磐厚动量一 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磐厚蔚然（上海） 私募基金管理有 限公司一磐厚蔚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950"/>
        <w:gridCol w:w="850"/>
        <w:gridCol w:w="1190"/>
        <w:gridCol w:w="936"/>
        <w:gridCol w:w="998"/>
        <w:gridCol w:w="984"/>
        <w:gridCol w:w="288"/>
        <w:gridCol w:w="998"/>
        <w:gridCol w:w="936"/>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然一关键点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福建榕基软件股 份有限公司一第 三期员工持股计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5,137,500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5,396,146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4,047,109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4,353,824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4,028,300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战略投资者或一般法人因配售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5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福建榕基软件股份有限公司一第三期员工持股计划与其他前十名股东之间不存在关联关 系，不属于一致行动人。除上述情况外，其他前十名股东之间未知是否存在关联关系，也 未知是否属于一致行动人。</w:t>
            </w:r>
          </w:p>
        </w:tc>
      </w:tr>
      <w:tr>
        <w:trPr>
          <w:trHeight w:val="62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both"/>
              <w:rPr>
                <w:sz w:val="18"/>
                <w:szCs w:val="18"/>
              </w:rPr>
            </w:pPr>
            <w:r>
              <w:rPr>
                <w:rFonts w:ascii="Times New Roman" w:eastAsia="Times New Roman" w:hAnsi="Times New Roman" w:cs="Times New Roman"/>
                <w:color w:val="000000"/>
                <w:spacing w:val="0"/>
                <w:w w:val="100"/>
                <w:position w:val="0"/>
                <w:sz w:val="18"/>
                <w:szCs w:val="18"/>
              </w:rPr>
              <w:t>22,195,185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22,195,185</w:t>
            </w:r>
          </w:p>
        </w:tc>
      </w:tr>
      <w:tr>
        <w:trPr>
          <w:trHeight w:val="93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上海烜鼎资产管理有限公司一 烜鼎长红一号私募证券投资基 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both"/>
              <w:rPr>
                <w:sz w:val="18"/>
                <w:szCs w:val="18"/>
              </w:rPr>
            </w:pPr>
            <w:r>
              <w:rPr>
                <w:rFonts w:ascii="Times New Roman" w:eastAsia="Times New Roman" w:hAnsi="Times New Roman" w:cs="Times New Roman"/>
                <w:color w:val="000000"/>
                <w:spacing w:val="0"/>
                <w:w w:val="100"/>
                <w:position w:val="0"/>
                <w:sz w:val="18"/>
                <w:szCs w:val="18"/>
              </w:rPr>
              <w:t>15,695,000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15,695,000</w:t>
            </w:r>
          </w:p>
        </w:tc>
      </w:tr>
      <w:tr>
        <w:trPr>
          <w:trHeight w:val="9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磐厚动量（上海）资本管理有 限公司一磐厚动量一汇鑫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both"/>
              <w:rPr>
                <w:sz w:val="18"/>
                <w:szCs w:val="18"/>
              </w:rPr>
            </w:pPr>
            <w:r>
              <w:rPr>
                <w:rFonts w:ascii="Times New Roman" w:eastAsia="Times New Roman" w:hAnsi="Times New Roman" w:cs="Times New Roman"/>
                <w:color w:val="000000"/>
                <w:spacing w:val="0"/>
                <w:w w:val="100"/>
                <w:position w:val="0"/>
                <w:sz w:val="18"/>
                <w:szCs w:val="18"/>
              </w:rPr>
              <w:t>10,700,000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w:t>
            </w:r>
          </w:p>
        </w:tc>
      </w:tr>
      <w:tr>
        <w:trPr>
          <w:trHeight w:val="9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磐厚蔚然（上海）私募基金管 理有限公司一磐厚蔚然一关键 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6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福建榕基软件股份有限公司一 第三期员工持股计划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7,856,200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7,856,200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陈海华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4,353,824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4,353,824</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胡燕英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4,028,300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4,028,300</w:t>
            </w:r>
          </w:p>
        </w:tc>
      </w:tr>
      <w:tr>
        <w:trPr>
          <w:trHeight w:val="31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2,994,160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2,994,160</w:t>
            </w:r>
          </w:p>
        </w:tc>
      </w:tr>
      <w:tr>
        <w:trPr>
          <w:trHeight w:val="33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中信里昂资产管理有限公司一</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both"/>
              <w:rPr>
                <w:sz w:val="18"/>
                <w:szCs w:val="18"/>
              </w:rPr>
            </w:pPr>
            <w:r>
              <w:rPr>
                <w:rFonts w:ascii="Times New Roman" w:eastAsia="Times New Roman" w:hAnsi="Times New Roman" w:cs="Times New Roman"/>
                <w:color w:val="000000"/>
                <w:spacing w:val="0"/>
                <w:w w:val="100"/>
                <w:position w:val="0"/>
                <w:sz w:val="18"/>
                <w:szCs w:val="18"/>
              </w:rPr>
              <w:t>2,960,990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2,960,990</w:t>
            </w:r>
          </w:p>
        </w:tc>
      </w:tr>
    </w:tbl>
    <w:p>
      <w:pPr>
        <w:spacing w:lineRule="exact" w:line="1"/>
        <w:rPr>
          <w:sz w:val="2"/>
          <w:szCs w:val="2"/>
        </w:rPr>
      </w:pPr>
      <w:r>
        <w:br w:type="page"/>
      </w:r>
    </w:p>
    <w:tbl>
      <w:tblPr>
        <w:tblOverlap w:val="never"/>
        <w:jc w:val="center"/>
        <w:tblLayout w:type="fixed"/>
      </w:tblPr>
      <w:tblGrid>
        <w:gridCol w:w="2424"/>
        <w:gridCol w:w="4958"/>
        <w:gridCol w:w="1286"/>
        <w:gridCol w:w="93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2,864,645</w:t>
            </w:r>
          </w:p>
        </w:tc>
      </w:tr>
      <w:tr>
        <w:trPr>
          <w:trHeight w:val="12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公司前十名无限售条件普通股股东中，鲁波为鲁峰之胞兄。福建榕基软件股份有限公司一 第三期员工持股计划与其他前十名股东之间不存在关联关系，不属于一致行动人。除上述 情况外，其他前十名股东之间未知是否存在关联关系，也未知是否属于一致行动人。</w:t>
            </w:r>
          </w:p>
        </w:tc>
      </w:tr>
      <w:tr>
        <w:trPr>
          <w:trHeight w:val="15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 融券业务情况说明（如有）（参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上海烜鼎资产管理有限公司一烜鼎长红一号私募证券投资基金参与融资融券，信用证券账 户持有</w:t>
            </w:r>
            <w:r>
              <w:rPr>
                <w:rFonts w:ascii="Times New Roman" w:eastAsia="Times New Roman" w:hAnsi="Times New Roman" w:cs="Times New Roman"/>
                <w:color w:val="000000"/>
                <w:spacing w:val="0"/>
                <w:w w:val="100"/>
                <w:position w:val="0"/>
                <w:sz w:val="18"/>
                <w:szCs w:val="18"/>
              </w:rPr>
              <w:t>11,410,400</w:t>
            </w:r>
            <w:r>
              <w:rPr>
                <w:color w:val="000000"/>
                <w:spacing w:val="0"/>
                <w:w w:val="100"/>
                <w:position w:val="0"/>
              </w:rPr>
              <w:t>股；磐厚动量（上海）资本管理有限公司一磐厚动量一汇鑫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 投资基金参与融资融券，信用证券账户持有</w:t>
            </w:r>
            <w:r>
              <w:rPr>
                <w:rFonts w:ascii="Times New Roman" w:eastAsia="Times New Roman" w:hAnsi="Times New Roman" w:cs="Times New Roman"/>
                <w:color w:val="000000"/>
                <w:spacing w:val="0"/>
                <w:w w:val="100"/>
                <w:position w:val="0"/>
                <w:sz w:val="18"/>
                <w:szCs w:val="18"/>
              </w:rPr>
              <w:t>10,700,000</w:t>
            </w:r>
            <w:r>
              <w:rPr>
                <w:color w:val="000000"/>
                <w:spacing w:val="0"/>
                <w:w w:val="100"/>
                <w:position w:val="0"/>
              </w:rPr>
              <w:t>股；陈海华参与融资融券，信用证 券账户持有</w:t>
            </w:r>
            <w:r>
              <w:rPr>
                <w:rFonts w:ascii="Times New Roman" w:eastAsia="Times New Roman" w:hAnsi="Times New Roman" w:cs="Times New Roman"/>
                <w:color w:val="000000"/>
                <w:spacing w:val="0"/>
                <w:w w:val="100"/>
                <w:position w:val="0"/>
                <w:sz w:val="18"/>
                <w:szCs w:val="18"/>
              </w:rPr>
              <w:t>4,353,824</w:t>
            </w:r>
            <w:r>
              <w:rPr>
                <w:color w:val="000000"/>
                <w:spacing w:val="0"/>
                <w:w w:val="100"/>
                <w:position w:val="0"/>
              </w:rPr>
              <w:t>股；胡燕英参与融资融券，信用证券账户持有</w:t>
            </w:r>
            <w:r>
              <w:rPr>
                <w:rFonts w:ascii="Times New Roman" w:eastAsia="Times New Roman" w:hAnsi="Times New Roman" w:cs="Times New Roman"/>
                <w:color w:val="000000"/>
                <w:spacing w:val="0"/>
                <w:w w:val="100"/>
                <w:position w:val="0"/>
                <w:sz w:val="18"/>
                <w:szCs w:val="18"/>
              </w:rPr>
              <w:t>4,028,300</w:t>
            </w:r>
            <w:r>
              <w:rPr>
                <w:color w:val="000000"/>
                <w:spacing w:val="0"/>
                <w:w w:val="100"/>
                <w:position w:val="0"/>
              </w:rPr>
              <w:t>股；王爱香 参与融资融券，信用证券账户持有</w:t>
            </w:r>
            <w:r>
              <w:rPr>
                <w:rFonts w:ascii="Times New Roman" w:eastAsia="Times New Roman" w:hAnsi="Times New Roman" w:cs="Times New Roman"/>
                <w:color w:val="000000"/>
                <w:spacing w:val="0"/>
                <w:w w:val="100"/>
                <w:position w:val="0"/>
                <w:sz w:val="18"/>
                <w:szCs w:val="18"/>
              </w:rPr>
              <w:t>2,864,645</w:t>
            </w:r>
            <w:r>
              <w:rPr>
                <w:color w:val="000000"/>
                <w:spacing w:val="0"/>
                <w:w w:val="100"/>
                <w:position w:val="0"/>
              </w:rPr>
              <w:t>股。</w:t>
            </w:r>
          </w:p>
        </w:tc>
      </w:tr>
    </w:tbl>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widowControl w:val="0"/>
        <w:spacing w:after="359" w:line="1" w:lineRule="exact"/>
      </w:pPr>
    </w:p>
    <w:p>
      <w:pPr>
        <w:pStyle w:val="Style32"/>
        <w:keepNext/>
        <w:keepLines/>
        <w:widowControl w:val="0"/>
        <w:shd w:val="clear" w:color="auto" w:fill="auto"/>
        <w:bidi w:val="0"/>
        <w:spacing w:before="0" w:after="2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、公司控股股东情况</w:t>
      </w:r>
      <w:bookmarkEnd w:id="608"/>
      <w:bookmarkEnd w:id="609"/>
      <w:bookmarkEnd w:id="611"/>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2"/>
        <w:gridCol w:w="2174"/>
        <w:gridCol w:w="398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公司报告期控股股东未发生变更。</w:t>
      </w:r>
    </w:p>
    <w:p>
      <w:pPr>
        <w:widowControl w:val="0"/>
        <w:spacing w:after="359" w:line="1" w:lineRule="exact"/>
      </w:pPr>
    </w:p>
    <w:p>
      <w:pPr>
        <w:pStyle w:val="Style32"/>
        <w:keepNext/>
        <w:keepLines/>
        <w:widowControl w:val="0"/>
        <w:shd w:val="clear" w:color="auto" w:fill="auto"/>
        <w:bidi w:val="0"/>
        <w:spacing w:before="0" w:after="2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、公司实际控制人及其一致行动人</w:t>
      </w:r>
      <w:bookmarkEnd w:id="612"/>
      <w:bookmarkEnd w:id="613"/>
      <w:bookmarkEnd w:id="61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70"/>
        <w:gridCol w:w="1651"/>
        <w:gridCol w:w="1656"/>
        <w:gridCol w:w="3514"/>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45"/>
        <w:keepNext w:val="0"/>
        <w:keepLines w:val="0"/>
        <w:widowControl w:val="0"/>
        <w:pBdr>
          <w:bottom w:val="single" w:sz="4" w:space="0" w:color="auto"/>
        </w:pBdr>
        <w:shd w:val="clear" w:color="auto" w:fill="auto"/>
        <w:bidi w:val="0"/>
        <w:spacing w:before="0" w:after="520" w:line="240" w:lineRule="auto"/>
        <w:ind w:left="0" w:right="0" w:firstLine="0"/>
        <w:jc w:val="center"/>
      </w:pPr>
      <w:r>
        <w:rPr>
          <w:b/>
          <w:bCs/>
          <w:spacing w:val="0"/>
          <w:w w:val="100"/>
          <w:position w:val="0"/>
        </w:rPr>
        <w:t>鲁峰</w:t>
      </w:r>
    </w:p>
    <w:p>
      <w:pPr>
        <w:pStyle w:val="Style48"/>
        <w:keepNext w:val="0"/>
        <w:keepLines w:val="0"/>
        <w:widowControl w:val="0"/>
        <w:shd w:val="clear" w:color="auto" w:fill="auto"/>
        <w:bidi w:val="0"/>
        <w:spacing w:before="0" w:line="240" w:lineRule="auto"/>
        <w:ind w:left="0" w:right="0" w:firstLine="0"/>
        <w:jc w:val="center"/>
      </w:pPr>
      <w:r>
        <w:rPr>
          <w:spacing w:val="0"/>
          <w:w w:val="100"/>
          <w:position w:val="0"/>
        </w:rPr>
        <w:t>18.21%</w:t>
      </w:r>
    </w:p>
    <w:p>
      <w:pPr>
        <w:pStyle w:val="Style45"/>
        <w:keepNext w:val="0"/>
        <w:keepLines w:val="0"/>
        <w:widowControl w:val="0"/>
        <w:shd w:val="clear" w:color="auto" w:fill="auto"/>
        <w:bidi w:val="0"/>
        <w:spacing w:before="0" w:after="800" w:line="240" w:lineRule="auto"/>
        <w:ind w:left="0" w:right="0" w:firstLine="0"/>
        <w:jc w:val="center"/>
      </w:pPr>
      <w:r>
        <w:rPr>
          <w:spacing w:val="0"/>
          <w:w w:val="100"/>
          <w:position w:val="0"/>
        </w:rPr>
        <w:t>福建格基软件股份有限公司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6"/>
      <w:bookmarkEnd w:id="617"/>
      <w:bookmarkEnd w:id="61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5</w:t>
      </w:r>
      <w:bookmarkEnd w:id="62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0"/>
      <w:bookmarkEnd w:id="621"/>
      <w:bookmarkEnd w:id="62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6</w:t>
      </w:r>
      <w:bookmarkEnd w:id="626"/>
      <w:r>
        <w:rPr>
          <w:color w:val="000000"/>
          <w:spacing w:val="0"/>
          <w:w w:val="100"/>
          <w:position w:val="0"/>
        </w:rPr>
        <w:t>、</w:t>
        <w:tab/>
        <w:t>控股股东、实际控制人、重组方及其他承诺主体股份限制减持情况</w:t>
      </w:r>
      <w:bookmarkEnd w:id="624"/>
      <w:bookmarkEnd w:id="625"/>
      <w:bookmarkEnd w:id="62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四</w:t>
      </w:r>
      <w:bookmarkEnd w:id="630"/>
      <w:r>
        <w:rPr>
          <w:color w:val="000000"/>
          <w:spacing w:val="0"/>
          <w:w w:val="100"/>
          <w:position w:val="0"/>
          <w:sz w:val="24"/>
          <w:szCs w:val="24"/>
        </w:rPr>
        <w:t>、股份回购在报告期的具体实施情况</w:t>
      </w:r>
      <w:bookmarkEnd w:id="628"/>
      <w:bookmarkEnd w:id="629"/>
      <w:bookmarkEnd w:id="631"/>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443" w:right="1191" w:bottom="1429" w:left="1094"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center"/>
      </w:pPr>
      <w:bookmarkStart w:id="632" w:name="bookmark632"/>
      <w:bookmarkStart w:id="633" w:name="bookmark633"/>
      <w:bookmarkStart w:id="634" w:name="bookmark634"/>
      <w:r>
        <w:rPr>
          <w:color w:val="000000"/>
          <w:spacing w:val="0"/>
          <w:w w:val="100"/>
          <w:position w:val="0"/>
        </w:rPr>
        <w:t>第八节优先股相关情况</w:t>
      </w:r>
      <w:bookmarkEnd w:id="632"/>
      <w:bookmarkEnd w:id="633"/>
      <w:bookmarkEnd w:id="634"/>
    </w:p>
    <w:p>
      <w:pPr>
        <w:pStyle w:val="Style21"/>
        <w:keepNext w:val="0"/>
        <w:keepLines w:val="0"/>
        <w:widowControl w:val="0"/>
        <w:shd w:val="clear" w:color="auto" w:fill="auto"/>
        <w:bidi w:val="0"/>
        <w:spacing w:before="0" w:after="120" w:line="240" w:lineRule="auto"/>
        <w:ind w:left="0" w:right="0" w:firstLine="0"/>
        <w:jc w:val="left"/>
      </w:pPr>
      <w:bookmarkStart w:id="635" w:name="bookmark635"/>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5"/>
    </w:p>
    <w:p>
      <w:pPr>
        <w:pStyle w:val="Style2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71" w:right="1294" w:bottom="1971" w:left="1102"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line="240" w:lineRule="auto"/>
        <w:ind w:left="0" w:right="0" w:firstLine="0"/>
        <w:jc w:val="center"/>
      </w:pPr>
      <w:bookmarkStart w:id="636" w:name="bookmark636"/>
      <w:bookmarkStart w:id="637" w:name="bookmark637"/>
      <w:bookmarkStart w:id="638" w:name="bookmark638"/>
      <w:r>
        <w:rPr>
          <w:color w:val="000000"/>
          <w:spacing w:val="0"/>
          <w:w w:val="100"/>
          <w:position w:val="0"/>
        </w:rPr>
        <w:t>第九节债券相关情况</w:t>
      </w:r>
      <w:bookmarkEnd w:id="636"/>
      <w:bookmarkEnd w:id="637"/>
      <w:bookmarkEnd w:id="638"/>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66" w:right="1294" w:bottom="1966" w:left="1102" w:header="0" w:footer="3" w:gutter="0"/>
          <w:cols w:space="720"/>
          <w:noEndnote/>
          <w:rtlGutter w:val="0"/>
          <w:docGrid w:linePitch="360"/>
        </w:sectPr>
      </w:pPr>
      <w:bookmarkStart w:id="639" w:name="bookmark639"/>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39"/>
    </w:p>
    <w:p>
      <w:pPr>
        <w:pStyle w:val="Style11"/>
        <w:keepNext/>
        <w:keepLines/>
        <w:widowControl w:val="0"/>
        <w:shd w:val="clear" w:color="auto" w:fill="auto"/>
        <w:bidi w:val="0"/>
        <w:spacing w:before="620" w:after="520" w:line="240" w:lineRule="auto"/>
        <w:ind w:left="0" w:right="0" w:firstLine="0"/>
        <w:jc w:val="center"/>
      </w:pPr>
      <w:bookmarkStart w:id="640" w:name="bookmark640"/>
      <w:bookmarkStart w:id="641" w:name="bookmark641"/>
      <w:bookmarkStart w:id="642" w:name="bookmark642"/>
      <w:r>
        <w:rPr>
          <w:color w:val="000000"/>
          <w:spacing w:val="0"/>
          <w:w w:val="100"/>
          <w:position w:val="0"/>
        </w:rPr>
        <w:t>第十节财务报告</w:t>
      </w:r>
      <w:bookmarkEnd w:id="640"/>
      <w:bookmarkEnd w:id="641"/>
      <w:bookmarkEnd w:id="642"/>
    </w:p>
    <w:p>
      <w:pPr>
        <w:pStyle w:val="Style24"/>
        <w:keepNext/>
        <w:keepLines/>
        <w:widowControl w:val="0"/>
        <w:shd w:val="clear" w:color="auto" w:fill="auto"/>
        <w:bidi w:val="0"/>
        <w:spacing w:before="0" w:after="320" w:line="240" w:lineRule="auto"/>
        <w:ind w:left="0" w:right="0" w:firstLine="260"/>
        <w:jc w:val="left"/>
      </w:pPr>
      <w:bookmarkStart w:id="643" w:name="bookmark643"/>
      <w:bookmarkStart w:id="644" w:name="bookmark644"/>
      <w:bookmarkStart w:id="645" w:name="bookmark645"/>
      <w:bookmarkStart w:id="646" w:name="bookmark646"/>
      <w:r>
        <w:rPr>
          <w:color w:val="000000"/>
          <w:spacing w:val="0"/>
          <w:w w:val="100"/>
          <w:position w:val="0"/>
          <w:sz w:val="24"/>
          <w:szCs w:val="24"/>
        </w:rPr>
        <w:t>、审计报告</w:t>
      </w:r>
      <w:bookmarkEnd w:id="644"/>
      <w:bookmarkEnd w:id="645"/>
      <w:bookmarkEnd w:id="646"/>
      <w:bookmarkEnd w:id="643"/>
    </w:p>
    <w:tbl>
      <w:tblPr>
        <w:tblOverlap w:val="never"/>
        <w:jc w:val="center"/>
        <w:tblLayout w:type="fixed"/>
      </w:tblPr>
      <w:tblGrid>
        <w:gridCol w:w="4800"/>
        <w:gridCol w:w="4790"/>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351A006270</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林新田，林震霆</w:t>
            </w:r>
          </w:p>
        </w:tc>
      </w:tr>
    </w:tbl>
    <w:p>
      <w:pPr>
        <w:widowControl w:val="0"/>
        <w:spacing w:after="239" w:line="1" w:lineRule="exact"/>
      </w:pPr>
    </w:p>
    <w:p>
      <w:pPr>
        <w:pStyle w:val="Style21"/>
        <w:keepNext w:val="0"/>
        <w:keepLines w:val="0"/>
        <w:widowControl w:val="0"/>
        <w:shd w:val="clear" w:color="auto" w:fill="auto"/>
        <w:bidi w:val="0"/>
        <w:spacing w:before="0" w:after="100" w:line="312" w:lineRule="exact"/>
        <w:ind w:left="0" w:right="0" w:firstLine="0"/>
        <w:jc w:val="center"/>
      </w:pPr>
      <w:r>
        <w:rPr>
          <w:b/>
          <w:bCs/>
          <w:color w:val="000000"/>
          <w:spacing w:val="0"/>
          <w:w w:val="100"/>
          <w:position w:val="0"/>
        </w:rPr>
        <w:t>审计报告正文</w:t>
      </w:r>
    </w:p>
    <w:p>
      <w:pPr>
        <w:pStyle w:val="Style21"/>
        <w:keepNext w:val="0"/>
        <w:keepLines w:val="0"/>
        <w:widowControl w:val="0"/>
        <w:shd w:val="clear" w:color="auto" w:fill="auto"/>
        <w:bidi w:val="0"/>
        <w:spacing w:before="0" w:after="100" w:line="312" w:lineRule="exact"/>
        <w:ind w:left="0" w:right="0" w:firstLine="0"/>
        <w:jc w:val="left"/>
      </w:pPr>
      <w:r>
        <w:rPr>
          <w:b/>
          <w:bCs/>
          <w:color w:val="000000"/>
          <w:spacing w:val="0"/>
          <w:w w:val="100"/>
          <w:position w:val="0"/>
        </w:rPr>
        <w:t>福建榕基软件股份有限公司全体股东：</w:t>
      </w:r>
    </w:p>
    <w:p>
      <w:pPr>
        <w:pStyle w:val="Style21"/>
        <w:keepNext w:val="0"/>
        <w:keepLines w:val="0"/>
        <w:widowControl w:val="0"/>
        <w:shd w:val="clear" w:color="auto" w:fill="auto"/>
        <w:tabs>
          <w:tab w:pos="820" w:val="left"/>
        </w:tabs>
        <w:bidi w:val="0"/>
        <w:spacing w:before="0" w:after="100" w:line="312" w:lineRule="exact"/>
        <w:ind w:left="0" w:right="0"/>
        <w:jc w:val="both"/>
      </w:pPr>
      <w:bookmarkStart w:id="647" w:name="bookmark647"/>
      <w:r>
        <w:rPr>
          <w:b/>
          <w:bCs/>
          <w:color w:val="000000"/>
          <w:spacing w:val="0"/>
          <w:w w:val="100"/>
          <w:position w:val="0"/>
        </w:rPr>
        <w:t>一</w:t>
      </w:r>
      <w:bookmarkEnd w:id="647"/>
      <w:r>
        <w:rPr>
          <w:b/>
          <w:bCs/>
          <w:color w:val="000000"/>
          <w:spacing w:val="0"/>
          <w:w w:val="100"/>
          <w:position w:val="0"/>
        </w:rPr>
        <w:t>、</w:t>
        <w:tab/>
        <w:t>审计意见</w:t>
      </w:r>
    </w:p>
    <w:p>
      <w:pPr>
        <w:pStyle w:val="Style21"/>
        <w:keepNext w:val="0"/>
        <w:keepLines w:val="0"/>
        <w:widowControl w:val="0"/>
        <w:shd w:val="clear" w:color="auto" w:fill="auto"/>
        <w:bidi w:val="0"/>
        <w:spacing w:before="0" w:after="100" w:line="307" w:lineRule="exact"/>
        <w:ind w:left="0" w:right="0"/>
        <w:jc w:val="both"/>
      </w:pPr>
      <w:r>
        <w:rPr>
          <w:color w:val="000000"/>
          <w:spacing w:val="0"/>
          <w:w w:val="100"/>
          <w:position w:val="0"/>
        </w:rPr>
        <w:t>我们审计了福建榕基软件股份有限公司（以下简称榕基软件公司）财务报表，包括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我们认为，后附的财务报表在所有重大方面按照企业会计准则的规定编制，公允反映了榕基软件公司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21"/>
        <w:keepNext w:val="0"/>
        <w:keepLines w:val="0"/>
        <w:widowControl w:val="0"/>
        <w:shd w:val="clear" w:color="auto" w:fill="auto"/>
        <w:tabs>
          <w:tab w:pos="820" w:val="left"/>
        </w:tabs>
        <w:bidi w:val="0"/>
        <w:spacing w:before="0" w:after="100" w:line="312" w:lineRule="exact"/>
        <w:ind w:left="0" w:right="0"/>
        <w:jc w:val="both"/>
      </w:pPr>
      <w:bookmarkStart w:id="648" w:name="bookmark648"/>
      <w:r>
        <w:rPr>
          <w:b/>
          <w:bCs/>
          <w:color w:val="000000"/>
          <w:spacing w:val="0"/>
          <w:w w:val="100"/>
          <w:position w:val="0"/>
        </w:rPr>
        <w:t>二</w:t>
      </w:r>
      <w:bookmarkEnd w:id="648"/>
      <w:r>
        <w:rPr>
          <w:b/>
          <w:bCs/>
          <w:color w:val="000000"/>
          <w:spacing w:val="0"/>
          <w:w w:val="100"/>
          <w:position w:val="0"/>
        </w:rPr>
        <w:t>、</w:t>
        <w:tab/>
        <w:t>形成审计意见的基础</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阐述了我们在这些准则下的责任。按照中国注册会计师职业道德守则，我们独立于榕基软件公司，并履行了职业道德方面的 其他责任。我们相信，我们获取的审计证据是充分、适当的，为发表审计意见提供了基础。</w:t>
      </w:r>
    </w:p>
    <w:p>
      <w:pPr>
        <w:pStyle w:val="Style21"/>
        <w:keepNext w:val="0"/>
        <w:keepLines w:val="0"/>
        <w:widowControl w:val="0"/>
        <w:shd w:val="clear" w:color="auto" w:fill="auto"/>
        <w:tabs>
          <w:tab w:pos="825" w:val="left"/>
        </w:tabs>
        <w:bidi w:val="0"/>
        <w:spacing w:before="0" w:after="100" w:line="312" w:lineRule="exact"/>
        <w:ind w:left="0" w:right="0"/>
        <w:jc w:val="both"/>
      </w:pPr>
      <w:bookmarkStart w:id="649" w:name="bookmark649"/>
      <w:r>
        <w:rPr>
          <w:b/>
          <w:bCs/>
          <w:color w:val="000000"/>
          <w:spacing w:val="0"/>
          <w:w w:val="100"/>
          <w:position w:val="0"/>
        </w:rPr>
        <w:t>三</w:t>
      </w:r>
      <w:bookmarkEnd w:id="649"/>
      <w:r>
        <w:rPr>
          <w:b/>
          <w:bCs/>
          <w:color w:val="000000"/>
          <w:spacing w:val="0"/>
          <w:w w:val="100"/>
          <w:position w:val="0"/>
        </w:rPr>
        <w:t>、</w:t>
        <w:tab/>
        <w:t>关键审计事项</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（一）开发支出资本化</w:t>
      </w:r>
    </w:p>
    <w:p>
      <w:pPr>
        <w:pStyle w:val="Style21"/>
        <w:keepNext w:val="0"/>
        <w:keepLines w:val="0"/>
        <w:widowControl w:val="0"/>
        <w:shd w:val="clear" w:color="auto" w:fill="auto"/>
        <w:bidi w:val="0"/>
        <w:spacing w:before="0" w:after="240" w:line="312" w:lineRule="exact"/>
        <w:ind w:left="0" w:right="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21"/>
        <w:keepNext w:val="0"/>
        <w:keepLines w:val="0"/>
        <w:widowControl w:val="0"/>
        <w:shd w:val="clear" w:color="auto" w:fill="auto"/>
        <w:tabs>
          <w:tab w:pos="710" w:val="left"/>
        </w:tabs>
        <w:bidi w:val="0"/>
        <w:spacing w:before="0" w:after="0" w:line="360" w:lineRule="auto"/>
        <w:ind w:left="0" w:right="0"/>
        <w:jc w:val="left"/>
      </w:pPr>
      <w:bookmarkStart w:id="650" w:name="bookmark650"/>
      <w:r>
        <w:rPr>
          <w:rFonts w:ascii="Times New Roman" w:eastAsia="Times New Roman" w:hAnsi="Times New Roman" w:cs="Times New Roman"/>
          <w:color w:val="000000"/>
          <w:spacing w:val="0"/>
          <w:w w:val="100"/>
          <w:position w:val="0"/>
          <w:sz w:val="18"/>
          <w:szCs w:val="18"/>
        </w:rPr>
        <w:t>1</w:t>
      </w:r>
      <w:bookmarkEnd w:id="650"/>
      <w:r>
        <w:rPr>
          <w:color w:val="000000"/>
          <w:spacing w:val="0"/>
          <w:w w:val="100"/>
          <w:position w:val="0"/>
        </w:rPr>
        <w:t>、</w:t>
        <w:tab/>
        <w:t>事项描述</w:t>
      </w:r>
    </w:p>
    <w:p>
      <w:pPr>
        <w:pStyle w:val="Style21"/>
        <w:keepNext w:val="0"/>
        <w:keepLines w:val="0"/>
        <w:widowControl w:val="0"/>
        <w:shd w:val="clear" w:color="auto" w:fill="auto"/>
        <w:bidi w:val="0"/>
        <w:spacing w:before="0" w:after="240" w:line="318" w:lineRule="exact"/>
        <w:ind w:left="0" w:right="0"/>
        <w:jc w:val="left"/>
      </w:pPr>
      <w:r>
        <w:rPr>
          <w:color w:val="000000"/>
          <w:spacing w:val="0"/>
          <w:w w:val="100"/>
          <w:position w:val="0"/>
        </w:rPr>
        <w:t>榕基软件公司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年度研究开发支出总额</w:t>
      </w:r>
      <w:r>
        <w:rPr>
          <w:rFonts w:ascii="Times New Roman" w:eastAsia="Times New Roman" w:hAnsi="Times New Roman" w:cs="Times New Roman"/>
          <w:color w:val="000000"/>
          <w:spacing w:val="0"/>
          <w:w w:val="100"/>
          <w:position w:val="0"/>
          <w:sz w:val="18"/>
          <w:szCs w:val="18"/>
        </w:rPr>
        <w:t>10,515.95</w:t>
      </w:r>
      <w:r>
        <w:rPr>
          <w:color w:val="000000"/>
          <w:spacing w:val="0"/>
          <w:w w:val="100"/>
          <w:position w:val="0"/>
        </w:rPr>
        <w:t>万元，其中符合资本化条件的开发支出</w:t>
      </w:r>
      <w:r>
        <w:rPr>
          <w:rFonts w:ascii="Times New Roman" w:eastAsia="Times New Roman" w:hAnsi="Times New Roman" w:cs="Times New Roman"/>
          <w:color w:val="000000"/>
          <w:spacing w:val="0"/>
          <w:w w:val="100"/>
          <w:position w:val="0"/>
          <w:sz w:val="18"/>
          <w:szCs w:val="18"/>
        </w:rPr>
        <w:t>5 2 93.8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项目，占研究开发支出总额的</w:t>
      </w:r>
      <w:r>
        <w:rPr>
          <w:rFonts w:ascii="Times New Roman" w:eastAsia="Times New Roman" w:hAnsi="Times New Roman" w:cs="Times New Roman"/>
          <w:color w:val="000000"/>
          <w:spacing w:val="0"/>
          <w:w w:val="100"/>
          <w:position w:val="0"/>
          <w:sz w:val="18"/>
          <w:szCs w:val="18"/>
        </w:rPr>
        <w:t>50.34%</w:t>
      </w:r>
      <w:r>
        <w:rPr>
          <w:color w:val="000000"/>
          <w:spacing w:val="0"/>
          <w:w w:val="100"/>
          <w:position w:val="0"/>
        </w:rPr>
        <w:t>。开发支出只有在同时满足财务报表附注三之</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中所列的所有资本化条件时才能予以 资本化。鉴于确定开发支出是否满足所有资本化条件需要管理层进行重大会计判断和估计，因此我们将开发支出资本化确定 为关键审计事项。</w:t>
      </w:r>
    </w:p>
    <w:p>
      <w:pPr>
        <w:pStyle w:val="Style21"/>
        <w:keepNext w:val="0"/>
        <w:keepLines w:val="0"/>
        <w:widowControl w:val="0"/>
        <w:shd w:val="clear" w:color="auto" w:fill="auto"/>
        <w:tabs>
          <w:tab w:pos="729" w:val="left"/>
        </w:tabs>
        <w:bidi w:val="0"/>
        <w:spacing w:before="0" w:after="0" w:line="360" w:lineRule="auto"/>
        <w:ind w:left="0" w:right="0"/>
        <w:jc w:val="both"/>
      </w:pPr>
      <w:bookmarkStart w:id="651" w:name="bookmark651"/>
      <w:r>
        <w:rPr>
          <w:rFonts w:ascii="Times New Roman" w:eastAsia="Times New Roman" w:hAnsi="Times New Roman" w:cs="Times New Roman"/>
          <w:color w:val="000000"/>
          <w:spacing w:val="0"/>
          <w:w w:val="100"/>
          <w:position w:val="0"/>
          <w:sz w:val="18"/>
          <w:szCs w:val="18"/>
        </w:rPr>
        <w:t>2</w:t>
      </w:r>
      <w:bookmarkEnd w:id="651"/>
      <w:r>
        <w:rPr>
          <w:color w:val="000000"/>
          <w:spacing w:val="0"/>
          <w:w w:val="100"/>
          <w:position w:val="0"/>
        </w:rPr>
        <w:t>、</w:t>
        <w:tab/>
        <w:t>审计应对</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我们针对开发支出资本化这一关键审计事项实施的审计程序主要包括：</w:t>
      </w:r>
    </w:p>
    <w:p>
      <w:pPr>
        <w:pStyle w:val="Style21"/>
        <w:keepNext w:val="0"/>
        <w:keepLines w:val="0"/>
        <w:widowControl w:val="0"/>
        <w:shd w:val="clear" w:color="auto" w:fill="auto"/>
        <w:bidi w:val="0"/>
        <w:spacing w:before="0" w:after="100" w:line="312" w:lineRule="exact"/>
        <w:ind w:left="0" w:right="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）了解及评价开发支出资本化的内部控制设计的有效性，并测试了关键控制运行的有效性，包括可行性研究、项目 立项、项目验收以及资本化的复核和审批等。</w:t>
      </w:r>
    </w:p>
    <w:p>
      <w:pPr>
        <w:pStyle w:val="Style21"/>
        <w:keepNext w:val="0"/>
        <w:keepLines w:val="0"/>
        <w:widowControl w:val="0"/>
        <w:shd w:val="clear" w:color="auto" w:fill="auto"/>
        <w:tabs>
          <w:tab w:pos="891" w:val="left"/>
        </w:tabs>
        <w:bidi w:val="0"/>
        <w:spacing w:before="0" w:after="100" w:line="322" w:lineRule="exact"/>
        <w:ind w:left="0" w:right="0"/>
        <w:jc w:val="left"/>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评价管理层确定的开发支出资本化的相关会计政策和会计估计是否符合企业会计准则的规定，并采用一致的会计 处理方法。</w:t>
      </w:r>
    </w:p>
    <w:p>
      <w:pPr>
        <w:pStyle w:val="Style21"/>
        <w:keepNext w:val="0"/>
        <w:keepLines w:val="0"/>
        <w:widowControl w:val="0"/>
        <w:shd w:val="clear" w:color="auto" w:fill="auto"/>
        <w:tabs>
          <w:tab w:pos="891" w:val="left"/>
        </w:tabs>
        <w:bidi w:val="0"/>
        <w:spacing w:before="0" w:after="100" w:line="326" w:lineRule="exact"/>
        <w:ind w:left="0" w:right="0"/>
        <w:jc w:val="left"/>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获取项目立项书、研发节点报告等文件，检查企业研发活动的立项情况，确定研发项目处于研究阶段还是开发阶 段。</w:t>
      </w:r>
    </w:p>
    <w:p>
      <w:pPr>
        <w:pStyle w:val="Style21"/>
        <w:keepNext w:val="0"/>
        <w:keepLines w:val="0"/>
        <w:widowControl w:val="0"/>
        <w:shd w:val="clear" w:color="auto" w:fill="auto"/>
        <w:tabs>
          <w:tab w:pos="891" w:val="left"/>
        </w:tabs>
        <w:bidi w:val="0"/>
        <w:spacing w:before="0" w:after="100" w:line="331" w:lineRule="exact"/>
        <w:ind w:left="0" w:right="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选取项目检查资本化的条件和依据是否合理，包括研究阶段和开发阶段界定时点是否合理，开发完成的时点界定 是否合理；检查资本化支出范围是否合理等。</w:t>
      </w:r>
    </w:p>
    <w:p>
      <w:pPr>
        <w:pStyle w:val="Style21"/>
        <w:keepNext w:val="0"/>
        <w:keepLines w:val="0"/>
        <w:widowControl w:val="0"/>
        <w:shd w:val="clear" w:color="auto" w:fill="auto"/>
        <w:tabs>
          <w:tab w:pos="815" w:val="left"/>
        </w:tabs>
        <w:bidi w:val="0"/>
        <w:spacing w:before="0" w:after="100" w:line="314" w:lineRule="exact"/>
        <w:ind w:left="0" w:right="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检查开发支出资本化披露的充分性。</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（二）收入确认</w:t>
      </w:r>
    </w:p>
    <w:p>
      <w:pPr>
        <w:pStyle w:val="Style21"/>
        <w:keepNext w:val="0"/>
        <w:keepLines w:val="0"/>
        <w:widowControl w:val="0"/>
        <w:shd w:val="clear" w:color="auto" w:fill="auto"/>
        <w:bidi w:val="0"/>
        <w:spacing w:before="0" w:after="100" w:line="314" w:lineRule="exact"/>
        <w:ind w:left="0" w:right="0"/>
        <w:jc w:val="left"/>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及附注五之</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21"/>
        <w:keepNext w:val="0"/>
        <w:keepLines w:val="0"/>
        <w:widowControl w:val="0"/>
        <w:shd w:val="clear" w:color="auto" w:fill="auto"/>
        <w:tabs>
          <w:tab w:pos="751" w:val="left"/>
        </w:tabs>
        <w:bidi w:val="0"/>
        <w:spacing w:before="0" w:after="100" w:line="314" w:lineRule="exact"/>
        <w:ind w:left="0" w:right="0"/>
        <w:jc w:val="left"/>
      </w:pPr>
      <w:bookmarkStart w:id="657" w:name="bookmark657"/>
      <w:r>
        <w:rPr>
          <w:rFonts w:ascii="Times New Roman" w:eastAsia="Times New Roman" w:hAnsi="Times New Roman" w:cs="Times New Roman"/>
          <w:color w:val="000000"/>
          <w:spacing w:val="0"/>
          <w:w w:val="100"/>
          <w:position w:val="0"/>
          <w:sz w:val="18"/>
          <w:szCs w:val="18"/>
        </w:rPr>
        <w:t>1</w:t>
      </w:r>
      <w:bookmarkEnd w:id="657"/>
      <w:r>
        <w:rPr>
          <w:color w:val="000000"/>
          <w:spacing w:val="0"/>
          <w:w w:val="100"/>
          <w:position w:val="0"/>
        </w:rPr>
        <w:t>、</w:t>
        <w:tab/>
        <w:t>事项描述</w:t>
      </w:r>
    </w:p>
    <w:p>
      <w:pPr>
        <w:pStyle w:val="Style21"/>
        <w:keepNext w:val="0"/>
        <w:keepLines w:val="0"/>
        <w:widowControl w:val="0"/>
        <w:shd w:val="clear" w:color="auto" w:fill="auto"/>
        <w:bidi w:val="0"/>
        <w:spacing w:before="0" w:after="100" w:line="317" w:lineRule="exact"/>
        <w:ind w:left="0" w:right="0"/>
        <w:jc w:val="left"/>
      </w:pPr>
      <w:r>
        <w:rPr>
          <w:color w:val="000000"/>
          <w:spacing w:val="0"/>
          <w:w w:val="100"/>
          <w:position w:val="0"/>
        </w:rPr>
        <w:t>榕基软件公司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年度系统集成、软件产品及服务收入为人民币</w:t>
      </w:r>
      <w:r>
        <w:rPr>
          <w:rFonts w:ascii="Times New Roman" w:eastAsia="Times New Roman" w:hAnsi="Times New Roman" w:cs="Times New Roman"/>
          <w:color w:val="000000"/>
          <w:spacing w:val="0"/>
          <w:w w:val="100"/>
          <w:position w:val="0"/>
          <w:sz w:val="18"/>
          <w:szCs w:val="18"/>
        </w:rPr>
        <w:t>67,503.78</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年度营业收入的比例为</w:t>
      </w:r>
      <w:r>
        <w:rPr>
          <w:rFonts w:ascii="Times New Roman" w:eastAsia="Times New Roman" w:hAnsi="Times New Roman" w:cs="Times New Roman"/>
          <w:color w:val="000000"/>
          <w:spacing w:val="0"/>
          <w:w w:val="100"/>
          <w:position w:val="0"/>
          <w:sz w:val="18"/>
          <w:szCs w:val="18"/>
        </w:rPr>
        <w:t>94.12%</w:t>
      </w:r>
      <w:r>
        <w:rPr>
          <w:color w:val="000000"/>
          <w:spacing w:val="0"/>
          <w:w w:val="100"/>
          <w:position w:val="0"/>
        </w:rPr>
        <w:t>。 榕基软件公司对于系统集成、软件产品及服务收入，均需在产品交付或服务提供并经对方初验或试运行合格后确认收入。鉴 于该部分收入金额重大且为关键业绩指标，相关验收单据由分布在国内不同地区的众多客户提供，可能存在管理层为了达到 特定目标或期望而操纵收入确认时点的固有风险，因此我们将收入确认确定为关键审计事项。</w:t>
      </w:r>
    </w:p>
    <w:p>
      <w:pPr>
        <w:pStyle w:val="Style21"/>
        <w:keepNext w:val="0"/>
        <w:keepLines w:val="0"/>
        <w:widowControl w:val="0"/>
        <w:shd w:val="clear" w:color="auto" w:fill="auto"/>
        <w:tabs>
          <w:tab w:pos="751" w:val="left"/>
        </w:tabs>
        <w:bidi w:val="0"/>
        <w:spacing w:before="0" w:after="100" w:line="314" w:lineRule="exact"/>
        <w:ind w:left="0" w:right="0"/>
        <w:jc w:val="both"/>
      </w:pPr>
      <w:bookmarkStart w:id="658" w:name="bookmark658"/>
      <w:r>
        <w:rPr>
          <w:rFonts w:ascii="Times New Roman" w:eastAsia="Times New Roman" w:hAnsi="Times New Roman" w:cs="Times New Roman"/>
          <w:color w:val="000000"/>
          <w:spacing w:val="0"/>
          <w:w w:val="100"/>
          <w:position w:val="0"/>
          <w:sz w:val="18"/>
          <w:szCs w:val="18"/>
        </w:rPr>
        <w:t>2</w:t>
      </w:r>
      <w:bookmarkEnd w:id="658"/>
      <w:r>
        <w:rPr>
          <w:color w:val="000000"/>
          <w:spacing w:val="0"/>
          <w:w w:val="100"/>
          <w:position w:val="0"/>
        </w:rPr>
        <w:t>、</w:t>
        <w:tab/>
        <w:t>审计应对</w:t>
      </w:r>
    </w:p>
    <w:p>
      <w:pPr>
        <w:pStyle w:val="Style21"/>
        <w:keepNext w:val="0"/>
        <w:keepLines w:val="0"/>
        <w:widowControl w:val="0"/>
        <w:shd w:val="clear" w:color="auto" w:fill="auto"/>
        <w:tabs>
          <w:tab w:pos="815" w:val="left"/>
        </w:tabs>
        <w:bidi w:val="0"/>
        <w:spacing w:before="0" w:after="100" w:line="314" w:lineRule="exact"/>
        <w:ind w:left="0" w:right="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了解及评价与收入确认有关的内部控制设计的有效性，并测试了关键控制运行的有效性。</w:t>
      </w:r>
    </w:p>
    <w:p>
      <w:pPr>
        <w:pStyle w:val="Style21"/>
        <w:keepNext w:val="0"/>
        <w:keepLines w:val="0"/>
        <w:widowControl w:val="0"/>
        <w:shd w:val="clear" w:color="auto" w:fill="auto"/>
        <w:tabs>
          <w:tab w:pos="891" w:val="left"/>
        </w:tabs>
        <w:bidi w:val="0"/>
        <w:spacing w:before="0" w:after="100" w:line="312"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选取样本检查销售合同及对管理层进行访谈，结合业务识别合同中的单项履约义务、确定交易价格、将交易价格 分摊至各单项履约义务、确定控制权转移时点等，进而评价公司的收入确认政策是否符合企业会计准则的规定，并采用一致 的会计处理方法。</w:t>
      </w:r>
    </w:p>
    <w:p>
      <w:pPr>
        <w:pStyle w:val="Style21"/>
        <w:keepNext w:val="0"/>
        <w:keepLines w:val="0"/>
        <w:widowControl w:val="0"/>
        <w:shd w:val="clear" w:color="auto" w:fill="auto"/>
        <w:tabs>
          <w:tab w:pos="815" w:val="left"/>
        </w:tabs>
        <w:bidi w:val="0"/>
        <w:spacing w:before="0" w:after="100" w:line="314" w:lineRule="exact"/>
        <w:ind w:left="0" w:right="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选取样本检查与收入确认相关的支持性文件，包括销售合同、发票、客户验收单据等。</w:t>
      </w:r>
    </w:p>
    <w:p>
      <w:pPr>
        <w:pStyle w:val="Style21"/>
        <w:keepNext w:val="0"/>
        <w:keepLines w:val="0"/>
        <w:widowControl w:val="0"/>
        <w:shd w:val="clear" w:color="auto" w:fill="auto"/>
        <w:tabs>
          <w:tab w:pos="891" w:val="left"/>
        </w:tabs>
        <w:bidi w:val="0"/>
        <w:spacing w:before="0" w:after="100" w:line="312" w:lineRule="exact"/>
        <w:ind w:left="0" w:right="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针对资产负债表日前后确认的销售收入核对至客户验收单据等支持性文件，以评价销售收入是否在恰当的期间确 认。</w:t>
      </w:r>
    </w:p>
    <w:p>
      <w:pPr>
        <w:pStyle w:val="Style21"/>
        <w:keepNext w:val="0"/>
        <w:keepLines w:val="0"/>
        <w:widowControl w:val="0"/>
        <w:shd w:val="clear" w:color="auto" w:fill="auto"/>
        <w:tabs>
          <w:tab w:pos="876" w:val="left"/>
        </w:tabs>
        <w:bidi w:val="0"/>
        <w:spacing w:before="0" w:after="100" w:line="331" w:lineRule="exact"/>
        <w:ind w:left="0" w:right="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对重大、新增主要客户和与关联方的业务发生情况实施函证程序，并对这些客户进行背景调查等，检查相关业务 的真实性及交易的合理性。</w:t>
      </w:r>
    </w:p>
    <w:p>
      <w:pPr>
        <w:pStyle w:val="Style21"/>
        <w:keepNext w:val="0"/>
        <w:keepLines w:val="0"/>
        <w:widowControl w:val="0"/>
        <w:shd w:val="clear" w:color="auto" w:fill="auto"/>
        <w:tabs>
          <w:tab w:pos="805" w:val="left"/>
        </w:tabs>
        <w:bidi w:val="0"/>
        <w:spacing w:before="0" w:after="100" w:line="314" w:lineRule="exact"/>
        <w:ind w:left="0" w:right="0"/>
        <w:jc w:val="both"/>
      </w:pPr>
      <w:bookmarkStart w:id="664" w:name="bookmark664"/>
      <w:r>
        <w:rPr>
          <w:b/>
          <w:bCs/>
          <w:color w:val="000000"/>
          <w:spacing w:val="0"/>
          <w:w w:val="100"/>
          <w:position w:val="0"/>
        </w:rPr>
        <w:t>四</w:t>
      </w:r>
      <w:bookmarkEnd w:id="664"/>
      <w:r>
        <w:rPr>
          <w:b/>
          <w:bCs/>
          <w:color w:val="000000"/>
          <w:spacing w:val="0"/>
          <w:w w:val="100"/>
          <w:position w:val="0"/>
        </w:rPr>
        <w:t>、</w:t>
        <w:tab/>
        <w:t>其他信息</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榕基软件公司管理层对其他信息负责。其他信息包括榕基软件公司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 我们的审计报告。</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100" w:line="302"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820" w:val="left"/>
        </w:tabs>
        <w:bidi w:val="0"/>
        <w:spacing w:before="0" w:after="100" w:line="314" w:lineRule="exact"/>
        <w:ind w:left="0" w:right="0"/>
        <w:jc w:val="both"/>
      </w:pPr>
      <w:bookmarkStart w:id="665" w:name="bookmark665"/>
      <w:r>
        <w:rPr>
          <w:b/>
          <w:bCs/>
          <w:color w:val="000000"/>
          <w:spacing w:val="0"/>
          <w:w w:val="100"/>
          <w:position w:val="0"/>
        </w:rPr>
        <w:t>五</w:t>
      </w:r>
      <w:bookmarkEnd w:id="665"/>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榕基软件公司管理层负责按照企业会计准则的规定编制财务报表，使其实现公允反映，并设计、执行和维护必要的内部 控制，以使财务报表不存在由于舞弊或错误导致的重大错报。</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在编制财务报表时，管理层负责评估榕基软件公司的持续经营能力，披露与持续经营相关的事项（如适用），并运用持 </w:t>
      </w:r>
      <w:r>
        <w:rPr>
          <w:color w:val="000000"/>
          <w:spacing w:val="0"/>
          <w:w w:val="100"/>
          <w:position w:val="0"/>
        </w:rPr>
        <w:t>续经营假设，除非管理层计划清算榕基软件公司、终止运营或别无其他现实的选择。</w:t>
      </w:r>
    </w:p>
    <w:p>
      <w:pPr>
        <w:pStyle w:val="Style21"/>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治理层负责监督榕基软件公司的财务报告过程。</w:t>
      </w:r>
    </w:p>
    <w:p>
      <w:pPr>
        <w:pStyle w:val="Style21"/>
        <w:keepNext w:val="0"/>
        <w:keepLines w:val="0"/>
        <w:widowControl w:val="0"/>
        <w:shd w:val="clear" w:color="auto" w:fill="auto"/>
        <w:bidi w:val="0"/>
        <w:spacing w:before="0" w:after="100" w:line="312" w:lineRule="exact"/>
        <w:ind w:left="0" w:right="0" w:firstLine="360"/>
        <w:jc w:val="left"/>
      </w:pPr>
      <w:bookmarkStart w:id="666" w:name="bookmark666"/>
      <w:r>
        <w:rPr>
          <w:b/>
          <w:bCs/>
          <w:color w:val="000000"/>
          <w:spacing w:val="0"/>
          <w:w w:val="100"/>
          <w:position w:val="0"/>
        </w:rPr>
        <w:t>六</w:t>
      </w:r>
      <w:bookmarkEnd w:id="666"/>
      <w:r>
        <w:rPr>
          <w:b/>
          <w:bCs/>
          <w:color w:val="000000"/>
          <w:spacing w:val="0"/>
          <w:w w:val="100"/>
          <w:position w:val="0"/>
        </w:rPr>
        <w:t>、注册会计师对财务报表审计的责任</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tabs>
          <w:tab w:pos="891" w:val="left"/>
        </w:tabs>
        <w:bidi w:val="0"/>
        <w:spacing w:before="0" w:after="100" w:line="312" w:lineRule="exact"/>
        <w:ind w:left="0" w:right="0" w:firstLine="36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795" w:val="left"/>
        </w:tabs>
        <w:bidi w:val="0"/>
        <w:spacing w:before="0" w:after="100" w:line="312" w:lineRule="exact"/>
        <w:ind w:left="0" w:right="0" w:firstLine="36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21"/>
        <w:keepNext w:val="0"/>
        <w:keepLines w:val="0"/>
        <w:widowControl w:val="0"/>
        <w:shd w:val="clear" w:color="auto" w:fill="auto"/>
        <w:tabs>
          <w:tab w:pos="795" w:val="left"/>
        </w:tabs>
        <w:bidi w:val="0"/>
        <w:spacing w:before="0" w:after="100" w:line="312" w:lineRule="exact"/>
        <w:ind w:left="0" w:right="0" w:firstLine="36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bidi w:val="0"/>
        <w:spacing w:before="0" w:after="100" w:line="317" w:lineRule="exact"/>
        <w:ind w:left="0" w:right="0" w:firstLine="36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对管理层使用持续经营假设的恰当性得出结论。同时，根据获取的审计证据，就可能导致对榕基软件公司的持续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结论基于截至审计报告日可获得的信息。然而，未来的事项或情况可能导致榕基软件公司不能持续经营。</w:t>
      </w:r>
    </w:p>
    <w:p>
      <w:pPr>
        <w:pStyle w:val="Style21"/>
        <w:keepNext w:val="0"/>
        <w:keepLines w:val="0"/>
        <w:widowControl w:val="0"/>
        <w:shd w:val="clear" w:color="auto" w:fill="auto"/>
        <w:tabs>
          <w:tab w:pos="795" w:val="left"/>
        </w:tabs>
        <w:bidi w:val="0"/>
        <w:spacing w:before="0" w:after="100" w:line="312" w:lineRule="exact"/>
        <w:ind w:left="0" w:right="0" w:firstLine="36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1"/>
        <w:keepNext w:val="0"/>
        <w:keepLines w:val="0"/>
        <w:widowControl w:val="0"/>
        <w:shd w:val="clear" w:color="auto" w:fill="auto"/>
        <w:tabs>
          <w:tab w:pos="886" w:val="left"/>
        </w:tabs>
        <w:bidi w:val="0"/>
        <w:spacing w:before="0" w:after="100" w:line="326" w:lineRule="exact"/>
        <w:ind w:left="0" w:right="0" w:firstLine="36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就榕基软件公司中实体或业务活动的财务信息获取充分、适当的审计证据，以对财务报表发表意见。我们负责指 导、监督和执行集团审计，并对审计意见承担全部责任。</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keepLines/>
        <w:widowControl w:val="0"/>
        <w:shd w:val="clear" w:color="auto" w:fill="auto"/>
        <w:bidi w:val="0"/>
        <w:spacing w:before="0" w:after="240" w:line="240" w:lineRule="auto"/>
        <w:ind w:left="0" w:right="0" w:firstLine="0"/>
        <w:jc w:val="left"/>
      </w:pPr>
      <w:bookmarkStart w:id="673" w:name="bookmark673"/>
      <w:bookmarkStart w:id="674" w:name="bookmark674"/>
      <w:bookmarkStart w:id="675" w:name="bookmark675"/>
      <w:r>
        <w:rPr>
          <w:color w:val="000000"/>
          <w:spacing w:val="0"/>
          <w:w w:val="100"/>
          <w:position w:val="0"/>
          <w:sz w:val="24"/>
          <w:szCs w:val="24"/>
        </w:rPr>
        <w:t>二、财务报表</w:t>
      </w:r>
      <w:bookmarkEnd w:id="673"/>
      <w:bookmarkEnd w:id="674"/>
      <w:bookmarkEnd w:id="675"/>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4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、合并资产负债表</w:t>
      </w:r>
      <w:bookmarkEnd w:id="676"/>
      <w:bookmarkEnd w:id="677"/>
      <w:bookmarkEnd w:id="679"/>
    </w:p>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编制单位：福建榕基软件股份有限公司</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981"/>
        <w:gridCol w:w="3302"/>
        <w:gridCol w:w="330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312,092,896.54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469,539,892.27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9,602,207.20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11,000,239.63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152,847,521.00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158,692,075.03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6,293,992.67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26,890,503.21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35,984,518.17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41,875,641.26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1,154,254,376.05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1,078,137,671.78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14,793,303.41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8,566,251.22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80,569222.89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64,585,539.57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1,794,183,037.93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1,945,937,813.97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130,205,203.11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124,234,000.60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110,761,462.93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98289,758.61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93,971,895.11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73,957,479.16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17206,069.22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19,527,745.16</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393,812,377.40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11,348,805.05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155,682,401.60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145,075,489.28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32,683,983.41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36,015,874.40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2,200,623.86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20,925,761.08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22,085,314.16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14,752,463.08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25,626,839.50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1,120,657,446.23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940,825,502.13</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2,914,840,484.16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2,886,763,316.10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569,510,645.20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570,509,887.50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19,619,520.00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337,428,057.11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389,035,432.45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1,002,735.23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152,556,921.49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22,587,191.04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21,626,885.62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10,117,999.87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28292253.73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31,740,798.77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1,177,900,516.14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1,194,773284.90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6,650,873.02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102,481,376.62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94,974,784.57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8,304,219.44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117,436,469.08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101,408,248.36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1,295,336,985.22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1,296,181,533.26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369,358,612.29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48,162,027.01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76,318,193.90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493,921,928.10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475,423,287.27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1,609,960,761.30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1,581,336,369.85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9,542,737.64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9,245,412.99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1,619,503,498.94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1,590,581,782.84</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2,914,840,484.16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2,886,763,316.10</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8595" simplePos="0" relativeHeight="125829378" behindDoc="0" locked="0" layoutInCell="1" allowOverlap="1">
                <wp:simplePos x="0" y="0"/>
                <wp:positionH relativeFrom="page">
                  <wp:posOffset>718820</wp:posOffset>
                </wp:positionH>
                <wp:positionV relativeFrom="margin">
                  <wp:posOffset>3133090</wp:posOffset>
                </wp:positionV>
                <wp:extent cx="941705" cy="149225"/>
                <wp:wrapTopAndBottom/>
                <wp:docPr id="2" name="Shape 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600000000000001pt;margin-top:246.70000000000002pt;width:74.150000000000006pt;height:11.75pt;z-index:-125829375;mso-wrap-distance-left:9.pt;mso-wrap-distance-top:11.pt;mso-wrap-distance-right:414.85000000000002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39700" distB="5715" distL="2299970" distR="2631440" simplePos="0" relativeHeight="125829380" behindDoc="0" locked="0" layoutInCell="1" allowOverlap="1">
                <wp:simplePos x="0" y="0"/>
                <wp:positionH relativeFrom="page">
                  <wp:posOffset>2904490</wp:posOffset>
                </wp:positionH>
                <wp:positionV relativeFrom="margin">
                  <wp:posOffset>3133090</wp:posOffset>
                </wp:positionV>
                <wp:extent cx="1393190" cy="143510"/>
                <wp:wrapTopAndBottom/>
                <wp:docPr id="4" name="Shape 4"/>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30" type="#_x0000_t202" style="position:absolute;margin-left:228.70000000000002pt;margin-top:246.70000000000002pt;width:109.7pt;height:11.300000000000001pt;z-index:-125829373;mso-wrap-distance-left:181.09999999999999pt;mso-wrap-distance-top:11.pt;mso-wrap-distance-right:207.20000000000002pt;mso-wrap-distance-bottom:0.4500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39700" distB="0" distL="4923790" distR="114300" simplePos="0" relativeHeight="125829382" behindDoc="0" locked="0" layoutInCell="1" allowOverlap="1">
                <wp:simplePos x="0" y="0"/>
                <wp:positionH relativeFrom="page">
                  <wp:posOffset>5528310</wp:posOffset>
                </wp:positionH>
                <wp:positionV relativeFrom="margin">
                  <wp:posOffset>3133090</wp:posOffset>
                </wp:positionV>
                <wp:extent cx="1286510" cy="149225"/>
                <wp:wrapTopAndBottom/>
                <wp:docPr id="6" name="Shape 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32" type="#_x0000_t202" style="position:absolute;margin-left:435.30000000000001pt;margin-top:246.70000000000002pt;width:101.3pt;height:11.75pt;z-index:-125829371;mso-wrap-distance-left:387.69999999999999pt;mso-wrap-distance-top:11.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、母公司资产负债表</w:t>
      </w:r>
      <w:bookmarkEnd w:id="680"/>
      <w:bookmarkEnd w:id="681"/>
      <w:bookmarkEnd w:id="6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111,934,073.16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324,294,084.68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9,602,207.20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7,495,795.87</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94,061,059.58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80,776,806.36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98,087,552.85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13,775,370.97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1,267,584,104.00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1,176,774,748.46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161,552,949.95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114,389,838.55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9,218,890.70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7,897,517.17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14,637,828.32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9,677,481.26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1,771,178,665.76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1,739,081,643.32</w:t>
            </w: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695,752,618.33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694,179,763.19</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98,761,462.93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86289,758.61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6,650,308.25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8,258,960.71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2,609,464.20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37,748,653.89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22,765200.10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18201,536.63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25,703,750.34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2,009,703.89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5,978,937.73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4,995,941.00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9,284,108.77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9,487,531.47</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979,669,599.35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853,690,609.31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2,750,848,265.11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2,592,772252.63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529,510,645.20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520,509,887.50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40254,520.00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205,712,291.49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154,571,397.23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76,710,422.59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82,914,660.04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10,359,892.37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9,506,543.26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2,731,652.57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1,657,494.68</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236,614,721.73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154,323,838.56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1,593,623.71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15,062,982.86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13210,319.95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1,118,550,752.52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987,694,141.22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1,088,433.24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2,134,848.48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11,527,501.16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6,641,797.12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1,130,078253.68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994,335,938.34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364,193,237.65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47,057243.49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36,456294.82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76,318,193.90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511,001,336.39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501,375,162.77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1,620,770,011.43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1,598,436,314.29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2,750,848,265.11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2,592,772252.63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、合并利润表</w:t>
      </w:r>
      <w:bookmarkEnd w:id="684"/>
      <w:bookmarkEnd w:id="685"/>
      <w:bookmarkEnd w:id="6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730,475,517.25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730,475,517.25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702,332,713.49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721,432,599.75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452,768,295.19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461,861,374.64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6,404,651.73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5,192,863.33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42205,410.23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41,165,489.88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84,835,029.01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83,413266.70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92,693,791.20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104,947,275.12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23,425,536.13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24,852,330.08</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25,982,771.71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25,720,105.37</w:t>
            </w:r>
          </w:p>
        </w:tc>
      </w:tr>
    </w:tbl>
    <w:p>
      <w:pPr>
        <w:widowControl w:val="0"/>
        <w:spacing w:line="1" w:lineRule="exact"/>
      </w:pPr>
      <w:r>
        <w:br w:type="page"/>
      </w:r>
    </w:p>
    <w:tbl>
      <w:tblPr>
        <w:tblOverlap w:val="never"/>
        <w:jc w:val="center"/>
        <w:tblLayout w:type="fixed"/>
      </w:tblPr>
      <w:tblGrid>
        <w:gridCol w:w="3096"/>
        <w:gridCol w:w="3206"/>
        <w:gridCol w:w="328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2,380,267.06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2,179,116.60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17236,763.78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23,438,530.42</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12,659,736.62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21,404,317.57</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7,231,202.51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6,706,180.80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-3,620,722.54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-2,122,792.47</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-4,139,473.39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-1,778,704.31</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251,222.47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37264,869.48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49,996,928.94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191,257.58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815,236.76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36,640,890.30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49,813,571.64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6,405,349.97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1,535,066.60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30235,540.33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48278,505.04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30235,540.33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48278,505.04</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29,938215.68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49,598,630.03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297,324.65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-1,320,124.99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8,019,175.77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-5,809,373.28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8,019,175.77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-5,809,373.28</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10,600,948.67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10,600,948.67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r>
    </w:tbl>
    <w:p>
      <w:pPr>
        <w:widowControl w:val="0"/>
        <w:spacing w:line="1" w:lineRule="exact"/>
      </w:pPr>
      <w:r>
        <w:br w:type="page"/>
      </w:r>
    </w:p>
    <w:tbl>
      <w:tblPr>
        <w:tblOverlap w:val="never"/>
        <w:jc w:val="center"/>
        <w:tblLayout w:type="fixed"/>
      </w:tblPr>
      <w:tblGrid>
        <w:gridCol w:w="3096"/>
        <w:gridCol w:w="3206"/>
        <w:gridCol w:w="328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-2,581,772.90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-5,809,940.95</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-2,581,772.90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-5,809,940.95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38254,716.10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42,469,131.76</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37,957,391.45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43,789256.75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-1,320,124.99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1"/>
        <w:keepNext w:val="0"/>
        <w:keepLines w:val="0"/>
        <w:widowControl w:val="0"/>
        <w:shd w:val="clear" w:color="auto" w:fill="auto"/>
        <w:tabs>
          <w:tab w:pos="3437" w:val="left"/>
          <w:tab w:pos="7555" w:val="left"/>
        </w:tabs>
        <w:bidi w:val="0"/>
        <w:spacing w:before="0" w:after="380" w:line="240" w:lineRule="auto"/>
        <w:ind w:left="0" w:right="0" w:firstLine="0"/>
        <w:jc w:val="left"/>
      </w:pPr>
      <w:r>
        <w:rPr>
          <w:color w:val="000000"/>
          <w:spacing w:val="0"/>
          <w:w w:val="100"/>
          <w:position w:val="0"/>
        </w:rPr>
        <w:t>法定代表人：鲁峰</w:t>
        <w:tab/>
        <w:t>主管会计工作负责人：侯伟</w:t>
        <w:tab/>
        <w:t>会计机构负责人：镇千金</w:t>
      </w:r>
    </w:p>
    <w:p>
      <w:pPr>
        <w:pStyle w:val="Style32"/>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、母公司利润表</w:t>
      </w:r>
      <w:bookmarkEnd w:id="688"/>
      <w:bookmarkEnd w:id="689"/>
      <w:bookmarkEnd w:id="6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319,395,968.53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460,302,542.99</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182,600,573.79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325,468,886.16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1,078,391.44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24,088,585.92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22,135,532.21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34,374,951.04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32,679,327.44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45,389,502.21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61267,735.37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22,142,577.37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18,181,664.22</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23,937,436.58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18,854,874.71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2,092,734.30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1,207,440.28</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9,759,983.66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13,453,450.48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6,704,261.02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13,613,138.05</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2,105,647.68</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2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-1,151,503.48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1,049,373.92</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-3,475,292.89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-1,281,001.09</w:t>
            </w:r>
          </w:p>
        </w:tc>
      </w:tr>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21,883,143.92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26,347,918.29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8,244.71</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21,882,552.24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26,342,174.02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-1,139,994.44</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21,065,748.47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27,482,168.46</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21,065,748.47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27,482,168.46</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10,600,948.67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10,600,948.67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10,600,948.67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567.67</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31,666,697.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27,482,736.13</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、合并现金流量表</w:t>
      </w:r>
      <w:bookmarkEnd w:id="692"/>
      <w:bookmarkEnd w:id="693"/>
      <w:bookmarkEnd w:id="6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792,278,624.16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772,824,554.87</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1,341,104.24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33,143,963.27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51,581,985.35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825,695,737.94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825,747,644.46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554,334,782.26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441,759,607.33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103,256,972.01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103,464,285.49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14,513,918.88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15,139,880.04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89,372,307.91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193,159,292.97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761,477,981.06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753,523,065.83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64217,756.88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72224,578.63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320,505,000.00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1,255,860,000.00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2,919,527.26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14,698,136.77</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104,302.90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324,002,156.97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1,270,662,439.67</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154,064,914.25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248,283,567.51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1,021,690,000.00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515,664,914.25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1,269,973,567.51</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-191,662,757.28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688,872.16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1,061,021,000.00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1,061,021,000.00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992,021,000.00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33,626,009.56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25,767,561.62</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5,200,346.14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1,184,826,355.70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1,017,788,561.62</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-29,826,355.70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43232,438.38</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-2,190,913.57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-6,578,728.22</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-159,462,269.67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109,567,160.95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345,270,298.91</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295,375,190.19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、母公司现金流量表</w:t>
      </w:r>
      <w:bookmarkEnd w:id="696"/>
      <w:bookmarkEnd w:id="697"/>
      <w:bookmarkEnd w:id="6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315,681,115.51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501,769,260.76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1,060,015.62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102,721,305.89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29,483,051.46</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418,526,780.69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532,312,327.84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295,530,206.83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277,145,838.33</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35,880,338.21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43,431,590.55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3,051,824.55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7,135,182.75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141,603,083.82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266,453,860.14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476,065,453.41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594,166,471.77</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-57,538,672.72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-61,854,143.93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1,362,399.03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11,507,490.37</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101,980.59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36,462,399.03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793,609,470.96</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27,988,183.19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28,309,897.63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508,000,000.00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163,588,183.19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536,309,897.63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-127,125,784.16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257,299,573.33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995,000,000.00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976,000,000.00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33269,678.88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18,902,330.96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1,458,047.40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1,180,727,726.28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994,902,330.96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-25,727,726.28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97,669.04</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-358,396.70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-210,517,745.18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195,184,701.74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315,223,237.93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120,038,536.19</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104,705,492.75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315,223,237.93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、合并所有者权益变动表</w:t>
      </w:r>
      <w:bookmarkEnd w:id="700"/>
      <w:bookmarkEnd w:id="701"/>
      <w:bookmarkEnd w:id="703"/>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40,142 </w:t>
            </w:r>
            <w:r>
              <w:rPr>
                <w:rFonts w:ascii="Times New Roman" w:eastAsia="Times New Roman" w:hAnsi="Times New Roman" w:cs="Times New Roman"/>
                <w:color w:val="000000"/>
                <w:spacing w:val="0"/>
                <w:w w:val="100"/>
                <w:position w:val="0"/>
                <w:sz w:val="18"/>
                <w:szCs w:val="18"/>
              </w:rPr>
              <w:t xml:space="preserve">,851.2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40,142 </w:t>
            </w:r>
            <w:r>
              <w:rPr>
                <w:rFonts w:ascii="Times New Roman" w:eastAsia="Times New Roman" w:hAnsi="Times New Roman" w:cs="Times New Roman"/>
                <w:color w:val="000000"/>
                <w:spacing w:val="0"/>
                <w:w w:val="100"/>
                <w:position w:val="0"/>
                <w:sz w:val="18"/>
                <w:szCs w:val="18"/>
              </w:rPr>
              <w:t xml:space="preserve">,851.2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18,498 </w:t>
            </w:r>
            <w:r>
              <w:rPr>
                <w:rFonts w:ascii="Times New Roman" w:eastAsia="Times New Roman" w:hAnsi="Times New Roman" w:cs="Times New Roman"/>
                <w:color w:val="000000"/>
                <w:spacing w:val="0"/>
                <w:w w:val="100"/>
                <w:position w:val="0"/>
                <w:sz w:val="18"/>
                <w:szCs w:val="18"/>
              </w:rPr>
              <w:t xml:space="preserve">,640.8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28,624 </w:t>
            </w:r>
            <w:r>
              <w:rPr>
                <w:rFonts w:ascii="Times New Roman" w:eastAsia="Times New Roman" w:hAnsi="Times New Roman" w:cs="Times New Roman"/>
                <w:color w:val="000000"/>
                <w:spacing w:val="0"/>
                <w:w w:val="100"/>
                <w:position w:val="0"/>
                <w:sz w:val="18"/>
                <w:szCs w:val="18"/>
              </w:rPr>
              <w:t xml:space="preserve">,391.4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28,921 </w:t>
            </w:r>
            <w:r>
              <w:rPr>
                <w:rFonts w:ascii="Times New Roman" w:eastAsia="Times New Roman" w:hAnsi="Times New Roman" w:cs="Times New Roman"/>
                <w:color w:val="000000"/>
                <w:spacing w:val="0"/>
                <w:w w:val="100"/>
                <w:position w:val="0"/>
                <w:sz w:val="18"/>
                <w:szCs w:val="18"/>
              </w:rPr>
              <w:t xml:space="preserve">,716.1 </w:t>
            </w:r>
            <w:r>
              <w:rPr>
                <w:rFonts w:ascii="Times New Roman" w:eastAsia="Times New Roman" w:hAnsi="Times New Roman" w:cs="Times New Roman"/>
                <w:color w:val="000000"/>
                <w:spacing w:val="0"/>
                <w:w w:val="100"/>
                <w:position w:val="0"/>
                <w:sz w:val="18"/>
                <w:szCs w:val="18"/>
              </w:rPr>
              <w:t>0</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37,957 </w:t>
            </w:r>
            <w:r>
              <w:rPr>
                <w:rFonts w:ascii="Times New Roman" w:eastAsia="Times New Roman" w:hAnsi="Times New Roman" w:cs="Times New Roman"/>
                <w:color w:val="000000"/>
                <w:spacing w:val="0"/>
                <w:w w:val="100"/>
                <w:position w:val="0"/>
                <w:sz w:val="18"/>
                <w:szCs w:val="18"/>
              </w:rPr>
              <w:t xml:space="preserve">,391.4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38254 </w:t>
            </w:r>
            <w:r>
              <w:rPr>
                <w:rFonts w:ascii="Times New Roman" w:eastAsia="Times New Roman" w:hAnsi="Times New Roman" w:cs="Times New Roman"/>
                <w:color w:val="000000"/>
                <w:spacing w:val="0"/>
                <w:w w:val="100"/>
                <w:position w:val="0"/>
                <w:sz w:val="18"/>
                <w:szCs w:val="18"/>
              </w:rPr>
              <w:t xml:space="preserve">,716.1 </w:t>
            </w:r>
            <w:r>
              <w:rPr>
                <w:rFonts w:ascii="Times New Roman" w:eastAsia="Times New Roman" w:hAnsi="Times New Roman" w:cs="Times New Roman"/>
                <w:color w:val="000000"/>
                <w:spacing w:val="0"/>
                <w:w w:val="100"/>
                <w:position w:val="0"/>
                <w:sz w:val="18"/>
                <w:szCs w:val="18"/>
              </w:rPr>
              <w:t>0</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-2,106, 574.85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76,318 </w:t>
            </w:r>
            <w:r>
              <w:rPr>
                <w:rFonts w:ascii="Times New Roman" w:eastAsia="Times New Roman" w:hAnsi="Times New Roman" w:cs="Times New Roman"/>
                <w:color w:val="000000"/>
                <w:spacing w:val="0"/>
                <w:w w:val="100"/>
                <w:position w:val="0"/>
                <w:sz w:val="18"/>
                <w:szCs w:val="18"/>
              </w:rPr>
              <w:t xml:space="preserve">,193.9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836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2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71,463 </w:t>
            </w:r>
            <w:r>
              <w:rPr>
                <w:rFonts w:ascii="Times New Roman" w:eastAsia="Times New Roman" w:hAnsi="Times New Roman" w:cs="Times New Roman"/>
                <w:color w:val="000000"/>
                <w:spacing w:val="0"/>
                <w:w w:val="100"/>
                <w:position w:val="0"/>
                <w:sz w:val="18"/>
                <w:szCs w:val="18"/>
              </w:rPr>
              <w:t xml:space="preserve">,402.2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71,463 </w:t>
            </w:r>
            <w:r>
              <w:rPr>
                <w:rFonts w:ascii="Times New Roman" w:eastAsia="Times New Roman" w:hAnsi="Times New Roman" w:cs="Times New Roman"/>
                <w:color w:val="000000"/>
                <w:spacing w:val="0"/>
                <w:w w:val="100"/>
                <w:position w:val="0"/>
                <w:sz w:val="18"/>
                <w:szCs w:val="18"/>
              </w:rPr>
              <w:t xml:space="preserve">,402.2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-1,320, 124.99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49,598 </w:t>
            </w:r>
            <w:r>
              <w:rPr>
                <w:rFonts w:ascii="Times New Roman" w:eastAsia="Times New Roman" w:hAnsi="Times New Roman" w:cs="Times New Roman"/>
                <w:color w:val="000000"/>
                <w:spacing w:val="0"/>
                <w:w w:val="100"/>
                <w:position w:val="0"/>
                <w:sz w:val="18"/>
                <w:szCs w:val="18"/>
              </w:rPr>
              <w:t xml:space="preserve">,630.0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-1,320, 124.99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-2,748, 216.85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-2,748, 216.85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40,142 </w:t>
            </w:r>
            <w:r>
              <w:rPr>
                <w:rFonts w:ascii="Times New Roman" w:eastAsia="Times New Roman" w:hAnsi="Times New Roman" w:cs="Times New Roman"/>
                <w:color w:val="000000"/>
                <w:spacing w:val="0"/>
                <w:w w:val="100"/>
                <w:position w:val="0"/>
                <w:sz w:val="18"/>
                <w:szCs w:val="18"/>
              </w:rPr>
              <w:t xml:space="preserve">,851.2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8</w:t>
      </w:r>
      <w:bookmarkEnd w:id="706"/>
      <w:r>
        <w:rPr>
          <w:color w:val="000000"/>
          <w:spacing w:val="0"/>
          <w:w w:val="100"/>
          <w:position w:val="0"/>
        </w:rPr>
        <w:t>、母公司所有者权益变动表</w:t>
      </w:r>
      <w:bookmarkEnd w:id="704"/>
      <w:bookmarkEnd w:id="705"/>
      <w:bookmarkEnd w:id="707"/>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0"/>
        <w:gridCol w:w="725"/>
        <w:gridCol w:w="730"/>
        <w:gridCol w:w="614"/>
        <w:gridCol w:w="710"/>
        <w:gridCol w:w="874"/>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314.29</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314.29</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-2,106, 574.85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727.</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476,641,2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727.</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476,641,2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24,733,95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27,482,16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-2,748,21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-2,748,21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74211, </w:t>
            </w:r>
            <w:r>
              <w:rPr>
                <w:rFonts w:ascii="Times New Roman" w:eastAsia="Times New Roman" w:hAnsi="Times New Roman" w:cs="Times New Roman"/>
                <w:color w:val="000000"/>
                <w:spacing w:val="0"/>
                <w:w w:val="100"/>
                <w:position w:val="0"/>
                <w:sz w:val="18"/>
                <w:szCs w:val="18"/>
              </w:rPr>
              <w:t>619.05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708" w:name="bookmark708"/>
      <w:bookmarkStart w:id="709" w:name="bookmark709"/>
      <w:bookmarkStart w:id="710" w:name="bookmark710"/>
      <w:r>
        <w:rPr>
          <w:color w:val="000000"/>
          <w:spacing w:val="0"/>
          <w:w w:val="100"/>
          <w:position w:val="0"/>
          <w:sz w:val="24"/>
          <w:szCs w:val="24"/>
        </w:rPr>
        <w:t>三、公司基本情况</w:t>
      </w:r>
      <w:bookmarkEnd w:id="708"/>
      <w:bookmarkEnd w:id="709"/>
      <w:bookmarkEnd w:id="710"/>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1</w:t>
      </w:r>
      <w:r>
        <w:rPr>
          <w:color w:val="000000"/>
          <w:spacing w:val="0"/>
          <w:w w:val="100"/>
          <w:position w:val="0"/>
        </w:rPr>
        <w:t>、公司概况</w:t>
      </w:r>
    </w:p>
    <w:p>
      <w:pPr>
        <w:pStyle w:val="Style21"/>
        <w:keepNext w:val="0"/>
        <w:keepLines w:val="0"/>
        <w:widowControl w:val="0"/>
        <w:shd w:val="clear" w:color="auto" w:fill="auto"/>
        <w:bidi w:val="0"/>
        <w:spacing w:before="0" w:after="140" w:line="312" w:lineRule="exact"/>
        <w:ind w:left="0" w:right="0" w:firstLine="360"/>
        <w:jc w:val="both"/>
      </w:pPr>
      <w:bookmarkStart w:id="711" w:name="bookmark711"/>
      <w:r>
        <w:rPr>
          <w:color w:val="000000"/>
          <w:spacing w:val="0"/>
          <w:w w:val="100"/>
          <w:position w:val="0"/>
          <w:sz w:val="18"/>
          <w:szCs w:val="18"/>
        </w:rPr>
        <w:t>（</w:t>
      </w:r>
      <w:bookmarkEnd w:id="711"/>
      <w:r>
        <w:rPr>
          <w:color w:val="000000"/>
          <w:spacing w:val="0"/>
          <w:w w:val="100"/>
          <w:position w:val="0"/>
          <w:sz w:val="18"/>
          <w:szCs w:val="18"/>
        </w:rPr>
        <w:t>1）</w:t>
      </w:r>
      <w:r>
        <w:rPr>
          <w:color w:val="000000"/>
          <w:spacing w:val="0"/>
          <w:w w:val="100"/>
          <w:position w:val="0"/>
        </w:rPr>
        <w:t>历史沿革</w:t>
      </w:r>
    </w:p>
    <w:p>
      <w:pPr>
        <w:pStyle w:val="Style21"/>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福建榕基软件股份有限公司（以下简称“本公司”）原由刘启鄂、侯伟及宁金成等三个自然人股东共同投资设立，于</w:t>
      </w:r>
      <w:r>
        <w:rPr>
          <w:color w:val="000000"/>
          <w:spacing w:val="0"/>
          <w:w w:val="100"/>
          <w:position w:val="0"/>
          <w:sz w:val="18"/>
          <w:szCs w:val="18"/>
        </w:rPr>
        <w:t xml:space="preserve">1993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日取得《企业法人营业执照》。</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日采取发起方式整体变更为福建榕基软件股份有限公司，取得福建省 工商行政管理局核发的</w:t>
      </w:r>
      <w:r>
        <w:rPr>
          <w:color w:val="000000"/>
          <w:spacing w:val="0"/>
          <w:w w:val="100"/>
          <w:position w:val="0"/>
          <w:sz w:val="18"/>
          <w:szCs w:val="18"/>
        </w:rPr>
        <w:t>350000100001214</w:t>
      </w:r>
      <w:r>
        <w:rPr>
          <w:color w:val="000000"/>
          <w:spacing w:val="0"/>
          <w:w w:val="100"/>
          <w:position w:val="0"/>
        </w:rPr>
        <w:t>号《企业法人营业执照》，注册资本变更为人民币</w:t>
      </w:r>
      <w:r>
        <w:rPr>
          <w:color w:val="000000"/>
          <w:spacing w:val="0"/>
          <w:w w:val="100"/>
          <w:position w:val="0"/>
          <w:sz w:val="18"/>
          <w:szCs w:val="18"/>
        </w:rPr>
        <w:t>7,770</w:t>
      </w:r>
      <w:r>
        <w:rPr>
          <w:color w:val="000000"/>
          <w:spacing w:val="0"/>
          <w:w w:val="100"/>
          <w:position w:val="0"/>
        </w:rPr>
        <w:t>万元，股本总额为</w:t>
      </w:r>
      <w:r>
        <w:rPr>
          <w:color w:val="000000"/>
          <w:spacing w:val="0"/>
          <w:w w:val="100"/>
          <w:position w:val="0"/>
          <w:sz w:val="18"/>
          <w:szCs w:val="18"/>
        </w:rPr>
        <w:t>7,770</w:t>
      </w:r>
      <w:r>
        <w:rPr>
          <w:color w:val="000000"/>
          <w:spacing w:val="0"/>
          <w:w w:val="100"/>
          <w:position w:val="0"/>
        </w:rPr>
        <w:t>万 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日，经中国证券监督管理委员会“证监许可</w:t>
      </w:r>
      <w:r>
        <w:rPr>
          <w:color w:val="000000"/>
          <w:spacing w:val="0"/>
          <w:w w:val="100"/>
          <w:position w:val="0"/>
          <w:sz w:val="18"/>
          <w:szCs w:val="18"/>
        </w:rPr>
        <w:t>[2010]1099</w:t>
      </w:r>
      <w:r>
        <w:rPr>
          <w:color w:val="000000"/>
          <w:spacing w:val="0"/>
          <w:w w:val="100"/>
          <w:position w:val="0"/>
        </w:rPr>
        <w:t>号”文《关于核准福建榕基软件股份 有限公司首次公开发行股票的批复》核准，本公司于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日首次向社会公开发行人民币普通股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）2,600</w:t>
      </w:r>
      <w:r>
        <w:rPr>
          <w:color w:val="000000"/>
          <w:spacing w:val="0"/>
          <w:w w:val="100"/>
          <w:position w:val="0"/>
        </w:rPr>
        <w:t>万股，每 股面值</w:t>
      </w:r>
      <w:r>
        <w:rPr>
          <w:color w:val="000000"/>
          <w:spacing w:val="0"/>
          <w:w w:val="100"/>
          <w:position w:val="0"/>
          <w:sz w:val="18"/>
          <w:szCs w:val="18"/>
        </w:rPr>
        <w:t>1</w:t>
      </w:r>
      <w:r>
        <w:rPr>
          <w:color w:val="000000"/>
          <w:spacing w:val="0"/>
          <w:w w:val="100"/>
          <w:position w:val="0"/>
        </w:rPr>
        <w:t>元，每股发行价格</w:t>
      </w:r>
      <w:r>
        <w:rPr>
          <w:color w:val="000000"/>
          <w:spacing w:val="0"/>
          <w:w w:val="100"/>
          <w:position w:val="0"/>
          <w:sz w:val="18"/>
          <w:szCs w:val="18"/>
        </w:rPr>
        <w:t>37.0</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日，本公司向社会公开发行的</w:t>
      </w:r>
      <w:r>
        <w:rPr>
          <w:color w:val="000000"/>
          <w:spacing w:val="0"/>
          <w:w w:val="100"/>
          <w:position w:val="0"/>
          <w:sz w:val="18"/>
          <w:szCs w:val="18"/>
        </w:rPr>
        <w:t>2,600</w:t>
      </w:r>
      <w:r>
        <w:rPr>
          <w:color w:val="000000"/>
          <w:spacing w:val="0"/>
          <w:w w:val="100"/>
          <w:position w:val="0"/>
        </w:rPr>
        <w:t>万股人民币普通股</w:t>
      </w:r>
      <w:r>
        <w:rPr>
          <w:color w:val="000000"/>
          <w:spacing w:val="0"/>
          <w:w w:val="100"/>
          <w:position w:val="0"/>
          <w:sz w:val="18"/>
          <w:szCs w:val="18"/>
        </w:rPr>
        <w:t>（A</w:t>
      </w:r>
      <w:r>
        <w:rPr>
          <w:color w:val="000000"/>
          <w:spacing w:val="0"/>
          <w:w w:val="100"/>
          <w:position w:val="0"/>
        </w:rPr>
        <w:t>股）在深圳证券 交易所挂牌上市（股票简称：榕基软件，股票代码</w:t>
      </w:r>
      <w:r>
        <w:rPr>
          <w:color w:val="000000"/>
          <w:spacing w:val="0"/>
          <w:w w:val="100"/>
          <w:position w:val="0"/>
          <w:sz w:val="18"/>
          <w:szCs w:val="18"/>
        </w:rPr>
        <w:t>002474）</w:t>
      </w:r>
      <w:r>
        <w:rPr>
          <w:color w:val="000000"/>
          <w:spacing w:val="0"/>
          <w:w w:val="100"/>
          <w:position w:val="0"/>
        </w:rPr>
        <w:t>，发行后注册资本变更为人民币</w:t>
      </w:r>
      <w:r>
        <w:rPr>
          <w:color w:val="000000"/>
          <w:spacing w:val="0"/>
          <w:w w:val="100"/>
          <w:position w:val="0"/>
          <w:sz w:val="18"/>
          <w:szCs w:val="18"/>
        </w:rPr>
        <w:t>10,370</w:t>
      </w:r>
      <w:r>
        <w:rPr>
          <w:color w:val="000000"/>
          <w:spacing w:val="0"/>
          <w:w w:val="100"/>
          <w:position w:val="0"/>
        </w:rPr>
        <w:t>万元。</w:t>
      </w:r>
    </w:p>
    <w:p>
      <w:pPr>
        <w:pStyle w:val="Style21"/>
        <w:keepNext w:val="0"/>
        <w:keepLines w:val="0"/>
        <w:widowControl w:val="0"/>
        <w:shd w:val="clear" w:color="auto" w:fill="auto"/>
        <w:bidi w:val="0"/>
        <w:spacing w:before="0" w:after="140" w:line="312" w:lineRule="exact"/>
        <w:ind w:left="0" w:right="0" w:firstLine="36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日，本公司以资本公积</w:t>
      </w:r>
      <w:r>
        <w:rPr>
          <w:color w:val="000000"/>
          <w:spacing w:val="0"/>
          <w:w w:val="100"/>
          <w:position w:val="0"/>
          <w:sz w:val="18"/>
          <w:szCs w:val="18"/>
        </w:rPr>
        <w:t>10,370</w:t>
      </w:r>
      <w:r>
        <w:rPr>
          <w:color w:val="000000"/>
          <w:spacing w:val="0"/>
          <w:w w:val="100"/>
          <w:position w:val="0"/>
        </w:rPr>
        <w:t>万元转增资本，转增后注册资本变更为人民币</w:t>
      </w:r>
      <w:r>
        <w:rPr>
          <w:color w:val="000000"/>
          <w:spacing w:val="0"/>
          <w:w w:val="100"/>
          <w:position w:val="0"/>
          <w:sz w:val="18"/>
          <w:szCs w:val="18"/>
        </w:rPr>
        <w:t>20,740</w:t>
      </w:r>
      <w:r>
        <w:rPr>
          <w:color w:val="000000"/>
          <w:spacing w:val="0"/>
          <w:w w:val="100"/>
          <w:position w:val="0"/>
        </w:rPr>
        <w:t>万元。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 本公司办理完成相关工商登记变更手续，注册资本和股本均由</w:t>
      </w:r>
      <w:r>
        <w:rPr>
          <w:color w:val="000000"/>
          <w:spacing w:val="0"/>
          <w:w w:val="100"/>
          <w:position w:val="0"/>
          <w:sz w:val="18"/>
          <w:szCs w:val="18"/>
        </w:rPr>
        <w:t>10,370</w:t>
      </w:r>
      <w:r>
        <w:rPr>
          <w:color w:val="000000"/>
          <w:spacing w:val="0"/>
          <w:w w:val="100"/>
          <w:position w:val="0"/>
        </w:rPr>
        <w:t>万元变更为</w:t>
      </w:r>
      <w:r>
        <w:rPr>
          <w:color w:val="000000"/>
          <w:spacing w:val="0"/>
          <w:w w:val="100"/>
          <w:position w:val="0"/>
          <w:sz w:val="18"/>
          <w:szCs w:val="18"/>
        </w:rPr>
        <w:t>20, 740</w:t>
      </w:r>
      <w:r>
        <w:rPr>
          <w:color w:val="000000"/>
          <w:spacing w:val="0"/>
          <w:w w:val="100"/>
          <w:position w:val="0"/>
        </w:rPr>
        <w:t>万元。</w:t>
      </w:r>
    </w:p>
    <w:p>
      <w:pPr>
        <w:pStyle w:val="Style21"/>
        <w:keepNext w:val="0"/>
        <w:keepLines w:val="0"/>
        <w:widowControl w:val="0"/>
        <w:shd w:val="clear" w:color="auto" w:fill="auto"/>
        <w:bidi w:val="0"/>
        <w:spacing w:before="0" w:after="140" w:line="312"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日，本公司以资本公积</w:t>
      </w:r>
      <w:r>
        <w:rPr>
          <w:color w:val="000000"/>
          <w:spacing w:val="0"/>
          <w:w w:val="100"/>
          <w:position w:val="0"/>
          <w:sz w:val="18"/>
          <w:szCs w:val="18"/>
        </w:rPr>
        <w:t>10,370</w:t>
      </w:r>
      <w:r>
        <w:rPr>
          <w:color w:val="000000"/>
          <w:spacing w:val="0"/>
          <w:w w:val="100"/>
          <w:position w:val="0"/>
        </w:rPr>
        <w:t>万元转增资本，转增后注册资本变更为</w:t>
      </w:r>
      <w:r>
        <w:rPr>
          <w:color w:val="000000"/>
          <w:spacing w:val="0"/>
          <w:w w:val="100"/>
          <w:position w:val="0"/>
          <w:sz w:val="18"/>
          <w:szCs w:val="18"/>
        </w:rPr>
        <w:t>31,110</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日，本公司 </w:t>
      </w:r>
      <w:r>
        <w:rPr>
          <w:color w:val="000000"/>
          <w:spacing w:val="0"/>
          <w:w w:val="100"/>
          <w:position w:val="0"/>
        </w:rPr>
        <w:t>办理完成相关工商登记变更手续，注册资本和股本均由</w:t>
      </w:r>
      <w:r>
        <w:rPr>
          <w:color w:val="000000"/>
          <w:spacing w:val="0"/>
          <w:w w:val="100"/>
          <w:position w:val="0"/>
          <w:sz w:val="18"/>
          <w:szCs w:val="18"/>
        </w:rPr>
        <w:t>20, 740</w:t>
      </w:r>
      <w:r>
        <w:rPr>
          <w:color w:val="000000"/>
          <w:spacing w:val="0"/>
          <w:w w:val="100"/>
          <w:position w:val="0"/>
        </w:rPr>
        <w:t>万元变更为</w:t>
      </w:r>
      <w:r>
        <w:rPr>
          <w:color w:val="000000"/>
          <w:spacing w:val="0"/>
          <w:w w:val="100"/>
          <w:position w:val="0"/>
          <w:sz w:val="18"/>
          <w:szCs w:val="18"/>
        </w:rPr>
        <w:t>31, 110</w:t>
      </w:r>
      <w:r>
        <w:rPr>
          <w:color w:val="000000"/>
          <w:spacing w:val="0"/>
          <w:w w:val="100"/>
          <w:position w:val="0"/>
        </w:rPr>
        <w:t>万元。</w:t>
      </w:r>
    </w:p>
    <w:p>
      <w:pPr>
        <w:pStyle w:val="Style21"/>
        <w:keepNext w:val="0"/>
        <w:keepLines w:val="0"/>
        <w:widowControl w:val="0"/>
        <w:shd w:val="clear" w:color="auto" w:fill="auto"/>
        <w:bidi w:val="0"/>
        <w:spacing w:before="0" w:after="140" w:line="322"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日，本公司以资本公积</w:t>
      </w:r>
      <w:r>
        <w:rPr>
          <w:color w:val="000000"/>
          <w:spacing w:val="0"/>
          <w:w w:val="100"/>
          <w:position w:val="0"/>
          <w:sz w:val="18"/>
          <w:szCs w:val="18"/>
        </w:rPr>
        <w:t>31,110</w:t>
      </w:r>
      <w:r>
        <w:rPr>
          <w:color w:val="000000"/>
          <w:spacing w:val="0"/>
          <w:w w:val="100"/>
          <w:position w:val="0"/>
        </w:rPr>
        <w:t>万元转增资本，转增后注册资本变更为</w:t>
      </w:r>
      <w:r>
        <w:rPr>
          <w:color w:val="000000"/>
          <w:spacing w:val="0"/>
          <w:w w:val="100"/>
          <w:position w:val="0"/>
          <w:sz w:val="18"/>
          <w:szCs w:val="18"/>
        </w:rPr>
        <w:t>62,220</w:t>
      </w:r>
      <w:r>
        <w:rPr>
          <w:color w:val="000000"/>
          <w:spacing w:val="0"/>
          <w:w w:val="100"/>
          <w:position w:val="0"/>
        </w:rPr>
        <w:t>万元。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 办理完成相关工商登记变更手续，注册资本和股本均由</w:t>
      </w:r>
      <w:r>
        <w:rPr>
          <w:color w:val="000000"/>
          <w:spacing w:val="0"/>
          <w:w w:val="100"/>
          <w:position w:val="0"/>
          <w:sz w:val="18"/>
          <w:szCs w:val="18"/>
        </w:rPr>
        <w:t>31, 110</w:t>
      </w:r>
      <w:r>
        <w:rPr>
          <w:color w:val="000000"/>
          <w:spacing w:val="0"/>
          <w:w w:val="100"/>
          <w:position w:val="0"/>
        </w:rPr>
        <w:t>万元变更为</w:t>
      </w:r>
      <w:r>
        <w:rPr>
          <w:color w:val="000000"/>
          <w:spacing w:val="0"/>
          <w:w w:val="100"/>
          <w:position w:val="0"/>
          <w:sz w:val="18"/>
          <w:szCs w:val="18"/>
        </w:rPr>
        <w:t>62, 220</w:t>
      </w:r>
      <w:r>
        <w:rPr>
          <w:color w:val="000000"/>
          <w:spacing w:val="0"/>
          <w:w w:val="100"/>
          <w:position w:val="0"/>
        </w:rPr>
        <w:t>万元。</w:t>
      </w:r>
    </w:p>
    <w:p>
      <w:pPr>
        <w:pStyle w:val="Style21"/>
        <w:keepNext w:val="0"/>
        <w:keepLines w:val="0"/>
        <w:widowControl w:val="0"/>
        <w:shd w:val="clear" w:color="auto" w:fill="auto"/>
        <w:bidi w:val="0"/>
        <w:spacing w:before="0" w:after="140" w:line="322"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日，本公司向福建省工商行政管理局申请并完成了 “三证合一”的工商变更登记，新取得的《营业执照》 统一社会信用代码为</w:t>
      </w:r>
      <w:r>
        <w:rPr>
          <w:color w:val="000000"/>
          <w:spacing w:val="0"/>
          <w:w w:val="100"/>
          <w:position w:val="0"/>
          <w:sz w:val="18"/>
          <w:szCs w:val="18"/>
        </w:rPr>
        <w:t>913500006285075795</w:t>
      </w:r>
      <w:r>
        <w:rPr>
          <w:color w:val="000000"/>
          <w:spacing w:val="0"/>
          <w:w w:val="100"/>
          <w:position w:val="0"/>
        </w:rPr>
        <w:t>。</w:t>
      </w:r>
    </w:p>
    <w:p>
      <w:pPr>
        <w:pStyle w:val="Style21"/>
        <w:keepNext w:val="0"/>
        <w:keepLines w:val="0"/>
        <w:widowControl w:val="0"/>
        <w:shd w:val="clear" w:color="auto" w:fill="auto"/>
        <w:tabs>
          <w:tab w:pos="817" w:val="left"/>
        </w:tabs>
        <w:bidi w:val="0"/>
        <w:spacing w:before="0" w:after="140" w:line="313" w:lineRule="exact"/>
        <w:ind w:left="0" w:right="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2）</w:t>
        <w:tab/>
      </w:r>
      <w:r>
        <w:rPr>
          <w:color w:val="000000"/>
          <w:spacing w:val="0"/>
          <w:w w:val="100"/>
          <w:position w:val="0"/>
        </w:rPr>
        <w:t>法人代表及公司地址</w:t>
      </w:r>
    </w:p>
    <w:p>
      <w:pPr>
        <w:pStyle w:val="Style21"/>
        <w:keepNext w:val="0"/>
        <w:keepLines w:val="0"/>
        <w:widowControl w:val="0"/>
        <w:shd w:val="clear" w:color="auto" w:fill="auto"/>
        <w:bidi w:val="0"/>
        <w:spacing w:before="0" w:after="140" w:line="313" w:lineRule="exact"/>
        <w:ind w:left="0" w:right="0"/>
        <w:jc w:val="both"/>
      </w:pPr>
      <w:r>
        <w:rPr>
          <w:color w:val="000000"/>
          <w:spacing w:val="0"/>
          <w:w w:val="100"/>
          <w:position w:val="0"/>
        </w:rPr>
        <w:t>本公司法定代表人为鲁峰，本公司住址为福州市鼓楼区铜盘路福州软件园产业基地。</w:t>
      </w:r>
    </w:p>
    <w:p>
      <w:pPr>
        <w:pStyle w:val="Style21"/>
        <w:keepNext w:val="0"/>
        <w:keepLines w:val="0"/>
        <w:widowControl w:val="0"/>
        <w:shd w:val="clear" w:color="auto" w:fill="auto"/>
        <w:tabs>
          <w:tab w:pos="817" w:val="left"/>
        </w:tabs>
        <w:bidi w:val="0"/>
        <w:spacing w:before="0" w:after="140" w:line="313" w:lineRule="exact"/>
        <w:ind w:left="0" w:right="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3）</w:t>
        <w:tab/>
      </w:r>
      <w:r>
        <w:rPr>
          <w:color w:val="000000"/>
          <w:spacing w:val="0"/>
          <w:w w:val="100"/>
          <w:position w:val="0"/>
        </w:rPr>
        <w:t>组织架构</w:t>
      </w:r>
    </w:p>
    <w:p>
      <w:pPr>
        <w:pStyle w:val="Style21"/>
        <w:keepNext w:val="0"/>
        <w:keepLines w:val="0"/>
        <w:widowControl w:val="0"/>
        <w:shd w:val="clear" w:color="auto" w:fill="auto"/>
        <w:bidi w:val="0"/>
        <w:spacing w:before="0" w:after="140" w:line="298" w:lineRule="exact"/>
        <w:ind w:left="0" w:right="0"/>
        <w:jc w:val="both"/>
      </w:pPr>
      <w:r>
        <w:rPr>
          <w:color w:val="000000"/>
          <w:spacing w:val="0"/>
          <w:w w:val="100"/>
          <w:position w:val="0"/>
        </w:rPr>
        <w:t>本公司建立了股东大会、董事会、监事会的法人治理结构，目前设总裁办公室、研发部、财务部、证券部、人力资源部 等部门，拥有浙江榕基信息技术有限公司、榕基五一（北京）信息技术有限公司等</w:t>
      </w:r>
      <w:r>
        <w:rPr>
          <w:color w:val="000000"/>
          <w:spacing w:val="0"/>
          <w:w w:val="100"/>
          <w:position w:val="0"/>
          <w:sz w:val="18"/>
          <w:szCs w:val="18"/>
        </w:rPr>
        <w:t>15</w:t>
      </w:r>
      <w:r>
        <w:rPr>
          <w:color w:val="000000"/>
          <w:spacing w:val="0"/>
          <w:w w:val="100"/>
          <w:position w:val="0"/>
        </w:rPr>
        <w:t>家子公司及</w:t>
      </w:r>
      <w:r>
        <w:rPr>
          <w:color w:val="000000"/>
          <w:spacing w:val="0"/>
          <w:w w:val="100"/>
          <w:position w:val="0"/>
          <w:sz w:val="18"/>
          <w:szCs w:val="18"/>
        </w:rPr>
        <w:t>2</w:t>
      </w:r>
      <w:r>
        <w:rPr>
          <w:color w:val="000000"/>
          <w:spacing w:val="0"/>
          <w:w w:val="100"/>
          <w:position w:val="0"/>
        </w:rPr>
        <w:t>家孙公司。</w:t>
      </w:r>
    </w:p>
    <w:p>
      <w:pPr>
        <w:pStyle w:val="Style21"/>
        <w:keepNext w:val="0"/>
        <w:keepLines w:val="0"/>
        <w:widowControl w:val="0"/>
        <w:shd w:val="clear" w:color="auto" w:fill="auto"/>
        <w:tabs>
          <w:tab w:pos="817" w:val="left"/>
        </w:tabs>
        <w:bidi w:val="0"/>
        <w:spacing w:before="0" w:after="140" w:line="313" w:lineRule="exact"/>
        <w:ind w:left="0" w:right="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4）</w:t>
        <w:tab/>
      </w:r>
      <w:r>
        <w:rPr>
          <w:color w:val="000000"/>
          <w:spacing w:val="0"/>
          <w:w w:val="100"/>
          <w:position w:val="0"/>
        </w:rPr>
        <w:t>行业性质及经营范围</w:t>
      </w:r>
    </w:p>
    <w:p>
      <w:pPr>
        <w:pStyle w:val="Style21"/>
        <w:keepNext w:val="0"/>
        <w:keepLines w:val="0"/>
        <w:widowControl w:val="0"/>
        <w:shd w:val="clear" w:color="auto" w:fill="auto"/>
        <w:bidi w:val="0"/>
        <w:spacing w:before="0" w:after="140" w:line="313" w:lineRule="exact"/>
        <w:ind w:left="0" w:right="0"/>
        <w:jc w:val="both"/>
      </w:pPr>
      <w:r>
        <w:rPr>
          <w:color w:val="000000"/>
          <w:spacing w:val="0"/>
          <w:w w:val="100"/>
          <w:position w:val="0"/>
        </w:rPr>
        <w:t>本公司及子公司（以下简称“本公司”）所处行业主要为信息技术行业，本公司经营范围主要包括：软件开发；软件销 售；信息系统集成服务；信息系统运行维护服务；计算机系统服务；信息技术咨询服务；软件外包服务；计算机软硬件及辅 助设备批发；计算机软硬件及辅助设备零售；网络与信息安全软件开发；互联网安全服务；信息安全设备销售；信息安全设 备制造；人工智能行业应用系统集成服务；人工智能应用软件开发；互联网数据服务；大数据服务；区块链技术相关软件和 服务；物联网应用服务；物联网技术研发；物联网技术服务；物联网设备销售；安全系统监控服务；安防设备销售；安防设 备制造；数字视频监控系统销售；数字文化创意软件开发；网络设备销售；技术服务、技术开发、技术咨询、技术交流、技 术转让、技术推广；建筑智能化系统设计；建筑智能化工程施工；各类工程建设活动；计算机信息系统安全专用产品销售； 第二类增值电信业务；互联网信息服务；房地产业的投资。</w:t>
      </w:r>
    </w:p>
    <w:p>
      <w:pPr>
        <w:pStyle w:val="Style21"/>
        <w:keepNext w:val="0"/>
        <w:keepLines w:val="0"/>
        <w:widowControl w:val="0"/>
        <w:shd w:val="clear" w:color="auto" w:fill="auto"/>
        <w:bidi w:val="0"/>
        <w:spacing w:before="0" w:after="140" w:line="313" w:lineRule="exact"/>
        <w:ind w:left="0" w:right="0"/>
        <w:jc w:val="both"/>
      </w:pPr>
      <w:r>
        <w:rPr>
          <w:color w:val="000000"/>
          <w:spacing w:val="0"/>
          <w:w w:val="100"/>
          <w:position w:val="0"/>
        </w:rPr>
        <w:t>本财务报表及财务报表附注业经本公司第五届董事会第十六次会议于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日批准。</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sz w:val="18"/>
          <w:szCs w:val="18"/>
        </w:rPr>
        <w:t>2</w:t>
      </w:r>
      <w:r>
        <w:rPr>
          <w:color w:val="000000"/>
          <w:spacing w:val="0"/>
          <w:w w:val="100"/>
          <w:position w:val="0"/>
        </w:rPr>
        <w:t>、合并财务报表范围</w:t>
      </w:r>
    </w:p>
    <w:p>
      <w:pPr>
        <w:pStyle w:val="Style21"/>
        <w:keepNext w:val="0"/>
        <w:keepLines w:val="0"/>
        <w:widowControl w:val="0"/>
        <w:shd w:val="clear" w:color="auto" w:fill="auto"/>
        <w:bidi w:val="0"/>
        <w:spacing w:before="0" w:after="360" w:line="331" w:lineRule="exact"/>
        <w:ind w:left="0" w:right="0"/>
        <w:jc w:val="both"/>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年度纳入合并范围的子公司</w:t>
      </w:r>
      <w:r>
        <w:rPr>
          <w:color w:val="000000"/>
          <w:spacing w:val="0"/>
          <w:w w:val="100"/>
          <w:position w:val="0"/>
          <w:sz w:val="18"/>
          <w:szCs w:val="18"/>
        </w:rPr>
        <w:t>15</w:t>
      </w:r>
      <w:r>
        <w:rPr>
          <w:color w:val="000000"/>
          <w:spacing w:val="0"/>
          <w:w w:val="100"/>
          <w:position w:val="0"/>
        </w:rPr>
        <w:t>家、孙公司</w:t>
      </w:r>
      <w:r>
        <w:rPr>
          <w:color w:val="000000"/>
          <w:spacing w:val="0"/>
          <w:w w:val="100"/>
          <w:position w:val="0"/>
          <w:sz w:val="18"/>
          <w:szCs w:val="18"/>
        </w:rPr>
        <w:t>2</w:t>
      </w:r>
      <w:r>
        <w:rPr>
          <w:color w:val="000000"/>
          <w:spacing w:val="0"/>
          <w:w w:val="100"/>
          <w:position w:val="0"/>
        </w:rPr>
        <w:t>家，各家子、孙公司情况详见附注“七、在其他主体中的权益”。 本期合并报表范围的变动详见附注六、合并范围的变动。</w:t>
      </w:r>
    </w:p>
    <w:p>
      <w:pPr>
        <w:pStyle w:val="Style24"/>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、财务报表的编制基础</w:t>
      </w:r>
      <w:bookmarkEnd w:id="715"/>
      <w:bookmarkEnd w:id="716"/>
      <w:bookmarkEnd w:id="718"/>
    </w:p>
    <w:p>
      <w:pPr>
        <w:pStyle w:val="Style32"/>
        <w:keepNext/>
        <w:keepLines/>
        <w:widowControl w:val="0"/>
        <w:shd w:val="clear" w:color="auto" w:fill="auto"/>
        <w:tabs>
          <w:tab w:pos="346"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编制基础</w:t>
      </w:r>
      <w:bookmarkEnd w:id="719"/>
      <w:bookmarkEnd w:id="720"/>
      <w:bookmarkEnd w:id="722"/>
    </w:p>
    <w:p>
      <w:pPr>
        <w:pStyle w:val="Style21"/>
        <w:keepNext w:val="0"/>
        <w:keepLines w:val="0"/>
        <w:widowControl w:val="0"/>
        <w:shd w:val="clear" w:color="auto" w:fill="auto"/>
        <w:bidi w:val="0"/>
        <w:spacing w:before="0" w:after="400" w:line="307" w:lineRule="exact"/>
        <w:ind w:left="0" w:right="0"/>
        <w:jc w:val="both"/>
      </w:pPr>
      <w:r>
        <w:rPr>
          <w:color w:val="000000"/>
          <w:spacing w:val="0"/>
          <w:w w:val="100"/>
          <w:position w:val="0"/>
        </w:rPr>
        <w:t>本财务报表按照财政部发布的企业会计准则及其应用指南、解释及其他有关规定（统称“企业会计准则”）编制。此外， 本公司还按照中国证监会《公开发行证券的公司信息披露编报规则第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 财务信息。</w:t>
      </w:r>
    </w:p>
    <w:p>
      <w:pPr>
        <w:pStyle w:val="Style32"/>
        <w:keepNext/>
        <w:keepLines/>
        <w:widowControl w:val="0"/>
        <w:shd w:val="clear" w:color="auto" w:fill="auto"/>
        <w:tabs>
          <w:tab w:pos="355"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持续经营</w:t>
      </w:r>
      <w:bookmarkEnd w:id="723"/>
      <w:bookmarkEnd w:id="724"/>
      <w:bookmarkEnd w:id="726"/>
    </w:p>
    <w:p>
      <w:pPr>
        <w:pStyle w:val="Style21"/>
        <w:keepNext w:val="0"/>
        <w:keepLines w:val="0"/>
        <w:widowControl w:val="0"/>
        <w:shd w:val="clear" w:color="auto" w:fill="auto"/>
        <w:bidi w:val="0"/>
        <w:spacing w:before="0" w:after="140" w:line="313" w:lineRule="exact"/>
        <w:ind w:left="0" w:right="0"/>
        <w:jc w:val="both"/>
      </w:pPr>
      <w:r>
        <w:rPr>
          <w:color w:val="000000"/>
          <w:spacing w:val="0"/>
          <w:w w:val="100"/>
          <w:position w:val="0"/>
        </w:rPr>
        <w:t>本财务报表以持续经营为基础列报。</w:t>
      </w:r>
    </w:p>
    <w:p>
      <w:pPr>
        <w:pStyle w:val="Style21"/>
        <w:keepNext w:val="0"/>
        <w:keepLines w:val="0"/>
        <w:widowControl w:val="0"/>
        <w:shd w:val="clear" w:color="auto" w:fill="auto"/>
        <w:bidi w:val="0"/>
        <w:spacing w:before="0" w:after="140" w:line="312" w:lineRule="exact"/>
        <w:ind w:left="0" w:right="0"/>
        <w:jc w:val="both"/>
      </w:pPr>
      <w:r>
        <w:rPr>
          <w:color w:val="000000"/>
          <w:spacing w:val="0"/>
          <w:w w:val="100"/>
          <w:position w:val="0"/>
        </w:rPr>
        <w:t>本公司会计核算以权责发生制为基础。除某些金融工具外，本财务报表均以历史成本为计量基础。资产如果发生减值， 则按照相关规定计提相应的减值准备。</w:t>
      </w:r>
    </w:p>
    <w:p>
      <w:pPr>
        <w:pStyle w:val="Style24"/>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、重要会计政策及会计估计</w:t>
      </w:r>
      <w:bookmarkEnd w:id="727"/>
      <w:bookmarkEnd w:id="728"/>
      <w:bookmarkEnd w:id="730"/>
    </w:p>
    <w:p>
      <w:pPr>
        <w:pStyle w:val="Style21"/>
        <w:keepNext w:val="0"/>
        <w:keepLines w:val="0"/>
        <w:widowControl w:val="0"/>
        <w:shd w:val="clear" w:color="auto" w:fill="auto"/>
        <w:bidi w:val="0"/>
        <w:spacing w:before="0" w:after="140" w:line="311" w:lineRule="exact"/>
        <w:ind w:left="0" w:right="0"/>
        <w:jc w:val="both"/>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本公司根据自身生产经营特点，确定研发费用资本化条件以及收入确认政策，具体会计政策见附注三、</w:t>
      </w:r>
      <w:r>
        <w:rPr>
          <w:color w:val="000000"/>
          <w:spacing w:val="0"/>
          <w:w w:val="100"/>
          <w:position w:val="0"/>
          <w:sz w:val="18"/>
          <w:szCs w:val="18"/>
        </w:rPr>
        <w:t>18</w:t>
      </w:r>
      <w:r>
        <w:rPr>
          <w:color w:val="000000"/>
          <w:spacing w:val="0"/>
          <w:w w:val="100"/>
          <w:position w:val="0"/>
        </w:rPr>
        <w:t>和附注三、</w:t>
      </w:r>
      <w:r>
        <w:rPr>
          <w:color w:val="000000"/>
          <w:spacing w:val="0"/>
          <w:w w:val="100"/>
          <w:position w:val="0"/>
          <w:sz w:val="18"/>
          <w:szCs w:val="18"/>
        </w:rPr>
        <w:t>22</w:t>
      </w:r>
      <w:r>
        <w:rPr>
          <w:color w:val="000000"/>
          <w:spacing w:val="0"/>
          <w:w w:val="100"/>
          <w:position w:val="0"/>
        </w:rPr>
        <w:t>。</w:t>
      </w:r>
    </w:p>
    <w:p>
      <w:pPr>
        <w:pStyle w:val="Style32"/>
        <w:keepNext/>
        <w:keepLines/>
        <w:widowControl w:val="0"/>
        <w:shd w:val="clear" w:color="auto" w:fill="auto"/>
        <w:tabs>
          <w:tab w:pos="35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遵循企业会计准则的声明</w:t>
      </w:r>
      <w:bookmarkEnd w:id="731"/>
      <w:bookmarkEnd w:id="732"/>
      <w:bookmarkEnd w:id="734"/>
    </w:p>
    <w:p>
      <w:pPr>
        <w:pStyle w:val="Style21"/>
        <w:keepNext w:val="0"/>
        <w:keepLines w:val="0"/>
        <w:widowControl w:val="0"/>
        <w:shd w:val="clear" w:color="auto" w:fill="auto"/>
        <w:bidi w:val="0"/>
        <w:spacing w:before="0" w:after="400" w:line="322" w:lineRule="exact"/>
        <w:ind w:left="0" w:right="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年的 合并及公司经营成果和合并及公司现金流量等有关信息。</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21"/>
        <w:keepNext w:val="0"/>
        <w:keepLines w:val="0"/>
        <w:widowControl w:val="0"/>
        <w:shd w:val="clear" w:color="auto" w:fill="auto"/>
        <w:bidi w:val="0"/>
        <w:spacing w:before="0" w:after="400" w:line="307" w:lineRule="exact"/>
        <w:ind w:left="0" w:right="0"/>
        <w:jc w:val="both"/>
      </w:pPr>
      <w:r>
        <w:rPr>
          <w:color w:val="000000"/>
          <w:spacing w:val="0"/>
          <w:w w:val="100"/>
          <w:position w:val="0"/>
        </w:rPr>
        <w:t>本公司及境内子公司以人民币为记账本位币。本公司之境外子公司根据其经营所处的主要经济环境中的货币确定港币为 其记账本位币。本公司编制本财务报表时所采用的货币为人民币。</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21"/>
        <w:keepNext w:val="0"/>
        <w:keepLines w:val="0"/>
        <w:widowControl w:val="0"/>
        <w:shd w:val="clear" w:color="auto" w:fill="auto"/>
        <w:tabs>
          <w:tab w:pos="830" w:val="left"/>
        </w:tabs>
        <w:bidi w:val="0"/>
        <w:spacing w:before="0" w:after="0" w:line="311" w:lineRule="exact"/>
        <w:ind w:left="0" w:right="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1）</w:t>
        <w:tab/>
      </w:r>
      <w:r>
        <w:rPr>
          <w:color w:val="000000"/>
          <w:spacing w:val="0"/>
          <w:w w:val="100"/>
          <w:position w:val="0"/>
        </w:rPr>
        <w:t>同一控制下的企业合并</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调整资本公积（股本溢价），资本公积（股本溢价）不足冲减的，调整留存收益。</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通过多次交易分步实现同一控制下的企业合并</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额，调整资本公积（股本溢价），资本公积不足冲减的，调整留存收益。</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取得的净资产账面价值的差额，调整资本公积（股本溢价），资本公积不足冲减的，调整留存收益。合并方在取得被合并方 控制权之前持有的长期股权投资，在取得原股权之日与合并方与被合并方同处于同一方最终控制之日孰晚日起至合并日之间 已确认有关损益、其他综合收益和其他所有者权益变动，应分别冲减比较报表期间的期初留存收益或当期损益。</w:t>
      </w:r>
    </w:p>
    <w:p>
      <w:pPr>
        <w:pStyle w:val="Style21"/>
        <w:keepNext w:val="0"/>
        <w:keepLines w:val="0"/>
        <w:widowControl w:val="0"/>
        <w:shd w:val="clear" w:color="auto" w:fill="auto"/>
        <w:tabs>
          <w:tab w:pos="830" w:val="left"/>
        </w:tabs>
        <w:bidi w:val="0"/>
        <w:spacing w:before="0" w:after="0" w:line="311" w:lineRule="exact"/>
        <w:ind w:left="0" w:right="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2）</w:t>
        <w:tab/>
      </w:r>
      <w:r>
        <w:rPr>
          <w:color w:val="000000"/>
          <w:spacing w:val="0"/>
          <w:w w:val="100"/>
          <w:position w:val="0"/>
        </w:rPr>
        <w:t>非同一控制下的企业合并</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21"/>
        <w:keepNext w:val="0"/>
        <w:keepLines w:val="0"/>
        <w:widowControl w:val="0"/>
        <w:shd w:val="clear" w:color="auto" w:fill="auto"/>
        <w:tabs>
          <w:tab w:pos="830" w:val="left"/>
        </w:tabs>
        <w:bidi w:val="0"/>
        <w:spacing w:before="0" w:after="260" w:line="311" w:lineRule="exact"/>
        <w:ind w:left="0" w:right="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3）</w:t>
        <w:tab/>
      </w:r>
      <w:r>
        <w:rPr>
          <w:color w:val="000000"/>
          <w:spacing w:val="0"/>
          <w:w w:val="100"/>
          <w:position w:val="0"/>
        </w:rPr>
        <w:t>企业合并中有关交易费用的处理</w:t>
      </w:r>
    </w:p>
    <w:p>
      <w:pPr>
        <w:pStyle w:val="Style21"/>
        <w:keepNext w:val="0"/>
        <w:keepLines w:val="0"/>
        <w:widowControl w:val="0"/>
        <w:shd w:val="clear" w:color="auto" w:fill="auto"/>
        <w:bidi w:val="0"/>
        <w:spacing w:before="0" w:after="400" w:line="317"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2"/>
        <w:keepNext/>
        <w:keepLines/>
        <w:widowControl w:val="0"/>
        <w:shd w:val="clear" w:color="auto" w:fill="auto"/>
        <w:tabs>
          <w:tab w:pos="367"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w:t>
        <w:tab/>
        <w:t>合并财务报表的编制方法</w:t>
      </w:r>
      <w:bookmarkEnd w:id="754"/>
      <w:bookmarkEnd w:id="755"/>
      <w:bookmarkEnd w:id="757"/>
    </w:p>
    <w:p>
      <w:pPr>
        <w:pStyle w:val="Style21"/>
        <w:keepNext w:val="0"/>
        <w:keepLines w:val="0"/>
        <w:widowControl w:val="0"/>
        <w:shd w:val="clear" w:color="auto" w:fill="auto"/>
        <w:tabs>
          <w:tab w:pos="828" w:val="left"/>
        </w:tabs>
        <w:bidi w:val="0"/>
        <w:spacing w:before="0" w:after="0" w:line="312" w:lineRule="exact"/>
        <w:ind w:left="0" w:right="0"/>
        <w:jc w:val="left"/>
      </w:pPr>
      <w:bookmarkStart w:id="758" w:name="bookmark758"/>
      <w:r>
        <w:rPr>
          <w:color w:val="000000"/>
          <w:spacing w:val="0"/>
          <w:w w:val="100"/>
          <w:position w:val="0"/>
          <w:sz w:val="18"/>
          <w:szCs w:val="18"/>
        </w:rPr>
        <w:t>（</w:t>
      </w:r>
      <w:bookmarkEnd w:id="758"/>
      <w:r>
        <w:rPr>
          <w:color w:val="000000"/>
          <w:spacing w:val="0"/>
          <w:w w:val="100"/>
          <w:position w:val="0"/>
          <w:sz w:val="18"/>
          <w:szCs w:val="18"/>
        </w:rPr>
        <w:t>1）</w:t>
        <w:tab/>
      </w:r>
      <w:r>
        <w:rPr>
          <w:color w:val="000000"/>
          <w:spacing w:val="0"/>
          <w:w w:val="100"/>
          <w:position w:val="0"/>
        </w:rPr>
        <w:t>合并范围</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21"/>
        <w:keepNext w:val="0"/>
        <w:keepLines w:val="0"/>
        <w:widowControl w:val="0"/>
        <w:shd w:val="clear" w:color="auto" w:fill="auto"/>
        <w:tabs>
          <w:tab w:pos="828" w:val="left"/>
        </w:tabs>
        <w:bidi w:val="0"/>
        <w:spacing w:before="0" w:after="0" w:line="312" w:lineRule="exact"/>
        <w:ind w:left="0" w:right="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2）</w:t>
        <w:tab/>
      </w:r>
      <w:r>
        <w:rPr>
          <w:color w:val="000000"/>
          <w:spacing w:val="0"/>
          <w:w w:val="100"/>
          <w:position w:val="0"/>
        </w:rPr>
        <w:t>合并财务报表的编制方法</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司当期净损益中属于少数股东权益的份额，在合并利润表中净利润项目下以“少数股东损益”项目列示。少数股东分担的子 公司的亏损超过了少数股东在该子公司期初所有者权益中所享有的份额，其余额仍冲减少数股东权益。</w:t>
      </w:r>
    </w:p>
    <w:p>
      <w:pPr>
        <w:pStyle w:val="Style21"/>
        <w:keepNext w:val="0"/>
        <w:keepLines w:val="0"/>
        <w:widowControl w:val="0"/>
        <w:shd w:val="clear" w:color="auto" w:fill="auto"/>
        <w:tabs>
          <w:tab w:pos="828" w:val="left"/>
        </w:tabs>
        <w:bidi w:val="0"/>
        <w:spacing w:before="0" w:after="0" w:line="312" w:lineRule="exact"/>
        <w:ind w:left="0" w:right="0"/>
        <w:jc w:val="left"/>
      </w:pPr>
      <w:bookmarkStart w:id="760" w:name="bookmark760"/>
      <w:r>
        <w:rPr>
          <w:color w:val="000000"/>
          <w:spacing w:val="0"/>
          <w:w w:val="100"/>
          <w:position w:val="0"/>
          <w:sz w:val="18"/>
          <w:szCs w:val="18"/>
        </w:rPr>
        <w:t>（</w:t>
      </w:r>
      <w:bookmarkEnd w:id="760"/>
      <w:r>
        <w:rPr>
          <w:color w:val="000000"/>
          <w:spacing w:val="0"/>
          <w:w w:val="100"/>
          <w:position w:val="0"/>
          <w:sz w:val="18"/>
          <w:szCs w:val="18"/>
        </w:rPr>
        <w:t>3）</w:t>
        <w:tab/>
      </w:r>
      <w:r>
        <w:rPr>
          <w:color w:val="000000"/>
          <w:spacing w:val="0"/>
          <w:w w:val="100"/>
          <w:position w:val="0"/>
        </w:rPr>
        <w:t>购买子公司少数股东股权</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资相对应享有子公司自购买日或合并日开始持续计算的净资产份额之间的差额，均调整合并资产负债表中的资本公积（股本 溢价），资本公积（股本溢价）不足冲减的，调整留存收益。</w:t>
      </w:r>
    </w:p>
    <w:p>
      <w:pPr>
        <w:pStyle w:val="Style21"/>
        <w:keepNext w:val="0"/>
        <w:keepLines w:val="0"/>
        <w:widowControl w:val="0"/>
        <w:shd w:val="clear" w:color="auto" w:fill="auto"/>
        <w:tabs>
          <w:tab w:pos="828" w:val="left"/>
        </w:tabs>
        <w:bidi w:val="0"/>
        <w:spacing w:before="0" w:after="0" w:line="312" w:lineRule="exact"/>
        <w:ind w:left="0" w:right="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4）</w:t>
        <w:tab/>
      </w:r>
      <w:r>
        <w:rPr>
          <w:color w:val="000000"/>
          <w:spacing w:val="0"/>
          <w:w w:val="100"/>
          <w:position w:val="0"/>
        </w:rPr>
        <w:t>丧失子公司控制权的处理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32"/>
        <w:keepNext/>
        <w:keepLines/>
        <w:widowControl w:val="0"/>
        <w:shd w:val="clear" w:color="auto" w:fill="auto"/>
        <w:tabs>
          <w:tab w:pos="367" w:val="left"/>
        </w:tabs>
        <w:bidi w:val="0"/>
        <w:spacing w:before="0" w:after="26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w:t>
        <w:tab/>
        <w:t>合营安排分类及共同经营会计处理方法</w:t>
      </w:r>
      <w:bookmarkEnd w:id="762"/>
      <w:bookmarkEnd w:id="763"/>
      <w:bookmarkEnd w:id="765"/>
    </w:p>
    <w:p>
      <w:pPr>
        <w:pStyle w:val="Style2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无。</w:t>
      </w:r>
    </w:p>
    <w:p>
      <w:pPr>
        <w:pStyle w:val="Style32"/>
        <w:keepNext/>
        <w:keepLines/>
        <w:widowControl w:val="0"/>
        <w:shd w:val="clear" w:color="auto" w:fill="auto"/>
        <w:tabs>
          <w:tab w:pos="367" w:val="left"/>
        </w:tabs>
        <w:bidi w:val="0"/>
        <w:spacing w:before="0" w:after="26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w:t>
        <w:tab/>
        <w:t>现金及现金等价物的确定标准</w:t>
      </w:r>
      <w:bookmarkEnd w:id="766"/>
      <w:bookmarkEnd w:id="767"/>
      <w:bookmarkEnd w:id="769"/>
    </w:p>
    <w:p>
      <w:pPr>
        <w:pStyle w:val="Style2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现金是指库存现金以及可以随时用于支付的存款。现金等价物，是指本公司持有的期限短、流动性强、易于转换为已知金额 现金、价值变动风险很小的投资。</w:t>
      </w:r>
    </w:p>
    <w:p>
      <w:pPr>
        <w:pStyle w:val="Style32"/>
        <w:keepNext/>
        <w:keepLines/>
        <w:widowControl w:val="0"/>
        <w:shd w:val="clear" w:color="auto" w:fill="auto"/>
        <w:tabs>
          <w:tab w:pos="367" w:val="left"/>
        </w:tabs>
        <w:bidi w:val="0"/>
        <w:spacing w:before="0" w:after="26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9</w:t>
      </w:r>
      <w:bookmarkEnd w:id="772"/>
      <w:r>
        <w:rPr>
          <w:color w:val="000000"/>
          <w:spacing w:val="0"/>
          <w:w w:val="100"/>
          <w:position w:val="0"/>
        </w:rPr>
        <w:t>、</w:t>
        <w:tab/>
        <w:t>外币业务和外币报表折算</w:t>
      </w:r>
      <w:bookmarkEnd w:id="770"/>
      <w:bookmarkEnd w:id="771"/>
      <w:bookmarkEnd w:id="773"/>
    </w:p>
    <w:p>
      <w:pPr>
        <w:pStyle w:val="Style21"/>
        <w:keepNext w:val="0"/>
        <w:keepLines w:val="0"/>
        <w:widowControl w:val="0"/>
        <w:shd w:val="clear" w:color="auto" w:fill="auto"/>
        <w:bidi w:val="0"/>
        <w:spacing w:before="0" w:after="0" w:line="312" w:lineRule="exact"/>
        <w:ind w:left="0" w:right="0"/>
        <w:jc w:val="left"/>
      </w:pPr>
      <w:bookmarkStart w:id="774" w:name="bookmark774"/>
      <w:r>
        <w:rPr>
          <w:color w:val="000000"/>
          <w:spacing w:val="0"/>
          <w:w w:val="100"/>
          <w:position w:val="0"/>
          <w:sz w:val="18"/>
          <w:szCs w:val="18"/>
        </w:rPr>
        <w:t>（</w:t>
      </w:r>
      <w:bookmarkEnd w:id="774"/>
      <w:r>
        <w:rPr>
          <w:color w:val="000000"/>
          <w:spacing w:val="0"/>
          <w:w w:val="100"/>
          <w:position w:val="0"/>
          <w:sz w:val="18"/>
          <w:szCs w:val="18"/>
        </w:rPr>
        <w:t>1）</w:t>
      </w:r>
      <w:r>
        <w:rPr>
          <w:color w:val="000000"/>
          <w:spacing w:val="0"/>
          <w:w w:val="100"/>
          <w:position w:val="0"/>
        </w:rPr>
        <w:t>外币业务</w:t>
      </w:r>
    </w:p>
    <w:p>
      <w:pPr>
        <w:pStyle w:val="Style21"/>
        <w:keepNext w:val="0"/>
        <w:keepLines w:val="0"/>
        <w:widowControl w:val="0"/>
        <w:shd w:val="clear" w:color="auto" w:fill="auto"/>
        <w:bidi w:val="0"/>
        <w:spacing w:before="0" w:after="260" w:line="312" w:lineRule="exact"/>
        <w:ind w:left="0" w:right="0"/>
        <w:jc w:val="left"/>
      </w:pPr>
      <w:r>
        <w:rPr>
          <w:color w:val="000000"/>
          <w:spacing w:val="0"/>
          <w:w w:val="100"/>
          <w:position w:val="0"/>
        </w:rPr>
        <w:t>本公司发生外币业务，按交易发生日的即期汇率折算为记账本位币金额。</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21"/>
        <w:keepNext w:val="0"/>
        <w:keepLines w:val="0"/>
        <w:widowControl w:val="0"/>
        <w:numPr>
          <w:ilvl w:val="0"/>
          <w:numId w:val="5"/>
        </w:numPr>
        <w:shd w:val="clear" w:color="auto" w:fill="auto"/>
        <w:bidi w:val="0"/>
        <w:spacing w:before="0" w:after="0" w:line="310" w:lineRule="exact"/>
        <w:ind w:left="0" w:right="0"/>
        <w:jc w:val="both"/>
      </w:pPr>
      <w:bookmarkStart w:id="775" w:name="bookmark775"/>
      <w:bookmarkEnd w:id="775"/>
      <w:r>
        <w:rPr>
          <w:color w:val="000000"/>
          <w:spacing w:val="0"/>
          <w:w w:val="100"/>
          <w:position w:val="0"/>
        </w:rPr>
        <w:t>外币财务报表的折算</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资产负债表日，对境外子公司外币财务报表进行折算时，资产负债表中的资产和负债项目，采用资产负债表日的即期汇 率折算，股东权益项目除“未分配利润”夕卜，其他项目采用发生日的即期汇率折算。</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利润表中的收入和费用项目，采用按照系统合理的方法确定的、与交易发生日即期汇率近似的汇率折算。</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现金流量表所有项目均按照系统合理的方法确定的、与现金流量发生日即期汇率近似的汇率折算。汇率变动对现金的影 响额作为调节项目，在现金流量表中单独列示“汇率变动对现金及现金等价物的影响”项目反映。</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由于财务报表折算而产生的差额，在资产负债表股东权益项目下的“其他综合收益”项目反映。</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处置境外经营并丧失控制权时，将资产负债表中股东权益项目下列示的、与该境外经营相关的外币报表折算差额，全部 或按处置该境外经营的比例转入处置当期损益。</w:t>
      </w:r>
    </w:p>
    <w:p>
      <w:pPr>
        <w:pStyle w:val="Style32"/>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6"/>
      <w:bookmarkEnd w:id="777"/>
      <w:bookmarkEnd w:id="779"/>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金融工具是指形成一方的金融资产，并形成其他方的金融负债或权益工具的合同。</w:t>
      </w:r>
    </w:p>
    <w:p>
      <w:pPr>
        <w:pStyle w:val="Style21"/>
        <w:keepNext w:val="0"/>
        <w:keepLines w:val="0"/>
        <w:widowControl w:val="0"/>
        <w:numPr>
          <w:ilvl w:val="0"/>
          <w:numId w:val="7"/>
        </w:numPr>
        <w:shd w:val="clear" w:color="auto" w:fill="auto"/>
        <w:tabs>
          <w:tab w:pos="777" w:val="left"/>
        </w:tabs>
        <w:bidi w:val="0"/>
        <w:spacing w:before="0" w:after="0" w:line="311" w:lineRule="exact"/>
        <w:ind w:left="0" w:right="0"/>
        <w:jc w:val="both"/>
      </w:pPr>
      <w:bookmarkStart w:id="780" w:name="bookmark780"/>
      <w:bookmarkEnd w:id="780"/>
      <w:r>
        <w:rPr>
          <w:color w:val="000000"/>
          <w:spacing w:val="0"/>
          <w:w w:val="100"/>
          <w:position w:val="0"/>
        </w:rPr>
        <w:t>金融工具的确认和终止确认</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本公司于成为金融工具合同的一方时确认一项金融资产或金融负债。</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金融资产满足下列条件之一的，终止确认：</w:t>
      </w:r>
    </w:p>
    <w:p>
      <w:pPr>
        <w:pStyle w:val="Style21"/>
        <w:keepNext w:val="0"/>
        <w:keepLines w:val="0"/>
        <w:widowControl w:val="0"/>
        <w:numPr>
          <w:ilvl w:val="0"/>
          <w:numId w:val="9"/>
        </w:numPr>
        <w:shd w:val="clear" w:color="auto" w:fill="auto"/>
        <w:tabs>
          <w:tab w:pos="753" w:val="left"/>
        </w:tabs>
        <w:bidi w:val="0"/>
        <w:spacing w:before="0" w:after="0" w:line="311" w:lineRule="exact"/>
        <w:ind w:left="0" w:right="0"/>
        <w:jc w:val="both"/>
      </w:pPr>
      <w:bookmarkStart w:id="781" w:name="bookmark781"/>
      <w:bookmarkEnd w:id="781"/>
      <w:r>
        <w:rPr>
          <w:color w:val="000000"/>
          <w:spacing w:val="0"/>
          <w:w w:val="100"/>
          <w:position w:val="0"/>
        </w:rPr>
        <w:t>收取该金融资产现金流量的合同权利终止；</w:t>
      </w:r>
    </w:p>
    <w:p>
      <w:pPr>
        <w:pStyle w:val="Style21"/>
        <w:keepNext w:val="0"/>
        <w:keepLines w:val="0"/>
        <w:widowControl w:val="0"/>
        <w:numPr>
          <w:ilvl w:val="0"/>
          <w:numId w:val="9"/>
        </w:numPr>
        <w:shd w:val="clear" w:color="auto" w:fill="auto"/>
        <w:tabs>
          <w:tab w:pos="753" w:val="left"/>
        </w:tabs>
        <w:bidi w:val="0"/>
        <w:spacing w:before="0" w:after="0" w:line="311" w:lineRule="exact"/>
        <w:ind w:left="0" w:right="0"/>
        <w:jc w:val="both"/>
      </w:pPr>
      <w:bookmarkStart w:id="782" w:name="bookmark782"/>
      <w:bookmarkEnd w:id="782"/>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金融负债的现时义务全部或部分已经解除的，终止确认该金融负债或其一部分。本公司(债务人)与债权人之间签订协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以常规方式买卖金融资产，按交易日进行会计确认和终止确认。</w:t>
      </w:r>
    </w:p>
    <w:p>
      <w:pPr>
        <w:pStyle w:val="Style21"/>
        <w:keepNext w:val="0"/>
        <w:keepLines w:val="0"/>
        <w:widowControl w:val="0"/>
        <w:numPr>
          <w:ilvl w:val="0"/>
          <w:numId w:val="7"/>
        </w:numPr>
        <w:shd w:val="clear" w:color="auto" w:fill="auto"/>
        <w:tabs>
          <w:tab w:pos="777" w:val="left"/>
        </w:tabs>
        <w:bidi w:val="0"/>
        <w:spacing w:before="0" w:after="0" w:line="311" w:lineRule="exact"/>
        <w:ind w:left="0" w:right="0"/>
        <w:jc w:val="both"/>
      </w:pPr>
      <w:bookmarkStart w:id="783" w:name="bookmark783"/>
      <w:bookmarkEnd w:id="783"/>
      <w:r>
        <w:rPr>
          <w:color w:val="000000"/>
          <w:spacing w:val="0"/>
          <w:w w:val="100"/>
          <w:position w:val="0"/>
        </w:rPr>
        <w:t>金融资产分类和计量</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21"/>
        <w:keepNext w:val="0"/>
        <w:keepLines w:val="0"/>
        <w:widowControl w:val="0"/>
        <w:shd w:val="clear" w:color="auto" w:fill="auto"/>
        <w:bidi w:val="0"/>
        <w:spacing w:before="0" w:after="0" w:line="311" w:lineRule="exact"/>
        <w:ind w:left="0" w:right="0"/>
        <w:jc w:val="both"/>
      </w:pPr>
      <w:r>
        <w:rPr>
          <w:b/>
          <w:bCs/>
          <w:color w:val="000000"/>
          <w:spacing w:val="0"/>
          <w:w w:val="100"/>
          <w:position w:val="0"/>
        </w:rPr>
        <w:t>以摊余成本计量的金融资产</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1"/>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w:t>
      </w:r>
      <w:r>
        <w:rPr>
          <w:color w:val="000000"/>
          <w:spacing w:val="0"/>
          <w:w w:val="100"/>
          <w:position w:val="0"/>
        </w:rPr>
        <w:t>本公司管理该金融资产的业务模式是以收取合同现金流量为目标；</w:t>
      </w:r>
    </w:p>
    <w:p>
      <w:pPr>
        <w:pStyle w:val="Style21"/>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z w:val="22"/>
          <w:szCs w:val="22"/>
        </w:rPr>
        <w:t>•</w:t>
      </w: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21"/>
        <w:keepNext w:val="0"/>
        <w:keepLines w:val="0"/>
        <w:widowControl w:val="0"/>
        <w:shd w:val="clear" w:color="auto" w:fill="auto"/>
        <w:bidi w:val="0"/>
        <w:spacing w:before="0" w:after="0" w:line="312" w:lineRule="exact"/>
        <w:ind w:left="0" w:right="0"/>
        <w:jc w:val="both"/>
      </w:pPr>
      <w:r>
        <w:rPr>
          <w:b/>
          <w:bCs/>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color w:val="000000"/>
          <w:spacing w:val="0"/>
          <w:w w:val="100"/>
          <w:position w:val="0"/>
        </w:rPr>
        <w:t>本公司管理该金融资产的业务模式既以收取合同现金流量为目标又以出售该金融资产为目标；</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为以公允价值计量且其变动计入当期损益的金融资产。在初始确认时，为消除或显著减少会计错配，本公司将部分本应以摊 余成本计量或以公允价值计量且其变动计入其他综合收益的金融资产不可撤销地指定为以公允价值计量且其变动计入当期 损益的金融资产。</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管理金融资产的业务模式，是指本公司如何管理金融资产以产生现金流量。业务模式决定本公司所管理金融资产现金流 量的来源是收取合同现金流量、出售金融资产还是两者兼有。本公司以客观事实为依据、以关键管理人员决定的对金融资产 进行管理的特定业务目标为基础，确定管理金融资产的业务模式。</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仅在本公司改变管理金融资产的业务模式时，所有受影响的相关金融资产在业务模式发生变更后的首个报告期间的第一 天进行重分类，否则金融资产在初始确认后不得进行重分类。</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虑重大融资成分的应收账款，本公司按照预期有权收取的对价金额作为初始确认金额。</w:t>
      </w:r>
    </w:p>
    <w:p>
      <w:pPr>
        <w:pStyle w:val="Style21"/>
        <w:keepNext w:val="0"/>
        <w:keepLines w:val="0"/>
        <w:widowControl w:val="0"/>
        <w:numPr>
          <w:ilvl w:val="0"/>
          <w:numId w:val="7"/>
        </w:numPr>
        <w:shd w:val="clear" w:color="auto" w:fill="auto"/>
        <w:tabs>
          <w:tab w:pos="760" w:val="left"/>
        </w:tabs>
        <w:bidi w:val="0"/>
        <w:spacing w:before="0" w:after="0" w:line="313" w:lineRule="exact"/>
        <w:ind w:left="0" w:right="0"/>
        <w:jc w:val="left"/>
      </w:pPr>
      <w:bookmarkStart w:id="784" w:name="bookmark784"/>
      <w:bookmarkEnd w:id="784"/>
      <w:r>
        <w:rPr>
          <w:color w:val="000000"/>
          <w:spacing w:val="0"/>
          <w:w w:val="100"/>
          <w:position w:val="0"/>
        </w:rPr>
        <w:t>金融负债分类和计量</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以摊余成本计量的金融负债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其他金融负债采用实际利率法，按摊余成本进行后续计量，终止确认或摊销产生的利得或损失计入当期损益。</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金融负债与权益工具的区分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金融负债，是指符合下列条件之一的负债：</w:t>
      </w:r>
    </w:p>
    <w:p>
      <w:pPr>
        <w:pStyle w:val="Style21"/>
        <w:keepNext w:val="0"/>
        <w:keepLines w:val="0"/>
        <w:widowControl w:val="0"/>
        <w:numPr>
          <w:ilvl w:val="0"/>
          <w:numId w:val="11"/>
        </w:numPr>
        <w:shd w:val="clear" w:color="auto" w:fill="auto"/>
        <w:tabs>
          <w:tab w:pos="736" w:val="left"/>
        </w:tabs>
        <w:bidi w:val="0"/>
        <w:spacing w:before="0" w:after="0" w:line="313" w:lineRule="exact"/>
        <w:ind w:left="0" w:right="0"/>
        <w:jc w:val="both"/>
      </w:pPr>
      <w:bookmarkStart w:id="785" w:name="bookmark785"/>
      <w:bookmarkEnd w:id="785"/>
      <w:r>
        <w:rPr>
          <w:color w:val="000000"/>
          <w:spacing w:val="0"/>
          <w:w w:val="100"/>
          <w:position w:val="0"/>
        </w:rPr>
        <w:t>向其他方交付现金或其他金融资产的合同义务。</w:t>
      </w:r>
    </w:p>
    <w:p>
      <w:pPr>
        <w:pStyle w:val="Style21"/>
        <w:keepNext w:val="0"/>
        <w:keepLines w:val="0"/>
        <w:widowControl w:val="0"/>
        <w:numPr>
          <w:ilvl w:val="0"/>
          <w:numId w:val="11"/>
        </w:numPr>
        <w:shd w:val="clear" w:color="auto" w:fill="auto"/>
        <w:tabs>
          <w:tab w:pos="736" w:val="left"/>
        </w:tabs>
        <w:bidi w:val="0"/>
        <w:spacing w:before="0" w:after="0" w:line="313" w:lineRule="exact"/>
        <w:ind w:left="0" w:right="0"/>
        <w:jc w:val="both"/>
      </w:pPr>
      <w:bookmarkStart w:id="786" w:name="bookmark786"/>
      <w:bookmarkEnd w:id="786"/>
      <w:r>
        <w:rPr>
          <w:color w:val="000000"/>
          <w:spacing w:val="0"/>
          <w:w w:val="100"/>
          <w:position w:val="0"/>
        </w:rPr>
        <w:t>在潜在不利条件下，与其他方交换金融资产或金融负债的合同义务。</w:t>
      </w:r>
    </w:p>
    <w:p>
      <w:pPr>
        <w:pStyle w:val="Style21"/>
        <w:keepNext w:val="0"/>
        <w:keepLines w:val="0"/>
        <w:widowControl w:val="0"/>
        <w:numPr>
          <w:ilvl w:val="0"/>
          <w:numId w:val="11"/>
        </w:numPr>
        <w:shd w:val="clear" w:color="auto" w:fill="auto"/>
        <w:tabs>
          <w:tab w:pos="736" w:val="left"/>
        </w:tabs>
        <w:bidi w:val="0"/>
        <w:spacing w:before="0" w:after="0" w:line="313" w:lineRule="exact"/>
        <w:ind w:left="0" w:right="0"/>
        <w:jc w:val="both"/>
      </w:pPr>
      <w:bookmarkStart w:id="787" w:name="bookmark787"/>
      <w:bookmarkEnd w:id="787"/>
      <w:r>
        <w:rPr>
          <w:color w:val="000000"/>
          <w:spacing w:val="0"/>
          <w:w w:val="100"/>
          <w:position w:val="0"/>
        </w:rPr>
        <w:t>将来须用或可用企业自身权益工具进行结算的非衍生工具合同，且企业根据该合同将交付可变数量的自身权益工具。</w:t>
      </w:r>
    </w:p>
    <w:p>
      <w:pPr>
        <w:pStyle w:val="Style21"/>
        <w:keepNext w:val="0"/>
        <w:keepLines w:val="0"/>
        <w:widowControl w:val="0"/>
        <w:numPr>
          <w:ilvl w:val="0"/>
          <w:numId w:val="11"/>
        </w:numPr>
        <w:shd w:val="clear" w:color="auto" w:fill="auto"/>
        <w:tabs>
          <w:tab w:pos="711" w:val="left"/>
        </w:tabs>
        <w:bidi w:val="0"/>
        <w:spacing w:before="0" w:after="0" w:line="313" w:lineRule="exact"/>
        <w:ind w:left="0" w:right="0"/>
        <w:jc w:val="both"/>
      </w:pPr>
      <w:bookmarkStart w:id="788" w:name="bookmark788"/>
      <w:bookmarkEnd w:id="788"/>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权益工具，是指能证明拥有某个企业在扣除所有负债后的资产中剩余权益的合同。</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如果本公司不能无条件地避免以交付现金或其他金融资产来履行一项合同义务，则该合同义务符合金融负债的定义。</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如果一项金融工具须用或可用本公司自身权益工具进行结算，需要考虑用于结算该工具的本公司自身权益工具，是作为 现金或其他金融资产的替代品，还是为了使该工具持有方享有在发行方扣除所有负债后的资产中的剩余权益。如果是前者， 该工具是本公司的金融负债；如果是后者，该工具是本公司的权益工具。</w:t>
      </w:r>
    </w:p>
    <w:p>
      <w:pPr>
        <w:pStyle w:val="Style21"/>
        <w:keepNext w:val="0"/>
        <w:keepLines w:val="0"/>
        <w:widowControl w:val="0"/>
        <w:numPr>
          <w:ilvl w:val="0"/>
          <w:numId w:val="7"/>
        </w:numPr>
        <w:shd w:val="clear" w:color="auto" w:fill="auto"/>
        <w:tabs>
          <w:tab w:pos="760" w:val="left"/>
        </w:tabs>
        <w:bidi w:val="0"/>
        <w:spacing w:before="0" w:after="0" w:line="313" w:lineRule="exact"/>
        <w:ind w:left="0" w:right="0"/>
        <w:jc w:val="both"/>
      </w:pPr>
      <w:bookmarkStart w:id="789" w:name="bookmark789"/>
      <w:bookmarkEnd w:id="789"/>
      <w:r>
        <w:rPr>
          <w:color w:val="000000"/>
          <w:spacing w:val="0"/>
          <w:w w:val="100"/>
          <w:position w:val="0"/>
        </w:rPr>
        <w:t>金融工具的公允价值</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金融资产和金融负债的公允价值确定方法见附注三、</w:t>
      </w:r>
      <w:r>
        <w:rPr>
          <w:color w:val="000000"/>
          <w:spacing w:val="0"/>
          <w:w w:val="100"/>
          <w:position w:val="0"/>
          <w:sz w:val="18"/>
          <w:szCs w:val="18"/>
        </w:rPr>
        <w:t>10</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36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5）</w:t>
      </w:r>
      <w:r>
        <w:rPr>
          <w:color w:val="000000"/>
          <w:spacing w:val="0"/>
          <w:w w:val="100"/>
          <w:position w:val="0"/>
        </w:rPr>
        <w:t>金融资产减值</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本公司以预期信用损失为基础，对下列项目进行减值会计处理并确认损失准备：</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以公允价值计量且其变动计入其他综合收益的应收款项和债权投资；</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租赁应收款；</w:t>
      </w:r>
    </w:p>
    <w:p>
      <w:pPr>
        <w:pStyle w:val="Style21"/>
        <w:keepNext w:val="0"/>
        <w:keepLines w:val="0"/>
        <w:widowControl w:val="0"/>
        <w:shd w:val="clear" w:color="auto" w:fill="auto"/>
        <w:bidi w:val="0"/>
        <w:spacing w:before="0" w:after="0" w:line="313" w:lineRule="exact"/>
        <w:ind w:left="360" w:right="0" w:firstLine="80"/>
        <w:jc w:val="both"/>
      </w:pPr>
      <w:r>
        <w:rPr>
          <w:color w:val="000000"/>
          <w:spacing w:val="0"/>
          <w:w w:val="100"/>
          <w:position w:val="0"/>
        </w:rPr>
        <w:t>•财务担保合同（以公允价值计量且其变动计入当期损益、金融资产转移不符合终止确认条件或继续涉入被转移金融 资产所形成的除外）。</w:t>
      </w:r>
    </w:p>
    <w:p>
      <w:pPr>
        <w:pStyle w:val="Style21"/>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预期信用损失的计量</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生信用减值的，处于第二阶段，本公司按照该工具整个存续期的预期信用损失计量损失准备；金融工具自初始确认后已经发 生信用减值的，处于第三阶段，本公司按照该工具整个存续期的预期信用损失计量损失准备。</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color w:val="000000"/>
          <w:spacing w:val="0"/>
          <w:w w:val="100"/>
          <w:position w:val="0"/>
          <w:sz w:val="18"/>
          <w:szCs w:val="18"/>
        </w:rPr>
        <w:t xml:space="preserve">12 </w:t>
      </w:r>
      <w:r>
        <w:rPr>
          <w:color w:val="000000"/>
          <w:spacing w:val="0"/>
          <w:w w:val="100"/>
          <w:position w:val="0"/>
        </w:rPr>
        <w:t>个月内的预期信用损失计量损失准备。</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color w:val="000000"/>
          <w:spacing w:val="0"/>
          <w:w w:val="100"/>
          <w:position w:val="0"/>
          <w:sz w:val="18"/>
          <w:szCs w:val="18"/>
        </w:rPr>
        <w:t xml:space="preserve">12 </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个月内（若金融工具的预计存续期少于</w:t>
      </w:r>
      <w:r>
        <w:rPr>
          <w:color w:val="000000"/>
          <w:spacing w:val="0"/>
          <w:w w:val="100"/>
          <w:position w:val="0"/>
          <w:sz w:val="18"/>
          <w:szCs w:val="18"/>
        </w:rPr>
        <w:t>12</w:t>
      </w:r>
      <w:r>
        <w:rPr>
          <w:color w:val="000000"/>
          <w:spacing w:val="0"/>
          <w:w w:val="100"/>
          <w:position w:val="0"/>
        </w:rPr>
        <w:t>个月，则为预计存续期）可能发生 的金融工具违约事件而导致的预期信用损失，是整个存续期预期信用损失的一部分。</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在计量预期信用损失时，本公司需考虑的最长期限为企业面临信用风险的最长合同期限（包括考虑续约选择权）。</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对于应收票据、应收账款、合同资产，无论是否存在重大融资成分，本公司始终按照相当于整个存续期内预期信用损失 的金额计量其损失准备。</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当单项金融资产无法以合理成本评估预期信用损失的信息时，本公司依据信用风险特征对应收票据和应收账款划分组 合，在组合基础上计算预期信用损失，确定组合的依据如下：</w:t>
      </w:r>
    </w:p>
    <w:p>
      <w:pPr>
        <w:pStyle w:val="Style21"/>
        <w:keepNext w:val="0"/>
        <w:keepLines w:val="0"/>
        <w:widowControl w:val="0"/>
        <w:shd w:val="clear" w:color="auto" w:fill="auto"/>
        <w:tabs>
          <w:tab w:pos="798" w:val="left"/>
        </w:tabs>
        <w:bidi w:val="0"/>
        <w:spacing w:before="0" w:after="0" w:line="313" w:lineRule="exact"/>
        <w:ind w:left="0" w:right="0" w:firstLine="440"/>
        <w:jc w:val="both"/>
      </w:pPr>
      <w:bookmarkStart w:id="791" w:name="bookmark791"/>
      <w:r>
        <w:rPr>
          <w:color w:val="000000"/>
          <w:spacing w:val="0"/>
          <w:w w:val="100"/>
          <w:position w:val="0"/>
          <w:sz w:val="18"/>
          <w:szCs w:val="18"/>
        </w:rPr>
        <w:t>A</w:t>
      </w:r>
      <w:bookmarkEnd w:id="791"/>
      <w:r>
        <w:rPr>
          <w:color w:val="000000"/>
          <w:spacing w:val="0"/>
          <w:w w:val="100"/>
          <w:position w:val="0"/>
        </w:rPr>
        <w:t>、</w:t>
        <w:tab/>
      </w:r>
      <w:r>
        <w:rPr>
          <w:color w:val="000000"/>
          <w:spacing w:val="0"/>
          <w:w w:val="100"/>
          <w:position w:val="0"/>
        </w:rPr>
        <w:t>应收票据</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21"/>
        <w:keepNext w:val="0"/>
        <w:keepLines w:val="0"/>
        <w:widowControl w:val="0"/>
        <w:shd w:val="clear" w:color="auto" w:fill="auto"/>
        <w:tabs>
          <w:tab w:pos="798" w:val="left"/>
        </w:tabs>
        <w:bidi w:val="0"/>
        <w:spacing w:before="0" w:after="0" w:line="313" w:lineRule="exact"/>
        <w:ind w:left="0" w:right="0" w:firstLine="440"/>
        <w:jc w:val="both"/>
      </w:pPr>
      <w:bookmarkStart w:id="792" w:name="bookmark792"/>
      <w:r>
        <w:rPr>
          <w:color w:val="000000"/>
          <w:spacing w:val="0"/>
          <w:w w:val="100"/>
          <w:position w:val="0"/>
          <w:sz w:val="18"/>
          <w:szCs w:val="18"/>
        </w:rPr>
        <w:t>B</w:t>
      </w:r>
      <w:bookmarkEnd w:id="792"/>
      <w:r>
        <w:rPr>
          <w:color w:val="000000"/>
          <w:spacing w:val="0"/>
          <w:w w:val="100"/>
          <w:position w:val="0"/>
        </w:rPr>
        <w:t>、</w:t>
        <w:tab/>
      </w:r>
      <w:r>
        <w:rPr>
          <w:color w:val="000000"/>
          <w:spacing w:val="0"/>
          <w:w w:val="100"/>
          <w:position w:val="0"/>
        </w:rPr>
        <w:t>应收账款</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应收合并报表范围内客户</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应收政府部门、事业单位客户</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应收其他客户</w:t>
      </w:r>
    </w:p>
    <w:p>
      <w:pPr>
        <w:pStyle w:val="Style21"/>
        <w:keepNext w:val="0"/>
        <w:keepLines w:val="0"/>
        <w:widowControl w:val="0"/>
        <w:shd w:val="clear" w:color="auto" w:fill="auto"/>
        <w:tabs>
          <w:tab w:pos="798" w:val="left"/>
        </w:tabs>
        <w:bidi w:val="0"/>
        <w:spacing w:before="0" w:after="0" w:line="313" w:lineRule="exact"/>
        <w:ind w:left="0" w:right="0" w:firstLine="440"/>
        <w:jc w:val="both"/>
      </w:pPr>
      <w:bookmarkStart w:id="793" w:name="bookmark793"/>
      <w:r>
        <w:rPr>
          <w:color w:val="000000"/>
          <w:spacing w:val="0"/>
          <w:w w:val="100"/>
          <w:position w:val="0"/>
          <w:sz w:val="18"/>
          <w:szCs w:val="18"/>
        </w:rPr>
        <w:t>C</w:t>
      </w:r>
      <w:bookmarkEnd w:id="793"/>
      <w:r>
        <w:rPr>
          <w:color w:val="000000"/>
          <w:spacing w:val="0"/>
          <w:w w:val="100"/>
          <w:position w:val="0"/>
        </w:rPr>
        <w:t>、</w:t>
        <w:tab/>
      </w:r>
      <w:r>
        <w:rPr>
          <w:color w:val="000000"/>
          <w:spacing w:val="0"/>
          <w:w w:val="100"/>
          <w:position w:val="0"/>
        </w:rPr>
        <w:t>合同资产</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应收合并报表范围内客户</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•合同资产组合</w:t>
      </w:r>
      <w:r>
        <w:rPr>
          <w:color w:val="000000"/>
          <w:spacing w:val="0"/>
          <w:w w:val="100"/>
          <w:position w:val="0"/>
          <w:sz w:val="18"/>
          <w:szCs w:val="18"/>
        </w:rPr>
        <w:t>2：</w:t>
      </w:r>
      <w:r>
        <w:rPr>
          <w:color w:val="000000"/>
          <w:spacing w:val="0"/>
          <w:w w:val="100"/>
          <w:position w:val="0"/>
        </w:rPr>
        <w:t>应收政府部门、事业单位客户</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•合同资产组合</w:t>
      </w:r>
      <w:r>
        <w:rPr>
          <w:color w:val="000000"/>
          <w:spacing w:val="0"/>
          <w:w w:val="100"/>
          <w:position w:val="0"/>
          <w:sz w:val="18"/>
          <w:szCs w:val="18"/>
        </w:rPr>
        <w:t>3：</w:t>
      </w:r>
      <w:r>
        <w:rPr>
          <w:color w:val="000000"/>
          <w:spacing w:val="0"/>
          <w:w w:val="100"/>
          <w:position w:val="0"/>
        </w:rPr>
        <w:t>应收其他客户</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对于划分为组合的应收票据、合同资产，本公司参考历史信用损失经验，结合当前状况以及对未来经济状况的预测，通 过违约风险敞口和整个存续期预期信用损失率，计算预期信用损失。</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对于划分为组合的应收账款，本公司参考历史信用损失经验，结合当前状况以及对未来经济状况的预测，编制应收账款 账龄/逾期天数与整个存续期预期信用损失率对照表，计算预期信用损失。</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其他应收款</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本公司依据信用风险特征将其他应收款划分为若干组合，在组合基础上计算预期信用损失，确定组合的依据如下：</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应收合并报表范围内款项</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应收押金、保证金</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应收备用金</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4：</w:t>
      </w:r>
      <w:r>
        <w:rPr>
          <w:color w:val="000000"/>
          <w:spacing w:val="0"/>
          <w:w w:val="100"/>
          <w:position w:val="0"/>
        </w:rPr>
        <w:t>应收其他款项</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 失。</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债权投资、其他债权投资</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对于债权投资和其他债权投资，本公司按照投资的性质，根据交易对手和风险敞口的各种类型，通过违约风险敞口和未 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信用风险显著增加的评估</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债务人未能按合同到期日支付本金和利息的情况；</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已发生的或预期的金融工具的外部或内部信用评级（如有）的严重恶化；</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已发生的或预期的债务人经营成果的严重恶化；</w:t>
      </w:r>
    </w:p>
    <w:p>
      <w:pPr>
        <w:pStyle w:val="Style2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•现存的或预期的技术、市场、经济或法律环境变化，并将对债务人对本公司的还款能力产生重大不利影响。</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如果逾期超过</w:t>
      </w:r>
      <w:r>
        <w:rPr>
          <w:color w:val="000000"/>
          <w:spacing w:val="0"/>
          <w:w w:val="100"/>
          <w:position w:val="0"/>
          <w:sz w:val="18"/>
          <w:szCs w:val="18"/>
        </w:rPr>
        <w:t>30</w:t>
      </w:r>
      <w:r>
        <w:rPr>
          <w:color w:val="000000"/>
          <w:spacing w:val="0"/>
          <w:w w:val="100"/>
          <w:position w:val="0"/>
        </w:rPr>
        <w:t>日，本公司确定金融工具的信用风险已经显著增加。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本公司认为金融资产在下列情况发生违约：</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•借款人不大可能全额支付其对本公司的欠款，该评估不考虑本公司采取例如变现抵押品（如果持有）等追索行动；</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或</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金融资产逾期超过</w:t>
      </w:r>
      <w:r>
        <w:rPr>
          <w:color w:val="000000"/>
          <w:spacing w:val="0"/>
          <w:w w:val="100"/>
          <w:position w:val="0"/>
          <w:sz w:val="18"/>
          <w:szCs w:val="18"/>
        </w:rPr>
        <w:t>90</w:t>
      </w:r>
      <w:r>
        <w:rPr>
          <w:color w:val="000000"/>
          <w:spacing w:val="0"/>
          <w:w w:val="100"/>
          <w:position w:val="0"/>
        </w:rPr>
        <w:t>天。</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已发生信用减值的金融资产</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w:t>
      </w:r>
      <w:r>
        <w:rPr>
          <w:color w:val="000000"/>
          <w:spacing w:val="0"/>
          <w:w w:val="100"/>
          <w:position w:val="0"/>
        </w:rPr>
        <w:t>发行方或债务人发生重大财务困难；</w:t>
      </w:r>
    </w:p>
    <w:p>
      <w:pPr>
        <w:pStyle w:val="Style2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w:t>
      </w:r>
      <w:r>
        <w:rPr>
          <w:color w:val="000000"/>
          <w:spacing w:val="0"/>
          <w:w w:val="100"/>
          <w:position w:val="0"/>
        </w:rPr>
        <w:t>债务人违反合同，如偿付利息或本金违约或逾期等；</w:t>
      </w:r>
    </w:p>
    <w:p>
      <w:pPr>
        <w:pStyle w:val="Style2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w:t>
      </w:r>
      <w:r>
        <w:rPr>
          <w:color w:val="000000"/>
          <w:spacing w:val="0"/>
          <w:w w:val="100"/>
          <w:position w:val="0"/>
        </w:rPr>
        <w:t>本公司出于与债务人财务困难有关的经济或合同考虑，给予债务人在任何其他情况下都不会做出的让步；</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债务人很可能破产或进行其他财务重组；</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发行方或债务人财务困难导致该金融资产的活跃市场消失。</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预期信用损失准备的列报</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核销</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shd w:val="clear" w:color="auto" w:fill="auto"/>
        <w:tabs>
          <w:tab w:pos="810" w:val="left"/>
        </w:tabs>
        <w:bidi w:val="0"/>
        <w:spacing w:before="0" w:after="0" w:line="313" w:lineRule="exact"/>
        <w:ind w:left="0" w:right="0" w:firstLine="36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6）</w:t>
        <w:tab/>
      </w:r>
      <w:r>
        <w:rPr>
          <w:color w:val="000000"/>
          <w:spacing w:val="0"/>
          <w:w w:val="100"/>
          <w:position w:val="0"/>
        </w:rPr>
        <w:t>金融资产转移</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金融资产转移，是指将金融资产让与或交付给该金融资产发行方以外的另一方（转入方）。</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21"/>
        <w:keepNext w:val="0"/>
        <w:keepLines w:val="0"/>
        <w:widowControl w:val="0"/>
        <w:shd w:val="clear" w:color="auto" w:fill="auto"/>
        <w:tabs>
          <w:tab w:pos="810" w:val="left"/>
        </w:tabs>
        <w:bidi w:val="0"/>
        <w:spacing w:before="0" w:after="0" w:line="313" w:lineRule="exact"/>
        <w:ind w:left="0" w:right="0" w:firstLine="36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7）</w:t>
        <w:tab/>
      </w:r>
      <w:r>
        <w:rPr>
          <w:color w:val="000000"/>
          <w:spacing w:val="0"/>
          <w:w w:val="100"/>
          <w:position w:val="0"/>
        </w:rPr>
        <w:t>金融资产和金融负债的抵销</w:t>
      </w:r>
    </w:p>
    <w:p>
      <w:pPr>
        <w:pStyle w:val="Style21"/>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2"/>
        <w:keepNext/>
        <w:keepLines/>
        <w:widowControl w:val="0"/>
        <w:shd w:val="clear" w:color="auto" w:fill="auto"/>
        <w:tabs>
          <w:tab w:pos="469" w:val="left"/>
        </w:tabs>
        <w:bidi w:val="0"/>
        <w:spacing w:before="0" w:after="3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6"/>
      <w:bookmarkEnd w:id="797"/>
      <w:bookmarkEnd w:id="799"/>
    </w:p>
    <w:p>
      <w:pPr>
        <w:pStyle w:val="Style32"/>
        <w:keepNext/>
        <w:keepLines/>
        <w:widowControl w:val="0"/>
        <w:shd w:val="clear" w:color="auto" w:fill="auto"/>
        <w:tabs>
          <w:tab w:pos="469" w:val="left"/>
        </w:tabs>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0"/>
      <w:bookmarkEnd w:id="801"/>
      <w:bookmarkEnd w:id="803"/>
    </w:p>
    <w:p>
      <w:pPr>
        <w:pStyle w:val="Style32"/>
        <w:keepNext/>
        <w:keepLines/>
        <w:widowControl w:val="0"/>
        <w:shd w:val="clear" w:color="auto" w:fill="auto"/>
        <w:tabs>
          <w:tab w:pos="469" w:val="left"/>
        </w:tabs>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4"/>
      <w:bookmarkEnd w:id="805"/>
      <w:bookmarkEnd w:id="807"/>
    </w:p>
    <w:p>
      <w:pPr>
        <w:pStyle w:val="Style32"/>
        <w:keepNext/>
        <w:keepLines/>
        <w:widowControl w:val="0"/>
        <w:shd w:val="clear" w:color="auto" w:fill="auto"/>
        <w:tabs>
          <w:tab w:pos="469"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8"/>
      <w:bookmarkEnd w:id="809"/>
      <w:bookmarkEnd w:id="811"/>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其他应收款的预期信用损失的确定方法及会计处理方法</w:t>
      </w:r>
    </w:p>
    <w:p>
      <w:pPr>
        <w:pStyle w:val="Style32"/>
        <w:keepNext/>
        <w:keepLines/>
        <w:widowControl w:val="0"/>
        <w:shd w:val="clear" w:color="auto" w:fill="auto"/>
        <w:tabs>
          <w:tab w:pos="469" w:val="left"/>
        </w:tabs>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2"/>
      <w:bookmarkEnd w:id="813"/>
      <w:bookmarkEnd w:id="815"/>
    </w:p>
    <w:p>
      <w:pPr>
        <w:pStyle w:val="Style21"/>
        <w:keepNext w:val="0"/>
        <w:keepLines w:val="0"/>
        <w:widowControl w:val="0"/>
        <w:shd w:val="clear" w:color="auto" w:fill="auto"/>
        <w:tabs>
          <w:tab w:pos="810" w:val="left"/>
        </w:tabs>
        <w:bidi w:val="0"/>
        <w:spacing w:before="0" w:after="0" w:line="314" w:lineRule="exact"/>
        <w:ind w:left="0" w:right="0" w:firstLine="36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1）</w:t>
        <w:tab/>
      </w:r>
      <w:r>
        <w:rPr>
          <w:color w:val="000000"/>
          <w:spacing w:val="0"/>
          <w:w w:val="100"/>
          <w:position w:val="0"/>
        </w:rPr>
        <w:t>存货的分类</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本公司存货分为库存商品、周转材料、发出商品、开发成本、开发产品、合同履约成本等。</w:t>
      </w:r>
    </w:p>
    <w:p>
      <w:pPr>
        <w:pStyle w:val="Style21"/>
        <w:keepNext w:val="0"/>
        <w:keepLines w:val="0"/>
        <w:widowControl w:val="0"/>
        <w:shd w:val="clear" w:color="auto" w:fill="auto"/>
        <w:tabs>
          <w:tab w:pos="810" w:val="left"/>
        </w:tabs>
        <w:bidi w:val="0"/>
        <w:spacing w:before="0" w:after="0" w:line="314" w:lineRule="exact"/>
        <w:ind w:left="0" w:right="0" w:firstLine="36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2）</w:t>
        <w:tab/>
      </w:r>
      <w:r>
        <w:rPr>
          <w:color w:val="000000"/>
          <w:spacing w:val="0"/>
          <w:w w:val="100"/>
          <w:position w:val="0"/>
        </w:rPr>
        <w:t>发出存货的计价方法</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本公司存货取得时按实际成本计价。库存商品等发出时采用个别计价法计价。</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存货按实际成本进行初始计量。开发产品的实际成本包括土地出让金、基础配套设施支出、建筑安装工程支出、开发项 目完工之前所发生的借款费用及开发过程中的其他相关费用。开发产品发出时，采用个别计价法确定其实际成本。</w:t>
      </w:r>
    </w:p>
    <w:p>
      <w:pPr>
        <w:pStyle w:val="Style21"/>
        <w:keepNext w:val="0"/>
        <w:keepLines w:val="0"/>
        <w:widowControl w:val="0"/>
        <w:shd w:val="clear" w:color="auto" w:fill="auto"/>
        <w:tabs>
          <w:tab w:pos="810" w:val="left"/>
        </w:tabs>
        <w:bidi w:val="0"/>
        <w:spacing w:before="0" w:after="0" w:line="314" w:lineRule="exact"/>
        <w:ind w:left="0" w:right="0" w:firstLine="36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Style21"/>
        <w:keepNext w:val="0"/>
        <w:keepLines w:val="0"/>
        <w:widowControl w:val="0"/>
        <w:shd w:val="clear" w:color="auto" w:fill="auto"/>
        <w:tabs>
          <w:tab w:pos="810" w:val="left"/>
        </w:tabs>
        <w:bidi w:val="0"/>
        <w:spacing w:before="0" w:after="0" w:line="314" w:lineRule="exact"/>
        <w:ind w:left="0" w:right="0" w:firstLine="36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4）</w:t>
        <w:tab/>
      </w:r>
      <w:r>
        <w:rPr>
          <w:color w:val="000000"/>
          <w:spacing w:val="0"/>
          <w:w w:val="100"/>
          <w:position w:val="0"/>
        </w:rPr>
        <w:t>存货的盘存制度</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本公司存货盘存制度采用永续盘存制。</w:t>
      </w:r>
    </w:p>
    <w:p>
      <w:pPr>
        <w:pStyle w:val="Style21"/>
        <w:keepNext w:val="0"/>
        <w:keepLines w:val="0"/>
        <w:widowControl w:val="0"/>
        <w:shd w:val="clear" w:color="auto" w:fill="auto"/>
        <w:tabs>
          <w:tab w:pos="810" w:val="left"/>
        </w:tabs>
        <w:bidi w:val="0"/>
        <w:spacing w:before="0" w:after="0" w:line="314" w:lineRule="exact"/>
        <w:ind w:left="0" w:right="0" w:firstLine="360"/>
        <w:jc w:val="both"/>
      </w:pPr>
      <w:bookmarkStart w:id="820" w:name="bookmark820"/>
      <w:r>
        <w:rPr>
          <w:color w:val="000000"/>
          <w:spacing w:val="0"/>
          <w:w w:val="100"/>
          <w:position w:val="0"/>
          <w:sz w:val="18"/>
          <w:szCs w:val="18"/>
        </w:rPr>
        <w:t>（</w:t>
      </w:r>
      <w:bookmarkEnd w:id="820"/>
      <w:r>
        <w:rPr>
          <w:color w:val="000000"/>
          <w:spacing w:val="0"/>
          <w:w w:val="100"/>
          <w:position w:val="0"/>
          <w:sz w:val="18"/>
          <w:szCs w:val="18"/>
        </w:rPr>
        <w:t>5）</w:t>
        <w:tab/>
      </w:r>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本公司低值易耗品领用时采用一次转销法摊销。</w:t>
      </w:r>
    </w:p>
    <w:p>
      <w:pPr>
        <w:pStyle w:val="Style32"/>
        <w:keepNext/>
        <w:keepLines/>
        <w:widowControl w:val="0"/>
        <w:shd w:val="clear" w:color="auto" w:fill="auto"/>
        <w:tabs>
          <w:tab w:pos="508" w:val="left"/>
        </w:tabs>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1"/>
      <w:bookmarkEnd w:id="822"/>
      <w:bookmarkEnd w:id="824"/>
    </w:p>
    <w:p>
      <w:pPr>
        <w:pStyle w:val="Style32"/>
        <w:keepNext/>
        <w:keepLines/>
        <w:widowControl w:val="0"/>
        <w:shd w:val="clear" w:color="auto" w:fill="auto"/>
        <w:tabs>
          <w:tab w:pos="508"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5"/>
      <w:bookmarkEnd w:id="826"/>
      <w:bookmarkEnd w:id="828"/>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合同成本包括为取得合同发生的增量成本及合同履约成本。</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为取得合同发生的增量成本是指本公司不取得合同就不会发生的成本（如销售佣金等）。该成本预期能够收回的，本公 司将其作为合同取得成本确认为一项资产。本公司为取得合同发生的、除预期能够收回的增量成本之外的其他支出于发生时 计入当期损益。</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为履行合同发生的成本，不属于存货等其他企业会计准则规范范围且同时满足下列条件的，本公司将其作为合同履约成 本确认为一项资产：</w:t>
      </w:r>
    </w:p>
    <w:p>
      <w:pPr>
        <w:pStyle w:val="Style21"/>
        <w:keepNext w:val="0"/>
        <w:keepLines w:val="0"/>
        <w:widowControl w:val="0"/>
        <w:numPr>
          <w:ilvl w:val="0"/>
          <w:numId w:val="13"/>
        </w:numPr>
        <w:shd w:val="clear" w:color="auto" w:fill="auto"/>
        <w:tabs>
          <w:tab w:pos="728" w:val="left"/>
        </w:tabs>
        <w:bidi w:val="0"/>
        <w:spacing w:before="0" w:after="0" w:line="346" w:lineRule="exact"/>
        <w:ind w:left="0" w:right="0" w:firstLine="360"/>
        <w:jc w:val="both"/>
      </w:pPr>
      <w:bookmarkStart w:id="829" w:name="bookmark829"/>
      <w:bookmarkEnd w:id="829"/>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1"/>
        <w:keepNext w:val="0"/>
        <w:keepLines w:val="0"/>
        <w:widowControl w:val="0"/>
        <w:numPr>
          <w:ilvl w:val="0"/>
          <w:numId w:val="13"/>
        </w:numPr>
        <w:shd w:val="clear" w:color="auto" w:fill="auto"/>
        <w:tabs>
          <w:tab w:pos="733" w:val="left"/>
        </w:tabs>
        <w:bidi w:val="0"/>
        <w:spacing w:before="0" w:after="0" w:line="312" w:lineRule="exact"/>
        <w:ind w:left="0" w:right="0" w:firstLine="360"/>
        <w:jc w:val="both"/>
      </w:pPr>
      <w:bookmarkStart w:id="830" w:name="bookmark830"/>
      <w:bookmarkEnd w:id="830"/>
      <w:r>
        <w:rPr>
          <w:color w:val="000000"/>
          <w:spacing w:val="0"/>
          <w:w w:val="100"/>
          <w:position w:val="0"/>
        </w:rPr>
        <w:t>该成本增加了本公司未来用于履行履约义务的资源；</w:t>
      </w:r>
    </w:p>
    <w:p>
      <w:pPr>
        <w:pStyle w:val="Style21"/>
        <w:keepNext w:val="0"/>
        <w:keepLines w:val="0"/>
        <w:widowControl w:val="0"/>
        <w:numPr>
          <w:ilvl w:val="0"/>
          <w:numId w:val="13"/>
        </w:numPr>
        <w:shd w:val="clear" w:color="auto" w:fill="auto"/>
        <w:tabs>
          <w:tab w:pos="733" w:val="left"/>
        </w:tabs>
        <w:bidi w:val="0"/>
        <w:spacing w:before="0" w:after="0" w:line="312" w:lineRule="exact"/>
        <w:ind w:left="0" w:right="0" w:firstLine="360"/>
        <w:jc w:val="both"/>
      </w:pPr>
      <w:bookmarkStart w:id="831" w:name="bookmark831"/>
      <w:bookmarkEnd w:id="831"/>
      <w:r>
        <w:rPr>
          <w:color w:val="000000"/>
          <w:spacing w:val="0"/>
          <w:w w:val="100"/>
          <w:position w:val="0"/>
        </w:rPr>
        <w:t>该成本预期能够收回。</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合同取得成本确认的资产和合同履约成本确认的资产（以下简称“与合同成本有关的资产”）采用与该资产相关的商品 或服务收入确认相同的基础进行摊销，计入当期损益。</w:t>
      </w:r>
    </w:p>
    <w:p>
      <w:pPr>
        <w:pStyle w:val="Style21"/>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当与合同成本有关的资产的账面价值高于下列两项的差额时，本公司对超出部分计提减值准备，并确认为资产减值损失：</w:t>
      </w:r>
    </w:p>
    <w:p>
      <w:pPr>
        <w:pStyle w:val="Style21"/>
        <w:keepNext w:val="0"/>
        <w:keepLines w:val="0"/>
        <w:widowControl w:val="0"/>
        <w:numPr>
          <w:ilvl w:val="0"/>
          <w:numId w:val="15"/>
        </w:numPr>
        <w:shd w:val="clear" w:color="auto" w:fill="auto"/>
        <w:tabs>
          <w:tab w:pos="733" w:val="left"/>
        </w:tabs>
        <w:bidi w:val="0"/>
        <w:spacing w:before="0" w:after="0" w:line="240" w:lineRule="auto"/>
        <w:ind w:left="0" w:right="0" w:firstLine="360"/>
        <w:jc w:val="both"/>
      </w:pPr>
      <w:bookmarkStart w:id="832" w:name="bookmark832"/>
      <w:bookmarkEnd w:id="832"/>
      <w:r>
        <w:rPr>
          <w:color w:val="000000"/>
          <w:spacing w:val="0"/>
          <w:w w:val="100"/>
          <w:position w:val="0"/>
        </w:rPr>
        <w:t>本公司因转让与该资产相关的商品或服务预期能够取得的剩余对价；</w:t>
      </w:r>
    </w:p>
    <w:p>
      <w:pPr>
        <w:pStyle w:val="Style21"/>
        <w:keepNext w:val="0"/>
        <w:keepLines w:val="0"/>
        <w:widowControl w:val="0"/>
        <w:numPr>
          <w:ilvl w:val="0"/>
          <w:numId w:val="15"/>
        </w:numPr>
        <w:shd w:val="clear" w:color="auto" w:fill="auto"/>
        <w:tabs>
          <w:tab w:pos="733" w:val="left"/>
        </w:tabs>
        <w:bidi w:val="0"/>
        <w:spacing w:before="0" w:after="0" w:line="312" w:lineRule="exact"/>
        <w:ind w:left="0" w:right="0" w:firstLine="360"/>
        <w:jc w:val="both"/>
      </w:pPr>
      <w:bookmarkStart w:id="833" w:name="bookmark833"/>
      <w:bookmarkEnd w:id="833"/>
      <w:r>
        <w:rPr>
          <w:color w:val="000000"/>
          <w:spacing w:val="0"/>
          <w:w w:val="100"/>
          <w:position w:val="0"/>
        </w:rPr>
        <w:t>为转让该相关商品或服务估计将要发生的成本。</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确认为资产的合同履约成本，初始确认时摊销期限不超过一年或一个正常营业周期，在“存货”项目中列示，初始确认 时摊销期限超过一年或一个正常营业周期，在“其他非流动资产”项目中列示。</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确认为资产的合同取得成本，初始确认时摊销期限不超过一年或一个正常营业周期，在“其他流动资产”项目中列示， 初始确认时摊销期限超过一年或一个正常营业周期，在“其他非流动资产”项目中列示。</w:t>
      </w:r>
    </w:p>
    <w:p>
      <w:pPr>
        <w:pStyle w:val="Style21"/>
        <w:keepNext w:val="0"/>
        <w:keepLines w:val="0"/>
        <w:widowControl w:val="0"/>
        <w:shd w:val="clear" w:color="auto" w:fill="auto"/>
        <w:tabs>
          <w:tab w:pos="810" w:val="left"/>
        </w:tabs>
        <w:bidi w:val="0"/>
        <w:spacing w:before="0" w:after="0" w:line="312" w:lineRule="exact"/>
        <w:ind w:left="0" w:right="0" w:firstLine="360"/>
        <w:jc w:val="both"/>
      </w:pPr>
      <w:bookmarkStart w:id="834" w:name="bookmark834"/>
      <w:r>
        <w:rPr>
          <w:color w:val="000000"/>
          <w:spacing w:val="0"/>
          <w:w w:val="100"/>
          <w:position w:val="0"/>
          <w:sz w:val="18"/>
          <w:szCs w:val="18"/>
        </w:rPr>
        <w:t>（</w:t>
      </w:r>
      <w:bookmarkEnd w:id="834"/>
      <w:r>
        <w:rPr>
          <w:color w:val="000000"/>
          <w:spacing w:val="0"/>
          <w:w w:val="100"/>
          <w:position w:val="0"/>
          <w:sz w:val="18"/>
          <w:szCs w:val="18"/>
        </w:rPr>
        <w:t>1）</w:t>
        <w:tab/>
      </w:r>
      <w:r>
        <w:rPr>
          <w:color w:val="000000"/>
          <w:spacing w:val="0"/>
          <w:w w:val="100"/>
          <w:position w:val="0"/>
        </w:rPr>
        <w:t>租赁的识别</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21"/>
        <w:keepNext w:val="0"/>
        <w:keepLines w:val="0"/>
        <w:widowControl w:val="0"/>
        <w:shd w:val="clear" w:color="auto" w:fill="auto"/>
        <w:tabs>
          <w:tab w:pos="810" w:val="left"/>
        </w:tabs>
        <w:bidi w:val="0"/>
        <w:spacing w:before="0" w:after="0" w:line="312" w:lineRule="exact"/>
        <w:ind w:left="0" w:right="0" w:firstLine="360"/>
        <w:jc w:val="both"/>
      </w:pPr>
      <w:bookmarkStart w:id="835" w:name="bookmark835"/>
      <w:r>
        <w:rPr>
          <w:color w:val="000000"/>
          <w:spacing w:val="0"/>
          <w:w w:val="100"/>
          <w:position w:val="0"/>
          <w:sz w:val="18"/>
          <w:szCs w:val="18"/>
        </w:rPr>
        <w:t>（</w:t>
      </w:r>
      <w:bookmarkEnd w:id="835"/>
      <w:r>
        <w:rPr>
          <w:color w:val="000000"/>
          <w:spacing w:val="0"/>
          <w:w w:val="100"/>
          <w:position w:val="0"/>
          <w:sz w:val="18"/>
          <w:szCs w:val="18"/>
        </w:rPr>
        <w:t>2）</w:t>
        <w:tab/>
      </w:r>
      <w:r>
        <w:rPr>
          <w:color w:val="000000"/>
          <w:spacing w:val="0"/>
          <w:w w:val="100"/>
          <w:position w:val="0"/>
        </w:rPr>
        <w:t>本公司作为承租人</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在租赁期开始日，本公司对所有租赁确认使用权资产和租赁负债，简化处理的短期租赁和低价值资产租赁除外。</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使用权资产的会计政策见附注三、</w:t>
      </w:r>
      <w:r>
        <w:rPr>
          <w:color w:val="000000"/>
          <w:spacing w:val="0"/>
          <w:w w:val="100"/>
          <w:position w:val="0"/>
          <w:sz w:val="18"/>
          <w:szCs w:val="18"/>
        </w:rPr>
        <w:t>27</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21"/>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短期租赁</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个月的租赁，包含购买选择权的租赁除外。</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本公司将短期租赁的租赁付款额，在租赁期内各个期间按照直线法的方法计入相关资产成本或当期损益。</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对于短期租赁，本公司按照租赁资产的类别将资产中满足短期租赁条件的项目选择采用上述简化处理方法。</w:t>
      </w:r>
    </w:p>
    <w:p>
      <w:pPr>
        <w:pStyle w:val="Style21"/>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低价值资产租赁</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低价值资产租赁是指单项租赁资产为全新资产时价值低于</w:t>
      </w:r>
      <w:r>
        <w:rPr>
          <w:color w:val="000000"/>
          <w:spacing w:val="0"/>
          <w:w w:val="100"/>
          <w:position w:val="0"/>
          <w:sz w:val="18"/>
          <w:szCs w:val="18"/>
        </w:rPr>
        <w:t>4</w:t>
      </w:r>
      <w:r>
        <w:rPr>
          <w:color w:val="000000"/>
          <w:spacing w:val="0"/>
          <w:w w:val="100"/>
          <w:position w:val="0"/>
        </w:rPr>
        <w:t>万元的租赁。</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本公司将低价值资产租赁的租赁付款额，在租赁期内各个期间按照直线法的方法计入相关资产成本或当期损益。</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对于低价值资产租赁，本公司根据每项租赁的具体情况选择采用上述简化处理方法。</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租赁变更</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租赁发生变更且同时符合下列条件的，本公司将该租赁变更作为一项单独租赁进行会计处理：①该租赁变更通过增加一 项或多项租赁资产的使用权而扩大了租赁范围;②增加的对价与租赁范围扩大部分的单独价格按该合同情况调整后的金额相 当。</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租赁变更未作为一项单独租赁进行会计处理的，在租赁变更生效日，本公司重新分摊变更后合同的对价，重新确定租赁 期，并按照变更后租赁付款额和修订后的折现率计算的现值重新计量租赁负债。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其他租赁变更导致租赁负债重新计量的，本公司相应调整使用权资产的账面价值。</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本公司作为出租人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融资租赁</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 xml:space="preserve">一一 </w:t>
      </w:r>
      <w:r>
        <w:rPr>
          <w:color w:val="000000"/>
          <w:spacing w:val="0"/>
          <w:w w:val="100"/>
          <w:position w:val="0"/>
        </w:rPr>
        <w:t>金融资产转移》的规定进行会计处理。</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经营租赁</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21"/>
        <w:keepNext w:val="0"/>
        <w:keepLines w:val="0"/>
        <w:widowControl w:val="0"/>
        <w:shd w:val="clear" w:color="auto" w:fill="auto"/>
        <w:bidi w:val="0"/>
        <w:spacing w:before="0" w:after="0" w:line="313" w:lineRule="exact"/>
        <w:ind w:left="0" w:right="0"/>
        <w:jc w:val="left"/>
      </w:pPr>
      <w:r>
        <w:rPr>
          <w:b/>
          <w:bCs/>
          <w:color w:val="000000"/>
          <w:spacing w:val="0"/>
          <w:w w:val="100"/>
          <w:position w:val="0"/>
        </w:rPr>
        <w:t>租赁变更</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融资租赁发生变更且同时符合下列条件的，本公司将该变更作为一项单独租赁进行会计处理：①该变更通过增加一项或 多项租赁资产的使用权而扩大了租赁范围；②增加的对价与租赁范围扩大部分的单独价格按该合同情况调整后的金额相当。</w:t>
      </w:r>
    </w:p>
    <w:p>
      <w:pPr>
        <w:pStyle w:val="Style21"/>
        <w:keepNext w:val="0"/>
        <w:keepLines w:val="0"/>
        <w:widowControl w:val="0"/>
        <w:shd w:val="clear" w:color="auto" w:fill="auto"/>
        <w:bidi w:val="0"/>
        <w:spacing w:before="0" w:after="360" w:line="313" w:lineRule="exact"/>
        <w:ind w:left="0" w:right="0"/>
        <w:jc w:val="left"/>
      </w:pPr>
      <w:r>
        <w:rPr>
          <w:color w:val="000000"/>
          <w:spacing w:val="0"/>
          <w:w w:val="100"/>
          <w:position w:val="0"/>
        </w:rPr>
        <w:t>融资租赁发生变更未作为一项单独租赁进行会计处理的，本公司分别下列情形对变更后的租赁进行处理：①假如变更在 租赁开始日生效，该租赁会被分类为经营租赁的，本公司自租赁变更生效日开始将其作为一项新租赁进行会计处理，并以租 赁变更生效日前的租赁投资净额作为租赁资产的账面价值；②假如变更在租赁开始日生效，该租赁会被分类为融资租赁的， 本公司按照《企业会计准则第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32"/>
        <w:keepNext/>
        <w:keepLines/>
        <w:widowControl w:val="0"/>
        <w:shd w:val="clear" w:color="auto" w:fill="auto"/>
        <w:tabs>
          <w:tab w:pos="464" w:val="left"/>
        </w:tabs>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6"/>
      <w:bookmarkEnd w:id="837"/>
      <w:bookmarkEnd w:id="839"/>
    </w:p>
    <w:p>
      <w:pPr>
        <w:pStyle w:val="Style32"/>
        <w:keepNext/>
        <w:keepLines/>
        <w:widowControl w:val="0"/>
        <w:shd w:val="clear" w:color="auto" w:fill="auto"/>
        <w:tabs>
          <w:tab w:pos="464" w:val="left"/>
        </w:tabs>
        <w:bidi w:val="0"/>
        <w:spacing w:before="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0"/>
      <w:bookmarkEnd w:id="841"/>
      <w:bookmarkEnd w:id="843"/>
    </w:p>
    <w:p>
      <w:pPr>
        <w:pStyle w:val="Style32"/>
        <w:keepNext/>
        <w:keepLines/>
        <w:widowControl w:val="0"/>
        <w:shd w:val="clear" w:color="auto" w:fill="auto"/>
        <w:tabs>
          <w:tab w:pos="474" w:val="left"/>
        </w:tabs>
        <w:bidi w:val="0"/>
        <w:spacing w:before="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4"/>
      <w:bookmarkEnd w:id="845"/>
      <w:bookmarkEnd w:id="847"/>
    </w:p>
    <w:p>
      <w:pPr>
        <w:pStyle w:val="Style32"/>
        <w:keepNext/>
        <w:keepLines/>
        <w:widowControl w:val="0"/>
        <w:shd w:val="clear" w:color="auto" w:fill="auto"/>
        <w:tabs>
          <w:tab w:pos="474" w:val="left"/>
        </w:tabs>
        <w:bidi w:val="0"/>
        <w:spacing w:before="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8"/>
      <w:bookmarkEnd w:id="849"/>
      <w:bookmarkEnd w:id="851"/>
    </w:p>
    <w:p>
      <w:pPr>
        <w:pStyle w:val="Style32"/>
        <w:keepNext/>
        <w:keepLines/>
        <w:widowControl w:val="0"/>
        <w:shd w:val="clear" w:color="auto" w:fill="auto"/>
        <w:tabs>
          <w:tab w:pos="474"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2"/>
      <w:bookmarkEnd w:id="853"/>
      <w:bookmarkEnd w:id="855"/>
    </w:p>
    <w:p>
      <w:pPr>
        <w:pStyle w:val="Style21"/>
        <w:keepNext w:val="0"/>
        <w:keepLines w:val="0"/>
        <w:widowControl w:val="0"/>
        <w:shd w:val="clear" w:color="auto" w:fill="auto"/>
        <w:bidi w:val="0"/>
        <w:spacing w:before="0" w:after="320" w:line="312" w:lineRule="exact"/>
        <w:ind w:left="0" w:right="0"/>
        <w:jc w:val="both"/>
      </w:pPr>
      <w:r>
        <w:rPr>
          <w:color w:val="000000"/>
          <w:spacing w:val="0"/>
          <w:w w:val="100"/>
          <w:position w:val="0"/>
        </w:rPr>
        <w:t>长期股权投资包括对子公司、合营企业和联营企业的权益性投资。本公司能够对被投资单位施加重大影响的，为本公司 的联营企业。</w:t>
      </w:r>
    </w:p>
    <w:p>
      <w:pPr>
        <w:pStyle w:val="Style21"/>
        <w:keepNext w:val="0"/>
        <w:keepLines w:val="0"/>
        <w:widowControl w:val="0"/>
        <w:shd w:val="clear" w:color="auto" w:fill="auto"/>
        <w:tabs>
          <w:tab w:pos="750" w:val="left"/>
        </w:tabs>
        <w:bidi w:val="0"/>
        <w:spacing w:before="0" w:after="0" w:line="313" w:lineRule="exact"/>
        <w:ind w:left="0" w:right="0" w:firstLine="360"/>
        <w:jc w:val="both"/>
      </w:pPr>
      <w:bookmarkStart w:id="856" w:name="bookmark856"/>
      <w:r>
        <w:rPr>
          <w:color w:val="000000"/>
          <w:spacing w:val="0"/>
          <w:w w:val="100"/>
          <w:position w:val="0"/>
          <w:sz w:val="18"/>
          <w:szCs w:val="18"/>
        </w:rPr>
        <w:t>（</w:t>
      </w:r>
      <w:bookmarkEnd w:id="856"/>
      <w:r>
        <w:rPr>
          <w:color w:val="000000"/>
          <w:spacing w:val="0"/>
          <w:w w:val="100"/>
          <w:position w:val="0"/>
          <w:sz w:val="18"/>
          <w:szCs w:val="18"/>
        </w:rPr>
        <w:t>1）</w:t>
        <w:tab/>
      </w:r>
      <w:r>
        <w:rPr>
          <w:color w:val="000000"/>
          <w:spacing w:val="0"/>
          <w:w w:val="100"/>
          <w:position w:val="0"/>
        </w:rPr>
        <w:t>初始投资成本确定</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21"/>
        <w:keepNext w:val="0"/>
        <w:keepLines w:val="0"/>
        <w:widowControl w:val="0"/>
        <w:shd w:val="clear" w:color="auto" w:fill="auto"/>
        <w:tabs>
          <w:tab w:pos="750" w:val="left"/>
        </w:tabs>
        <w:bidi w:val="0"/>
        <w:spacing w:before="0" w:after="0" w:line="313" w:lineRule="exact"/>
        <w:ind w:left="0" w:right="0" w:firstLine="360"/>
        <w:jc w:val="both"/>
      </w:pPr>
      <w:bookmarkStart w:id="857" w:name="bookmark857"/>
      <w:r>
        <w:rPr>
          <w:color w:val="000000"/>
          <w:spacing w:val="0"/>
          <w:w w:val="100"/>
          <w:position w:val="0"/>
          <w:sz w:val="18"/>
          <w:szCs w:val="18"/>
        </w:rPr>
        <w:t>（</w:t>
      </w:r>
      <w:bookmarkEnd w:id="857"/>
      <w:r>
        <w:rPr>
          <w:color w:val="000000"/>
          <w:spacing w:val="0"/>
          <w:w w:val="100"/>
          <w:position w:val="0"/>
          <w:sz w:val="18"/>
          <w:szCs w:val="18"/>
        </w:rPr>
        <w:t>2）</w:t>
        <w:tab/>
      </w:r>
      <w:r>
        <w:rPr>
          <w:color w:val="000000"/>
          <w:spacing w:val="0"/>
          <w:w w:val="100"/>
          <w:position w:val="0"/>
        </w:rPr>
        <w:t>后续计量及损益确认方法</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对子公司的投资，采用成本法核算，除非投资符合持有待售的条件；对联营企业和合营企业的投资，采用权益法核算。</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采用成本法核算的长期股权投资，除取得投资时实际支付的价款或对价中包含的已宣告但尚未发放的现金股利或利润 外，被投资单位宣告分派的现金股利或利润，确认为投资收益计入当期损益。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认资产等的公允价值为基础，并按照本公司的会计政策及会计期间，对被投资单位的净利润进行调整后确认。</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加上新增投资成本之和，作为改按权益法核算的初始投资成本。原股权分类为以公允价值计量且其变动计入其他综合收益的 非交易性权益工具投资的，与其相关的原计入其他综合收益的累计公允价值变动在改按权益法核算时转入留存收益。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color w:val="000000"/>
          <w:spacing w:val="0"/>
          <w:w w:val="100"/>
          <w:position w:val="0"/>
          <w:sz w:val="18"/>
          <w:szCs w:val="18"/>
        </w:rPr>
        <w:t>22</w:t>
      </w:r>
      <w:r>
        <w:rPr>
          <w:color w:val="000000"/>
          <w:spacing w:val="0"/>
          <w:w w:val="100"/>
          <w:position w:val="0"/>
        </w:rPr>
        <w:t>号一金融工具确认和计量》进行会计处理，公允价值与账面价值之间的差额计入当期损益。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 失控制之日的公允价值与账面价值之间的差额计入当期损益。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本公司与联营企业及合营企业之间发生的未实现内部交易损益按照持股比例计算归属于本公司的部分，在抵销基础上确 认投资损益。但本公司与被投资单位发生的未实现内部交易损失，属于所转让资产减值损失的，不予以抵销。</w:t>
      </w:r>
    </w:p>
    <w:p>
      <w:pPr>
        <w:pStyle w:val="Style21"/>
        <w:keepNext w:val="0"/>
        <w:keepLines w:val="0"/>
        <w:widowControl w:val="0"/>
        <w:shd w:val="clear" w:color="auto" w:fill="auto"/>
        <w:tabs>
          <w:tab w:pos="750" w:val="left"/>
        </w:tabs>
        <w:bidi w:val="0"/>
        <w:spacing w:before="0" w:after="0" w:line="313" w:lineRule="exact"/>
        <w:ind w:left="0" w:right="0" w:firstLine="360"/>
        <w:jc w:val="both"/>
      </w:pPr>
      <w:bookmarkStart w:id="858" w:name="bookmark858"/>
      <w:r>
        <w:rPr>
          <w:color w:val="000000"/>
          <w:spacing w:val="0"/>
          <w:w w:val="100"/>
          <w:position w:val="0"/>
          <w:sz w:val="18"/>
          <w:szCs w:val="18"/>
        </w:rPr>
        <w:t>（</w:t>
      </w:r>
      <w:bookmarkEnd w:id="858"/>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1"/>
        <w:keepNext w:val="0"/>
        <w:keepLines w:val="0"/>
        <w:widowControl w:val="0"/>
        <w:shd w:val="clear" w:color="auto" w:fill="auto"/>
        <w:bidi w:val="0"/>
        <w:spacing w:before="0" w:after="0" w:line="318" w:lineRule="exact"/>
        <w:ind w:left="0" w:right="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的表决权股份时，一般认为对被投资单位 具有重大影响，除非有明确证据表明该种情况下不能参与被投资单位的生产经营决策，不形成重大影响；本公司拥有被投资 单位</w:t>
      </w:r>
      <w:r>
        <w:rPr>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（不含）以下的表决权股份时，一般不认为对被投资单位具有重大影响，除非有明确证据表明该种情况下能够参与 被投资单位的生产经营决策，形成重大影响。</w:t>
      </w:r>
    </w:p>
    <w:p>
      <w:pPr>
        <w:pStyle w:val="Style21"/>
        <w:keepNext w:val="0"/>
        <w:keepLines w:val="0"/>
        <w:widowControl w:val="0"/>
        <w:shd w:val="clear" w:color="auto" w:fill="auto"/>
        <w:bidi w:val="0"/>
        <w:spacing w:before="0" w:after="0" w:line="312" w:lineRule="exact"/>
        <w:ind w:left="0" w:right="0"/>
        <w:jc w:val="both"/>
      </w:pPr>
      <w:bookmarkStart w:id="859" w:name="bookmark859"/>
      <w:r>
        <w:rPr>
          <w:color w:val="000000"/>
          <w:spacing w:val="0"/>
          <w:w w:val="100"/>
          <w:position w:val="0"/>
          <w:sz w:val="18"/>
          <w:szCs w:val="18"/>
        </w:rPr>
        <w:t>（</w:t>
      </w:r>
      <w:bookmarkEnd w:id="859"/>
      <w:r>
        <w:rPr>
          <w:color w:val="000000"/>
          <w:spacing w:val="0"/>
          <w:w w:val="100"/>
          <w:position w:val="0"/>
          <w:sz w:val="18"/>
          <w:szCs w:val="18"/>
        </w:rPr>
        <w:t>4）</w:t>
      </w:r>
      <w:r>
        <w:rPr>
          <w:color w:val="000000"/>
          <w:spacing w:val="0"/>
          <w:w w:val="100"/>
          <w:position w:val="0"/>
        </w:rPr>
        <w:t>减值测试方法及减值准备计提方法</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对子公司、联营企业及合营企业的投资，计提资产减值的方法见附注三、</w:t>
      </w:r>
      <w:r>
        <w:rPr>
          <w:color w:val="000000"/>
          <w:spacing w:val="0"/>
          <w:w w:val="100"/>
          <w:position w:val="0"/>
          <w:sz w:val="18"/>
          <w:szCs w:val="18"/>
        </w:rPr>
        <w:t>19</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60"/>
      <w:bookmarkEnd w:id="861"/>
      <w:bookmarkEnd w:id="863"/>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成本法计量</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折旧或摊销方法</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投资性房地产是指为赚取租金或资本增值，或两者兼有而持有的房地产。本公司投资性房地产包括已出租的土地使用权、 持有并准备增值后转让的土地使用权、已出租的建筑物。</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本公司投资性房地产按照取得时的成本进行初始计量，并按照固定资产或无形资产的有关规定，按期计提折旧或摊销。</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采用成本模式进行后续计量的投资性房地产，计提资产减值方法见附注三、</w:t>
      </w:r>
      <w:r>
        <w:rPr>
          <w:color w:val="000000"/>
          <w:spacing w:val="0"/>
          <w:w w:val="100"/>
          <w:position w:val="0"/>
          <w:sz w:val="18"/>
          <w:szCs w:val="18"/>
        </w:rPr>
        <w:t>19</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21"/>
        <w:keepNext w:val="0"/>
        <w:keepLines w:val="0"/>
        <w:widowControl w:val="0"/>
        <w:shd w:val="clear" w:color="auto" w:fill="auto"/>
        <w:bidi w:val="0"/>
        <w:spacing w:before="0" w:line="312" w:lineRule="exact"/>
        <w:ind w:left="0" w:right="0"/>
        <w:jc w:val="left"/>
      </w:pPr>
      <w:r>
        <w:rPr>
          <w:color w:val="000000"/>
          <w:spacing w:val="0"/>
          <w:w w:val="100"/>
          <w:position w:val="0"/>
        </w:rPr>
        <w:t>本公司确定各类投资性房地产的年折旧率如下：</w:t>
      </w:r>
    </w:p>
    <w:tbl>
      <w:tblPr>
        <w:tblOverlap w:val="never"/>
        <w:jc w:val="left"/>
        <w:tblLayout w:type="fixed"/>
      </w:tblPr>
      <w:tblGrid>
        <w:gridCol w:w="2285"/>
        <w:gridCol w:w="2270"/>
        <w:gridCol w:w="2256"/>
        <w:gridCol w:w="2275"/>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使用年限（年）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年折旧率</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64"/>
      <w:bookmarkEnd w:id="865"/>
      <w:bookmarkEnd w:id="867"/>
    </w:p>
    <w:p>
      <w:pPr>
        <w:pStyle w:val="Style36"/>
        <w:keepNext/>
        <w:keepLines/>
        <w:widowControl w:val="0"/>
        <w:shd w:val="clear" w:color="auto" w:fill="auto"/>
        <w:bidi w:val="0"/>
        <w:spacing w:before="0" w:after="28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8"/>
      <w:bookmarkEnd w:id="869"/>
      <w:bookmarkEnd w:id="871"/>
    </w:p>
    <w:p>
      <w:pPr>
        <w:pStyle w:val="Style21"/>
        <w:keepNext w:val="0"/>
        <w:keepLines w:val="0"/>
        <w:widowControl w:val="0"/>
        <w:shd w:val="clear" w:color="auto" w:fill="auto"/>
        <w:bidi w:val="0"/>
        <w:spacing w:before="0" w:after="0" w:line="312" w:lineRule="exact"/>
        <w:ind w:left="0" w:right="0" w:firstLine="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）固定资产确认条件</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本公司固定资产是指为生产商品、提供劳务、出租或经营管理而持有的，使用寿命超过一个会计年度的有形资产。</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与该固定资产有关的经济利益很可能流入企业，并且该固定资产的成本能够可靠地计量时，固定资产才能予以确认。</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本公司固定资产按照取得时的实际成本进行初始计量。</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与固定资产有关的后续支出，在与其有关的经济利益很可能流入本公司且其成本能够可靠计量时，计入固定资产成本；不符 合固定资产资本化后续支出条件的固定资产日常修理费用，在发生时按照受益对象计入当期损益或计入相关资产的成本。对 于被替换的部分，终止确认其账面价值。</w:t>
      </w:r>
    </w:p>
    <w:p>
      <w:pPr>
        <w:pStyle w:val="Style51"/>
        <w:keepNext w:val="0"/>
        <w:keepLines w:val="0"/>
        <w:widowControl w:val="0"/>
        <w:shd w:val="clear" w:color="auto" w:fill="auto"/>
        <w:bidi w:val="0"/>
        <w:spacing w:before="0" w:line="240" w:lineRule="auto"/>
        <w:ind w:left="0" w:right="0"/>
        <w:jc w:val="left"/>
      </w:pPr>
      <w:bookmarkStart w:id="873" w:name="bookmark873"/>
      <w:r>
        <w:rPr>
          <w:color w:val="000000"/>
          <w:spacing w:val="0"/>
          <w:w w:val="100"/>
          <w:position w:val="0"/>
        </w:rPr>
        <w:t>⑵折旧方法</w:t>
      </w:r>
      <w:bookmarkEnd w:id="873"/>
    </w:p>
    <w:tbl>
      <w:tblPr>
        <w:tblOverlap w:val="never"/>
        <w:jc w:val="center"/>
        <w:tblLayout w:type="fixed"/>
      </w:tblPr>
      <w:tblGrid>
        <w:gridCol w:w="1930"/>
        <w:gridCol w:w="1915"/>
        <w:gridCol w:w="1915"/>
        <w:gridCol w:w="1915"/>
        <w:gridCol w:w="193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6"/>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动资产时停止计提折旧。在不考虑减值准备的情况下，按固定资产类别、预计使用寿命和预计残值，本公司确定各类固定资 产的年折旧率如上：</w:t>
      </w:r>
    </w:p>
    <w:p>
      <w:pPr>
        <w:widowControl w:val="0"/>
        <w:spacing w:after="39" w:line="1" w:lineRule="exact"/>
      </w:pPr>
    </w:p>
    <w:p>
      <w:pPr>
        <w:pStyle w:val="Style21"/>
        <w:keepNext w:val="0"/>
        <w:keepLines w:val="0"/>
        <w:widowControl w:val="0"/>
        <w:shd w:val="clear" w:color="auto" w:fill="auto"/>
        <w:bidi w:val="0"/>
        <w:spacing w:before="0" w:after="280" w:line="240" w:lineRule="auto"/>
        <w:ind w:left="0" w:right="0"/>
        <w:jc w:val="left"/>
      </w:pPr>
      <w:r>
        <w:rPr>
          <w:color w:val="000000"/>
          <w:spacing w:val="0"/>
          <w:w w:val="100"/>
          <w:position w:val="0"/>
        </w:rPr>
        <w:t>其中，已计提减值准备的固定资产，还应扣除已计提的固定资产减值准备累计金额计算确定折旧率。</w:t>
      </w:r>
    </w:p>
    <w:p>
      <w:pPr>
        <w:pStyle w:val="Style21"/>
        <w:keepNext w:val="0"/>
        <w:keepLines w:val="0"/>
        <w:widowControl w:val="0"/>
        <w:numPr>
          <w:ilvl w:val="0"/>
          <w:numId w:val="17"/>
        </w:numPr>
        <w:shd w:val="clear" w:color="auto" w:fill="auto"/>
        <w:tabs>
          <w:tab w:pos="830" w:val="left"/>
        </w:tabs>
        <w:bidi w:val="0"/>
        <w:spacing w:before="0" w:after="0" w:line="312" w:lineRule="exact"/>
        <w:ind w:left="0" w:right="0"/>
        <w:jc w:val="both"/>
      </w:pPr>
      <w:bookmarkStart w:id="874" w:name="bookmark874"/>
      <w:bookmarkEnd w:id="874"/>
      <w:r>
        <w:rPr>
          <w:color w:val="000000"/>
          <w:spacing w:val="0"/>
          <w:w w:val="100"/>
          <w:position w:val="0"/>
        </w:rPr>
        <w:t>固定资产的减值测试方法、减值准备计提方法见附注三、</w:t>
      </w:r>
      <w:r>
        <w:rPr>
          <w:color w:val="000000"/>
          <w:spacing w:val="0"/>
          <w:w w:val="100"/>
          <w:position w:val="0"/>
          <w:sz w:val="18"/>
          <w:szCs w:val="18"/>
        </w:rPr>
        <w:t>19</w:t>
      </w:r>
      <w:r>
        <w:rPr>
          <w:color w:val="000000"/>
          <w:spacing w:val="0"/>
          <w:w w:val="100"/>
          <w:position w:val="0"/>
        </w:rPr>
        <w:t>。</w:t>
      </w:r>
    </w:p>
    <w:p>
      <w:pPr>
        <w:pStyle w:val="Style21"/>
        <w:keepNext w:val="0"/>
        <w:keepLines w:val="0"/>
        <w:widowControl w:val="0"/>
        <w:numPr>
          <w:ilvl w:val="0"/>
          <w:numId w:val="17"/>
        </w:numPr>
        <w:shd w:val="clear" w:color="auto" w:fill="auto"/>
        <w:tabs>
          <w:tab w:pos="830" w:val="left"/>
        </w:tabs>
        <w:bidi w:val="0"/>
        <w:spacing w:before="0" w:after="0" w:line="312" w:lineRule="exact"/>
        <w:ind w:left="0" w:right="0"/>
        <w:jc w:val="both"/>
      </w:pPr>
      <w:bookmarkStart w:id="875" w:name="bookmark875"/>
      <w:bookmarkEnd w:id="875"/>
      <w:r>
        <w:rPr>
          <w:color w:val="000000"/>
          <w:spacing w:val="0"/>
          <w:w w:val="100"/>
          <w:position w:val="0"/>
        </w:rPr>
        <w:t>每年年度终了，本公司对固定资产的使用寿命、预计净残值和折旧方法进行复核。</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使用寿命预计数与原先估计数有差异的，调整固定资产使用寿命；预计净残值预计数与原先估计数有差异的，调整预计 净残值。</w:t>
      </w:r>
    </w:p>
    <w:p>
      <w:pPr>
        <w:pStyle w:val="Style21"/>
        <w:keepNext w:val="0"/>
        <w:keepLines w:val="0"/>
        <w:widowControl w:val="0"/>
        <w:numPr>
          <w:ilvl w:val="0"/>
          <w:numId w:val="17"/>
        </w:numPr>
        <w:shd w:val="clear" w:color="auto" w:fill="auto"/>
        <w:tabs>
          <w:tab w:pos="830" w:val="left"/>
        </w:tabs>
        <w:bidi w:val="0"/>
        <w:spacing w:before="0" w:after="0" w:line="312" w:lineRule="exact"/>
        <w:ind w:left="0" w:right="0"/>
        <w:jc w:val="both"/>
      </w:pPr>
      <w:bookmarkStart w:id="876" w:name="bookmark876"/>
      <w:bookmarkEnd w:id="876"/>
      <w:r>
        <w:rPr>
          <w:color w:val="000000"/>
          <w:spacing w:val="0"/>
          <w:w w:val="100"/>
          <w:position w:val="0"/>
        </w:rPr>
        <w:t>固定资产处置</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6"/>
        <w:keepNext/>
        <w:keepLines/>
        <w:widowControl w:val="0"/>
        <w:shd w:val="clear" w:color="auto" w:fill="auto"/>
        <w:bidi w:val="0"/>
        <w:spacing w:before="0" w:after="400" w:line="240" w:lineRule="auto"/>
        <w:ind w:left="0" w:right="0" w:firstLine="140"/>
        <w:jc w:val="left"/>
      </w:pPr>
      <w:bookmarkStart w:id="877" w:name="bookmark877"/>
      <w:bookmarkStart w:id="878" w:name="bookmark878"/>
      <w:bookmarkStart w:id="879" w:name="bookmark879"/>
      <w:r>
        <w:rPr>
          <w:color w:val="000000"/>
          <w:spacing w:val="0"/>
          <w:w w:val="100"/>
          <w:position w:val="0"/>
        </w:rPr>
        <w:t>⑶融资租入固定资产的认定依据、计价和折旧方法</w:t>
      </w:r>
      <w:bookmarkEnd w:id="877"/>
      <w:bookmarkEnd w:id="878"/>
      <w:bookmarkEnd w:id="879"/>
    </w:p>
    <w:p>
      <w:pPr>
        <w:pStyle w:val="Style21"/>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80"/>
      <w:bookmarkEnd w:id="881"/>
      <w:bookmarkEnd w:id="883"/>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在建工程在达到预定可使用状态时转入固定资产。</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在建工程计提资产减值方法见附注三、</w:t>
      </w:r>
      <w:r>
        <w:rPr>
          <w:color w:val="000000"/>
          <w:spacing w:val="0"/>
          <w:w w:val="100"/>
          <w:position w:val="0"/>
          <w:sz w:val="18"/>
          <w:szCs w:val="18"/>
        </w:rPr>
        <w:t>19</w:t>
      </w:r>
      <w:r>
        <w:rPr>
          <w:color w:val="000000"/>
          <w:spacing w:val="0"/>
          <w:w w:val="100"/>
          <w:position w:val="0"/>
        </w:rPr>
        <w:t>。</w:t>
      </w:r>
    </w:p>
    <w:p>
      <w:pPr>
        <w:pStyle w:val="Style32"/>
        <w:keepNext/>
        <w:keepLines/>
        <w:widowControl w:val="0"/>
        <w:shd w:val="clear" w:color="auto" w:fill="auto"/>
        <w:tabs>
          <w:tab w:pos="478"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4"/>
      <w:bookmarkEnd w:id="885"/>
      <w:bookmarkEnd w:id="887"/>
    </w:p>
    <w:p>
      <w:pPr>
        <w:pStyle w:val="Style21"/>
        <w:keepNext w:val="0"/>
        <w:keepLines w:val="0"/>
        <w:widowControl w:val="0"/>
        <w:numPr>
          <w:ilvl w:val="0"/>
          <w:numId w:val="19"/>
        </w:numPr>
        <w:shd w:val="clear" w:color="auto" w:fill="auto"/>
        <w:tabs>
          <w:tab w:pos="830" w:val="left"/>
        </w:tabs>
        <w:bidi w:val="0"/>
        <w:spacing w:before="0" w:after="0" w:line="315" w:lineRule="exact"/>
        <w:ind w:left="0" w:right="0"/>
        <w:jc w:val="both"/>
      </w:pPr>
      <w:bookmarkStart w:id="888" w:name="bookmark888"/>
      <w:bookmarkEnd w:id="888"/>
      <w:r>
        <w:rPr>
          <w:color w:val="000000"/>
          <w:spacing w:val="0"/>
          <w:w w:val="100"/>
          <w:position w:val="0"/>
        </w:rPr>
        <w:t>借款费用资本化的确认原则</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21"/>
        <w:keepNext w:val="0"/>
        <w:keepLines w:val="0"/>
        <w:widowControl w:val="0"/>
        <w:numPr>
          <w:ilvl w:val="0"/>
          <w:numId w:val="21"/>
        </w:numPr>
        <w:shd w:val="clear" w:color="auto" w:fill="auto"/>
        <w:tabs>
          <w:tab w:pos="723" w:val="left"/>
        </w:tabs>
        <w:bidi w:val="0"/>
        <w:spacing w:before="0" w:after="0" w:line="315" w:lineRule="exact"/>
        <w:ind w:left="0" w:right="0"/>
        <w:jc w:val="both"/>
      </w:pPr>
      <w:bookmarkStart w:id="889" w:name="bookmark889"/>
      <w:bookmarkEnd w:id="88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1"/>
        <w:keepNext w:val="0"/>
        <w:keepLines w:val="0"/>
        <w:widowControl w:val="0"/>
        <w:numPr>
          <w:ilvl w:val="0"/>
          <w:numId w:val="21"/>
        </w:numPr>
        <w:shd w:val="clear" w:color="auto" w:fill="auto"/>
        <w:tabs>
          <w:tab w:pos="753" w:val="left"/>
        </w:tabs>
        <w:bidi w:val="0"/>
        <w:spacing w:before="0" w:after="0" w:line="315" w:lineRule="exact"/>
        <w:ind w:left="0" w:right="0"/>
        <w:jc w:val="both"/>
      </w:pPr>
      <w:bookmarkStart w:id="890" w:name="bookmark890"/>
      <w:bookmarkEnd w:id="890"/>
      <w:r>
        <w:rPr>
          <w:color w:val="000000"/>
          <w:spacing w:val="0"/>
          <w:w w:val="100"/>
          <w:position w:val="0"/>
        </w:rPr>
        <w:t>借款费用已经发生；</w:t>
      </w:r>
    </w:p>
    <w:p>
      <w:pPr>
        <w:pStyle w:val="Style21"/>
        <w:keepNext w:val="0"/>
        <w:keepLines w:val="0"/>
        <w:widowControl w:val="0"/>
        <w:numPr>
          <w:ilvl w:val="0"/>
          <w:numId w:val="21"/>
        </w:numPr>
        <w:shd w:val="clear" w:color="auto" w:fill="auto"/>
        <w:tabs>
          <w:tab w:pos="753" w:val="left"/>
        </w:tabs>
        <w:bidi w:val="0"/>
        <w:spacing w:before="0" w:after="0" w:line="315" w:lineRule="exact"/>
        <w:ind w:left="0" w:right="0"/>
        <w:jc w:val="both"/>
      </w:pPr>
      <w:bookmarkStart w:id="891" w:name="bookmark891"/>
      <w:bookmarkEnd w:id="891"/>
      <w:r>
        <w:rPr>
          <w:color w:val="000000"/>
          <w:spacing w:val="0"/>
          <w:w w:val="100"/>
          <w:position w:val="0"/>
        </w:rPr>
        <w:t>为使资产达到预定可使用或者可销售状态所必要的购建或者生产活动已经开始。</w:t>
      </w:r>
    </w:p>
    <w:p>
      <w:pPr>
        <w:pStyle w:val="Style21"/>
        <w:keepNext w:val="0"/>
        <w:keepLines w:val="0"/>
        <w:widowControl w:val="0"/>
        <w:numPr>
          <w:ilvl w:val="0"/>
          <w:numId w:val="19"/>
        </w:numPr>
        <w:shd w:val="clear" w:color="auto" w:fill="auto"/>
        <w:tabs>
          <w:tab w:pos="830" w:val="left"/>
        </w:tabs>
        <w:bidi w:val="0"/>
        <w:spacing w:before="0" w:after="0" w:line="315" w:lineRule="exact"/>
        <w:ind w:left="0" w:right="0"/>
        <w:jc w:val="both"/>
      </w:pPr>
      <w:bookmarkStart w:id="892" w:name="bookmark892"/>
      <w:bookmarkEnd w:id="892"/>
      <w:r>
        <w:rPr>
          <w:color w:val="000000"/>
          <w:spacing w:val="0"/>
          <w:w w:val="100"/>
          <w:position w:val="0"/>
        </w:rPr>
        <w:t>借款费用资本化期间</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21"/>
        <w:keepNext w:val="0"/>
        <w:keepLines w:val="0"/>
        <w:widowControl w:val="0"/>
        <w:numPr>
          <w:ilvl w:val="0"/>
          <w:numId w:val="19"/>
        </w:numPr>
        <w:shd w:val="clear" w:color="auto" w:fill="auto"/>
        <w:tabs>
          <w:tab w:pos="830" w:val="left"/>
        </w:tabs>
        <w:bidi w:val="0"/>
        <w:spacing w:before="0" w:after="0" w:line="315" w:lineRule="exact"/>
        <w:ind w:left="0" w:right="0"/>
        <w:jc w:val="both"/>
      </w:pPr>
      <w:bookmarkStart w:id="893" w:name="bookmark893"/>
      <w:bookmarkEnd w:id="893"/>
      <w:r>
        <w:rPr>
          <w:color w:val="000000"/>
          <w:spacing w:val="0"/>
          <w:w w:val="100"/>
          <w:position w:val="0"/>
        </w:rPr>
        <w:t>借款费用资本化率以及资本化金额的计算方法</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1"/>
        <w:keepNext w:val="0"/>
        <w:keepLines w:val="0"/>
        <w:widowControl w:val="0"/>
        <w:shd w:val="clear" w:color="auto" w:fill="auto"/>
        <w:bidi w:val="0"/>
        <w:spacing w:before="0" w:after="280" w:line="315"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2"/>
        <w:keepNext/>
        <w:keepLines/>
        <w:widowControl w:val="0"/>
        <w:shd w:val="clear" w:color="auto" w:fill="auto"/>
        <w:tabs>
          <w:tab w:pos="478" w:val="left"/>
        </w:tabs>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4"/>
      <w:bookmarkEnd w:id="895"/>
      <w:bookmarkEnd w:id="897"/>
    </w:p>
    <w:p>
      <w:pPr>
        <w:pStyle w:val="Style32"/>
        <w:keepNext/>
        <w:keepLines/>
        <w:widowControl w:val="0"/>
        <w:shd w:val="clear" w:color="auto" w:fill="auto"/>
        <w:tabs>
          <w:tab w:pos="478"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8"/>
      <w:bookmarkEnd w:id="899"/>
      <w:bookmarkEnd w:id="901"/>
    </w:p>
    <w:p>
      <w:pPr>
        <w:pStyle w:val="Style32"/>
        <w:keepNext/>
        <w:keepLines/>
        <w:widowControl w:val="0"/>
        <w:shd w:val="clear" w:color="auto" w:fill="auto"/>
        <w:tabs>
          <w:tab w:pos="478"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2"/>
      <w:bookmarkEnd w:id="903"/>
      <w:bookmarkEnd w:id="905"/>
    </w:p>
    <w:p>
      <w:pPr>
        <w:pStyle w:val="Style21"/>
        <w:keepNext w:val="0"/>
        <w:keepLines w:val="0"/>
        <w:widowControl w:val="0"/>
        <w:shd w:val="clear" w:color="auto" w:fill="auto"/>
        <w:tabs>
          <w:tab w:pos="830" w:val="left"/>
        </w:tabs>
        <w:bidi w:val="0"/>
        <w:spacing w:before="0" w:after="0" w:line="313" w:lineRule="exact"/>
        <w:ind w:left="0" w:right="0"/>
        <w:jc w:val="both"/>
      </w:pPr>
      <w:bookmarkStart w:id="906" w:name="bookmark906"/>
      <w:r>
        <w:rPr>
          <w:color w:val="000000"/>
          <w:spacing w:val="0"/>
          <w:w w:val="100"/>
          <w:position w:val="0"/>
          <w:sz w:val="18"/>
          <w:szCs w:val="18"/>
        </w:rPr>
        <w:t>（</w:t>
      </w:r>
      <w:bookmarkEnd w:id="906"/>
      <w:r>
        <w:rPr>
          <w:color w:val="000000"/>
          <w:spacing w:val="0"/>
          <w:w w:val="100"/>
          <w:position w:val="0"/>
          <w:sz w:val="18"/>
          <w:szCs w:val="18"/>
        </w:rPr>
        <w:t>1）</w:t>
        <w:tab/>
      </w:r>
      <w:r>
        <w:rPr>
          <w:color w:val="000000"/>
          <w:spacing w:val="0"/>
          <w:w w:val="100"/>
          <w:position w:val="0"/>
        </w:rPr>
        <w:t>使用权资产确认条件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使用权资产是指本公司作为承租人可在租赁期内使用租赁资产的权利。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在租赁期开始日，使用权资产按照成本进行初始计量。该成本包括：租赁负债的初始计量金额；在租赁期开始日或之前 支付的租赁付款额，存在租赁激励的，扣除已享受的租赁激励相关金额；本公司作为承租人发生的初始直接费用；本公司作 为承租人为拆卸及移除租赁资产、复原租赁资产所在场地或将租赁资产恢复至租赁条款约定状态预计将发生的成本。本公司 作为承租人按照《企业会计准则第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或有事项》对拆除复原等成本进行确认和计量。后续就租赁负债的任何重新计量 作出调整。</w:t>
      </w:r>
    </w:p>
    <w:p>
      <w:pPr>
        <w:pStyle w:val="Style21"/>
        <w:keepNext w:val="0"/>
        <w:keepLines w:val="0"/>
        <w:widowControl w:val="0"/>
        <w:shd w:val="clear" w:color="auto" w:fill="auto"/>
        <w:tabs>
          <w:tab w:pos="830" w:val="left"/>
        </w:tabs>
        <w:bidi w:val="0"/>
        <w:spacing w:before="0" w:after="0" w:line="313" w:lineRule="exact"/>
        <w:ind w:left="0" w:right="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2）</w:t>
        <w:tab/>
      </w:r>
      <w:r>
        <w:rPr>
          <w:color w:val="000000"/>
          <w:spacing w:val="0"/>
          <w:w w:val="100"/>
          <w:position w:val="0"/>
        </w:rPr>
        <w:t>使用权资产的折旧方法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本公司采用直线法计提折旧。本公司作为承租人能够合理确定租赁期届满时取得租赁资产所有权的，在租赁资产剩余使 用寿命内计提折旧。无法合理确定租赁期届满时能够取得租赁资产所有权的，在租赁期与租赁资产剩余使用寿命两者孰短的 期间内计提折旧。</w:t>
      </w:r>
    </w:p>
    <w:p>
      <w:pPr>
        <w:pStyle w:val="Style21"/>
        <w:keepNext w:val="0"/>
        <w:keepLines w:val="0"/>
        <w:widowControl w:val="0"/>
        <w:shd w:val="clear" w:color="auto" w:fill="auto"/>
        <w:tabs>
          <w:tab w:pos="830" w:val="left"/>
        </w:tabs>
        <w:bidi w:val="0"/>
        <w:spacing w:before="0" w:after="380" w:line="313" w:lineRule="exact"/>
        <w:ind w:left="0" w:right="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3）</w:t>
        <w:tab/>
      </w:r>
      <w:r>
        <w:rPr>
          <w:color w:val="000000"/>
          <w:spacing w:val="0"/>
          <w:w w:val="100"/>
          <w:position w:val="0"/>
        </w:rPr>
        <w:t>使用权资产的减值测试方法、减值准备计提方法见附注三、</w:t>
      </w:r>
      <w:r>
        <w:rPr>
          <w:color w:val="000000"/>
          <w:spacing w:val="0"/>
          <w:w w:val="100"/>
          <w:position w:val="0"/>
          <w:sz w:val="18"/>
          <w:szCs w:val="18"/>
        </w:rPr>
        <w:t>19</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09"/>
      <w:bookmarkEnd w:id="910"/>
      <w:bookmarkEnd w:id="912"/>
    </w:p>
    <w:p>
      <w:pPr>
        <w:pStyle w:val="Style36"/>
        <w:keepNext/>
        <w:keepLines/>
        <w:widowControl w:val="0"/>
        <w:shd w:val="clear" w:color="auto" w:fill="auto"/>
        <w:bidi w:val="0"/>
        <w:spacing w:before="0" w:after="2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3"/>
      <w:bookmarkEnd w:id="914"/>
      <w:bookmarkEnd w:id="916"/>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本公司无形资产包括土地使用权、计算机软件、自行开发软件等。</w:t>
      </w:r>
    </w:p>
    <w:p>
      <w:pPr>
        <w:pStyle w:val="Style21"/>
        <w:keepNext w:val="0"/>
        <w:keepLines w:val="0"/>
        <w:widowControl w:val="0"/>
        <w:shd w:val="clear" w:color="auto" w:fill="auto"/>
        <w:bidi w:val="0"/>
        <w:spacing w:before="0" w:after="80" w:line="312" w:lineRule="exact"/>
        <w:ind w:left="0" w:right="0"/>
        <w:jc w:val="both"/>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式的，采用直线法摊销；使用寿命不确定的无形资产，不作摊销。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2280"/>
        <w:gridCol w:w="2270"/>
        <w:gridCol w:w="2270"/>
        <w:gridCol w:w="2280"/>
      </w:tblGrid>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资产负债表日预计某项无形资产已经不能给企业带来未来经济利益的，将该项无形资产的账面价值全部转入当期损益。</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无形资产计提资产减值方法见附注三、</w:t>
      </w:r>
      <w:r>
        <w:rPr>
          <w:color w:val="000000"/>
          <w:spacing w:val="0"/>
          <w:w w:val="100"/>
          <w:position w:val="0"/>
          <w:sz w:val="18"/>
          <w:szCs w:val="18"/>
        </w:rPr>
        <w:t>19</w:t>
      </w:r>
      <w:r>
        <w:rPr>
          <w:color w:val="000000"/>
          <w:spacing w:val="0"/>
          <w:w w:val="100"/>
          <w:position w:val="0"/>
        </w:rPr>
        <w:t>。</w:t>
      </w:r>
    </w:p>
    <w:p>
      <w:pPr>
        <w:pStyle w:val="Style36"/>
        <w:keepNext/>
        <w:keepLines/>
        <w:widowControl w:val="0"/>
        <w:shd w:val="clear" w:color="auto" w:fill="auto"/>
        <w:bidi w:val="0"/>
        <w:spacing w:before="0" w:after="28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7"/>
      <w:bookmarkEnd w:id="918"/>
      <w:bookmarkEnd w:id="920"/>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本公司将内部研究开发项目的支出，区分为研究阶段支出和开发阶段支出。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研究阶段的支出，于发生时计入当期损益。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w:t>
      </w:r>
      <w:r>
        <w:rPr>
          <w:color w:val="000000"/>
          <w:spacing w:val="0"/>
          <w:w w:val="100"/>
          <w:position w:val="0"/>
        </w:rPr>
        <w:t>持，以完成该无形资产的开发，并有能力使用或出售该无形资产；归属于该无形资产开发阶段的支出能够可靠地计量。不满 足上述条件的开发支出计入当期损益。</w:t>
      </w:r>
    </w:p>
    <w:p>
      <w:pPr>
        <w:pStyle w:val="Style21"/>
        <w:keepNext w:val="0"/>
        <w:keepLines w:val="0"/>
        <w:widowControl w:val="0"/>
        <w:shd w:val="clear" w:color="auto" w:fill="auto"/>
        <w:bidi w:val="0"/>
        <w:spacing w:before="0" w:after="0" w:line="320" w:lineRule="exact"/>
        <w:ind w:left="0" w:right="0"/>
        <w:jc w:val="both"/>
      </w:pPr>
      <w:r>
        <w:rPr>
          <w:color w:val="000000"/>
          <w:spacing w:val="0"/>
          <w:w w:val="100"/>
          <w:position w:val="0"/>
        </w:rPr>
        <w:t>本公司研究开发项目在满足上述条件，通过技术可行性及经济可行性研究，形成项目立项后，进入开发阶段。</w:t>
      </w:r>
    </w:p>
    <w:p>
      <w:pPr>
        <w:pStyle w:val="Style21"/>
        <w:keepNext w:val="0"/>
        <w:keepLines w:val="0"/>
        <w:widowControl w:val="0"/>
        <w:shd w:val="clear" w:color="auto" w:fill="auto"/>
        <w:bidi w:val="0"/>
        <w:spacing w:before="0" w:after="0" w:line="320" w:lineRule="exact"/>
        <w:ind w:left="0" w:right="0"/>
        <w:jc w:val="both"/>
      </w:pPr>
      <w:r>
        <w:rPr>
          <w:color w:val="000000"/>
          <w:spacing w:val="0"/>
          <w:w w:val="100"/>
          <w:position w:val="0"/>
        </w:rPr>
        <w:t>已资本化的开发阶段的支出在资产负债表上列示为开发支出，自该项目达到预定用途之日转为无形资产。</w:t>
      </w:r>
    </w:p>
    <w:p>
      <w:pPr>
        <w:pStyle w:val="Style21"/>
        <w:keepNext w:val="0"/>
        <w:keepLines w:val="0"/>
        <w:widowControl w:val="0"/>
        <w:shd w:val="clear" w:color="auto" w:fill="auto"/>
        <w:bidi w:val="0"/>
        <w:spacing w:before="0" w:after="0" w:line="320" w:lineRule="exact"/>
        <w:ind w:left="0" w:right="0"/>
        <w:jc w:val="both"/>
      </w:pPr>
      <w:r>
        <w:rPr>
          <w:color w:val="000000"/>
          <w:spacing w:val="0"/>
          <w:w w:val="100"/>
          <w:position w:val="0"/>
        </w:rPr>
        <w:t>具体研发项目的资本化条件：</w:t>
      </w:r>
    </w:p>
    <w:p>
      <w:pPr>
        <w:pStyle w:val="Style21"/>
        <w:keepNext w:val="0"/>
        <w:keepLines w:val="0"/>
        <w:widowControl w:val="0"/>
        <w:shd w:val="clear" w:color="auto" w:fill="auto"/>
        <w:tabs>
          <w:tab w:pos="889" w:val="left"/>
        </w:tabs>
        <w:bidi w:val="0"/>
        <w:spacing w:before="0" w:after="0" w:line="320" w:lineRule="exact"/>
        <w:ind w:left="0" w:right="0"/>
        <w:jc w:val="both"/>
      </w:pPr>
      <w:bookmarkStart w:id="921" w:name="bookmark921"/>
      <w:r>
        <w:rPr>
          <w:color w:val="000000"/>
          <w:spacing w:val="0"/>
          <w:w w:val="100"/>
          <w:position w:val="0"/>
          <w:sz w:val="18"/>
          <w:szCs w:val="18"/>
        </w:rPr>
        <w:t>（</w:t>
      </w:r>
      <w:bookmarkEnd w:id="921"/>
      <w:r>
        <w:rPr>
          <w:color w:val="000000"/>
          <w:spacing w:val="0"/>
          <w:w w:val="100"/>
          <w:position w:val="0"/>
          <w:sz w:val="18"/>
          <w:szCs w:val="18"/>
        </w:rPr>
        <w:t>1）</w:t>
        <w:tab/>
      </w:r>
      <w:r>
        <w:rPr>
          <w:color w:val="000000"/>
          <w:spacing w:val="0"/>
          <w:w w:val="100"/>
          <w:position w:val="0"/>
        </w:rPr>
        <w:t>公司目前资本化的研发支出项目中，项目均在研发测试阶段，公司完成该无形资产以使其能够使用或者出售在技 术上具有可行性；</w:t>
      </w:r>
    </w:p>
    <w:p>
      <w:pPr>
        <w:pStyle w:val="Style21"/>
        <w:keepNext w:val="0"/>
        <w:keepLines w:val="0"/>
        <w:widowControl w:val="0"/>
        <w:shd w:val="clear" w:color="auto" w:fill="auto"/>
        <w:tabs>
          <w:tab w:pos="874" w:val="left"/>
        </w:tabs>
        <w:bidi w:val="0"/>
        <w:spacing w:before="0" w:after="0" w:line="320" w:lineRule="exact"/>
        <w:ind w:left="0" w:right="0"/>
        <w:jc w:val="both"/>
      </w:pPr>
      <w:bookmarkStart w:id="922" w:name="bookmark922"/>
      <w:r>
        <w:rPr>
          <w:color w:val="000000"/>
          <w:spacing w:val="0"/>
          <w:w w:val="100"/>
          <w:position w:val="0"/>
          <w:sz w:val="18"/>
          <w:szCs w:val="18"/>
        </w:rPr>
        <w:t>（</w:t>
      </w:r>
      <w:bookmarkEnd w:id="922"/>
      <w:r>
        <w:rPr>
          <w:color w:val="000000"/>
          <w:spacing w:val="0"/>
          <w:w w:val="100"/>
          <w:position w:val="0"/>
          <w:sz w:val="18"/>
          <w:szCs w:val="18"/>
        </w:rPr>
        <w:t>2）</w:t>
        <w:tab/>
      </w:r>
      <w:r>
        <w:rPr>
          <w:color w:val="000000"/>
          <w:spacing w:val="0"/>
          <w:w w:val="100"/>
          <w:position w:val="0"/>
        </w:rPr>
        <w:t>公司所有研发支出项目均是针对特定市场需求进行相关开发，以备将来出售，具有完成该无形资产并使用或出售 的意图；</w:t>
      </w:r>
    </w:p>
    <w:p>
      <w:pPr>
        <w:pStyle w:val="Style21"/>
        <w:keepNext w:val="0"/>
        <w:keepLines w:val="0"/>
        <w:widowControl w:val="0"/>
        <w:shd w:val="clear" w:color="auto" w:fill="auto"/>
        <w:tabs>
          <w:tab w:pos="884" w:val="left"/>
        </w:tabs>
        <w:bidi w:val="0"/>
        <w:spacing w:before="0" w:after="0" w:line="320" w:lineRule="exact"/>
        <w:ind w:left="0" w:right="0"/>
        <w:jc w:val="both"/>
      </w:pPr>
      <w:bookmarkStart w:id="923" w:name="bookmark923"/>
      <w:r>
        <w:rPr>
          <w:color w:val="000000"/>
          <w:spacing w:val="0"/>
          <w:w w:val="100"/>
          <w:position w:val="0"/>
          <w:sz w:val="18"/>
          <w:szCs w:val="18"/>
        </w:rPr>
        <w:t>（</w:t>
      </w:r>
      <w:bookmarkEnd w:id="923"/>
      <w:r>
        <w:rPr>
          <w:color w:val="000000"/>
          <w:spacing w:val="0"/>
          <w:w w:val="100"/>
          <w:position w:val="0"/>
          <w:sz w:val="18"/>
          <w:szCs w:val="18"/>
        </w:rPr>
        <w:t>3）</w:t>
        <w:tab/>
      </w:r>
      <w:r>
        <w:rPr>
          <w:color w:val="000000"/>
          <w:spacing w:val="0"/>
          <w:w w:val="100"/>
          <w:position w:val="0"/>
        </w:rPr>
        <w:t>公司所有研发支出资本化项目均会形成测试版软件，表明公司运用该无形资产生产的产品存在市场或无形资产自 身存在市场；</w:t>
      </w:r>
    </w:p>
    <w:p>
      <w:pPr>
        <w:pStyle w:val="Style21"/>
        <w:keepNext w:val="0"/>
        <w:keepLines w:val="0"/>
        <w:widowControl w:val="0"/>
        <w:shd w:val="clear" w:color="auto" w:fill="auto"/>
        <w:tabs>
          <w:tab w:pos="889" w:val="left"/>
        </w:tabs>
        <w:bidi w:val="0"/>
        <w:spacing w:before="0" w:after="0" w:line="320" w:lineRule="exact"/>
        <w:ind w:left="0" w:right="0"/>
        <w:jc w:val="both"/>
      </w:pPr>
      <w:bookmarkStart w:id="924" w:name="bookmark924"/>
      <w:r>
        <w:rPr>
          <w:color w:val="000000"/>
          <w:spacing w:val="0"/>
          <w:w w:val="100"/>
          <w:position w:val="0"/>
          <w:sz w:val="18"/>
          <w:szCs w:val="18"/>
        </w:rPr>
        <w:t>（</w:t>
      </w:r>
      <w:bookmarkEnd w:id="924"/>
      <w:r>
        <w:rPr>
          <w:color w:val="000000"/>
          <w:spacing w:val="0"/>
          <w:w w:val="100"/>
          <w:position w:val="0"/>
          <w:sz w:val="18"/>
          <w:szCs w:val="18"/>
        </w:rPr>
        <w:t>4）</w:t>
        <w:tab/>
      </w:r>
      <w:r>
        <w:rPr>
          <w:color w:val="000000"/>
          <w:spacing w:val="0"/>
          <w:w w:val="100"/>
          <w:position w:val="0"/>
        </w:rPr>
        <w:t>公司掌握研发支出资本化项目的核心技术，有能力完成相关无形资产的研发，表明公司有足够的技术、财务资源 和其他资源支持，以完成该无形资产的开发，并有能力出售该无形资产；</w:t>
      </w:r>
    </w:p>
    <w:p>
      <w:pPr>
        <w:pStyle w:val="Style21"/>
        <w:keepNext w:val="0"/>
        <w:keepLines w:val="0"/>
        <w:widowControl w:val="0"/>
        <w:shd w:val="clear" w:color="auto" w:fill="auto"/>
        <w:tabs>
          <w:tab w:pos="813" w:val="left"/>
        </w:tabs>
        <w:bidi w:val="0"/>
        <w:spacing w:before="0" w:after="400" w:line="320" w:lineRule="exact"/>
        <w:ind w:left="0" w:right="0"/>
        <w:jc w:val="both"/>
      </w:pPr>
      <w:bookmarkStart w:id="925" w:name="bookmark925"/>
      <w:r>
        <w:rPr>
          <w:color w:val="000000"/>
          <w:spacing w:val="0"/>
          <w:w w:val="100"/>
          <w:position w:val="0"/>
          <w:sz w:val="18"/>
          <w:szCs w:val="18"/>
        </w:rPr>
        <w:t>（</w:t>
      </w:r>
      <w:bookmarkEnd w:id="925"/>
      <w:r>
        <w:rPr>
          <w:color w:val="000000"/>
          <w:spacing w:val="0"/>
          <w:w w:val="100"/>
          <w:position w:val="0"/>
          <w:sz w:val="18"/>
          <w:szCs w:val="18"/>
        </w:rPr>
        <w:t>5）</w:t>
        <w:tab/>
      </w:r>
      <w:r>
        <w:rPr>
          <w:color w:val="000000"/>
          <w:spacing w:val="0"/>
          <w:w w:val="100"/>
          <w:position w:val="0"/>
        </w:rPr>
        <w:t>公司资本化研发支出分部门按项目统计相关支出，归属于该无形资产开发阶段的支出能够可靠地计量。</w:t>
      </w:r>
    </w:p>
    <w:p>
      <w:pPr>
        <w:pStyle w:val="Style32"/>
        <w:keepNext/>
        <w:keepLines/>
        <w:widowControl w:val="0"/>
        <w:shd w:val="clear" w:color="auto" w:fill="auto"/>
        <w:tabs>
          <w:tab w:pos="461" w:val="left"/>
        </w:tabs>
        <w:bidi w:val="0"/>
        <w:spacing w:before="0" w:after="26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26"/>
      <w:bookmarkEnd w:id="927"/>
      <w:bookmarkEnd w:id="929"/>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对子公司、联营企业的长期股权投资、采用成本模式进行后续计量的投资性房地产、固定资产、在建工程、使用权资产、 无形资产等（存货、递延所得税资产、金融资产除外）的资产减值，按以下方法确定：</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1"/>
        <w:keepNext w:val="0"/>
        <w:keepLines w:val="0"/>
        <w:widowControl w:val="0"/>
        <w:shd w:val="clear" w:color="auto" w:fill="auto"/>
        <w:bidi w:val="0"/>
        <w:spacing w:before="0" w:after="400" w:line="312" w:lineRule="exact"/>
        <w:ind w:left="0" w:right="0"/>
        <w:jc w:val="left"/>
      </w:pPr>
      <w:r>
        <w:rPr>
          <w:color w:val="000000"/>
          <w:spacing w:val="0"/>
          <w:w w:val="100"/>
          <w:position w:val="0"/>
        </w:rPr>
        <w:t>资产减值损失一经确认，在以后会计期间不再转回。</w:t>
      </w:r>
    </w:p>
    <w:p>
      <w:pPr>
        <w:pStyle w:val="Style32"/>
        <w:keepNext/>
        <w:keepLines/>
        <w:widowControl w:val="0"/>
        <w:shd w:val="clear" w:color="auto" w:fill="auto"/>
        <w:tabs>
          <w:tab w:pos="461" w:val="left"/>
        </w:tabs>
        <w:bidi w:val="0"/>
        <w:spacing w:before="0" w:after="260" w:line="240"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30"/>
      <w:bookmarkEnd w:id="931"/>
      <w:bookmarkEnd w:id="933"/>
    </w:p>
    <w:p>
      <w:pPr>
        <w:pStyle w:val="Style21"/>
        <w:keepNext w:val="0"/>
        <w:keepLines w:val="0"/>
        <w:widowControl w:val="0"/>
        <w:shd w:val="clear" w:color="auto" w:fill="auto"/>
        <w:bidi w:val="0"/>
        <w:spacing w:before="0" w:after="32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2"/>
        <w:keepNext/>
        <w:keepLines/>
        <w:widowControl w:val="0"/>
        <w:shd w:val="clear" w:color="auto" w:fill="auto"/>
        <w:tabs>
          <w:tab w:pos="478" w:val="left"/>
        </w:tabs>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34"/>
      <w:bookmarkEnd w:id="935"/>
      <w:bookmarkEnd w:id="937"/>
    </w:p>
    <w:p>
      <w:pPr>
        <w:pStyle w:val="Style32"/>
        <w:keepNext/>
        <w:keepLines/>
        <w:widowControl w:val="0"/>
        <w:shd w:val="clear" w:color="auto" w:fill="auto"/>
        <w:tabs>
          <w:tab w:pos="478" w:val="left"/>
        </w:tabs>
        <w:bidi w:val="0"/>
        <w:spacing w:before="0" w:after="3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8"/>
      <w:bookmarkEnd w:id="939"/>
      <w:bookmarkEnd w:id="941"/>
    </w:p>
    <w:p>
      <w:pPr>
        <w:pStyle w:val="Style36"/>
        <w:keepNext/>
        <w:keepLines/>
        <w:widowControl w:val="0"/>
        <w:shd w:val="clear" w:color="auto" w:fill="auto"/>
        <w:tabs>
          <w:tab w:pos="483"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2"/>
      <w:bookmarkEnd w:id="943"/>
      <w:bookmarkEnd w:id="945"/>
    </w:p>
    <w:p>
      <w:pPr>
        <w:pStyle w:val="Style21"/>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946" w:name="bookmark946"/>
      <w:bookmarkEnd w:id="946"/>
      <w:r>
        <w:rPr>
          <w:color w:val="000000"/>
          <w:spacing w:val="0"/>
          <w:w w:val="100"/>
          <w:position w:val="0"/>
        </w:rPr>
        <w:t>职工薪酬的范围</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离职后福利、辞退福利和其他长期职工福利。企业提供给职工配偶、子女、受赡养人、已故员工遗属及其他受益人等的福利， 也属于职工薪酬。</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根据流动性，职工薪酬分别列示于资产负债表的“应付职工薪酬”项目和“长期应付职工薪酬”项目。</w:t>
      </w:r>
    </w:p>
    <w:p>
      <w:pPr>
        <w:pStyle w:val="Style21"/>
        <w:keepNext w:val="0"/>
        <w:keepLines w:val="0"/>
        <w:widowControl w:val="0"/>
        <w:numPr>
          <w:ilvl w:val="0"/>
          <w:numId w:val="23"/>
        </w:numPr>
        <w:shd w:val="clear" w:color="auto" w:fill="auto"/>
        <w:tabs>
          <w:tab w:pos="753" w:val="left"/>
        </w:tabs>
        <w:bidi w:val="0"/>
        <w:spacing w:before="0" w:after="0" w:line="313" w:lineRule="exact"/>
        <w:ind w:left="0" w:right="0"/>
        <w:jc w:val="left"/>
      </w:pPr>
      <w:bookmarkStart w:id="947" w:name="bookmark947"/>
      <w:bookmarkEnd w:id="947"/>
      <w:r>
        <w:rPr>
          <w:color w:val="000000"/>
          <w:spacing w:val="0"/>
          <w:w w:val="100"/>
          <w:position w:val="0"/>
        </w:rPr>
        <w:t>短期薪酬</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36"/>
        <w:keepNext/>
        <w:keepLines/>
        <w:widowControl w:val="0"/>
        <w:shd w:val="clear" w:color="auto" w:fill="auto"/>
        <w:tabs>
          <w:tab w:pos="48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8"/>
      <w:bookmarkEnd w:id="949"/>
      <w:bookmarkEnd w:id="951"/>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设定提存计划</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设定提存计划包括基本养老保险、失业保险等。</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在职工提供服务的会计期间，根据设定提存计划计算的应缴存金额确认为负债，并计入当期损益或相关资产成本。</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对于设定受益计划，在年度资产负债表日由独立精算师进行精算估值，以预期累积福利单位法确定提供福利的成本。本 公司设定受益计划导致的职工薪酬成本包括下列组成部分：</w:t>
      </w:r>
    </w:p>
    <w:p>
      <w:pPr>
        <w:pStyle w:val="Style21"/>
        <w:keepNext w:val="0"/>
        <w:keepLines w:val="0"/>
        <w:widowControl w:val="0"/>
        <w:numPr>
          <w:ilvl w:val="0"/>
          <w:numId w:val="25"/>
        </w:numPr>
        <w:shd w:val="clear" w:color="auto" w:fill="auto"/>
        <w:tabs>
          <w:tab w:pos="728" w:val="left"/>
        </w:tabs>
        <w:bidi w:val="0"/>
        <w:spacing w:before="0" w:after="0" w:line="313" w:lineRule="exact"/>
        <w:ind w:left="0" w:right="0"/>
        <w:jc w:val="both"/>
      </w:pPr>
      <w:bookmarkStart w:id="952" w:name="bookmark952"/>
      <w:bookmarkEnd w:id="952"/>
      <w:r>
        <w:rPr>
          <w:color w:val="000000"/>
          <w:spacing w:val="0"/>
          <w:w w:val="100"/>
          <w:position w:val="0"/>
        </w:rPr>
        <w:t>服务成本，包括当期服务成本、过去服务成本和结算利得或损失。其中，当期服务成本，是指职工当期提供服务所导 致的设定受益计划义务现值的增加额；过去服务成本，是指设定受益计划修改所导致的与以前期间职工服务相关的设定受益 计划义务现值的增加或减少。</w:t>
      </w:r>
    </w:p>
    <w:p>
      <w:pPr>
        <w:pStyle w:val="Style21"/>
        <w:keepNext w:val="0"/>
        <w:keepLines w:val="0"/>
        <w:widowControl w:val="0"/>
        <w:numPr>
          <w:ilvl w:val="0"/>
          <w:numId w:val="25"/>
        </w:numPr>
        <w:shd w:val="clear" w:color="auto" w:fill="auto"/>
        <w:tabs>
          <w:tab w:pos="723" w:val="left"/>
        </w:tabs>
        <w:bidi w:val="0"/>
        <w:spacing w:before="0" w:after="0" w:line="313" w:lineRule="exact"/>
        <w:ind w:left="0" w:right="0"/>
        <w:jc w:val="both"/>
      </w:pPr>
      <w:bookmarkStart w:id="953" w:name="bookmark953"/>
      <w:bookmarkEnd w:id="953"/>
      <w:r>
        <w:rPr>
          <w:color w:val="000000"/>
          <w:spacing w:val="0"/>
          <w:w w:val="100"/>
          <w:position w:val="0"/>
        </w:rPr>
        <w:t>设定受益计划净负债或净资产的利息净额，包括计划资产的利息收益、设定受益计划义务的利息费用以及资产上限影 响的利息。</w:t>
      </w:r>
    </w:p>
    <w:p>
      <w:pPr>
        <w:pStyle w:val="Style21"/>
        <w:keepNext w:val="0"/>
        <w:keepLines w:val="0"/>
        <w:widowControl w:val="0"/>
        <w:numPr>
          <w:ilvl w:val="0"/>
          <w:numId w:val="25"/>
        </w:numPr>
        <w:shd w:val="clear" w:color="auto" w:fill="auto"/>
        <w:tabs>
          <w:tab w:pos="753" w:val="left"/>
        </w:tabs>
        <w:bidi w:val="0"/>
        <w:spacing w:before="0" w:after="0" w:line="313" w:lineRule="exact"/>
        <w:ind w:left="0" w:right="0"/>
        <w:jc w:val="both"/>
      </w:pPr>
      <w:bookmarkStart w:id="954" w:name="bookmark954"/>
      <w:bookmarkEnd w:id="954"/>
      <w:r>
        <w:rPr>
          <w:color w:val="000000"/>
          <w:spacing w:val="0"/>
          <w:w w:val="100"/>
          <w:position w:val="0"/>
        </w:rPr>
        <w:t>重新计量设定受益计划净负债或净资产所产生的变动。</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除非其他会计准则要求或允许职工福利成本计入资产成本，本公司将上述第①和②项计入当期损益；第③项计入其他综 合收益且不会在后续会计期间转回至损益，在原设定受益计划终止时在权益范围内将原计入其他综合收益的部分全部结转至 未分配利润。</w:t>
      </w:r>
    </w:p>
    <w:p>
      <w:pPr>
        <w:pStyle w:val="Style36"/>
        <w:keepNext/>
        <w:keepLines/>
        <w:widowControl w:val="0"/>
        <w:shd w:val="clear" w:color="auto" w:fill="auto"/>
        <w:tabs>
          <w:tab w:pos="483" w:val="left"/>
        </w:tabs>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5"/>
      <w:bookmarkEnd w:id="956"/>
      <w:bookmarkEnd w:id="958"/>
    </w:p>
    <w:p>
      <w:pPr>
        <w:pStyle w:val="Style21"/>
        <w:keepNext w:val="0"/>
        <w:keepLines w:val="0"/>
        <w:widowControl w:val="0"/>
        <w:shd w:val="clear" w:color="auto" w:fill="auto"/>
        <w:bidi w:val="0"/>
        <w:spacing w:before="0" w:after="0" w:line="310" w:lineRule="exact"/>
        <w:ind w:left="0" w:right="0"/>
        <w:jc w:val="left"/>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 时。</w:t>
      </w:r>
    </w:p>
    <w:p>
      <w:pPr>
        <w:pStyle w:val="Style21"/>
        <w:keepNext w:val="0"/>
        <w:keepLines w:val="0"/>
        <w:widowControl w:val="0"/>
        <w:shd w:val="clear" w:color="auto" w:fill="auto"/>
        <w:bidi w:val="0"/>
        <w:spacing w:before="0" w:after="280" w:line="310" w:lineRule="exact"/>
        <w:ind w:left="0" w:right="0"/>
        <w:jc w:val="left"/>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36"/>
        <w:keepNext/>
        <w:keepLines/>
        <w:widowControl w:val="0"/>
        <w:shd w:val="clear" w:color="auto" w:fill="auto"/>
        <w:bidi w:val="0"/>
        <w:spacing w:before="0" w:after="2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59"/>
      <w:bookmarkEnd w:id="960"/>
      <w:bookmarkEnd w:id="962"/>
    </w:p>
    <w:p>
      <w:pPr>
        <w:pStyle w:val="Style21"/>
        <w:keepNext w:val="0"/>
        <w:keepLines w:val="0"/>
        <w:widowControl w:val="0"/>
        <w:shd w:val="clear" w:color="auto" w:fill="auto"/>
        <w:bidi w:val="0"/>
        <w:spacing w:before="0" w:after="360" w:line="314" w:lineRule="exact"/>
        <w:ind w:left="0" w:right="0"/>
        <w:jc w:val="left"/>
      </w:pPr>
      <w:r>
        <w:rPr>
          <w:color w:val="000000"/>
          <w:spacing w:val="0"/>
          <w:w w:val="100"/>
          <w:position w:val="0"/>
        </w:rPr>
        <w:t>本公司向职工提供的其他长期职工福利，符合设定提存计划条件的，按照上述关于设定提存计划的有关规定进行处理。 符合设定受益计划的，按照上述关于设定受益计划的有关规定进行处理，但相关职工薪酬成本中“重新计量设定受益计划净 负债或净资产所产生的变动”部分计入当期损益或相关资产成本。</w:t>
      </w:r>
    </w:p>
    <w:p>
      <w:pPr>
        <w:pStyle w:val="Style32"/>
        <w:keepNext/>
        <w:keepLines/>
        <w:widowControl w:val="0"/>
        <w:shd w:val="clear" w:color="auto" w:fill="auto"/>
        <w:tabs>
          <w:tab w:pos="509"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63"/>
      <w:bookmarkEnd w:id="964"/>
      <w:bookmarkEnd w:id="966"/>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32"/>
        <w:keepNext/>
        <w:keepLines/>
        <w:widowControl w:val="0"/>
        <w:shd w:val="clear" w:color="auto" w:fill="auto"/>
        <w:tabs>
          <w:tab w:pos="509"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67"/>
      <w:bookmarkEnd w:id="968"/>
      <w:bookmarkEnd w:id="970"/>
    </w:p>
    <w:p>
      <w:pPr>
        <w:pStyle w:val="Style32"/>
        <w:keepNext/>
        <w:keepLines/>
        <w:widowControl w:val="0"/>
        <w:shd w:val="clear" w:color="auto" w:fill="auto"/>
        <w:tabs>
          <w:tab w:pos="509" w:val="left"/>
        </w:tabs>
        <w:bidi w:val="0"/>
        <w:spacing w:before="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71"/>
      <w:bookmarkEnd w:id="972"/>
      <w:bookmarkEnd w:id="974"/>
    </w:p>
    <w:p>
      <w:pPr>
        <w:pStyle w:val="Style32"/>
        <w:keepNext/>
        <w:keepLines/>
        <w:widowControl w:val="0"/>
        <w:shd w:val="clear" w:color="auto" w:fill="auto"/>
        <w:tabs>
          <w:tab w:pos="509" w:val="left"/>
        </w:tabs>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75"/>
      <w:bookmarkEnd w:id="976"/>
      <w:bookmarkEnd w:id="978"/>
    </w:p>
    <w:p>
      <w:pPr>
        <w:pStyle w:val="Style32"/>
        <w:keepNext/>
        <w:keepLines/>
        <w:widowControl w:val="0"/>
        <w:shd w:val="clear" w:color="auto" w:fill="auto"/>
        <w:tabs>
          <w:tab w:pos="509" w:val="left"/>
        </w:tabs>
        <w:bidi w:val="0"/>
        <w:spacing w:before="0" w:after="2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79"/>
      <w:bookmarkEnd w:id="980"/>
      <w:bookmarkEnd w:id="982"/>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（1）</w:t>
      </w:r>
      <w:r>
        <w:rPr>
          <w:color w:val="000000"/>
          <w:spacing w:val="0"/>
          <w:w w:val="100"/>
          <w:position w:val="0"/>
        </w:rPr>
        <w:t>一般原则</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本公司在履行了合同中的履约义务，即在客户取得相关商品或服务的控制权时确认收入。</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1"/>
        <w:keepNext w:val="0"/>
        <w:keepLines w:val="0"/>
        <w:widowControl w:val="0"/>
        <w:shd w:val="clear" w:color="auto" w:fill="auto"/>
        <w:bidi w:val="0"/>
        <w:spacing w:before="0" w:after="80" w:line="312" w:lineRule="exact"/>
        <w:ind w:left="0" w:right="0"/>
        <w:jc w:val="both"/>
      </w:pPr>
      <w:r>
        <w:rPr>
          <w:color w:val="000000"/>
          <w:spacing w:val="0"/>
          <w:w w:val="100"/>
          <w:position w:val="0"/>
        </w:rPr>
        <w:t>满足下列条件之一时，本公司属于在某一时段内履行履约义务；否则，属于在某一时点履行履约义务：</w:t>
      </w:r>
    </w:p>
    <w:p>
      <w:pPr>
        <w:pStyle w:val="Style21"/>
        <w:keepNext w:val="0"/>
        <w:keepLines w:val="0"/>
        <w:widowControl w:val="0"/>
        <w:numPr>
          <w:ilvl w:val="0"/>
          <w:numId w:val="27"/>
        </w:numPr>
        <w:shd w:val="clear" w:color="auto" w:fill="auto"/>
        <w:tabs>
          <w:tab w:pos="753" w:val="left"/>
        </w:tabs>
        <w:bidi w:val="0"/>
        <w:spacing w:before="0" w:after="120" w:line="240" w:lineRule="auto"/>
        <w:ind w:left="0" w:right="0"/>
        <w:jc w:val="both"/>
      </w:pPr>
      <w:bookmarkStart w:id="983" w:name="bookmark983"/>
      <w:bookmarkEnd w:id="983"/>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27"/>
        </w:numPr>
        <w:shd w:val="clear" w:color="auto" w:fill="auto"/>
        <w:tabs>
          <w:tab w:pos="753" w:val="left"/>
        </w:tabs>
        <w:bidi w:val="0"/>
        <w:spacing w:before="0" w:after="0" w:line="240" w:lineRule="auto"/>
        <w:ind w:left="0" w:right="0"/>
        <w:jc w:val="both"/>
      </w:pPr>
      <w:bookmarkStart w:id="984" w:name="bookmark984"/>
      <w:bookmarkEnd w:id="984"/>
      <w:r>
        <w:rPr>
          <w:color w:val="000000"/>
          <w:spacing w:val="0"/>
          <w:w w:val="100"/>
          <w:position w:val="0"/>
        </w:rPr>
        <w:t>客户能够控制本公司履约过程中在建的商品。</w:t>
      </w:r>
    </w:p>
    <w:p>
      <w:pPr>
        <w:pStyle w:val="Style21"/>
        <w:keepNext w:val="0"/>
        <w:keepLines w:val="0"/>
        <w:widowControl w:val="0"/>
        <w:numPr>
          <w:ilvl w:val="0"/>
          <w:numId w:val="27"/>
        </w:numPr>
        <w:shd w:val="clear" w:color="auto" w:fill="auto"/>
        <w:tabs>
          <w:tab w:pos="728" w:val="left"/>
        </w:tabs>
        <w:bidi w:val="0"/>
        <w:spacing w:before="0" w:after="0" w:line="346" w:lineRule="exact"/>
        <w:ind w:left="0" w:right="0"/>
        <w:jc w:val="both"/>
      </w:pPr>
      <w:bookmarkStart w:id="985" w:name="bookmark985"/>
      <w:bookmarkEnd w:id="985"/>
      <w:r>
        <w:rPr>
          <w:color w:val="000000"/>
          <w:spacing w:val="0"/>
          <w:w w:val="100"/>
          <w:position w:val="0"/>
        </w:rPr>
        <w:t>本公司履约过程中所产出的商品具有不可替代用途，且本公司在整个合同期间内有权就累计至今已完成的履约部分收 取款项。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21"/>
        <w:keepNext w:val="0"/>
        <w:keepLines w:val="0"/>
        <w:widowControl w:val="0"/>
        <w:numPr>
          <w:ilvl w:val="0"/>
          <w:numId w:val="29"/>
        </w:numPr>
        <w:shd w:val="clear" w:color="auto" w:fill="auto"/>
        <w:tabs>
          <w:tab w:pos="753" w:val="left"/>
        </w:tabs>
        <w:bidi w:val="0"/>
        <w:spacing w:before="0" w:after="0" w:line="314" w:lineRule="exact"/>
        <w:ind w:left="0" w:right="0"/>
        <w:jc w:val="left"/>
      </w:pPr>
      <w:bookmarkStart w:id="986" w:name="bookmark986"/>
      <w:bookmarkEnd w:id="986"/>
      <w:r>
        <w:rPr>
          <w:color w:val="000000"/>
          <w:spacing w:val="0"/>
          <w:w w:val="100"/>
          <w:position w:val="0"/>
        </w:rPr>
        <w:t>本公司就该商品或服务享有现时收款权利，即客户就该商品负有现时付款义务。</w:t>
      </w:r>
    </w:p>
    <w:p>
      <w:pPr>
        <w:pStyle w:val="Style21"/>
        <w:keepNext w:val="0"/>
        <w:keepLines w:val="0"/>
        <w:widowControl w:val="0"/>
        <w:numPr>
          <w:ilvl w:val="0"/>
          <w:numId w:val="29"/>
        </w:numPr>
        <w:shd w:val="clear" w:color="auto" w:fill="auto"/>
        <w:tabs>
          <w:tab w:pos="753" w:val="left"/>
        </w:tabs>
        <w:bidi w:val="0"/>
        <w:spacing w:before="0" w:after="0" w:line="314" w:lineRule="exact"/>
        <w:ind w:left="0" w:right="0"/>
        <w:jc w:val="left"/>
      </w:pPr>
      <w:bookmarkStart w:id="987" w:name="bookmark987"/>
      <w:bookmarkEnd w:id="987"/>
      <w:r>
        <w:rPr>
          <w:color w:val="000000"/>
          <w:spacing w:val="0"/>
          <w:w w:val="100"/>
          <w:position w:val="0"/>
        </w:rPr>
        <w:t>本公司已将该商品的法定所有权转移给客户，即客户已拥有该商品的法定所有权。</w:t>
      </w:r>
    </w:p>
    <w:p>
      <w:pPr>
        <w:pStyle w:val="Style21"/>
        <w:keepNext w:val="0"/>
        <w:keepLines w:val="0"/>
        <w:widowControl w:val="0"/>
        <w:numPr>
          <w:ilvl w:val="0"/>
          <w:numId w:val="29"/>
        </w:numPr>
        <w:shd w:val="clear" w:color="auto" w:fill="auto"/>
        <w:tabs>
          <w:tab w:pos="753" w:val="left"/>
        </w:tabs>
        <w:bidi w:val="0"/>
        <w:spacing w:before="0" w:after="0" w:line="314" w:lineRule="exact"/>
        <w:ind w:left="0" w:right="0"/>
        <w:jc w:val="left"/>
      </w:pPr>
      <w:bookmarkStart w:id="988" w:name="bookmark988"/>
      <w:bookmarkEnd w:id="988"/>
      <w:r>
        <w:rPr>
          <w:color w:val="000000"/>
          <w:spacing w:val="0"/>
          <w:w w:val="100"/>
          <w:position w:val="0"/>
        </w:rPr>
        <w:t>本公司已将该商品的实物转移给客户，即客户已实物占有该商品。</w:t>
      </w:r>
    </w:p>
    <w:p>
      <w:pPr>
        <w:pStyle w:val="Style21"/>
        <w:keepNext w:val="0"/>
        <w:keepLines w:val="0"/>
        <w:widowControl w:val="0"/>
        <w:numPr>
          <w:ilvl w:val="0"/>
          <w:numId w:val="29"/>
        </w:numPr>
        <w:shd w:val="clear" w:color="auto" w:fill="auto"/>
        <w:tabs>
          <w:tab w:pos="753" w:val="left"/>
        </w:tabs>
        <w:bidi w:val="0"/>
        <w:spacing w:before="0" w:after="0" w:line="314" w:lineRule="exact"/>
        <w:ind w:left="0" w:right="0"/>
        <w:jc w:val="left"/>
      </w:pPr>
      <w:bookmarkStart w:id="989" w:name="bookmark989"/>
      <w:bookmarkEnd w:id="989"/>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29"/>
        </w:numPr>
        <w:shd w:val="clear" w:color="auto" w:fill="auto"/>
        <w:tabs>
          <w:tab w:pos="753" w:val="left"/>
        </w:tabs>
        <w:bidi w:val="0"/>
        <w:spacing w:before="0" w:after="0" w:line="314" w:lineRule="exact"/>
        <w:ind w:left="0" w:right="0"/>
        <w:jc w:val="left"/>
      </w:pPr>
      <w:bookmarkStart w:id="990" w:name="bookmark990"/>
      <w:bookmarkEnd w:id="990"/>
      <w:r>
        <w:rPr>
          <w:color w:val="000000"/>
          <w:spacing w:val="0"/>
          <w:w w:val="100"/>
          <w:position w:val="0"/>
        </w:rPr>
        <w:t>客户已接受该商品或服务。</w:t>
      </w:r>
    </w:p>
    <w:p>
      <w:pPr>
        <w:pStyle w:val="Style21"/>
        <w:keepNext w:val="0"/>
        <w:keepLines w:val="0"/>
        <w:widowControl w:val="0"/>
        <w:numPr>
          <w:ilvl w:val="0"/>
          <w:numId w:val="29"/>
        </w:numPr>
        <w:shd w:val="clear" w:color="auto" w:fill="auto"/>
        <w:tabs>
          <w:tab w:pos="753" w:val="left"/>
        </w:tabs>
        <w:bidi w:val="0"/>
        <w:spacing w:before="0" w:after="320" w:line="314" w:lineRule="exact"/>
        <w:ind w:left="0" w:right="0"/>
        <w:jc w:val="left"/>
      </w:pPr>
      <w:bookmarkStart w:id="991" w:name="bookmark991"/>
      <w:bookmarkEnd w:id="991"/>
      <w:r>
        <w:rPr>
          <w:color w:val="000000"/>
          <w:spacing w:val="0"/>
          <w:w w:val="100"/>
          <w:position w:val="0"/>
        </w:rPr>
        <w:t>其他表明客户已取得商品控制权的迹象。</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本公司已向客户转让商品或服务而有权收取对价的权利（且该权利取决于时间流逝之外的其他因素）作为合同资产，合 同资产以预期信用损失为基础计提减值（参见附注三、</w:t>
      </w:r>
      <w:r>
        <w:rPr>
          <w:color w:val="000000"/>
          <w:spacing w:val="0"/>
          <w:w w:val="100"/>
          <w:position w:val="0"/>
          <w:sz w:val="18"/>
          <w:szCs w:val="18"/>
        </w:rPr>
        <w:t>9（5）</w:t>
      </w:r>
      <w:r>
        <w:rPr>
          <w:color w:val="000000"/>
          <w:spacing w:val="0"/>
          <w:w w:val="100"/>
          <w:position w:val="0"/>
        </w:rPr>
        <w:t>。本公司拥有的、无条件（仅取决于时间流逝）向客户收取对 价的权利作为应收款项列示。本公司已收或应收客户对价而应向客户转让商品或服务的义务作为合同负债。</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同一合同下的合同资产和合同负债以净额列示，净额为借方余额的，根据其流动性在“合同资产”或“其他非流动资产” 项目中列示；净额为贷方余额的，根据其流动性在“合同负债”或“其他非流动负债”项目中列示。</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w:t>
      </w:r>
      <w:r>
        <w:rPr>
          <w:color w:val="000000"/>
          <w:spacing w:val="0"/>
          <w:w w:val="100"/>
          <w:position w:val="0"/>
        </w:rPr>
        <w:t>具体方法</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本公司收入确认的具体方法如下：</w:t>
      </w:r>
    </w:p>
    <w:p>
      <w:pPr>
        <w:pStyle w:val="Style21"/>
        <w:keepNext w:val="0"/>
        <w:keepLines w:val="0"/>
        <w:widowControl w:val="0"/>
        <w:shd w:val="clear" w:color="auto" w:fill="auto"/>
        <w:tabs>
          <w:tab w:pos="738" w:val="left"/>
        </w:tabs>
        <w:bidi w:val="0"/>
        <w:spacing w:before="0" w:after="0" w:line="314" w:lineRule="exact"/>
        <w:ind w:left="0" w:right="0"/>
        <w:jc w:val="both"/>
      </w:pPr>
      <w:bookmarkStart w:id="992" w:name="bookmark992"/>
      <w:r>
        <w:rPr>
          <w:color w:val="000000"/>
          <w:spacing w:val="0"/>
          <w:w w:val="100"/>
          <w:position w:val="0"/>
          <w:sz w:val="18"/>
          <w:szCs w:val="18"/>
        </w:rPr>
        <w:t>A</w:t>
      </w:r>
      <w:bookmarkEnd w:id="992"/>
      <w:r>
        <w:rPr>
          <w:color w:val="000000"/>
          <w:spacing w:val="0"/>
          <w:w w:val="100"/>
          <w:position w:val="0"/>
        </w:rPr>
        <w:t>、</w:t>
        <w:tab/>
      </w:r>
      <w:r>
        <w:rPr>
          <w:color w:val="000000"/>
          <w:spacing w:val="0"/>
          <w:w w:val="100"/>
          <w:position w:val="0"/>
        </w:rPr>
        <w:t>自行开发软件销售收入的确认原则</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自行开发软件收入包括自制开发的软件产品收入和定制软件收入。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自制开发的软件产品是指拥有自主知识产权，无差异化、可批量复制的软件产品，无需根据用户需求进行定制。本公司 销售的自制开发软件产品实质上就是销售不转让所有权的商品，公司在将软件产品移交给购买方时确认收入。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定制软件是指根据与客户签订的技术开发、技术转让合同，对用户的业务进行充分实地调查，并根据用户的实际需求进 行专门的软件设计与开发，由此开发出来的软件不具有通用性。本公司在将软件产品移交给购买方并验收后确认收入。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对系统集成中包含自行开发软件产品的销售收入，按以下系统集成的收入确认原则确认。</w:t>
      </w:r>
    </w:p>
    <w:p>
      <w:pPr>
        <w:pStyle w:val="Style21"/>
        <w:keepNext w:val="0"/>
        <w:keepLines w:val="0"/>
        <w:widowControl w:val="0"/>
        <w:shd w:val="clear" w:color="auto" w:fill="auto"/>
        <w:tabs>
          <w:tab w:pos="738" w:val="left"/>
        </w:tabs>
        <w:bidi w:val="0"/>
        <w:spacing w:before="0" w:after="0" w:line="314" w:lineRule="exact"/>
        <w:ind w:left="0" w:right="0"/>
        <w:jc w:val="both"/>
      </w:pPr>
      <w:bookmarkStart w:id="993" w:name="bookmark993"/>
      <w:r>
        <w:rPr>
          <w:color w:val="000000"/>
          <w:spacing w:val="0"/>
          <w:w w:val="100"/>
          <w:position w:val="0"/>
          <w:sz w:val="18"/>
          <w:szCs w:val="18"/>
        </w:rPr>
        <w:t>B</w:t>
      </w:r>
      <w:bookmarkEnd w:id="993"/>
      <w:r>
        <w:rPr>
          <w:color w:val="000000"/>
          <w:spacing w:val="0"/>
          <w:w w:val="100"/>
          <w:position w:val="0"/>
        </w:rPr>
        <w:t>、</w:t>
        <w:tab/>
      </w:r>
      <w:r>
        <w:rPr>
          <w:color w:val="000000"/>
          <w:spacing w:val="0"/>
          <w:w w:val="100"/>
          <w:position w:val="0"/>
        </w:rPr>
        <w:t>系统集成收入确认原则</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系统集成包括外购商品、软件产品的销售与安装。公司在系统安装调试完毕已投入试运行或取得购货方的初验报告后确 认收入。</w:t>
      </w:r>
    </w:p>
    <w:p>
      <w:pPr>
        <w:pStyle w:val="Style21"/>
        <w:keepNext w:val="0"/>
        <w:keepLines w:val="0"/>
        <w:widowControl w:val="0"/>
        <w:shd w:val="clear" w:color="auto" w:fill="auto"/>
        <w:tabs>
          <w:tab w:pos="738" w:val="left"/>
        </w:tabs>
        <w:bidi w:val="0"/>
        <w:spacing w:before="0" w:after="0" w:line="314" w:lineRule="exact"/>
        <w:ind w:left="0" w:right="0"/>
        <w:jc w:val="both"/>
      </w:pPr>
      <w:bookmarkStart w:id="994" w:name="bookmark994"/>
      <w:r>
        <w:rPr>
          <w:color w:val="000000"/>
          <w:spacing w:val="0"/>
          <w:w w:val="100"/>
          <w:position w:val="0"/>
          <w:sz w:val="18"/>
          <w:szCs w:val="18"/>
        </w:rPr>
        <w:t>C</w:t>
      </w:r>
      <w:bookmarkEnd w:id="994"/>
      <w:r>
        <w:rPr>
          <w:color w:val="000000"/>
          <w:spacing w:val="0"/>
          <w:w w:val="100"/>
          <w:position w:val="0"/>
        </w:rPr>
        <w:t>、</w:t>
        <w:tab/>
      </w:r>
      <w:r>
        <w:rPr>
          <w:color w:val="000000"/>
          <w:spacing w:val="0"/>
          <w:w w:val="100"/>
          <w:position w:val="0"/>
        </w:rPr>
        <w:t>技术支持与维护收入确认原则</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技术支持与维护主要指根据合同规定向用户提供的有偿后续服务，包括系统维护、技术应用与支持、产品升级等。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公司根据与用户签订的相关合同规定的合同总额与服务期间，按提供服务的进度确认收入。</w:t>
      </w:r>
    </w:p>
    <w:p>
      <w:pPr>
        <w:pStyle w:val="Style21"/>
        <w:keepNext w:val="0"/>
        <w:keepLines w:val="0"/>
        <w:widowControl w:val="0"/>
        <w:shd w:val="clear" w:color="auto" w:fill="auto"/>
        <w:tabs>
          <w:tab w:pos="738" w:val="left"/>
        </w:tabs>
        <w:bidi w:val="0"/>
        <w:spacing w:before="0" w:after="0" w:line="314" w:lineRule="exact"/>
        <w:ind w:left="0" w:right="0"/>
        <w:jc w:val="both"/>
      </w:pPr>
      <w:bookmarkStart w:id="995" w:name="bookmark995"/>
      <w:r>
        <w:rPr>
          <w:color w:val="000000"/>
          <w:spacing w:val="0"/>
          <w:w w:val="100"/>
          <w:position w:val="0"/>
          <w:sz w:val="18"/>
          <w:szCs w:val="18"/>
        </w:rPr>
        <w:t>D</w:t>
      </w:r>
      <w:bookmarkEnd w:id="995"/>
      <w:r>
        <w:rPr>
          <w:color w:val="000000"/>
          <w:spacing w:val="0"/>
          <w:w w:val="100"/>
          <w:position w:val="0"/>
        </w:rPr>
        <w:t>、</w:t>
        <w:tab/>
      </w:r>
      <w:r>
        <w:rPr>
          <w:color w:val="000000"/>
          <w:spacing w:val="0"/>
          <w:w w:val="100"/>
          <w:position w:val="0"/>
        </w:rPr>
        <w:t>技术开发收入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技术开发收入是指根据用户的需求，对自行研究开发的软件产品再次开发取得的收入。公司在劳务已经提供，收到价款 或取得收款的依据，于技术开发项目投入用户试运行或取得用户的初验报告后确认收入实现。</w:t>
      </w:r>
    </w:p>
    <w:p>
      <w:pPr>
        <w:pStyle w:val="Style21"/>
        <w:keepNext w:val="0"/>
        <w:keepLines w:val="0"/>
        <w:widowControl w:val="0"/>
        <w:shd w:val="clear" w:color="auto" w:fill="auto"/>
        <w:tabs>
          <w:tab w:pos="738" w:val="left"/>
        </w:tabs>
        <w:bidi w:val="0"/>
        <w:spacing w:before="0" w:after="0" w:line="314" w:lineRule="exact"/>
        <w:ind w:left="0" w:right="0"/>
        <w:jc w:val="both"/>
      </w:pPr>
      <w:bookmarkStart w:id="996" w:name="bookmark996"/>
      <w:r>
        <w:rPr>
          <w:color w:val="000000"/>
          <w:spacing w:val="0"/>
          <w:w w:val="100"/>
          <w:position w:val="0"/>
          <w:sz w:val="18"/>
          <w:szCs w:val="18"/>
        </w:rPr>
        <w:t>E</w:t>
      </w:r>
      <w:bookmarkEnd w:id="996"/>
      <w:r>
        <w:rPr>
          <w:color w:val="000000"/>
          <w:spacing w:val="0"/>
          <w:w w:val="100"/>
          <w:position w:val="0"/>
        </w:rPr>
        <w:t>、</w:t>
        <w:tab/>
      </w:r>
      <w:r>
        <w:rPr>
          <w:color w:val="000000"/>
          <w:spacing w:val="0"/>
          <w:w w:val="100"/>
          <w:position w:val="0"/>
        </w:rPr>
        <w:t>园区开发与运营收入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公司园区租赁收入，在不扣除免租期的整个租赁期内，按直线法进行分摊，确认为租赁收入。</w:t>
      </w:r>
    </w:p>
    <w:p>
      <w:pPr>
        <w:pStyle w:val="Style21"/>
        <w:keepNext w:val="0"/>
        <w:keepLines w:val="0"/>
        <w:widowControl w:val="0"/>
        <w:shd w:val="clear" w:color="auto" w:fill="auto"/>
        <w:bidi w:val="0"/>
        <w:spacing w:before="0" w:after="400" w:line="314" w:lineRule="exact"/>
        <w:ind w:left="0" w:right="0"/>
        <w:jc w:val="both"/>
      </w:pPr>
      <w:r>
        <w:rPr>
          <w:color w:val="000000"/>
          <w:spacing w:val="0"/>
          <w:w w:val="100"/>
          <w:position w:val="0"/>
        </w:rPr>
        <w:t>公司园区销售收入，在房产完工并验收合格，达到销售合同约定的交付条件，在客户取得相关商品或服务控制权时点， 确认销售收入的实现。</w:t>
      </w:r>
    </w:p>
    <w:p>
      <w:pPr>
        <w:pStyle w:val="Style32"/>
        <w:keepNext/>
        <w:keepLines/>
        <w:widowControl w:val="0"/>
        <w:shd w:val="clear" w:color="auto" w:fill="auto"/>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0"/>
      <w:bookmarkEnd w:id="997"/>
      <w:bookmarkEnd w:id="998"/>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政府补助在满足政府补助所附条件并能够收到时确认。</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color w:val="000000"/>
          <w:spacing w:val="0"/>
          <w:w w:val="100"/>
          <w:position w:val="0"/>
          <w:sz w:val="18"/>
          <w:szCs w:val="18"/>
        </w:rPr>
        <w:t>1</w:t>
      </w:r>
      <w:r>
        <w:rPr>
          <w:color w:val="000000"/>
          <w:spacing w:val="0"/>
          <w:w w:val="100"/>
          <w:position w:val="0"/>
        </w:rPr>
        <w:t>元计量。</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与资产相关的政府补助，是指本公司取得的、用于购建或以其他方式形成长期资产的政府补助；除此之外，作为与收益 相关的政府补助。</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与资产相关的政府补助，确认为递延收益在相关资产使用期限内按照合理、系统的方法分期计入损益。与收益相关的政 府补助，用于补偿已发生的相关成本费用或损失的，计入当期损益；用于补偿以后期间的相关成本费用或损失的，则计入递 延收益，于相关成本费用或损失确认期间计入当期损益。按照名义金额计量的政府补助，直接计入当期损益。本集团对相同 或类似的政府补助业务，采用一致的方法处理。</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与日常活动相关的政府补助，按照经济业务实质，计入其他收益或冲减相关成本费用。与日常活动无关的政府补助，计 入营业外收支。</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2"/>
        <w:keepNext/>
        <w:keepLines/>
        <w:widowControl w:val="0"/>
        <w:shd w:val="clear" w:color="auto" w:fill="auto"/>
        <w:tabs>
          <w:tab w:pos="488" w:val="left"/>
        </w:tabs>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4</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1"/>
      <w:bookmarkEnd w:id="1002"/>
      <w:bookmarkEnd w:id="1004"/>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本公司根据资产、负债于资产负债表日的账面价值与计税基础之间的暂时性差异，采用资产负债表债务法确认递延所得 税。</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各项应纳税暂时性差异均确认相关的递延所得税负债，除非该应纳税暂时性差异是在以下交易中产生的：</w:t>
      </w:r>
    </w:p>
    <w:p>
      <w:pPr>
        <w:pStyle w:val="Style21"/>
        <w:keepNext w:val="0"/>
        <w:keepLines w:val="0"/>
        <w:widowControl w:val="0"/>
        <w:shd w:val="clear" w:color="auto" w:fill="auto"/>
        <w:tabs>
          <w:tab w:pos="892" w:val="left"/>
        </w:tabs>
        <w:bidi w:val="0"/>
        <w:spacing w:before="0" w:after="0" w:line="313" w:lineRule="exact"/>
        <w:ind w:left="0" w:right="0"/>
        <w:jc w:val="left"/>
      </w:pPr>
      <w:bookmarkStart w:id="1005" w:name="bookmark1005"/>
      <w:r>
        <w:rPr>
          <w:color w:val="000000"/>
          <w:spacing w:val="0"/>
          <w:w w:val="100"/>
          <w:position w:val="0"/>
          <w:sz w:val="18"/>
          <w:szCs w:val="18"/>
        </w:rPr>
        <w:t>（</w:t>
      </w:r>
      <w:bookmarkEnd w:id="1005"/>
      <w:r>
        <w:rPr>
          <w:color w:val="000000"/>
          <w:spacing w:val="0"/>
          <w:w w:val="100"/>
          <w:position w:val="0"/>
          <w:sz w:val="18"/>
          <w:szCs w:val="18"/>
        </w:rPr>
        <w:t>1）</w:t>
        <w:tab/>
      </w:r>
      <w:r>
        <w:rPr>
          <w:color w:val="000000"/>
          <w:spacing w:val="0"/>
          <w:w w:val="100"/>
          <w:position w:val="0"/>
        </w:rPr>
        <w:t>商誉的初始确认，或者具有以下特征的交易中产生的资产或负债的初始确认：该交易不是企业合并，并且交易发 生时既不影响会计利润也不影响应纳税所得额；</w:t>
      </w:r>
    </w:p>
    <w:p>
      <w:pPr>
        <w:pStyle w:val="Style21"/>
        <w:keepNext w:val="0"/>
        <w:keepLines w:val="0"/>
        <w:widowControl w:val="0"/>
        <w:shd w:val="clear" w:color="auto" w:fill="auto"/>
        <w:tabs>
          <w:tab w:pos="887" w:val="left"/>
        </w:tabs>
        <w:bidi w:val="0"/>
        <w:spacing w:before="0" w:after="0" w:line="313" w:lineRule="exact"/>
        <w:ind w:left="0" w:right="0"/>
        <w:jc w:val="left"/>
      </w:pPr>
      <w:bookmarkStart w:id="1006" w:name="bookmark1006"/>
      <w:r>
        <w:rPr>
          <w:color w:val="000000"/>
          <w:spacing w:val="0"/>
          <w:w w:val="100"/>
          <w:position w:val="0"/>
          <w:sz w:val="18"/>
          <w:szCs w:val="18"/>
        </w:rPr>
        <w:t>（</w:t>
      </w:r>
      <w:bookmarkEnd w:id="1006"/>
      <w:r>
        <w:rPr>
          <w:color w:val="000000"/>
          <w:spacing w:val="0"/>
          <w:w w:val="100"/>
          <w:position w:val="0"/>
          <w:sz w:val="18"/>
          <w:szCs w:val="18"/>
        </w:rPr>
        <w:t>2）</w:t>
        <w:tab/>
      </w:r>
      <w:r>
        <w:rPr>
          <w:color w:val="000000"/>
          <w:spacing w:val="0"/>
          <w:w w:val="100"/>
          <w:position w:val="0"/>
        </w:rPr>
        <w:t>对于与子公司、合营企业及联营企业投资相关的应纳税暂时性差异，该暂时性差异转回的时间能够控制并且该暂 时性差异在可预见的未来很可能不会转回。</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21"/>
        <w:keepNext w:val="0"/>
        <w:keepLines w:val="0"/>
        <w:widowControl w:val="0"/>
        <w:shd w:val="clear" w:color="auto" w:fill="auto"/>
        <w:tabs>
          <w:tab w:pos="816" w:val="left"/>
        </w:tabs>
        <w:bidi w:val="0"/>
        <w:spacing w:before="0" w:after="0" w:line="313" w:lineRule="exact"/>
        <w:ind w:left="0" w:right="0"/>
        <w:jc w:val="both"/>
      </w:pPr>
      <w:bookmarkStart w:id="1007" w:name="bookmark1007"/>
      <w:r>
        <w:rPr>
          <w:color w:val="000000"/>
          <w:spacing w:val="0"/>
          <w:w w:val="100"/>
          <w:position w:val="0"/>
          <w:sz w:val="18"/>
          <w:szCs w:val="18"/>
        </w:rPr>
        <w:t>（</w:t>
      </w:r>
      <w:bookmarkEnd w:id="1007"/>
      <w:r>
        <w:rPr>
          <w:color w:val="000000"/>
          <w:spacing w:val="0"/>
          <w:w w:val="100"/>
          <w:position w:val="0"/>
          <w:sz w:val="18"/>
          <w:szCs w:val="18"/>
        </w:rPr>
        <w:t>1）</w:t>
        <w:tab/>
      </w:r>
      <w:r>
        <w:rPr>
          <w:color w:val="000000"/>
          <w:spacing w:val="0"/>
          <w:w w:val="100"/>
          <w:position w:val="0"/>
        </w:rPr>
        <w:t>该交易不是企业合并，并且交易发生时既不影响会计利润也不影响应纳税所得额；</w:t>
      </w:r>
    </w:p>
    <w:p>
      <w:pPr>
        <w:pStyle w:val="Style21"/>
        <w:keepNext w:val="0"/>
        <w:keepLines w:val="0"/>
        <w:widowControl w:val="0"/>
        <w:shd w:val="clear" w:color="auto" w:fill="auto"/>
        <w:tabs>
          <w:tab w:pos="896" w:val="left"/>
        </w:tabs>
        <w:bidi w:val="0"/>
        <w:spacing w:before="0" w:after="0" w:line="313" w:lineRule="exact"/>
        <w:ind w:left="0" w:right="0"/>
        <w:jc w:val="both"/>
      </w:pPr>
      <w:bookmarkStart w:id="1008" w:name="bookmark1008"/>
      <w:r>
        <w:rPr>
          <w:color w:val="000000"/>
          <w:spacing w:val="0"/>
          <w:w w:val="100"/>
          <w:position w:val="0"/>
          <w:sz w:val="18"/>
          <w:szCs w:val="18"/>
        </w:rPr>
        <w:t>（</w:t>
      </w:r>
      <w:bookmarkEnd w:id="1008"/>
      <w:r>
        <w:rPr>
          <w:color w:val="000000"/>
          <w:spacing w:val="0"/>
          <w:w w:val="100"/>
          <w:position w:val="0"/>
          <w:sz w:val="18"/>
          <w:szCs w:val="18"/>
        </w:rPr>
        <w:t>2）</w:t>
        <w:tab/>
      </w:r>
      <w:r>
        <w:rPr>
          <w:color w:val="000000"/>
          <w:spacing w:val="0"/>
          <w:w w:val="100"/>
          <w:position w:val="0"/>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2"/>
        <w:keepNext/>
        <w:keepLines/>
        <w:widowControl w:val="0"/>
        <w:shd w:val="clear" w:color="auto" w:fill="auto"/>
        <w:tabs>
          <w:tab w:pos="488" w:val="left"/>
        </w:tabs>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9"/>
      <w:bookmarkEnd w:id="1010"/>
      <w:bookmarkEnd w:id="1012"/>
    </w:p>
    <w:p>
      <w:pPr>
        <w:pStyle w:val="Style36"/>
        <w:keepNext/>
        <w:keepLines/>
        <w:widowControl w:val="0"/>
        <w:shd w:val="clear" w:color="auto" w:fill="auto"/>
        <w:bidi w:val="0"/>
        <w:spacing w:before="0" w:after="2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3"/>
      <w:bookmarkEnd w:id="1014"/>
      <w:bookmarkEnd w:id="1016"/>
    </w:p>
    <w:p>
      <w:pPr>
        <w:pStyle w:val="Style21"/>
        <w:keepNext w:val="0"/>
        <w:keepLines w:val="0"/>
        <w:widowControl w:val="0"/>
        <w:numPr>
          <w:ilvl w:val="0"/>
          <w:numId w:val="31"/>
        </w:numPr>
        <w:shd w:val="clear" w:color="auto" w:fill="auto"/>
        <w:tabs>
          <w:tab w:pos="739" w:val="left"/>
        </w:tabs>
        <w:bidi w:val="0"/>
        <w:spacing w:before="0" w:after="0" w:line="312" w:lineRule="exact"/>
        <w:ind w:left="0" w:right="0"/>
        <w:jc w:val="both"/>
      </w:pPr>
      <w:bookmarkStart w:id="1017" w:name="bookmark1017"/>
      <w:bookmarkEnd w:id="1017"/>
      <w:r>
        <w:rPr>
          <w:color w:val="000000"/>
          <w:spacing w:val="0"/>
          <w:w w:val="100"/>
          <w:position w:val="0"/>
        </w:rPr>
        <w:t>租赁的识别</w:t>
      </w:r>
    </w:p>
    <w:p>
      <w:pPr>
        <w:pStyle w:val="Style21"/>
        <w:keepNext w:val="0"/>
        <w:keepLines w:val="0"/>
        <w:widowControl w:val="0"/>
        <w:shd w:val="clear" w:color="auto" w:fill="auto"/>
        <w:bidi w:val="0"/>
        <w:spacing w:before="0" w:after="80" w:line="312" w:lineRule="exact"/>
        <w:ind w:left="0" w:right="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21"/>
        <w:keepNext w:val="0"/>
        <w:keepLines w:val="0"/>
        <w:widowControl w:val="0"/>
        <w:numPr>
          <w:ilvl w:val="0"/>
          <w:numId w:val="31"/>
        </w:numPr>
        <w:shd w:val="clear" w:color="auto" w:fill="auto"/>
        <w:tabs>
          <w:tab w:pos="739" w:val="left"/>
        </w:tabs>
        <w:bidi w:val="0"/>
        <w:spacing w:before="0" w:after="0" w:line="240" w:lineRule="auto"/>
        <w:ind w:left="0" w:right="0"/>
        <w:jc w:val="both"/>
      </w:pPr>
      <w:bookmarkStart w:id="1018" w:name="bookmark1018"/>
      <w:bookmarkEnd w:id="1018"/>
      <w:r>
        <w:rPr>
          <w:color w:val="000000"/>
          <w:spacing w:val="0"/>
          <w:w w:val="100"/>
          <w:position w:val="0"/>
        </w:rPr>
        <w:t>本公司作为承租人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在租赁期开始日，本公司对所有租赁确认使用权资产和租赁负债，简化处理的短期租赁和低价值资产租赁除外。</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使用权资产的会计政策见附注三、</w:t>
      </w:r>
      <w:r>
        <w:rPr>
          <w:color w:val="000000"/>
          <w:spacing w:val="0"/>
          <w:w w:val="100"/>
          <w:position w:val="0"/>
          <w:sz w:val="18"/>
          <w:szCs w:val="18"/>
        </w:rPr>
        <w:t>34</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21"/>
        <w:keepNext w:val="0"/>
        <w:keepLines w:val="0"/>
        <w:widowControl w:val="0"/>
        <w:shd w:val="clear" w:color="auto" w:fill="auto"/>
        <w:bidi w:val="0"/>
        <w:spacing w:before="0" w:after="0" w:line="313" w:lineRule="exact"/>
        <w:ind w:left="0" w:right="0"/>
        <w:jc w:val="both"/>
      </w:pPr>
      <w:r>
        <w:rPr>
          <w:b/>
          <w:bCs/>
          <w:color w:val="000000"/>
          <w:spacing w:val="0"/>
          <w:w w:val="100"/>
          <w:position w:val="0"/>
        </w:rPr>
        <w:t>短期租赁</w:t>
      </w:r>
    </w:p>
    <w:p>
      <w:pPr>
        <w:pStyle w:val="Style21"/>
        <w:keepNext w:val="0"/>
        <w:keepLines w:val="0"/>
        <w:widowControl w:val="0"/>
        <w:shd w:val="clear" w:color="auto" w:fill="auto"/>
        <w:bidi w:val="0"/>
        <w:spacing w:before="0" w:after="180" w:line="313" w:lineRule="exact"/>
        <w:ind w:left="0" w:right="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个月的租赁，包含购买选择权的租赁除外。</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本公司将短期租赁的租赁付款额，在租赁期内各个期间按照直线法的方法计入相关资产成本或当期损益。</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对于短期租赁，本公司按照租赁资产的类别将资产中满足短期租赁条件的项目选择采用上述简化处理方法。</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低价值资产租赁</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低价值资产租赁是指单项租赁资产为全新资产时价值低于</w:t>
      </w:r>
      <w:r>
        <w:rPr>
          <w:color w:val="000000"/>
          <w:spacing w:val="0"/>
          <w:w w:val="100"/>
          <w:position w:val="0"/>
          <w:sz w:val="18"/>
          <w:szCs w:val="18"/>
        </w:rPr>
        <w:t>4</w:t>
      </w:r>
      <w:r>
        <w:rPr>
          <w:color w:val="000000"/>
          <w:spacing w:val="0"/>
          <w:w w:val="100"/>
          <w:position w:val="0"/>
        </w:rPr>
        <w:t>万元的租赁。</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本公司将低价值资产租赁的租赁付款额，在租赁期内各个期间按照直线法的方法计入相关资产成本或当期损益。</w:t>
      </w:r>
    </w:p>
    <w:p>
      <w:pPr>
        <w:pStyle w:val="Style2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对于低价值资产租赁，本公司根据每项租赁的具体情况选择采用上述简化处理方法。</w:t>
      </w:r>
    </w:p>
    <w:p>
      <w:pPr>
        <w:pStyle w:val="Style21"/>
        <w:keepNext w:val="0"/>
        <w:keepLines w:val="0"/>
        <w:widowControl w:val="0"/>
        <w:shd w:val="clear" w:color="auto" w:fill="auto"/>
        <w:bidi w:val="0"/>
        <w:spacing w:before="0" w:after="0" w:line="313" w:lineRule="exact"/>
        <w:ind w:left="0" w:right="0" w:firstLine="360"/>
        <w:jc w:val="left"/>
      </w:pPr>
      <w:r>
        <w:rPr>
          <w:b/>
          <w:bCs/>
          <w:color w:val="000000"/>
          <w:spacing w:val="0"/>
          <w:w w:val="100"/>
          <w:position w:val="0"/>
        </w:rPr>
        <w:t>租赁变更</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租赁发生变更且同时符合下列条件的，本公司将该租赁变更作为一项单独租赁进行会计处理：①该租赁变更通过增加一 项或多项租赁资产的使用权而扩大了租赁范围;②增加的对价与租赁范围扩大部分的单独价格按该合同情况调整后的金额相 当。</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租赁变更未作为一项单独租赁进行会计处理的，在租赁变更生效日，本公司重新分摊变更后合同的对价，重新确定租赁 期，并按照变更后租赁付款额和修订后的折现率计算的现值重新计量租赁负债。</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w:t>
      </w:r>
    </w:p>
    <w:p>
      <w:pPr>
        <w:pStyle w:val="Style21"/>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其他租赁变更导致租赁负债重新计量的，本公司相应调整使用权资产的账面价值。</w:t>
      </w:r>
    </w:p>
    <w:p>
      <w:pPr>
        <w:pStyle w:val="Style21"/>
        <w:keepNext w:val="0"/>
        <w:keepLines w:val="0"/>
        <w:widowControl w:val="0"/>
        <w:numPr>
          <w:ilvl w:val="0"/>
          <w:numId w:val="31"/>
        </w:numPr>
        <w:shd w:val="clear" w:color="auto" w:fill="auto"/>
        <w:bidi w:val="0"/>
        <w:spacing w:before="0" w:after="0" w:line="240" w:lineRule="auto"/>
        <w:ind w:left="0" w:right="0" w:firstLine="360"/>
        <w:jc w:val="both"/>
      </w:pPr>
      <w:bookmarkStart w:id="1019" w:name="bookmark1019"/>
      <w:bookmarkEnd w:id="1019"/>
      <w:r>
        <w:rPr>
          <w:color w:val="000000"/>
          <w:spacing w:val="0"/>
          <w:w w:val="100"/>
          <w:position w:val="0"/>
        </w:rPr>
        <w:t>本公司作为出租人</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21"/>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融资租赁</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 xml:space="preserve">一一 </w:t>
      </w:r>
      <w:r>
        <w:rPr>
          <w:color w:val="000000"/>
          <w:spacing w:val="0"/>
          <w:w w:val="100"/>
          <w:position w:val="0"/>
        </w:rPr>
        <w:t>金融资产转移》的规定进行会计处理。</w:t>
      </w:r>
    </w:p>
    <w:p>
      <w:pPr>
        <w:pStyle w:val="Style21"/>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经营租赁</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21"/>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租赁变更</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融资租赁发生变更且同时符合下列条件的，本公司将该变更作为一项单独租赁进行会计处理：①该变更通过增加一项或 多项租赁资产的使用权而扩大了租赁范围；②增加的对价与租赁范围扩大部分的单独价格按该合同情况调整后的金额相当。</w:t>
      </w:r>
    </w:p>
    <w:p>
      <w:pPr>
        <w:pStyle w:val="Style21"/>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融资租赁发生变更未作为一项单独租赁进行会计处理的，本公司分别下列情形对变更后的租赁进行处理：①假如变更在 租赁开始日生效，该租赁会被分类为经营租赁的，本公司自租赁变更生效日开始将其作为一项新租赁进行会计处理，并以租 赁变更生效日前的租赁投资净额作为租赁资产的账面价值；②假如变更在租赁开始日生效，该租赁会被分类为融资租赁的， 本公司按照《企业会计准则第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36"/>
        <w:keepNext/>
        <w:keepLines/>
        <w:widowControl w:val="0"/>
        <w:shd w:val="clear" w:color="auto" w:fill="auto"/>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0"/>
      <w:bookmarkEnd w:id="1021"/>
      <w:bookmarkEnd w:id="1023"/>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77" w:val="left"/>
        </w:tabs>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4"/>
      <w:bookmarkEnd w:id="1025"/>
      <w:bookmarkEnd w:id="1027"/>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金融资产的分类</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本公司在确定金融资产的分类时涉及的重大判断包括业务模式及合同现金流量特征的分析等。</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应收账款预期信用损失的计量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开发支出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确定资本化的金额时，管理层必须做出有关资产的预期未来现金的产生、应采用的折现率以及预计受益期间的假设。</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未上市权益投资的公允价值确定</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未上市的权益投资的公允价值是根据具有类似条款和风险特征的项目当前折现率折现的预计未来现金流量。这种估价要 求本公司估计预期未来现金流量和折现率，因此具有不确定性。在有限情况下，如果用以确定公允价值的信息不足，或者公 允价值的可能估计金额分布范围很广，而成本代表了该范围内对公允价值的最佳估计的，该成本可代表其在该分布范围内对 公允价值的恰当估计。</w:t>
      </w:r>
    </w:p>
    <w:p>
      <w:pPr>
        <w:pStyle w:val="Style32"/>
        <w:keepNext/>
        <w:keepLines/>
        <w:widowControl w:val="0"/>
        <w:shd w:val="clear" w:color="auto" w:fill="auto"/>
        <w:tabs>
          <w:tab w:pos="477"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28"/>
      <w:bookmarkEnd w:id="1029"/>
      <w:bookmarkEnd w:id="1031"/>
    </w:p>
    <w:p>
      <w:pPr>
        <w:pStyle w:val="Style36"/>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2"/>
      <w:bookmarkEnd w:id="1033"/>
      <w:bookmarkEnd w:id="103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 外同时上市的企业以及在境外上市并采 用国际财务报告准则或企业会计准则编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起施行；其他执行企业会计准则的企业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日召开的第五届 董事会第八次会议，批准自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日起执行新租赁准则，对会计政策相关 内容进行了调整。变更后的会计政策参 见附注三、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对于首次执行日前已存在的合同，本公 司在首次执行日选择不重新评估其是否 为租赁或者包含租赁。对首次执行日之 后签订或变更的合同，本公司按照新租 赁准则中租赁的定义评估合同是否为租 赁或者包含租赁。</w:t>
            </w:r>
          </w:p>
        </w:tc>
      </w:tr>
    </w:tbl>
    <w:p>
      <w:pPr>
        <w:widowControl w:val="0"/>
        <w:spacing w:after="79" w:line="1" w:lineRule="exact"/>
      </w:pPr>
    </w:p>
    <w:p>
      <w:pPr>
        <w:pStyle w:val="Style2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作为承租人</w:t>
      </w:r>
    </w:p>
    <w:p>
      <w:pPr>
        <w:pStyle w:val="Style21"/>
        <w:keepNext w:val="0"/>
        <w:keepLines w:val="0"/>
        <w:widowControl w:val="0"/>
        <w:shd w:val="clear" w:color="auto" w:fill="auto"/>
        <w:bidi w:val="0"/>
        <w:spacing w:before="0" w:after="180" w:line="312" w:lineRule="exact"/>
        <w:ind w:left="0" w:right="0"/>
        <w:jc w:val="both"/>
      </w:pPr>
      <w:r>
        <w:rPr>
          <w:color w:val="000000"/>
          <w:spacing w:val="0"/>
          <w:w w:val="100"/>
          <w:position w:val="0"/>
        </w:rPr>
        <w:t>新租赁准则要求承租人对所有租赁确认使用权资产和租赁负债，简化处理的短期租赁和低价值资产租赁除外，并分别确 认折旧和利息费用。</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新租赁准则允许承租人选择下列方法之一对租赁进行衔接会计处理：</w:t>
      </w:r>
    </w:p>
    <w:p>
      <w:pPr>
        <w:pStyle w:val="Style2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w:t>
      </w:r>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2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w:t>
      </w:r>
      <w:r>
        <w:rPr>
          <w:color w:val="000000"/>
          <w:spacing w:val="0"/>
          <w:w w:val="100"/>
          <w:position w:val="0"/>
        </w:rPr>
        <w:t>根据首次执行本准则的累积影响数，调整首次执行本准则当年年初留存收益及财务报表其他相关项目金额，不调整 可比期间信息。</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年年初留存收益。同 时，本公司未对比较财务报表数据进行调整。</w:t>
      </w:r>
    </w:p>
    <w:p>
      <w:pPr>
        <w:pStyle w:val="Style2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w:t>
      </w:r>
      <w:r>
        <w:rPr>
          <w:color w:val="000000"/>
          <w:spacing w:val="0"/>
          <w:w w:val="100"/>
          <w:position w:val="0"/>
        </w:rPr>
        <w:t>对于首次执行日之前的融资租赁，本公司按照融资租入资产和应付融资租赁款的原账面价值，分别计量使用权资产 和租赁负债；</w:t>
      </w:r>
    </w:p>
    <w:p>
      <w:pPr>
        <w:pStyle w:val="Style2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w:t>
      </w:r>
      <w:r>
        <w:rPr>
          <w:color w:val="000000"/>
          <w:spacing w:val="0"/>
          <w:w w:val="100"/>
          <w:position w:val="0"/>
        </w:rPr>
        <w:t>对于首次执行日之前的经营租赁，本公司根据剩余租赁付款额按首次执行日的增量借款利率折现的现值计量租赁负 债，并对于所有租赁按照与租赁负债相等的金额，并根据预付租金进行必要调整计量使用权资产。</w:t>
      </w:r>
    </w:p>
    <w:p>
      <w:pPr>
        <w:pStyle w:val="Style2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•在首次执行日，本公司按照附注五、</w:t>
      </w:r>
      <w:r>
        <w:rPr>
          <w:color w:val="000000"/>
          <w:spacing w:val="0"/>
          <w:w w:val="100"/>
          <w:position w:val="0"/>
          <w:sz w:val="18"/>
          <w:szCs w:val="18"/>
        </w:rPr>
        <w:t>19</w:t>
      </w:r>
      <w:r>
        <w:rPr>
          <w:color w:val="000000"/>
          <w:spacing w:val="0"/>
          <w:w w:val="100"/>
          <w:position w:val="0"/>
        </w:rPr>
        <w:t>对使用权资产进行减值测试并进行相应的会计处理。</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个月内完成的经营租赁，采用简化处理，未确认 使用权资产和租赁负债。</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本公司对于首次执行日之前的经营租赁，采用了下列简化处理：</w:t>
      </w:r>
    </w:p>
    <w:p>
      <w:pPr>
        <w:pStyle w:val="Style21"/>
        <w:keepNext w:val="0"/>
        <w:keepLines w:val="0"/>
        <w:widowControl w:val="0"/>
        <w:shd w:val="clear" w:color="auto" w:fill="auto"/>
        <w:bidi w:val="0"/>
        <w:spacing w:before="0" w:after="0" w:line="315" w:lineRule="exact"/>
        <w:ind w:left="0" w:right="0" w:firstLine="460"/>
        <w:jc w:val="left"/>
      </w:pPr>
      <w:r>
        <w:rPr>
          <w:color w:val="000000"/>
          <w:spacing w:val="0"/>
          <w:w w:val="100"/>
          <w:position w:val="0"/>
        </w:rPr>
        <w:t>•计量租赁负债时，具有相似特征的租赁采用同一折现率；使用权资产的计量不包含初始直接费用；</w:t>
      </w:r>
    </w:p>
    <w:p>
      <w:pPr>
        <w:pStyle w:val="Style21"/>
        <w:keepNext w:val="0"/>
        <w:keepLines w:val="0"/>
        <w:widowControl w:val="0"/>
        <w:shd w:val="clear" w:color="auto" w:fill="auto"/>
        <w:bidi w:val="0"/>
        <w:spacing w:before="0" w:after="0" w:line="315" w:lineRule="exact"/>
        <w:ind w:left="0" w:right="0" w:firstLine="460"/>
        <w:jc w:val="left"/>
      </w:pPr>
      <w:r>
        <w:rPr>
          <w:color w:val="000000"/>
          <w:spacing w:val="0"/>
          <w:w w:val="100"/>
          <w:position w:val="0"/>
        </w:rPr>
        <w:t>•存在续租选择权或终止租赁选择权的，本公司根据首次执行日前选择权的实际行使及其他最新情况确定租赁期；</w:t>
      </w:r>
    </w:p>
    <w:p>
      <w:pPr>
        <w:pStyle w:val="Style2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w:t>
      </w:r>
      <w:r>
        <w:rPr>
          <w:color w:val="000000"/>
          <w:spacing w:val="0"/>
          <w:w w:val="100"/>
          <w:position w:val="0"/>
        </w:rPr>
        <w:t>作为使用权资产减值测试的替代，本公司评估包含租赁的合同在首次执行日前是否为亏损合同，并根据首次执行日 前计入资产负债表的亏损准备金额调整使用权资产；</w:t>
      </w:r>
    </w:p>
    <w:p>
      <w:pPr>
        <w:pStyle w:val="Style21"/>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w:t>
      </w:r>
      <w:r>
        <w:rPr>
          <w:color w:val="000000"/>
          <w:spacing w:val="0"/>
          <w:w w:val="100"/>
          <w:position w:val="0"/>
        </w:rPr>
        <w:t>首次执行日前的租赁变更，本公司根据租赁变更的最终安排进行会计处理。</w:t>
      </w:r>
    </w:p>
    <w:p>
      <w:pPr>
        <w:pStyle w:val="Style21"/>
        <w:keepNext w:val="0"/>
        <w:keepLines w:val="0"/>
        <w:widowControl w:val="0"/>
        <w:shd w:val="clear" w:color="auto" w:fill="auto"/>
        <w:bidi w:val="0"/>
        <w:spacing w:before="0" w:after="300" w:line="315" w:lineRule="exact"/>
        <w:ind w:left="0" w:right="0" w:firstLine="0"/>
        <w:jc w:val="left"/>
      </w:pPr>
      <w:r>
        <w:rPr>
          <w:b/>
          <w:bCs/>
          <w:color w:val="000000"/>
          <w:spacing w:val="0"/>
          <w:w w:val="100"/>
          <w:position w:val="0"/>
        </w:rPr>
        <w:t>执行新租赁准则对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日合并资产负债表项目的影响如下：</w:t>
      </w:r>
    </w:p>
    <w:p>
      <w:pPr>
        <w:pStyle w:val="Style26"/>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center"/>
        <w:tblLayout w:type="fixed"/>
      </w:tblPr>
      <w:tblGrid>
        <w:gridCol w:w="2592"/>
        <w:gridCol w:w="1954"/>
        <w:gridCol w:w="1277"/>
        <w:gridCol w:w="1430"/>
        <w:gridCol w:w="1992"/>
      </w:tblGrid>
      <w:tr>
        <w:trPr>
          <w:trHeight w:val="66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调整前账面金额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重分类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重新计量</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调整后账面金额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2,902,235,650.40</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10,965221.32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6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1,296,181,533.26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1,311,653,867.56</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日使用权资产的账面价值构成如下:</w:t>
      </w:r>
    </w:p>
    <w:p>
      <w:pPr>
        <w:widowControl w:val="0"/>
        <w:spacing w:after="2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467" w:right="0" w:firstLine="0"/>
        <w:jc w:val="left"/>
      </w:pPr>
      <w:r>
        <w:rPr>
          <w:color w:val="000000"/>
          <w:spacing w:val="0"/>
          <w:w w:val="100"/>
          <w:position w:val="0"/>
        </w:rPr>
        <w:t>单位：元</w:t>
      </w:r>
    </w:p>
    <w:tbl>
      <w:tblPr>
        <w:tblOverlap w:val="never"/>
        <w:jc w:val="center"/>
        <w:tblLayout w:type="fixed"/>
      </w:tblPr>
      <w:tblGrid>
        <w:gridCol w:w="5784"/>
        <w:gridCol w:w="3518"/>
      </w:tblGrid>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2021.01.01</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15,472,334.30</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执行新租赁准则对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年度财务报表项目的影响如下:</w:t>
      </w:r>
    </w:p>
    <w:p>
      <w:pPr>
        <w:widowControl w:val="0"/>
        <w:spacing w:after="299" w:line="1" w:lineRule="exact"/>
      </w:pPr>
    </w:p>
    <w:p>
      <w:pPr>
        <w:pStyle w:val="Style21"/>
        <w:keepNext w:val="0"/>
        <w:keepLines w:val="0"/>
        <w:widowControl w:val="0"/>
        <w:shd w:val="clear" w:color="auto" w:fill="auto"/>
        <w:bidi w:val="0"/>
        <w:spacing w:before="0" w:after="300" w:line="240" w:lineRule="auto"/>
        <w:ind w:left="0" w:right="660" w:firstLine="0"/>
        <w:jc w:val="right"/>
      </w:pPr>
      <w:r>
        <w:rPr>
          <w:color w:val="000000"/>
          <w:spacing w:val="0"/>
          <w:w w:val="100"/>
          <w:position w:val="0"/>
        </w:rPr>
        <w:t>单位：元</w:t>
      </w:r>
      <w:r>
        <w:br w:type="page"/>
      </w:r>
    </w:p>
    <w:tbl>
      <w:tblPr>
        <w:tblOverlap w:val="never"/>
        <w:jc w:val="center"/>
        <w:tblLayout w:type="fixed"/>
      </w:tblPr>
      <w:tblGrid>
        <w:gridCol w:w="3106"/>
        <w:gridCol w:w="1886"/>
        <w:gridCol w:w="1992"/>
        <w:gridCol w:w="2261"/>
      </w:tblGrid>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合并资产负债表项目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日报表数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假设按原租赁准则</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11,348,805.05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11,348,805.05</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32,683,983.41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32,778,108.23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-94,124.82</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2,914,840,484.16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2,903,585,803.93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11254,680.23</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6,650,873.02</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1,295,336,985.22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1,283,641,718.50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11,695 266.72</w:t>
            </w:r>
          </w:p>
        </w:tc>
      </w:tr>
    </w:tbl>
    <w:p>
      <w:pPr>
        <w:widowControl w:val="0"/>
        <w:spacing w:after="6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center"/>
        <w:tblLayout w:type="fixed"/>
      </w:tblPr>
      <w:tblGrid>
        <w:gridCol w:w="2582"/>
        <w:gridCol w:w="2256"/>
        <w:gridCol w:w="2126"/>
        <w:gridCol w:w="2280"/>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合并利润表项目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年度报表数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假设按原租赁准则</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23,425,536. 13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22,815,533.73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610,002.40</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84,835,029.01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84,994,524.83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-159,495.82</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92,693,791.20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92,703,711.28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-9,920.08</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作为出租人</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根据新租赁准则，本公司无需对其作为出租人的租赁按照衔接规定进行调整，也无需自首次执行新租赁准则之日按照新 租赁准则进行会计处理。</w:t>
      </w:r>
    </w:p>
    <w:p>
      <w:pPr>
        <w:pStyle w:val="Style36"/>
        <w:keepNext/>
        <w:keepLines/>
        <w:widowControl w:val="0"/>
        <w:shd w:val="clear" w:color="auto" w:fill="auto"/>
        <w:tabs>
          <w:tab w:pos="483" w:val="left"/>
        </w:tabs>
        <w:bidi w:val="0"/>
        <w:spacing w:before="0" w:after="280" w:line="240" w:lineRule="auto"/>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6"/>
      <w:bookmarkEnd w:id="1037"/>
      <w:bookmarkEnd w:id="1039"/>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0"/>
      <w:bookmarkEnd w:id="1041"/>
      <w:bookmarkEnd w:id="1043"/>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469,539,892.27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11,000,239.63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158,692,075.03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41,875,641.26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8,566,251.22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64,585,539.57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1,945,937,813.97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1,945,937,813.97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124,234,000.60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98289,758.61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19,527,745.16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145,075,489.28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145,075,489.28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36,015,874.40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36,015,874.40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22,085,314.16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25,626,839.50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25,626,839.50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940,825,502.13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956,297,836.43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2,902,235,650.40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570,509,887.50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389,035,432.45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7,483,281.04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1,194,773284.90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1,199,280,397.88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101,408,248.36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112,373,469.68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10,965,221.32</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1,296,181,533.26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1,311,653,867.56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40,142,851.24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1,581,336,369.85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9,245,412.99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1,590,581,782.84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1,590,581,782.84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2,886,763,316.10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2,902,235,650.40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324,294,084.68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324,294,084.68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7,495,795.87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80,776,806.36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80,776,806.36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13,775,370.97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13,775,370.97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1,176,774,748.46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114,389,838.55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114,389,838.55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7,897,517.17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9,677,481.26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1,739,081,643.32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1,739,081,643.32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86289,758.61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8,258,960.71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8,258,960.71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22,765 200.10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22,765,200.10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25,703,750.34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25,703,750.34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2,009,703.89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2,009,703.89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4,995,941.00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4,995,941.00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9,487,531.47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9,487,531.47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853,690,609.31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856,886,094.58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2,592,772252.63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2,595,967,737.90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520,509,887.50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154,571,397.23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154,571,397.23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82,914,660.04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82,914,660.04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9,506,543.26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9,506,543.26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1,657,494.68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1,657,494.68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154,323,838.56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154,323,838.56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1,243,473.72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1,243,473.72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13,210,319.95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13210,319.95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987,694,141.22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988,937,614.94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1,243,473.72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1,952,011.55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1,952,011.55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6,433,463.79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6,641,797.12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8,593,808.67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1,952,011.55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994,335,938.34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997,531,423.61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364,193,237.65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36,456294.82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501,375,162.77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501,375,162.77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1,598,436,314.29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1,598,436,314.29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2,592,772252.63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2,595,967,737.90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3,195,485.27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23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4"/>
      <w:bookmarkEnd w:id="1045"/>
      <w:bookmarkEnd w:id="104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8"/>
      <w:bookmarkEnd w:id="1049"/>
      <w:bookmarkEnd w:id="1050"/>
    </w:p>
    <w:p>
      <w:pPr>
        <w:pStyle w:val="Style24"/>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sz w:val="24"/>
          <w:szCs w:val="24"/>
        </w:rPr>
        <w:t>六</w:t>
      </w:r>
      <w:bookmarkEnd w:id="1053"/>
      <w:r>
        <w:rPr>
          <w:color w:val="000000"/>
          <w:spacing w:val="0"/>
          <w:w w:val="100"/>
          <w:position w:val="0"/>
          <w:sz w:val="24"/>
          <w:szCs w:val="24"/>
        </w:rPr>
        <w:t>、税项</w:t>
      </w:r>
      <w:bookmarkEnd w:id="1051"/>
      <w:bookmarkEnd w:id="1052"/>
      <w:bookmarkEnd w:id="1054"/>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color w:val="000000"/>
          <w:spacing w:val="0"/>
          <w:w w:val="100"/>
          <w:position w:val="0"/>
        </w:rPr>
        <w:t>、主要税种及税率</w:t>
      </w:r>
      <w:bookmarkEnd w:id="1055"/>
      <w:bookmarkEnd w:id="1056"/>
      <w:bookmarkEnd w:id="1058"/>
    </w:p>
    <w:tbl>
      <w:tblPr>
        <w:tblOverlap w:val="never"/>
        <w:jc w:val="center"/>
        <w:tblLayout w:type="fixed"/>
      </w:tblPr>
      <w:tblGrid>
        <w:gridCol w:w="3202"/>
        <w:gridCol w:w="3197"/>
        <w:gridCol w:w="3192"/>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上海榕基软件开发有限公司（以下简称上海榕基公司）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福州创华电气自动化系统有限公司（以下简称福州创华公司）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浙江榕基信息技术有限公司（以下简称浙江榕基公司）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榕基五一（北京）信息技术有限公司（以下简称榕基五一公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福建榕基软件工程有限公司（以下简称榕基软件工程公司）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河南榕基信息技术有限公司（以下简称河南榕基公司）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北京中榕基信息技术有限公司（以下简称北京中榕基公司）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马鞍山榕基软件信息科技有限公司（以下简称马鞍山软件信 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福建榕基投资有限公司（以下简称榕基投资公司）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马鞍山榕基置业投资有限公司（以下简称榕基置业公司）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信阳榕基信息技术有限公司（以下简称信阳榕基公司）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榕基国际控股有限公司（以下简称榕基国际公司）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河南豫础置业有限公司（以下简称豫础置业公司）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沈阳榕基信息技术有限公司（以下简称沈阳榕基公司）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福州榕易付网络科技有限公司（以下简称福州榕易付公司）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福建星榕基信息科技有限责任公司（以下简称福建星榕基公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福建容大物联网科技有限公司（以下简称容大物联网）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color w:val="000000"/>
          <w:spacing w:val="0"/>
          <w:w w:val="100"/>
          <w:position w:val="0"/>
        </w:rPr>
        <w:t>、税收优惠</w:t>
      </w:r>
      <w:bookmarkEnd w:id="1059"/>
      <w:bookmarkEnd w:id="1060"/>
      <w:bookmarkEnd w:id="1062"/>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说明：榕基国际公司注册地在香港，根据香港《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号）条例》（《修订条例》），企业每年首</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万元（港币）的利润，其所缴利得税率由现时标准税率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削半至</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，若企业每年利润超过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万元（港币），其后 利润按标准税率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计算。</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1"/>
        <w:keepNext w:val="0"/>
        <w:keepLines w:val="0"/>
        <w:widowControl w:val="0"/>
        <w:shd w:val="clear" w:color="auto" w:fill="auto"/>
        <w:tabs>
          <w:tab w:pos="814" w:val="left"/>
        </w:tabs>
        <w:bidi w:val="0"/>
        <w:spacing w:before="0" w:after="0" w:line="313" w:lineRule="exact"/>
        <w:ind w:left="0" w:right="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根据《财政部、国家税务总局关于软件产品增值税政策的通知》（财税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号），增值税一般纳税人销售其自行 开发生产的软件产品，对其增值税实际税负超过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1"/>
        <w:keepNext w:val="0"/>
        <w:keepLines w:val="0"/>
        <w:widowControl w:val="0"/>
        <w:shd w:val="clear" w:color="auto" w:fill="auto"/>
        <w:tabs>
          <w:tab w:pos="814" w:val="left"/>
        </w:tabs>
        <w:bidi w:val="0"/>
        <w:spacing w:before="0" w:after="0" w:line="313" w:lineRule="exact"/>
        <w:ind w:left="0" w:right="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21"/>
        <w:keepNext w:val="0"/>
        <w:keepLines w:val="0"/>
        <w:widowControl w:val="0"/>
        <w:numPr>
          <w:ilvl w:val="0"/>
          <w:numId w:val="33"/>
        </w:numPr>
        <w:shd w:val="clear" w:color="auto" w:fill="auto"/>
        <w:tabs>
          <w:tab w:pos="751" w:val="left"/>
        </w:tabs>
        <w:bidi w:val="0"/>
        <w:spacing w:before="0" w:after="0" w:line="313" w:lineRule="exact"/>
        <w:ind w:left="0" w:right="0"/>
        <w:jc w:val="both"/>
      </w:pPr>
      <w:bookmarkStart w:id="1065" w:name="bookmark1065"/>
      <w:bookmarkEnd w:id="1065"/>
      <w:r>
        <w:rPr>
          <w:color w:val="000000"/>
          <w:spacing w:val="0"/>
          <w:w w:val="100"/>
          <w:position w:val="0"/>
        </w:rPr>
        <w:t>高新技术企业所得税优惠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根据《中华人民共和国企业所得税法》（主席令第</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号），科技部、财政部、国家税务总局下发的《高新技术企业认定 管理办法（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修订）》（国科发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号）的规定，国家需要重点扶持的高新技术企业，减按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 得税。</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日，本公司取得由福建省科学技术厅、福建省财政厅、国家税务总局福建省税务局颁发的《高新技术 企业证书》，证书编号</w:t>
      </w:r>
      <w:r>
        <w:rPr>
          <w:rFonts w:ascii="Times New Roman" w:eastAsia="Times New Roman" w:hAnsi="Times New Roman" w:cs="Times New Roman"/>
          <w:color w:val="000000"/>
          <w:spacing w:val="0"/>
          <w:w w:val="100"/>
          <w:position w:val="0"/>
          <w:sz w:val="18"/>
          <w:szCs w:val="18"/>
        </w:rPr>
        <w:t>GR2021</w:t>
      </w:r>
      <w:r>
        <w:rPr>
          <w:rFonts w:ascii="Times New Roman" w:eastAsia="Times New Roman" w:hAnsi="Times New Roman" w:cs="Times New Roman"/>
          <w:color w:val="000000"/>
          <w:spacing w:val="0"/>
          <w:w w:val="100"/>
          <w:position w:val="0"/>
          <w:sz w:val="18"/>
          <w:szCs w:val="18"/>
        </w:rPr>
        <w:t>35000652</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日，榕基软件工程公司取得由福建省科学技术厅、福建省财政厅、国家税务总局福建省税务局颁发的 《高新技术企业证书》，证书编号</w:t>
      </w:r>
      <w:r>
        <w:rPr>
          <w:rFonts w:ascii="Times New Roman" w:eastAsia="Times New Roman" w:hAnsi="Times New Roman" w:cs="Times New Roman"/>
          <w:color w:val="000000"/>
          <w:spacing w:val="0"/>
          <w:w w:val="100"/>
          <w:position w:val="0"/>
          <w:sz w:val="18"/>
          <w:szCs w:val="18"/>
        </w:rPr>
        <w:t>GR202135001089</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日，信阳榕基公司取得由河南省科学技术厅、河南省财政厅、国家税务总局河南省税务局颁发的《高 新技术企业证书》，证书编号</w:t>
      </w:r>
      <w:r>
        <w:rPr>
          <w:rFonts w:ascii="Times New Roman" w:eastAsia="Times New Roman" w:hAnsi="Times New Roman" w:cs="Times New Roman"/>
          <w:color w:val="000000"/>
          <w:spacing w:val="0"/>
          <w:w w:val="100"/>
          <w:position w:val="0"/>
          <w:sz w:val="18"/>
          <w:szCs w:val="18"/>
        </w:rPr>
        <w:t>GR201941000194</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日，上海榕基公司取得由上海市科学技术委员会、上海市财政局、国家税务总局上海市税务局颁发的 《高新技术企业证书》，证书编号</w:t>
      </w:r>
      <w:r>
        <w:rPr>
          <w:rFonts w:ascii="Times New Roman" w:eastAsia="Times New Roman" w:hAnsi="Times New Roman" w:cs="Times New Roman"/>
          <w:color w:val="000000"/>
          <w:spacing w:val="0"/>
          <w:w w:val="100"/>
          <w:position w:val="0"/>
          <w:sz w:val="18"/>
          <w:szCs w:val="18"/>
        </w:rPr>
        <w:t>GR202031003221</w:t>
      </w:r>
      <w:r>
        <w:rPr>
          <w:color w:val="000000"/>
          <w:spacing w:val="0"/>
          <w:w w:val="100"/>
          <w:position w:val="0"/>
        </w:rPr>
        <w:t>，</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日，浙江榕基公司取得由浙江省科学技术厅、浙江省财政厅、国家税务总局浙江省税务局颁发的《高新 技术企业证书》，证书编号</w:t>
      </w:r>
      <w:r>
        <w:rPr>
          <w:rFonts w:ascii="Times New Roman" w:eastAsia="Times New Roman" w:hAnsi="Times New Roman" w:cs="Times New Roman"/>
          <w:color w:val="000000"/>
          <w:spacing w:val="0"/>
          <w:w w:val="100"/>
          <w:position w:val="0"/>
          <w:sz w:val="18"/>
          <w:szCs w:val="18"/>
        </w:rPr>
        <w:t>GR202033000691</w:t>
      </w:r>
      <w:r>
        <w:rPr>
          <w:color w:val="000000"/>
          <w:spacing w:val="0"/>
          <w:w w:val="100"/>
          <w:position w:val="0"/>
        </w:rPr>
        <w:t>，该证书的有效期从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1"/>
        <w:keepNext w:val="0"/>
        <w:keepLines w:val="0"/>
        <w:widowControl w:val="0"/>
        <w:numPr>
          <w:ilvl w:val="0"/>
          <w:numId w:val="33"/>
        </w:numPr>
        <w:shd w:val="clear" w:color="auto" w:fill="auto"/>
        <w:tabs>
          <w:tab w:pos="751" w:val="left"/>
        </w:tabs>
        <w:bidi w:val="0"/>
        <w:spacing w:before="0" w:after="0" w:line="313" w:lineRule="exact"/>
        <w:ind w:left="0" w:right="0"/>
        <w:jc w:val="both"/>
      </w:pPr>
      <w:bookmarkStart w:id="1066" w:name="bookmark1066"/>
      <w:bookmarkEnd w:id="1066"/>
      <w:r>
        <w:rPr>
          <w:color w:val="000000"/>
          <w:spacing w:val="0"/>
          <w:w w:val="100"/>
          <w:position w:val="0"/>
        </w:rPr>
        <w:t>新办软件企业所得税优惠</w:t>
      </w:r>
    </w:p>
    <w:p>
      <w:pPr>
        <w:pStyle w:val="Style21"/>
        <w:keepNext w:val="0"/>
        <w:keepLines w:val="0"/>
        <w:widowControl w:val="0"/>
        <w:shd w:val="clear" w:color="auto" w:fill="auto"/>
        <w:tabs>
          <w:tab w:pos="6497" w:val="left"/>
        </w:tabs>
        <w:bidi w:val="0"/>
        <w:spacing w:before="0" w:after="0" w:line="313" w:lineRule="exact"/>
        <w:ind w:left="0" w:right="0"/>
        <w:jc w:val="both"/>
      </w:pPr>
      <w:r>
        <w:rPr>
          <w:color w:val="000000"/>
          <w:spacing w:val="0"/>
          <w:w w:val="100"/>
          <w:position w:val="0"/>
        </w:rPr>
        <w:t>根据财政部、国家税务总局《关于企业所得税若干优惠政策》（财税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号）规定：我国境内新办软件生产企业</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经认定后，自获利年度起，第一年和第二年免征企业所得税，第三年至第五年减半征收企业所得税。</w:t>
      </w:r>
    </w:p>
    <w:p>
      <w:pPr>
        <w:pStyle w:val="Style21"/>
        <w:keepNext w:val="0"/>
        <w:keepLines w:val="0"/>
        <w:widowControl w:val="0"/>
        <w:shd w:val="clear" w:color="auto" w:fill="auto"/>
        <w:bidi w:val="0"/>
        <w:spacing w:before="0" w:after="14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月，马鞍山软件信息公司被认定为软件企业，自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免二减三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的税收优惠；其自成立以来尚未 盈利，未享受过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免二减三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税收优惠，故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年度该公司企业所得税税率为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color w:val="000000"/>
          <w:spacing w:val="0"/>
          <w:w w:val="100"/>
          <w:position w:val="0"/>
        </w:rPr>
        <w:t>、其他</w:t>
      </w:r>
      <w:bookmarkEnd w:id="1067"/>
      <w:bookmarkEnd w:id="1068"/>
      <w:bookmarkEnd w:id="1070"/>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说明：榕基国际公司注册地在香港，根据香港《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号）条例》（《修订条例》），企业每年首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（港币）的利润，其所缴利得税率由现时标准税率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削半至</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，若企业每年利润超过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万元（港币），其后利润 按标准税率</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计算。</w:t>
      </w:r>
    </w:p>
    <w:p>
      <w:pPr>
        <w:pStyle w:val="Style24"/>
        <w:keepNext/>
        <w:keepLines/>
        <w:widowControl w:val="0"/>
        <w:shd w:val="clear" w:color="auto" w:fill="auto"/>
        <w:bidi w:val="0"/>
        <w:spacing w:before="0" w:after="36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sz w:val="24"/>
          <w:szCs w:val="24"/>
        </w:rPr>
        <w:t>七</w:t>
      </w:r>
      <w:bookmarkEnd w:id="1073"/>
      <w:r>
        <w:rPr>
          <w:color w:val="000000"/>
          <w:spacing w:val="0"/>
          <w:w w:val="100"/>
          <w:position w:val="0"/>
          <w:sz w:val="24"/>
          <w:szCs w:val="24"/>
        </w:rPr>
        <w:t>、合并财务报表项目注释</w:t>
      </w:r>
      <w:bookmarkEnd w:id="1071"/>
      <w:bookmarkEnd w:id="1072"/>
      <w:bookmarkEnd w:id="1074"/>
    </w:p>
    <w:p>
      <w:pPr>
        <w:pStyle w:val="Style32"/>
        <w:keepNext/>
        <w:keepLines/>
        <w:widowControl w:val="0"/>
        <w:shd w:val="clear" w:color="auto" w:fill="auto"/>
        <w:bidi w:val="0"/>
        <w:spacing w:before="0" w:line="240" w:lineRule="auto"/>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color w:val="000000"/>
          <w:spacing w:val="0"/>
          <w:w w:val="100"/>
          <w:position w:val="0"/>
        </w:rPr>
        <w:t>、货币资金</w:t>
      </w:r>
      <w:bookmarkEnd w:id="1075"/>
      <w:bookmarkEnd w:id="1076"/>
      <w:bookmarkEnd w:id="10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780,973.90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295,244,945.61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454,175,004.71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16,715266.02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14,583,913.66</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312,092,896.54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469,539,892.27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88,089,107.98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90,152,021.87</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期末，银行存款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应计利息</w:t>
      </w:r>
      <w:r>
        <w:rPr>
          <w:rFonts w:ascii="Times New Roman" w:eastAsia="Times New Roman" w:hAnsi="Times New Roman" w:cs="Times New Roman"/>
          <w:color w:val="000000"/>
          <w:spacing w:val="0"/>
          <w:w w:val="100"/>
          <w:position w:val="0"/>
          <w:sz w:val="18"/>
          <w:szCs w:val="18"/>
        </w:rPr>
        <w:t>3,208.33</w:t>
      </w:r>
      <w:r>
        <w:rPr>
          <w:color w:val="000000"/>
          <w:spacing w:val="0"/>
          <w:w w:val="100"/>
          <w:position w:val="0"/>
        </w:rPr>
        <w:t>元、其他货币资金中保函保证金及履约保证金</w:t>
      </w:r>
      <w:r>
        <w:rPr>
          <w:rFonts w:ascii="Times New Roman" w:eastAsia="Times New Roman" w:hAnsi="Times New Roman" w:cs="Times New Roman"/>
          <w:color w:val="000000"/>
          <w:spacing w:val="0"/>
          <w:w w:val="100"/>
          <w:position w:val="0"/>
          <w:sz w:val="18"/>
          <w:szCs w:val="18"/>
        </w:rPr>
        <w:t>16,663,583.18</w:t>
      </w:r>
      <w:r>
        <w:rPr>
          <w:color w:val="000000"/>
          <w:spacing w:val="0"/>
          <w:w w:val="100"/>
          <w:position w:val="0"/>
        </w:rPr>
        <w:t xml:space="preserve">元及银行承兑汇票保证金 </w:t>
      </w:r>
      <w:r>
        <w:rPr>
          <w:rFonts w:ascii="Times New Roman" w:eastAsia="Times New Roman" w:hAnsi="Times New Roman" w:cs="Times New Roman"/>
          <w:color w:val="000000"/>
          <w:spacing w:val="0"/>
          <w:w w:val="100"/>
          <w:position w:val="0"/>
          <w:sz w:val="18"/>
          <w:szCs w:val="18"/>
        </w:rPr>
        <w:t>50,914.84</w:t>
      </w:r>
      <w:r>
        <w:rPr>
          <w:color w:val="000000"/>
          <w:spacing w:val="0"/>
          <w:w w:val="100"/>
          <w:position w:val="0"/>
        </w:rPr>
        <w:t>元，本集团在编制现金流量表时未将其作为现金或现金等价物。</w:t>
      </w:r>
    </w:p>
    <w:p>
      <w:pPr>
        <w:widowControl w:val="0"/>
        <w:spacing w:after="279" w:line="1" w:lineRule="exact"/>
      </w:pPr>
    </w:p>
    <w:p>
      <w:pPr>
        <w:pStyle w:val="Style32"/>
        <w:keepNext/>
        <w:keepLines/>
        <w:widowControl w:val="0"/>
        <w:shd w:val="clear" w:color="auto" w:fill="auto"/>
        <w:bidi w:val="0"/>
        <w:spacing w:before="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、交易性金融资产</w:t>
      </w:r>
      <w:bookmarkEnd w:id="1079"/>
      <w:bookmarkEnd w:id="1080"/>
      <w:bookmarkEnd w:id="10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27,745,000.00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86,650,000.00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、衍生金融资产</w:t>
      </w:r>
      <w:bookmarkEnd w:id="1083"/>
      <w:bookmarkEnd w:id="1084"/>
      <w:bookmarkEnd w:id="10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、应收票据</w:t>
      </w:r>
      <w:bookmarkEnd w:id="1087"/>
      <w:bookmarkEnd w:id="1088"/>
      <w:bookmarkEnd w:id="1090"/>
    </w:p>
    <w:p>
      <w:pPr>
        <w:pStyle w:val="Style36"/>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1"/>
      <w:bookmarkEnd w:id="1092"/>
      <w:bookmarkEnd w:id="1094"/>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9,602,207.20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11,000,239.63</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9,602,207.20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11,000,239.63</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646"/>
        <w:gridCol w:w="763"/>
        <w:gridCol w:w="758"/>
        <w:gridCol w:w="768"/>
        <w:gridCol w:w="758"/>
        <w:gridCol w:w="792"/>
        <w:gridCol w:w="782"/>
        <w:gridCol w:w="792"/>
        <w:gridCol w:w="936"/>
        <w:gridCol w:w="792"/>
        <w:gridCol w:w="80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5"/>
      <w:bookmarkEnd w:id="1096"/>
      <w:bookmarkEnd w:id="109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68"/>
        <w:gridCol w:w="138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99"/>
      <w:bookmarkEnd w:id="1100"/>
      <w:bookmarkEnd w:id="1102"/>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11"/>
        <w:gridCol w:w="1598"/>
        <w:gridCol w:w="1589"/>
        <w:gridCol w:w="3192"/>
      </w:tblGrid>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123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03" w:name="bookmark11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）期末公司已背书或贴现且在资产负债表日尚未到期的应收票据</w:t>
            </w:r>
            <w:bookmarkEnd w:id="1103"/>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04"/>
      <w:bookmarkEnd w:id="1105"/>
      <w:bookmarkEnd w:id="11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81"/>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1"/>
        <w:keepNext w:val="0"/>
        <w:keepLines w:val="0"/>
        <w:widowControl w:val="0"/>
        <w:shd w:val="clear" w:color="auto" w:fill="auto"/>
        <w:tabs>
          <w:tab w:pos="690" w:val="left"/>
        </w:tabs>
        <w:bidi w:val="0"/>
        <w:spacing w:before="0" w:after="80" w:line="240" w:lineRule="auto"/>
        <w:ind w:left="0" w:right="0" w:firstLine="360"/>
        <w:jc w:val="left"/>
      </w:pPr>
      <w:bookmarkStart w:id="1108" w:name="bookmark1108"/>
      <w:r>
        <w:rPr>
          <w:rFonts w:ascii="Times New Roman" w:eastAsia="Times New Roman" w:hAnsi="Times New Roman" w:cs="Times New Roman"/>
          <w:color w:val="000000"/>
          <w:spacing w:val="0"/>
          <w:w w:val="100"/>
          <w:position w:val="0"/>
          <w:sz w:val="18"/>
          <w:szCs w:val="18"/>
        </w:rPr>
        <w:t>1</w:t>
      </w:r>
      <w:bookmarkEnd w:id="1108"/>
      <w:r>
        <w:rPr>
          <w:color w:val="000000"/>
          <w:spacing w:val="0"/>
          <w:w w:val="100"/>
          <w:position w:val="0"/>
        </w:rPr>
        <w:t>、</w:t>
        <w:tab/>
        <w:t>期末本公司无已质押的应收票据。</w:t>
      </w:r>
    </w:p>
    <w:p>
      <w:pPr>
        <w:pStyle w:val="Style21"/>
        <w:keepNext w:val="0"/>
        <w:keepLines w:val="0"/>
        <w:widowControl w:val="0"/>
        <w:shd w:val="clear" w:color="auto" w:fill="auto"/>
        <w:tabs>
          <w:tab w:pos="709" w:val="left"/>
        </w:tabs>
        <w:bidi w:val="0"/>
        <w:spacing w:before="0" w:after="380" w:line="240" w:lineRule="auto"/>
        <w:ind w:left="0" w:right="0" w:firstLine="360"/>
        <w:jc w:val="left"/>
      </w:pPr>
      <w:bookmarkStart w:id="1109" w:name="bookmark1109"/>
      <w:r>
        <w:rPr>
          <w:rFonts w:ascii="Times New Roman" w:eastAsia="Times New Roman" w:hAnsi="Times New Roman" w:cs="Times New Roman"/>
          <w:color w:val="000000"/>
          <w:spacing w:val="0"/>
          <w:w w:val="100"/>
          <w:position w:val="0"/>
          <w:sz w:val="18"/>
          <w:szCs w:val="18"/>
        </w:rPr>
        <w:t>2</w:t>
      </w:r>
      <w:bookmarkEnd w:id="1109"/>
      <w:r>
        <w:rPr>
          <w:color w:val="000000"/>
          <w:spacing w:val="0"/>
          <w:w w:val="100"/>
          <w:position w:val="0"/>
        </w:rPr>
        <w:t>、</w:t>
        <w:tab/>
        <w:t>期末本公司无已背书或贴现但尚未到期的应收票据</w:t>
      </w:r>
    </w:p>
    <w:p>
      <w:pPr>
        <w:pStyle w:val="Style36"/>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10"/>
      <w:bookmarkEnd w:id="1111"/>
      <w:bookmarkEnd w:id="1113"/>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33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63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5</w:t>
      </w:r>
      <w:bookmarkEnd w:id="1116"/>
      <w:r>
        <w:rPr>
          <w:color w:val="000000"/>
          <w:spacing w:val="0"/>
          <w:w w:val="100"/>
          <w:position w:val="0"/>
        </w:rPr>
        <w:t>、应收账款</w:t>
      </w:r>
      <w:bookmarkEnd w:id="1114"/>
      <w:bookmarkEnd w:id="1115"/>
      <w:bookmarkEnd w:id="1117"/>
    </w:p>
    <w:p>
      <w:pPr>
        <w:pStyle w:val="Style3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8"/>
      <w:bookmarkEnd w:id="1119"/>
      <w:bookmarkEnd w:id="1121"/>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 单位客户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186,075, </w:t>
            </w:r>
            <w:r>
              <w:rPr>
                <w:rFonts w:ascii="Times New Roman" w:eastAsia="Times New Roman" w:hAnsi="Times New Roman" w:cs="Times New Roman"/>
                <w:color w:val="000000"/>
                <w:spacing w:val="0"/>
                <w:w w:val="100"/>
                <w:position w:val="0"/>
                <w:sz w:val="18"/>
                <w:szCs w:val="18"/>
              </w:rPr>
              <w:t>310.51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33227,7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152,847,5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29,730,31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应收政府部门、事业 单位客户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14,980,4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105,862,8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14,845,80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83,047,497.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65 231,9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18247,3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14,884,50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75,644,577.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187,120,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34272,7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152,847,5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29,730,31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7680"/>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漯河市信息化办公室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按组合计提坏账准备：应收政府部门、事业单位客户</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93,516,556.47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4,170,838.43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10,348,548.07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1,452,936.15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5,619,076.33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1,780,123.38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11,359,188.11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7,576,578.47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66.70%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120,843,368.98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14,980,476.43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按组合计提坏账准备：应收其他客户</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25,636,574.05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1,040,844.89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12,392,455.61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2,260,383.91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12,923294.94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3,922,220.01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14,279,616.93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11,023,864.27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77.20%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65,231,941.53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18,247,313.08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119,153,130.52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22,741,003.68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18,542,371.27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26,683,805.04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12,007,712.27</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8,005,141.51</w:t>
            </w:r>
          </w:p>
        </w:tc>
      </w:tr>
    </w:tbl>
    <w:p>
      <w:pPr>
        <w:widowControl w:val="0"/>
        <w:spacing w:line="1" w:lineRule="exact"/>
      </w:pPr>
      <w:r>
        <w:br w:type="page"/>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6,670,951.26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187,120,310.51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2"/>
      <w:bookmarkEnd w:id="1123"/>
      <w:bookmarkEnd w:id="1125"/>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78"/>
        <w:gridCol w:w="1373"/>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29,730,311.61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4,542,477.90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34272,789.51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29,730,311.61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4,542,477.90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34272,789.51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126" w:name="bookmark1126"/>
      <w:bookmarkStart w:id="1127" w:name="bookmark1127"/>
      <w:bookmarkStart w:id="1128" w:name="bookmark1128"/>
      <w:r>
        <w:rPr>
          <w:color w:val="000000"/>
          <w:spacing w:val="0"/>
          <w:w w:val="100"/>
          <w:position w:val="0"/>
        </w:rPr>
        <w:t>⑶本期实际核销的应收账款情况</w:t>
      </w:r>
      <w:bookmarkEnd w:id="1126"/>
      <w:bookmarkEnd w:id="1127"/>
      <w:bookmarkEnd w:id="11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3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63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129" w:name="bookmark1129"/>
      <w:bookmarkStart w:id="1130" w:name="bookmark1130"/>
      <w:bookmarkStart w:id="1131" w:name="bookmark1131"/>
      <w:r>
        <w:rPr>
          <w:color w:val="000000"/>
          <w:spacing w:val="0"/>
          <w:w w:val="100"/>
          <w:position w:val="0"/>
        </w:rPr>
        <w:t>⑷按欠款方归集的期末余额前五名的应收账款情况</w:t>
      </w:r>
      <w:bookmarkEnd w:id="1129"/>
      <w:bookmarkEnd w:id="1130"/>
      <w:bookmarkEnd w:id="1131"/>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544,655.20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信阳市政务服务和大数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8,682,418.60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387,235.87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宁德市信息中心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6,946,732.45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309,824.27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中共南阳市委办公室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6,699,581.60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298,801.34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南平市数字发展中心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5,628,481.25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251,030.26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40,169,213.90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132"/>
      <w:bookmarkEnd w:id="1133"/>
      <w:bookmarkEnd w:id="113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136"/>
      <w:bookmarkEnd w:id="1137"/>
      <w:bookmarkEnd w:id="1139"/>
    </w:p>
    <w:p>
      <w:pPr>
        <w:pStyle w:val="Style32"/>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6</w:t>
      </w:r>
      <w:bookmarkEnd w:id="1142"/>
      <w:r>
        <w:rPr>
          <w:color w:val="000000"/>
          <w:spacing w:val="0"/>
          <w:w w:val="100"/>
          <w:position w:val="0"/>
        </w:rPr>
        <w:t>、应收款项融资</w:t>
      </w:r>
      <w:bookmarkEnd w:id="1140"/>
      <w:bookmarkEnd w:id="1141"/>
      <w:bookmarkEnd w:id="11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7</w:t>
      </w:r>
      <w:bookmarkEnd w:id="1146"/>
      <w:r>
        <w:rPr>
          <w:color w:val="000000"/>
          <w:spacing w:val="0"/>
          <w:w w:val="100"/>
          <w:position w:val="0"/>
        </w:rPr>
        <w:t>、预付款项</w:t>
      </w:r>
      <w:bookmarkEnd w:id="1144"/>
      <w:bookmarkEnd w:id="1145"/>
      <w:bookmarkEnd w:id="1147"/>
    </w:p>
    <w:p>
      <w:pPr>
        <w:pStyle w:val="Style36"/>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8"/>
      <w:bookmarkEnd w:id="1149"/>
      <w:bookmarkEnd w:id="1151"/>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3,307,616.16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23,769,188.51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925,923.84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431,185.51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1,629,267.16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6,293,992.67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26,890,503.21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2"/>
      <w:bookmarkEnd w:id="1153"/>
      <w:bookmarkEnd w:id="1155"/>
    </w:p>
    <w:p>
      <w:pPr>
        <w:pStyle w:val="Style26"/>
        <w:keepNext w:val="0"/>
        <w:keepLines w:val="0"/>
        <w:widowControl w:val="0"/>
        <w:shd w:val="clear" w:color="auto" w:fill="auto"/>
        <w:bidi w:val="0"/>
        <w:spacing w:before="0" w:after="0" w:line="240" w:lineRule="auto"/>
        <w:ind w:left="8299" w:right="0" w:firstLine="0"/>
        <w:jc w:val="left"/>
      </w:pPr>
      <w:r>
        <w:rPr>
          <w:color w:val="000000"/>
          <w:spacing w:val="0"/>
          <w:w w:val="100"/>
          <w:position w:val="0"/>
        </w:rPr>
        <w:t>单位：元</w:t>
      </w:r>
    </w:p>
    <w:tbl>
      <w:tblPr>
        <w:tblOverlap w:val="never"/>
        <w:jc w:val="center"/>
        <w:tblLayout w:type="fixed"/>
      </w:tblPr>
      <w:tblGrid>
        <w:gridCol w:w="3038"/>
        <w:gridCol w:w="3024"/>
        <w:gridCol w:w="3038"/>
      </w:tblGrid>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 合计数的比例</w:t>
            </w:r>
            <w:r>
              <w:rPr>
                <w:color w:val="000000"/>
                <w:spacing w:val="0"/>
                <w:w w:val="100"/>
                <w:position w:val="0"/>
                <w:sz w:val="18"/>
                <w:szCs w:val="18"/>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信阳市方振信息技术有限公司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杭州信科资产管理有限公司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4.45</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深圳市擎冠科技有限公司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深圳市众志天成科技有限公司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1,304,922.81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8</w:t>
      </w:r>
      <w:bookmarkEnd w:id="1158"/>
      <w:r>
        <w:rPr>
          <w:color w:val="000000"/>
          <w:spacing w:val="0"/>
          <w:w w:val="100"/>
          <w:position w:val="0"/>
        </w:rPr>
        <w:t>、其他应收款</w:t>
      </w:r>
      <w:bookmarkEnd w:id="1156"/>
      <w:bookmarkEnd w:id="1157"/>
      <w:bookmarkEnd w:id="11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26,379,518.17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32270,641.26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35,984,518.17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41,875,641.26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60"/>
      <w:bookmarkEnd w:id="1161"/>
      <w:bookmarkEnd w:id="1163"/>
    </w:p>
    <w:p>
      <w:pPr>
        <w:pStyle w:val="Style58"/>
        <w:keepNext/>
        <w:keepLines/>
        <w:widowControl w:val="0"/>
        <w:shd w:val="clear" w:color="auto" w:fill="auto"/>
        <w:bidi w:val="0"/>
        <w:spacing w:before="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color w:val="000000"/>
          <w:spacing w:val="0"/>
          <w:w w:val="100"/>
          <w:position w:val="0"/>
        </w:rPr>
        <w:t>）应收利息分类</w:t>
      </w:r>
      <w:bookmarkEnd w:id="1164"/>
      <w:bookmarkEnd w:id="1165"/>
      <w:bookmarkEnd w:id="11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color w:val="000000"/>
          <w:spacing w:val="0"/>
          <w:w w:val="100"/>
          <w:position w:val="0"/>
        </w:rPr>
        <w:t>）重要逾期利息</w:t>
      </w:r>
      <w:bookmarkEnd w:id="1168"/>
      <w:bookmarkEnd w:id="1169"/>
      <w:bookmarkEnd w:id="1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8"/>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color w:val="000000"/>
          <w:spacing w:val="0"/>
          <w:w w:val="100"/>
          <w:position w:val="0"/>
        </w:rPr>
        <w:t>）坏账准备计提情况</w:t>
      </w:r>
      <w:bookmarkEnd w:id="1172"/>
      <w:bookmarkEnd w:id="1173"/>
      <w:bookmarkEnd w:id="1175"/>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76"/>
      <w:bookmarkEnd w:id="1177"/>
      <w:bookmarkEnd w:id="1179"/>
    </w:p>
    <w:p>
      <w:pPr>
        <w:pStyle w:val="Style58"/>
        <w:keepNext/>
        <w:keepLines/>
        <w:widowControl w:val="0"/>
        <w:shd w:val="clear" w:color="auto" w:fill="auto"/>
        <w:bidi w:val="0"/>
        <w:spacing w:before="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color w:val="000000"/>
          <w:spacing w:val="0"/>
          <w:w w:val="100"/>
          <w:position w:val="0"/>
        </w:rPr>
        <w:t>）应收股利分类</w:t>
      </w:r>
      <w:bookmarkEnd w:id="1180"/>
      <w:bookmarkEnd w:id="1181"/>
      <w:bookmarkEnd w:id="1183"/>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9,605,000.00</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4"/>
      <w:bookmarkEnd w:id="1185"/>
      <w:bookmarkEnd w:id="118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被投资单位尚未支付股 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否，公司正常经营</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8"/>
        <w:keepNext/>
        <w:keepLines/>
        <w:widowControl w:val="0"/>
        <w:shd w:val="clear" w:color="auto" w:fill="auto"/>
        <w:bidi w:val="0"/>
        <w:spacing w:before="0" w:after="32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color w:val="000000"/>
          <w:spacing w:val="0"/>
          <w:w w:val="100"/>
          <w:position w:val="0"/>
        </w:rPr>
        <w:t>）坏账准备计提情况</w:t>
      </w:r>
      <w:bookmarkEnd w:id="1188"/>
      <w:bookmarkEnd w:id="1189"/>
      <w:bookmarkEnd w:id="1191"/>
    </w:p>
    <w:p>
      <w:pPr>
        <w:pStyle w:val="Style21"/>
        <w:keepNext w:val="0"/>
        <w:keepLines w:val="0"/>
        <w:widowControl w:val="0"/>
        <w:shd w:val="clear" w:color="auto" w:fill="auto"/>
        <w:bidi w:val="0"/>
        <w:spacing w:before="0" w:after="380" w:line="30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36"/>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2"/>
      <w:bookmarkEnd w:id="1193"/>
      <w:bookmarkEnd w:id="1195"/>
    </w:p>
    <w:p>
      <w:pPr>
        <w:pStyle w:val="Style58"/>
        <w:keepNext/>
        <w:keepLines/>
        <w:widowControl w:val="0"/>
        <w:shd w:val="clear" w:color="auto" w:fill="auto"/>
        <w:bidi w:val="0"/>
        <w:spacing w:before="0" w:after="32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）其他应收款按款项性质分类情况</w:t>
      </w:r>
      <w:bookmarkEnd w:id="1196"/>
      <w:bookmarkEnd w:id="1197"/>
      <w:bookmarkEnd w:id="11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25,880,939.66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33,310,365.53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7,870,357.55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4,632,161.28</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45,812,884.36</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）坏账准备计提情况</w:t>
      </w:r>
      <w:bookmarkEnd w:id="1200"/>
      <w:bookmarkEnd w:id="1201"/>
      <w:bookmarkEnd w:id="12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51"/>
        <w:gridCol w:w="2102"/>
        <w:gridCol w:w="2098"/>
        <w:gridCol w:w="180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13,542243.10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13,542,243.10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701,879.16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1,598,059.62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1,598,059.62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25,574.90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12,620,487.74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12,620,487.74</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13,083,950.43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7,181,517.28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2,834,251.22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15,900286.98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7,155,129.14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4,770,086.09</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3,975,071.75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39,000,005.91</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）本期计提、收回或转回的坏账准备情况</w:t>
      </w:r>
      <w:bookmarkEnd w:id="1204"/>
      <w:bookmarkEnd w:id="1205"/>
      <w:bookmarkEnd w:id="120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9"/>
        <w:gridCol w:w="1205"/>
        <w:gridCol w:w="1301"/>
        <w:gridCol w:w="1094"/>
        <w:gridCol w:w="1733"/>
        <w:gridCol w:w="173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）本期实际核销的其他应收款情况</w:t>
      </w:r>
      <w:bookmarkEnd w:id="1208"/>
      <w:bookmarkEnd w:id="1209"/>
      <w:bookmarkEnd w:id="12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550"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12" w:name="bookmark121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12"/>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郑州市金水区杨金 产业园区管委会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中华人民共和国昆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明海关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104,900.00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2,375,590.00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603,344.14</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南平市财政局国库 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172,036.55</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信阳职业技术学院 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606,336.63</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浙江省环境监测中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562,947.63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10,895,674.00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2,944,664.95</w:t>
            </w:r>
          </w:p>
        </w:tc>
      </w:tr>
    </w:tbl>
    <w:p>
      <w:pPr>
        <w:widowControl w:val="0"/>
        <w:spacing w:after="339" w:line="1" w:lineRule="exact"/>
      </w:pPr>
    </w:p>
    <w:p>
      <w:pPr>
        <w:pStyle w:val="Style58"/>
        <w:keepNext/>
        <w:keepLines/>
        <w:widowControl w:val="0"/>
        <w:shd w:val="clear" w:color="auto" w:fill="auto"/>
        <w:bidi w:val="0"/>
        <w:spacing w:before="0" w:after="40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6</w:t>
      </w:r>
      <w:bookmarkEnd w:id="1215"/>
      <w:r>
        <w:rPr>
          <w:color w:val="000000"/>
          <w:spacing w:val="0"/>
          <w:w w:val="100"/>
          <w:position w:val="0"/>
        </w:rPr>
        <w:t>）涉及政府补助的应收款项</w:t>
      </w:r>
      <w:bookmarkEnd w:id="1213"/>
      <w:bookmarkEnd w:id="1214"/>
      <w:bookmarkEnd w:id="12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6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8"/>
        <w:keepNext/>
        <w:keepLines/>
        <w:widowControl w:val="0"/>
        <w:shd w:val="clear" w:color="auto" w:fill="auto"/>
        <w:tabs>
          <w:tab w:pos="382" w:val="left"/>
        </w:tabs>
        <w:bidi w:val="0"/>
        <w:spacing w:before="0" w:after="40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7</w:t>
      </w:r>
      <w:bookmarkEnd w:id="1219"/>
      <w:r>
        <w:rPr>
          <w:color w:val="000000"/>
          <w:spacing w:val="0"/>
          <w:w w:val="100"/>
          <w:position w:val="0"/>
        </w:rPr>
        <w:t>）</w:t>
        <w:tab/>
        <w:t>因金融资产转移而终止确认的其他应收款</w:t>
      </w:r>
      <w:bookmarkEnd w:id="1217"/>
      <w:bookmarkEnd w:id="1218"/>
      <w:bookmarkEnd w:id="1220"/>
    </w:p>
    <w:p>
      <w:pPr>
        <w:pStyle w:val="Style58"/>
        <w:keepNext/>
        <w:keepLines/>
        <w:widowControl w:val="0"/>
        <w:shd w:val="clear" w:color="auto" w:fill="auto"/>
        <w:tabs>
          <w:tab w:pos="387" w:val="left"/>
        </w:tabs>
        <w:bidi w:val="0"/>
        <w:spacing w:before="0" w:after="40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8</w:t>
      </w:r>
      <w:bookmarkEnd w:id="1223"/>
      <w:r>
        <w:rPr>
          <w:color w:val="000000"/>
          <w:spacing w:val="0"/>
          <w:w w:val="100"/>
          <w:position w:val="0"/>
        </w:rPr>
        <w:t>）</w:t>
        <w:tab/>
        <w:t>转移其他应收款且继续涉入形成的资产、负债金额</w:t>
      </w:r>
      <w:bookmarkEnd w:id="1221"/>
      <w:bookmarkEnd w:id="1222"/>
      <w:bookmarkEnd w:id="1224"/>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2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9</w:t>
      </w:r>
      <w:bookmarkEnd w:id="1227"/>
      <w:r>
        <w:rPr>
          <w:color w:val="000000"/>
          <w:spacing w:val="0"/>
          <w:w w:val="100"/>
          <w:position w:val="0"/>
        </w:rPr>
        <w:t>、存货</w:t>
      </w:r>
      <w:bookmarkEnd w:id="1225"/>
      <w:bookmarkEnd w:id="1226"/>
      <w:bookmarkEnd w:id="1228"/>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公司是否需要遵守房地产行业的披露要求 否</w:t>
      </w:r>
    </w:p>
    <w:p>
      <w:pPr>
        <w:pStyle w:val="Style36"/>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9"/>
      <w:bookmarkEnd w:id="1230"/>
      <w:bookmarkEnd w:id="12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2,829,237.41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1,869,805.10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9,448,662.54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8,506,185.98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44,523,505.37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44,523,505.37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44,895,060.</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44,895,060.</w:t>
            </w:r>
            <w:r>
              <w:rPr>
                <w:rFonts w:ascii="Times New Roman" w:eastAsia="Times New Roman" w:hAnsi="Times New Roman" w:cs="Times New Roman"/>
                <w:color w:val="000000"/>
                <w:spacing w:val="0"/>
                <w:w w:val="100"/>
                <w:position w:val="0"/>
                <w:sz w:val="18"/>
                <w:szCs w:val="18"/>
              </w:rPr>
              <w:t>12</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203,817,913.67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203,083,821.53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144,847,943.36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144,303,248.34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212,479,824.55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212,479,824.55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233,599,903.27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233,599,903.27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692,297,419.50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692,297,419.50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646,833,274.07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646,833,274.07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1,155,947,900.50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1,154,254,376.05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1,079,624,843.36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1,487,171.58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1,078,137,671.78</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233" w:name="bookmark1233"/>
      <w:bookmarkStart w:id="1234" w:name="bookmark1234"/>
      <w:bookmarkStart w:id="1235" w:name="bookmark1235"/>
      <w:bookmarkStart w:id="1236" w:name="bookmark1236"/>
      <w:r>
        <w:rPr>
          <w:color w:val="000000"/>
          <w:spacing w:val="0"/>
          <w:w w:val="100"/>
          <w:position w:val="0"/>
        </w:rPr>
        <w:t>⑵</w:t>
      </w:r>
      <w:bookmarkEnd w:id="1235"/>
      <w:r>
        <w:rPr>
          <w:color w:val="000000"/>
          <w:spacing w:val="0"/>
          <w:w w:val="100"/>
          <w:position w:val="0"/>
        </w:rPr>
        <w:t>存货跌价准备和合同履约成本减值准备</w:t>
      </w:r>
      <w:bookmarkEnd w:id="1233"/>
      <w:bookmarkEnd w:id="1234"/>
      <w:bookmarkEnd w:id="12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942,476.56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959,432.31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544,695.02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189,397.12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734,092.14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1,487,171.58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209,915.23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1,693,524.45</w:t>
            </w:r>
          </w:p>
        </w:tc>
      </w:tr>
    </w:tbl>
    <w:p>
      <w:pPr>
        <w:widowControl w:val="0"/>
        <w:spacing w:after="359" w:line="1" w:lineRule="exact"/>
      </w:pPr>
    </w:p>
    <w:p>
      <w:pPr>
        <w:pStyle w:val="Style36"/>
        <w:keepNext/>
        <w:keepLines/>
        <w:widowControl w:val="0"/>
        <w:shd w:val="clear" w:color="auto" w:fill="auto"/>
        <w:tabs>
          <w:tab w:pos="483" w:val="left"/>
        </w:tabs>
        <w:bidi w:val="0"/>
        <w:spacing w:before="0" w:after="40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7"/>
      <w:bookmarkEnd w:id="1238"/>
      <w:bookmarkEnd w:id="1240"/>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83"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41"/>
      <w:bookmarkEnd w:id="1242"/>
      <w:bookmarkEnd w:id="1244"/>
    </w:p>
    <w:p>
      <w:pPr>
        <w:pStyle w:val="Style32"/>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5"/>
      <w:bookmarkEnd w:id="1246"/>
      <w:bookmarkEnd w:id="1248"/>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146"/>
        <w:gridCol w:w="1190"/>
        <w:gridCol w:w="1334"/>
        <w:gridCol w:w="1200"/>
        <w:gridCol w:w="1190"/>
        <w:gridCol w:w="1200"/>
        <w:gridCol w:w="13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应收政府部门、事业单位客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13,321217.32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2,975,227.65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10,345,989.67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7,180,587.59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1,123,183.16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6,057,404.43</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6,463,506.64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4,447,313.74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4,025,014.40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1,516,167.61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2,508,846.79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19,784,723.96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4,991,420.55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14,793,303.41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11,205,601.99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2,639,350.77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8,566,251.22</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合同资产的账面价值在本期内发生的重大变动金额和原因:</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19"/>
        <w:gridCol w:w="4949"/>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如是按照预期信用损失一般彳</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莫型计提合同资产坏账准备，请参照其他应收款的披露方式披露坏账准备的相关信息：</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应收政府部门、事业单 位客户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1,852,044.49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2,352,069.78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49"/>
      <w:bookmarkEnd w:id="1250"/>
      <w:bookmarkEnd w:id="12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3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53"/>
      <w:bookmarkEnd w:id="1254"/>
      <w:bookmarkEnd w:id="12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57"/>
      <w:bookmarkEnd w:id="1258"/>
      <w:bookmarkEnd w:id="126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29,409,738.99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18,462268.99</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7,744,330.48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850,172.46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41,308,916.98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45,165,455.52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多交或预缴的增值税额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1,896,082.64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107,642.60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80,569 222.89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64,585,539.57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61"/>
      <w:bookmarkEnd w:id="1262"/>
      <w:bookmarkEnd w:id="1264"/>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8"/>
        <w:gridCol w:w="1368"/>
        <w:gridCol w:w="1363"/>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950"/>
        <w:gridCol w:w="955"/>
        <w:gridCol w:w="960"/>
        <w:gridCol w:w="960"/>
        <w:gridCol w:w="955"/>
        <w:gridCol w:w="955"/>
        <w:gridCol w:w="965"/>
        <w:gridCol w:w="9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三年期大额存单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公司账面的债权投资为三年期大额存单，预期信用损失风险极小，无需计提坏账准备。</w:t>
      </w:r>
    </w:p>
    <w:p>
      <w:pPr>
        <w:pStyle w:val="Style32"/>
        <w:keepNext/>
        <w:keepLines/>
        <w:widowControl w:val="0"/>
        <w:shd w:val="clear" w:color="auto" w:fill="auto"/>
        <w:bidi w:val="0"/>
        <w:spacing w:before="0" w:after="40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65"/>
      <w:bookmarkEnd w:id="1266"/>
      <w:bookmarkEnd w:id="12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027"/>
        <w:gridCol w:w="1042"/>
        <w:gridCol w:w="1037"/>
        <w:gridCol w:w="1032"/>
        <w:gridCol w:w="1042"/>
        <w:gridCol w:w="1027"/>
        <w:gridCol w:w="1032"/>
        <w:gridCol w:w="1056"/>
      </w:tblGrid>
      <w:tr>
        <w:trPr>
          <w:trHeight w:val="12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69"/>
      <w:bookmarkEnd w:id="1270"/>
      <w:bookmarkEnd w:id="1272"/>
    </w:p>
    <w:p>
      <w:pPr>
        <w:pStyle w:val="Style36"/>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3"/>
      <w:bookmarkEnd w:id="1274"/>
      <w:bookmarkEnd w:id="12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66"/>
        <w:gridCol w:w="1157"/>
        <w:gridCol w:w="1181"/>
        <w:gridCol w:w="1162"/>
        <w:gridCol w:w="1166"/>
        <w:gridCol w:w="1162"/>
        <w:gridCol w:w="117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36"/>
        <w:keepNext/>
        <w:keepLines/>
        <w:widowControl w:val="0"/>
        <w:shd w:val="clear" w:color="auto" w:fill="auto"/>
        <w:tabs>
          <w:tab w:pos="483" w:val="left"/>
        </w:tabs>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7"/>
      <w:bookmarkEnd w:id="1278"/>
      <w:bookmarkEnd w:id="1280"/>
    </w:p>
    <w:p>
      <w:pPr>
        <w:pStyle w:val="Style36"/>
        <w:keepNext/>
        <w:keepLines/>
        <w:widowControl w:val="0"/>
        <w:shd w:val="clear" w:color="auto" w:fill="auto"/>
        <w:tabs>
          <w:tab w:pos="483" w:val="left"/>
        </w:tabs>
        <w:bidi w:val="0"/>
        <w:spacing w:before="0" w:after="38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1"/>
      <w:bookmarkEnd w:id="1282"/>
      <w:bookmarkEnd w:id="1284"/>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5"/>
      <w:bookmarkEnd w:id="1286"/>
      <w:bookmarkEnd w:id="1288"/>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福建亿榕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87,530,05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92,46723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福建文鑫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莲业有限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25,670,42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25,131,69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建宁县日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升投资有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福建闽光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2,832,855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124,234,0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7,231,202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124,234,0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7,231,202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89"/>
      <w:bookmarkEnd w:id="1290"/>
      <w:bookmarkEnd w:id="12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厦门国际银行股份有限公司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98,761,462.93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86289,758.61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福水智联技术有限公司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深圳易股天下信息技术服务有限公司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110,761,462.93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98289,758.61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1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厦门国际银行股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8,409,659.09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智润科技有限公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福水智联技术有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深圳易股天下信 息技术服务有限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3"/>
      <w:bookmarkEnd w:id="1294"/>
      <w:bookmarkEnd w:id="12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97"/>
      <w:bookmarkEnd w:id="1298"/>
      <w:bookmarkEnd w:id="1300"/>
    </w:p>
    <w:p>
      <w:pPr>
        <w:pStyle w:val="Style36"/>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1"/>
      <w:bookmarkEnd w:id="1302"/>
      <w:bookmarkEnd w:id="1304"/>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86,648,026.27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86,648,026.27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26295,773.98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26 2 95,773.98</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26295,773.98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26 2 95,773.98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112,943,800.25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112,943,800.25</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12,690,547.11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12,690,547.11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6,281,358.03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6,281,358.03</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6,281,358.03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6,281,358.03</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18,971,905.14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18,971,905.14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93,971,895.11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93,971,895.11</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73,957,479.16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73,957,479.16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305" w:name="bookmark1305"/>
      <w:bookmarkStart w:id="1306" w:name="bookmark1306"/>
      <w:bookmarkStart w:id="1307" w:name="bookmark1307"/>
      <w:r>
        <w:rPr>
          <w:color w:val="000000"/>
          <w:spacing w:val="0"/>
          <w:w w:val="100"/>
          <w:position w:val="0"/>
        </w:rPr>
        <w:t>⑵采用公允价值计量模式的投资性房地产</w:t>
      </w:r>
      <w:bookmarkEnd w:id="1305"/>
      <w:bookmarkEnd w:id="1306"/>
      <w:bookmarkEnd w:id="130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08"/>
      <w:bookmarkEnd w:id="1309"/>
      <w:bookmarkEnd w:id="13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马鞍山智慧园项目一期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90,606,863.79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信阳榕基软件园项目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3,365,031.32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2"/>
      <w:bookmarkEnd w:id="1313"/>
      <w:bookmarkEnd w:id="13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17206,069.22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19,527,745.16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17,206,069.22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19,527,745.16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6"/>
      <w:bookmarkEnd w:id="1317"/>
      <w:bookmarkEnd w:id="1319"/>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6,021,598.88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18,570,046.40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40,331,742.10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5,929,575.27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70,852,962.65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595,557.52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1,843,157.79</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18,309.79</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）存货转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819,996.04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851,618.10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1,021,147.98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18,309.79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6,841,594.92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18,313,985.82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40,975,804.36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6,363,583.40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72,494,968.50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3,587,186.30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11,534,542.25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31,861,032.20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4,342,456.74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51,325217.49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2,402,226.77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4,658,422.53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16,283.01</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694,740.74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3,873,212.30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12299,777.32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34,129,652.57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4,986,257.09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55288,899.28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2,968,382.62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6,014,208.50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6,846,151.79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1,377,326.31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17206,069.22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2,434,412.58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7,035,504.15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8,470,709.90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1,587,118.53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19,527,745.16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328" w:name="bookmark1328"/>
      <w:bookmarkStart w:id="1329" w:name="bookmark1329"/>
      <w:bookmarkStart w:id="1330" w:name="bookmark1330"/>
      <w:bookmarkStart w:id="1331" w:name="bookmark1331"/>
      <w:r>
        <w:rPr>
          <w:color w:val="000000"/>
          <w:spacing w:val="0"/>
          <w:w w:val="100"/>
          <w:position w:val="0"/>
        </w:rPr>
        <w:t>⑷</w:t>
      </w:r>
      <w:bookmarkEnd w:id="1330"/>
      <w:r>
        <w:rPr>
          <w:color w:val="000000"/>
          <w:spacing w:val="0"/>
          <w:w w:val="100"/>
          <w:position w:val="0"/>
        </w:rPr>
        <w:t>未办妥产权证书的固定资产情况</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马鞍山智慧园项目一期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2,605,258.70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32"/>
      <w:bookmarkEnd w:id="1333"/>
      <w:bookmarkEnd w:id="13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36"/>
      <w:bookmarkEnd w:id="1337"/>
      <w:bookmarkEnd w:id="13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393,812,377.40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393,812,377.40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40"/>
      <w:bookmarkEnd w:id="1341"/>
      <w:bookmarkEnd w:id="13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306,515,091.27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306,515,091.27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279,136,355.99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279,136,355.99</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软件及服务外包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121,883,617.66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121,883,617.66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114,676,021.41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114,676,021.41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428,398,708.93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393,812,377.40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393,812,377.40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4"/>
        <w:gridCol w:w="734"/>
        <w:gridCol w:w="739"/>
        <w:gridCol w:w="734"/>
        <w:gridCol w:w="730"/>
        <w:gridCol w:w="749"/>
        <w:gridCol w:w="739"/>
      </w:tblGrid>
      <w:tr>
        <w:trPr>
          <w:trHeight w:val="12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基软件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417,067,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279,136,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27,378,7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306,515,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建设过 程中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软件及 服务外 包产业 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114,676,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121,883,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建设过 程中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707,067,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393,812,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34,586,3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428,398,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708.93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48"/>
      <w:bookmarkEnd w:id="1349"/>
      <w:bookmarkEnd w:id="13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52"/>
      <w:bookmarkEnd w:id="1353"/>
      <w:bookmarkEnd w:id="13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3854"/>
        <w:gridCol w:w="3581"/>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55"/>
        <w:gridCol w:w="1310"/>
        <w:gridCol w:w="1334"/>
        <w:gridCol w:w="1210"/>
        <w:gridCol w:w="1181"/>
        <w:gridCol w:w="1200"/>
        <w:gridCol w:w="1200"/>
      </w:tblGrid>
      <w:tr>
        <w:trPr>
          <w:trHeight w:val="34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78"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6"/>
      <w:bookmarkEnd w:id="1357"/>
      <w:bookmarkEnd w:id="1359"/>
    </w:p>
    <w:p>
      <w:pPr>
        <w:pStyle w:val="Style36"/>
        <w:keepNext/>
        <w:keepLines/>
        <w:widowControl w:val="0"/>
        <w:shd w:val="clear" w:color="auto" w:fill="auto"/>
        <w:tabs>
          <w:tab w:pos="48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60"/>
      <w:bookmarkEnd w:id="1361"/>
      <w:bookmarkEnd w:id="136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4"/>
      <w:bookmarkEnd w:id="1365"/>
      <w:bookmarkEnd w:id="1367"/>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8"/>
      <w:bookmarkEnd w:id="1369"/>
      <w:bookmarkEnd w:id="137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2"/>
      <w:bookmarkEnd w:id="1373"/>
      <w:bookmarkEnd w:id="13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813,276.17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16285,610.47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16285,610.47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4,936,805.42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4,936,805.42</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4,936,805.42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4,936,805.42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11,348,805.05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11,348,805.05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15,472,334.30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15,472,334.30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1"/>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日，本公司确认与短期租赁和低价值资产租赁相关的租赁费用见附注十四、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6"/>
      <w:bookmarkEnd w:id="1377"/>
      <w:bookmarkEnd w:id="1379"/>
    </w:p>
    <w:p>
      <w:pPr>
        <w:pStyle w:val="Style36"/>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0"/>
      <w:bookmarkEnd w:id="1381"/>
      <w:bookmarkEnd w:id="13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计算机软件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自行开发软件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93,970,020.10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37,839,553.28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279,975,296.80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411,784,870.18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29,126.22</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56269,875.80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56269,875.80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93,970,020.10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37,868,679.50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336,245,172.60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468,083,872.20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10,372,602.76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27,129,955.68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229,206,822.46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266,709,380.90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40,472257.21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45,692,089.70</w:t>
            </w: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12257,977.92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30,464,413.01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269,679,079.67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312,401,470.60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81,712,042.18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7,404,266.49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66,566,092.93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155,682,401.60</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83,597,417.34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10,709,597.60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50,768,474.34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145,075,489.28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71.83%</w:t>
      </w:r>
      <w:r>
        <w:rPr>
          <w:color w:val="000000"/>
          <w:spacing w:val="0"/>
          <w:w w:val="100"/>
          <w:position w:val="0"/>
        </w:rPr>
        <w:t>。</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4"/>
      <w:bookmarkEnd w:id="1385"/>
      <w:bookmarkEnd w:id="13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35"/>
        </w:numPr>
        <w:shd w:val="clear" w:color="auto" w:fill="auto"/>
        <w:tabs>
          <w:tab w:pos="187" w:val="left"/>
        </w:tabs>
        <w:bidi w:val="0"/>
        <w:spacing w:before="0" w:after="0" w:line="240" w:lineRule="auto"/>
        <w:ind w:left="0" w:right="0" w:firstLine="0"/>
        <w:jc w:val="left"/>
      </w:pPr>
      <w:r>
        <w:rPr>
          <w:color w:val="000000"/>
          <w:spacing w:val="0"/>
          <w:w w:val="100"/>
          <w:position w:val="0"/>
        </w:rPr>
        <w:t>期末，本公司无抵押、担保或未办妥产权证书的土地使用权。</w:t>
      </w:r>
    </w:p>
    <w:p>
      <w:pPr>
        <w:widowControl w:val="0"/>
        <w:spacing w:after="119" w:line="1" w:lineRule="exact"/>
      </w:pPr>
    </w:p>
    <w:p>
      <w:pPr>
        <w:pStyle w:val="Style21"/>
        <w:keepNext w:val="0"/>
        <w:keepLines w:val="0"/>
        <w:widowControl w:val="0"/>
        <w:numPr>
          <w:ilvl w:val="0"/>
          <w:numId w:val="37"/>
        </w:numPr>
        <w:shd w:val="clear" w:color="auto" w:fill="auto"/>
        <w:tabs>
          <w:tab w:pos="373" w:val="left"/>
        </w:tabs>
        <w:bidi w:val="0"/>
        <w:spacing w:before="0" w:after="380" w:line="240" w:lineRule="auto"/>
        <w:ind w:left="0" w:right="0" w:firstLine="0"/>
        <w:jc w:val="left"/>
      </w:pPr>
      <w:bookmarkStart w:id="1388" w:name="bookmark1388"/>
      <w:bookmarkEnd w:id="1388"/>
      <w:r>
        <w:rPr>
          <w:color w:val="000000"/>
          <w:spacing w:val="0"/>
          <w:w w:val="100"/>
          <w:position w:val="0"/>
        </w:rPr>
        <w:t>期末无形资产不存在减值情形。</w:t>
      </w:r>
    </w:p>
    <w:p>
      <w:pPr>
        <w:pStyle w:val="Style32"/>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9"/>
      <w:bookmarkEnd w:id="1390"/>
      <w:bookmarkEnd w:id="1392"/>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70"/>
        <w:gridCol w:w="1056"/>
        <w:gridCol w:w="926"/>
        <w:gridCol w:w="121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政务内部事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项联合审批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4,652,467.05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1,407,157.84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便民服务大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数据研判系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4,631,850.95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1,969,992.65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移动会议智 能一体化平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3,255,832.47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1,390,362.19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4,646,194.66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榕基微商城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3,206,238.66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1,919,766.15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5,126,004.81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外贸智能证 单自助打印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3,130,979.78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39,658.27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w:t>
            </w:r>
            <w:r>
              <w:rPr>
                <w:rFonts w:ascii="Times New Roman" w:eastAsia="Times New Roman" w:hAnsi="Times New Roman" w:cs="Times New Roman"/>
                <w:color w:val="000000"/>
                <w:spacing w:val="0"/>
                <w:w w:val="100"/>
                <w:position w:val="0"/>
                <w:sz w:val="18"/>
                <w:szCs w:val="18"/>
              </w:rPr>
              <w:t>CEO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2,996,656.32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2,108,012.01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5,104,668.33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926"/>
        <w:gridCol w:w="121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驾驶舱平台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智慧法院智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能审判业务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2,804,178.17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1,553,425.25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4,357,603.42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离退休老干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部服务管理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2,542,110.51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1,035,792.01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3,577,902.52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榕基电子公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文归档一体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2,334,803.29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961,142.58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3,295,945.87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榕基政务数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据共享利用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2,222,848.65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1,367,165.22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3,590,013.87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就业促进服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2,153,183.04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1,022,820.41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3,176,003.45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繁简分流和 速裁办案平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2,084,725.51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817,455.12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2,902,180.63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新一代智慧 政务大数据 基础服务平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10,598,822.3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10,598,822.36</w:t>
            </w:r>
          </w:p>
        </w:tc>
      </w:tr>
      <w:tr>
        <w:trPr>
          <w:trHeight w:val="9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榕基视频专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网安全管理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2,168,167.37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2,168,167.37</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立案风险自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动提醒拦截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2,148,151.58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2,148,151.58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榕基云打印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2,017,375.58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2,017,375.58</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信息化项目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1,269,019.74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1,269,019.74</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榕基安全可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靠一体化会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1,156,700.65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1,156,700.65</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榕基安全可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靠一体化数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字档案平台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2,291,466.74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2,291,466.74</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廉政谈话系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1,266,494.56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1,266,494.56</w:t>
            </w: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无纸化干部 任免上会系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620,032.77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620,032.77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榕基技术能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9,147,752.06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9,147,752.06</w:t>
            </w:r>
          </w:p>
        </w:tc>
      </w:tr>
    </w:tbl>
    <w:p>
      <w:pPr>
        <w:widowControl w:val="0"/>
        <w:spacing w:line="1" w:lineRule="exact"/>
      </w:pPr>
      <w:r>
        <w:br w:type="page"/>
      </w:r>
    </w:p>
    <w:tbl>
      <w:tblPr>
        <w:tblOverlap w:val="never"/>
        <w:jc w:val="center"/>
        <w:tblLayout w:type="fixed"/>
      </w:tblPr>
      <w:tblGrid>
        <w:gridCol w:w="1070"/>
        <w:gridCol w:w="1066"/>
        <w:gridCol w:w="1066"/>
        <w:gridCol w:w="1061"/>
        <w:gridCol w:w="1066"/>
        <w:gridCol w:w="1070"/>
        <w:gridCol w:w="1056"/>
        <w:gridCol w:w="926"/>
        <w:gridCol w:w="121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力支撑服务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榕基疫情防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控管理系统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榕基因私出 入境审批系 统软件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1,607,634.23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1,607,634.23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榕基领导批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示审批系统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1,782,071.46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1,782,071.46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36,015,874.4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52,937,984.8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56 269,875.8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32,683,983.41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tbl>
      <w:tblPr>
        <w:tblOverlap w:val="never"/>
        <w:jc w:val="center"/>
        <w:tblLayout w:type="fixed"/>
      </w:tblPr>
      <w:tblGrid>
        <w:gridCol w:w="2986"/>
        <w:gridCol w:w="1997"/>
        <w:gridCol w:w="2400"/>
        <w:gridCol w:w="2280"/>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资本化的具体依据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截至期末的研发进度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政务内部事项联合审批系统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便民服务大数据研判系统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移动会议智能一体化平台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榕基微商城销售平台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外贸智能证单自助打印平台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驾驶舱平台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智慧法院智能审判业务系统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离退休老干部服务管理系统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榕基电子公文归档一体化平台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榕基政务数据共享利用平台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就业促进服务管理平台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繁简分流和速裁办案平台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新一代智慧政务大数据基础服务平台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榕基视频专网安全管理系统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立案风险自动提醒拦截系统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榕基云打印服务平台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信息化项目管理系统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榕基安全可靠一体化会议管理系统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榕基安全可靠一体化数字档案平台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廉政谈话系统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无纸化干部任免上会系统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榕基技术能力支撑服务平台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在研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榕基疫情防控管理系统软件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榕基因私出入境审批系统软件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榕基领导批示审批系统软件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研发节点报告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已完工</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93"/>
      <w:bookmarkEnd w:id="1394"/>
      <w:bookmarkEnd w:id="1395"/>
    </w:p>
    <w:p>
      <w:pPr>
        <w:pStyle w:val="Style36"/>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6"/>
      <w:bookmarkEnd w:id="1397"/>
      <w:bookmarkEnd w:id="13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68"/>
        <w:gridCol w:w="136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0"/>
      <w:bookmarkEnd w:id="1401"/>
      <w:bookmarkEnd w:id="14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68"/>
        <w:gridCol w:w="1368"/>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等）及商誉减值损失的确认方法：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商誉减值测试的影响</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4"/>
      <w:bookmarkEnd w:id="1405"/>
      <w:bookmarkEnd w:id="140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951,685.86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2,200,623.86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951,685.86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8"/>
      <w:bookmarkEnd w:id="1409"/>
      <w:bookmarkEnd w:id="1411"/>
    </w:p>
    <w:p>
      <w:pPr>
        <w:pStyle w:val="Style36"/>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12"/>
      <w:bookmarkEnd w:id="1413"/>
      <w:bookmarkEnd w:id="1415"/>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57,075,380.44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9,101,890.17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48,558,368.02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7,895,597.29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10,960273.47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2,318,385.78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12,095,174.73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2,522,296.17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42219,468.60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9,185,257.86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50,918,013.55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11,636,170.70</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2,134,848.48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320,227.27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112,389,970.99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20,925,761.08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111,779,889.63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22,085,314.16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6"/>
      <w:bookmarkEnd w:id="1417"/>
      <w:bookmarkEnd w:id="14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计入其他综合收益的其 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55,361,462.93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42,889,758.61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55,361,462.93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42,889,758.61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20"/>
      <w:bookmarkEnd w:id="1421"/>
      <w:bookmarkEnd w:id="14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6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20,925,761.08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22,085,314.16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8,304,219.44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6,433,463.79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24"/>
      <w:bookmarkEnd w:id="1425"/>
      <w:bookmarkEnd w:id="14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1,138,657.04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65,766,717.83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74,415,939.80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66,144,996.02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75,554,596.84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428" w:name="bookmark1428"/>
      <w:bookmarkStart w:id="1429" w:name="bookmark1429"/>
      <w:bookmarkStart w:id="1430" w:name="bookmark1430"/>
      <w:r>
        <w:rPr>
          <w:color w:val="000000"/>
          <w:spacing w:val="0"/>
          <w:w w:val="100"/>
          <w:position w:val="0"/>
        </w:rPr>
        <w:t>⑸未确认递延所得税资产的可抵扣亏损将于以下年度到期</w:t>
      </w:r>
      <w:bookmarkEnd w:id="1428"/>
      <w:bookmarkEnd w:id="1429"/>
      <w:bookmarkEnd w:id="14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10,945,441.45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6,672,583.52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3,720,200.29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19,756210.95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20,572,779.24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23,248,357.49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23,093,754.69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8,916,625.43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16,083,764.13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7,172,940.44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65,766,717.83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74,415,939.80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1"/>
      <w:bookmarkEnd w:id="1432"/>
      <w:bookmarkEnd w:id="1434"/>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16,695,054.6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3,875,436.38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12,819,618.2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17,776,648.3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7,850,191.13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7,850,191.13</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18,627,899.4</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3,875,436.38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14,752,463.0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27,924,787.5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25,626,839.5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5"/>
      <w:bookmarkEnd w:id="1436"/>
      <w:bookmarkEnd w:id="1438"/>
    </w:p>
    <w:p>
      <w:pPr>
        <w:pStyle w:val="Style36"/>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9"/>
      <w:bookmarkEnd w:id="1440"/>
      <w:bookmarkEnd w:id="14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529,510,645.20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520,509,887.50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569,510,645.20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570,509,887.50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36"/>
        <w:keepNext/>
        <w:keepLines/>
        <w:widowControl w:val="0"/>
        <w:shd w:val="clear" w:color="auto" w:fill="auto"/>
        <w:bidi w:val="0"/>
        <w:spacing w:before="0" w:after="42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43"/>
      <w:bookmarkEnd w:id="1444"/>
      <w:bookmarkEnd w:id="1446"/>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32"/>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7"/>
      <w:bookmarkEnd w:id="1448"/>
      <w:bookmarkEnd w:id="145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42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51"/>
      <w:bookmarkEnd w:id="1452"/>
      <w:bookmarkEnd w:id="14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55"/>
      <w:bookmarkEnd w:id="1456"/>
      <w:bookmarkEnd w:id="14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19,619,520.00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6,536,970.00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9"/>
      <w:bookmarkEnd w:id="1460"/>
      <w:bookmarkEnd w:id="1462"/>
    </w:p>
    <w:p>
      <w:pPr>
        <w:pStyle w:val="Style36"/>
        <w:keepNext/>
        <w:keepLines/>
        <w:widowControl w:val="0"/>
        <w:shd w:val="clear" w:color="auto" w:fill="auto"/>
        <w:bidi w:val="0"/>
        <w:spacing w:before="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3"/>
      <w:bookmarkEnd w:id="1464"/>
      <w:bookmarkEnd w:id="14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237,038,257.08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249,227,971.06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100,389,800.03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139,807,461.39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337,428,057.11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389,035,432.45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7"/>
      <w:bookmarkEnd w:id="1468"/>
      <w:bookmarkEnd w:id="14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57,454,399.27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北京睿至大数据有限公司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9,599,080.00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河南中天亿科电子科技有限公司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3,864,673.11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深圳市中航装饰设计工程有限公司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3,338,303.82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3,152,980.00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77,409,436.20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71"/>
      <w:bookmarkEnd w:id="1472"/>
      <w:bookmarkEnd w:id="1474"/>
    </w:p>
    <w:p>
      <w:pPr>
        <w:pStyle w:val="Style36"/>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75"/>
      <w:bookmarkEnd w:id="1476"/>
      <w:bookmarkEnd w:id="14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1,002,735.23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915,043.57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9"/>
      <w:bookmarkEnd w:id="1480"/>
      <w:bookmarkEnd w:id="14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83"/>
      <w:bookmarkEnd w:id="1484"/>
      <w:bookmarkEnd w:id="14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145,684,129.75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125,726,938.52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预收房产销售款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6,872,791.74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16,767,447.92</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减：计入其他非流动负债的合同负债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152,556,921.49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142,494,386.44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14"/>
        <w:gridCol w:w="4949"/>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7"/>
      <w:bookmarkEnd w:id="1488"/>
      <w:bookmarkEnd w:id="1490"/>
    </w:p>
    <w:p>
      <w:pPr>
        <w:pStyle w:val="Style36"/>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1"/>
      <w:bookmarkEnd w:id="1492"/>
      <w:bookmarkEnd w:id="14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21,626,884.82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133,368,251.22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132,568,599.55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22,426,536.49</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6,715,809.92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6,634,656.17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81,154.55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79,500.00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21,626,885.62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140,236,305.97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139,276,000.55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22,587,191.04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4"/>
      <w:bookmarkEnd w:id="1495"/>
      <w:bookmarkEnd w:id="14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21,115,449.06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118,679,418.61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117,761,024.72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22,033,842.95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3,832,544.03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3,832,544.03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4,040,583.35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47,644.30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3,670,929.37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43,824.18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5,498,440.88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5,456,989.04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41,451.84</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303,597.40</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37,716.27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21,626,884.82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133,368,251.22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132,568,599.55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22,426,536.49</w:t>
            </w:r>
          </w:p>
        </w:tc>
      </w:tr>
    </w:tbl>
    <w:p>
      <w:pPr>
        <w:widowControl w:val="0"/>
        <w:spacing w:after="319" w:line="1" w:lineRule="exact"/>
      </w:pPr>
    </w:p>
    <w:p>
      <w:pPr>
        <w:pStyle w:val="Style36"/>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98"/>
      <w:bookmarkEnd w:id="1499"/>
      <w:bookmarkEnd w:id="1501"/>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6,484,110.69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6,405,713.89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78,396.80</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2,757.75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6,715,809.92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6,634,656.17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81,154.55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2"/>
      <w:bookmarkEnd w:id="1503"/>
      <w:bookmarkEnd w:id="15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1,755,655.34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3,020,448.12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4,007,732.06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1,456,391.61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345,105.25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368,843.14</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56,578.76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69,289.62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46,850.32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55,125.44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2,737,909.91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985,508.32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87,748.71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500,832.16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365,831.57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464,949.72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570,250.17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381,969.25</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144,337.78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179,923.66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10,117,999.87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7,483,281.04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6"/>
      <w:bookmarkEnd w:id="1507"/>
      <w:bookmarkEnd w:id="15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28292253.73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28292253.73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10"/>
      <w:bookmarkEnd w:id="1511"/>
      <w:bookmarkEnd w:id="15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63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13"/>
      <w:bookmarkEnd w:id="1514"/>
      <w:bookmarkEnd w:id="15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numPr>
          <w:ilvl w:val="0"/>
          <w:numId w:val="39"/>
        </w:numPr>
        <w:shd w:val="clear" w:color="auto" w:fill="auto"/>
        <w:bidi w:val="0"/>
        <w:spacing w:before="0" w:after="400" w:line="240" w:lineRule="auto"/>
        <w:ind w:left="0" w:right="0" w:firstLine="0"/>
        <w:jc w:val="both"/>
      </w:pPr>
      <w:bookmarkStart w:id="1517" w:name="bookmark1517"/>
      <w:bookmarkStart w:id="1518" w:name="bookmark1518"/>
      <w:bookmarkStart w:id="1519" w:name="bookmark1519"/>
      <w:bookmarkStart w:id="1520" w:name="bookmark1520"/>
      <w:bookmarkEnd w:id="1519"/>
      <w:r>
        <w:rPr>
          <w:color w:val="000000"/>
          <w:spacing w:val="0"/>
          <w:w w:val="100"/>
          <w:position w:val="0"/>
        </w:rPr>
        <w:t>其他应付款</w:t>
      </w:r>
      <w:bookmarkEnd w:id="1517"/>
      <w:bookmarkEnd w:id="1518"/>
      <w:bookmarkEnd w:id="1520"/>
    </w:p>
    <w:p>
      <w:pPr>
        <w:pStyle w:val="Style58"/>
        <w:keepNext/>
        <w:keepLines/>
        <w:widowControl w:val="0"/>
        <w:numPr>
          <w:ilvl w:val="0"/>
          <w:numId w:val="41"/>
        </w:numPr>
        <w:shd w:val="clear" w:color="auto" w:fill="auto"/>
        <w:bidi w:val="0"/>
        <w:spacing w:before="0" w:after="360" w:line="240" w:lineRule="auto"/>
        <w:ind w:left="0" w:right="0" w:firstLine="0"/>
        <w:jc w:val="both"/>
      </w:pPr>
      <w:bookmarkStart w:id="1521" w:name="bookmark1521"/>
      <w:bookmarkStart w:id="1522" w:name="bookmark1522"/>
      <w:bookmarkStart w:id="1523" w:name="bookmark1523"/>
      <w:bookmarkStart w:id="1524" w:name="bookmark1524"/>
      <w:bookmarkEnd w:id="1523"/>
      <w:r>
        <w:rPr>
          <w:color w:val="000000"/>
          <w:spacing w:val="0"/>
          <w:w w:val="100"/>
          <w:position w:val="0"/>
        </w:rPr>
        <w:t>按款项性质列示其他应付款</w:t>
      </w:r>
      <w:bookmarkEnd w:id="1521"/>
      <w:bookmarkEnd w:id="1522"/>
      <w:bookmarkEnd w:id="15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8,551,706.64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9,555,735.38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15240,547.09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16,312,352.33</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28292253.73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30,368,087.71</w:t>
            </w:r>
          </w:p>
        </w:tc>
      </w:tr>
    </w:tbl>
    <w:p>
      <w:pPr>
        <w:widowControl w:val="0"/>
        <w:spacing w:after="359" w:line="1" w:lineRule="exact"/>
      </w:pPr>
    </w:p>
    <w:p>
      <w:pPr>
        <w:pStyle w:val="Style58"/>
        <w:keepNext/>
        <w:keepLines/>
        <w:widowControl w:val="0"/>
        <w:numPr>
          <w:ilvl w:val="0"/>
          <w:numId w:val="41"/>
        </w:numPr>
        <w:shd w:val="clear" w:color="auto" w:fill="auto"/>
        <w:bidi w:val="0"/>
        <w:spacing w:before="0" w:after="360" w:line="240" w:lineRule="auto"/>
        <w:ind w:left="0" w:right="0" w:firstLine="0"/>
        <w:jc w:val="both"/>
      </w:pPr>
      <w:bookmarkStart w:id="1525" w:name="bookmark1525"/>
      <w:bookmarkStart w:id="1526" w:name="bookmark1526"/>
      <w:bookmarkStart w:id="1527" w:name="bookmark1527"/>
      <w:bookmarkStart w:id="1528" w:name="bookmark1528"/>
      <w:bookmarkEnd w:id="152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5"/>
      <w:bookmarkEnd w:id="1526"/>
      <w:bookmarkEnd w:id="15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马鞍山市秀山投资有限公司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both"/>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29"/>
      <w:bookmarkEnd w:id="1530"/>
      <w:bookmarkEnd w:id="15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bidi w:val="0"/>
        <w:spacing w:before="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33"/>
      <w:bookmarkEnd w:id="1534"/>
      <w:bookmarkEnd w:id="1536"/>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4,507,112.98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37"/>
      <w:bookmarkEnd w:id="1538"/>
      <w:bookmarkEnd w:id="154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31,740,798.77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31,740,798.77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25,803,310.57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1"/>
      <w:bookmarkEnd w:id="1542"/>
      <w:bookmarkEnd w:id="1544"/>
    </w:p>
    <w:p>
      <w:pPr>
        <w:pStyle w:val="Style36"/>
        <w:keepNext/>
        <w:keepLines/>
        <w:widowControl w:val="0"/>
        <w:shd w:val="clear" w:color="auto" w:fill="auto"/>
        <w:bidi w:val="0"/>
        <w:spacing w:before="0" w:after="42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5"/>
      <w:bookmarkEnd w:id="1546"/>
      <w:bookmarkEnd w:id="15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419" w:line="1" w:lineRule="exact"/>
      </w:pPr>
    </w:p>
    <w:p>
      <w:pPr>
        <w:pStyle w:val="Style32"/>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48"/>
      <w:bookmarkEnd w:id="1549"/>
      <w:bookmarkEnd w:id="1551"/>
    </w:p>
    <w:p>
      <w:pPr>
        <w:pStyle w:val="Style36"/>
        <w:keepNext/>
        <w:keepLines/>
        <w:widowControl w:val="0"/>
        <w:shd w:val="clear" w:color="auto" w:fill="auto"/>
        <w:bidi w:val="0"/>
        <w:spacing w:before="0" w:after="42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52"/>
      <w:bookmarkEnd w:id="1553"/>
      <w:bookmarkEnd w:id="15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55"/>
      <w:bookmarkEnd w:id="1556"/>
      <w:bookmarkEnd w:id="1558"/>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559"/>
      <w:bookmarkEnd w:id="1560"/>
      <w:bookmarkEnd w:id="1562"/>
    </w:p>
    <w:p>
      <w:pPr>
        <w:pStyle w:val="Style36"/>
        <w:keepNext/>
        <w:keepLines/>
        <w:widowControl w:val="0"/>
        <w:shd w:val="clear" w:color="auto" w:fill="auto"/>
        <w:bidi w:val="0"/>
        <w:spacing w:before="0" w:after="42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563"/>
      <w:bookmarkEnd w:id="1564"/>
      <w:bookmarkEnd w:id="1566"/>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p>
      <w:pPr>
        <w:pStyle w:val="Style26"/>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其他金融工具划分为金融负债的依据说明 其他说明</w:t>
      </w:r>
      <w:r>
        <w:br w:type="page"/>
      </w:r>
    </w:p>
    <w:p>
      <w:pPr>
        <w:pStyle w:val="Style32"/>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67"/>
      <w:bookmarkEnd w:id="1568"/>
      <w:bookmarkEnd w:id="15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12292,808.67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16,621,726.26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-1,149,391.96</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-5,044,393.70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-4,507,112.98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6,650,873.02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10,965221.32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年计提的租赁负债利息费用金额为人民币</w:t>
      </w:r>
      <w:r>
        <w:rPr>
          <w:rFonts w:ascii="Times New Roman" w:eastAsia="Times New Roman" w:hAnsi="Times New Roman" w:cs="Times New Roman"/>
          <w:color w:val="000000"/>
          <w:spacing w:val="0"/>
          <w:w w:val="100"/>
          <w:position w:val="0"/>
          <w:sz w:val="18"/>
          <w:szCs w:val="18"/>
        </w:rPr>
        <w:t>61.00</w:t>
      </w:r>
      <w:r>
        <w:rPr>
          <w:color w:val="000000"/>
          <w:spacing w:val="0"/>
          <w:w w:val="100"/>
          <w:position w:val="0"/>
        </w:rPr>
        <w:t>万元，计入到财务费用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利息支出中。</w:t>
      </w:r>
    </w:p>
    <w:p>
      <w:pPr>
        <w:pStyle w:val="Style32"/>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1"/>
      <w:bookmarkEnd w:id="1572"/>
      <w:bookmarkEnd w:id="15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5"/>
      <w:bookmarkEnd w:id="1576"/>
      <w:bookmarkEnd w:id="157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78"/>
      <w:bookmarkEnd w:id="1579"/>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1"/>
      <w:bookmarkEnd w:id="1582"/>
      <w:bookmarkEnd w:id="1584"/>
    </w:p>
    <w:p>
      <w:pPr>
        <w:pStyle w:val="Style36"/>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5"/>
      <w:bookmarkEnd w:id="1586"/>
      <w:bookmarkEnd w:id="15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88"/>
      <w:bookmarkEnd w:id="1589"/>
      <w:bookmarkEnd w:id="1590"/>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1"/>
      <w:bookmarkEnd w:id="1592"/>
      <w:bookmarkEnd w:id="15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99" w:line="1" w:lineRule="exact"/>
      </w:pPr>
    </w:p>
    <w:p>
      <w:pPr>
        <w:pStyle w:val="Style32"/>
        <w:keepNext/>
        <w:keepLines/>
        <w:widowControl w:val="0"/>
        <w:shd w:val="clear" w:color="auto" w:fill="auto"/>
        <w:bidi w:val="0"/>
        <w:spacing w:before="0" w:after="40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95"/>
      <w:bookmarkEnd w:id="1596"/>
      <w:bookmarkEnd w:id="1598"/>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12,489,089.83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4,982,497.78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102,481,376.62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94,974,784.57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12,489,089.83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4,982,497.78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102,481,376.62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022"/>
        <w:gridCol w:w="1243"/>
        <w:gridCol w:w="1032"/>
        <w:gridCol w:w="998"/>
        <w:gridCol w:w="1008"/>
        <w:gridCol w:w="1013"/>
        <w:gridCol w:w="1008"/>
        <w:gridCol w:w="1248"/>
        <w:gridCol w:w="1018"/>
      </w:tblGrid>
      <w:tr>
        <w:trPr>
          <w:trHeight w:val="9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说明：计入递延收益的政府补助详见附注五、</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、政府补助。</w:t>
      </w:r>
    </w:p>
    <w:p>
      <w:pPr>
        <w:pStyle w:val="Style32"/>
        <w:keepNext/>
        <w:keepLines/>
        <w:widowControl w:val="0"/>
        <w:shd w:val="clear" w:color="auto" w:fill="auto"/>
        <w:bidi w:val="0"/>
        <w:spacing w:before="0" w:after="40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99"/>
      <w:bookmarkEnd w:id="1600"/>
      <w:bookmarkEnd w:id="16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bidi w:val="0"/>
        <w:spacing w:before="0" w:after="40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03"/>
      <w:bookmarkEnd w:id="1604"/>
      <w:bookmarkEnd w:id="1606"/>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210"/>
        <w:gridCol w:w="1195"/>
        <w:gridCol w:w="1195"/>
        <w:gridCol w:w="1200"/>
        <w:gridCol w:w="1195"/>
        <w:gridCol w:w="1195"/>
        <w:gridCol w:w="1200"/>
        <w:gridCol w:w="120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622,200,000.00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07"/>
      <w:bookmarkEnd w:id="1608"/>
      <w:bookmarkEnd w:id="1610"/>
    </w:p>
    <w:p>
      <w:pPr>
        <w:pStyle w:val="Style36"/>
        <w:keepNext/>
        <w:keepLines/>
        <w:widowControl w:val="0"/>
        <w:shd w:val="clear" w:color="auto" w:fill="auto"/>
        <w:tabs>
          <w:tab w:pos="483"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1"/>
      <w:bookmarkEnd w:id="1612"/>
      <w:bookmarkEnd w:id="1614"/>
    </w:p>
    <w:p>
      <w:pPr>
        <w:pStyle w:val="Style36"/>
        <w:keepNext/>
        <w:keepLines/>
        <w:widowControl w:val="0"/>
        <w:shd w:val="clear" w:color="auto" w:fill="auto"/>
        <w:tabs>
          <w:tab w:pos="483" w:val="left"/>
        </w:tabs>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15"/>
      <w:bookmarkEnd w:id="1616"/>
      <w:bookmarkEnd w:id="16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p>
      <w:pPr>
        <w:pStyle w:val="Style2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其他权益工具本期增减变动情况、变动原因说明，以及相关会计处理的依据: 其他说明：</w:t>
      </w:r>
    </w:p>
    <w:p>
      <w:pPr>
        <w:widowControl w:val="0"/>
        <w:spacing w:after="279" w:line="1" w:lineRule="exact"/>
      </w:pP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19"/>
      <w:bookmarkEnd w:id="1620"/>
      <w:bookmarkEnd w:id="16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362,926,508.93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362,926,508.93</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6,432,103.36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369,358,612.29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23"/>
      <w:bookmarkEnd w:id="1624"/>
      <w:bookmarkEnd w:id="16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9" w:line="1" w:lineRule="exact"/>
      </w:pPr>
    </w:p>
    <w:p>
      <w:pPr>
        <w:pStyle w:val="Style32"/>
        <w:keepNext/>
        <w:keepLines/>
        <w:widowControl w:val="0"/>
        <w:shd w:val="clear" w:color="auto" w:fill="auto"/>
        <w:bidi w:val="0"/>
        <w:spacing w:before="0" w:after="6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27"/>
      <w:bookmarkEnd w:id="1628"/>
      <w:bookmarkEnd w:id="163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573"/>
        <w:gridCol w:w="970"/>
        <w:gridCol w:w="854"/>
        <w:gridCol w:w="1056"/>
        <w:gridCol w:w="854"/>
        <w:gridCol w:w="850"/>
        <w:gridCol w:w="854"/>
        <w:gridCol w:w="854"/>
        <w:gridCol w:w="7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5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36,456294.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36,456294.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3,686,556.4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3,686,556.4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-2,581,772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1,104,78</w:t>
            </w:r>
          </w:p>
        </w:tc>
      </w:tr>
    </w:tbl>
    <w:p>
      <w:pPr>
        <w:widowControl w:val="0"/>
        <w:spacing w:line="1" w:lineRule="exact"/>
      </w:pPr>
      <w:r>
        <w:br w:type="page"/>
      </w:r>
    </w:p>
    <w:tbl>
      <w:tblPr>
        <w:tblOverlap w:val="never"/>
        <w:jc w:val="center"/>
        <w:tblLayout w:type="fixed"/>
      </w:tblPr>
      <w:tblGrid>
        <w:gridCol w:w="2568"/>
        <w:gridCol w:w="970"/>
        <w:gridCol w:w="854"/>
        <w:gridCol w:w="1056"/>
        <w:gridCol w:w="854"/>
        <w:gridCol w:w="854"/>
        <w:gridCol w:w="850"/>
        <w:gridCol w:w="854"/>
        <w:gridCol w:w="73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99" w:line="1" w:lineRule="exact"/>
      </w:pP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说明：其他综合收益的税后净额本期发生额为</w:t>
      </w:r>
      <w:r>
        <w:rPr>
          <w:rFonts w:ascii="Times New Roman" w:eastAsia="Times New Roman" w:hAnsi="Times New Roman" w:cs="Times New Roman"/>
          <w:color w:val="000000"/>
          <w:spacing w:val="0"/>
          <w:w w:val="100"/>
          <w:position w:val="0"/>
          <w:sz w:val="18"/>
          <w:szCs w:val="18"/>
        </w:rPr>
        <w:t>8,019,175.77</w:t>
      </w:r>
      <w:r>
        <w:rPr>
          <w:color w:val="000000"/>
          <w:spacing w:val="0"/>
          <w:w w:val="100"/>
          <w:position w:val="0"/>
        </w:rPr>
        <w:t>。其中，归属于母公司股东的其他综合收益的税后净额本期发生 额为</w:t>
      </w:r>
      <w:r>
        <w:rPr>
          <w:rFonts w:ascii="Times New Roman" w:eastAsia="Times New Roman" w:hAnsi="Times New Roman" w:cs="Times New Roman"/>
          <w:color w:val="000000"/>
          <w:spacing w:val="0"/>
          <w:w w:val="100"/>
          <w:position w:val="0"/>
          <w:sz w:val="18"/>
          <w:szCs w:val="18"/>
        </w:rPr>
        <w:t>8,019,175.77</w:t>
      </w:r>
      <w:r>
        <w:rPr>
          <w:color w:val="000000"/>
          <w:spacing w:val="0"/>
          <w:w w:val="100"/>
          <w:position w:val="0"/>
        </w:rPr>
        <w:t>；</w:t>
      </w:r>
      <w:r>
        <w:rPr>
          <w:color w:val="000000"/>
          <w:spacing w:val="0"/>
          <w:w w:val="100"/>
          <w:position w:val="0"/>
        </w:rPr>
        <w:t>归属于少数股东的其他综合收益的税后净额的本期发生额为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31"/>
      <w:bookmarkEnd w:id="1632"/>
      <w:bookmarkEnd w:id="16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35"/>
      <w:bookmarkEnd w:id="1636"/>
      <w:bookmarkEnd w:id="16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76,318,193.90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74211,619.05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76,318,193.90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3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说明：本期盈余公积增加系按本公司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32"/>
        <w:keepNext/>
        <w:keepLines/>
        <w:widowControl w:val="0"/>
        <w:shd w:val="clear" w:color="auto" w:fill="auto"/>
        <w:bidi w:val="0"/>
        <w:spacing w:before="0" w:after="38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9"/>
      <w:bookmarkEnd w:id="1640"/>
      <w:bookmarkEnd w:id="1642"/>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734"/>
        <w:gridCol w:w="2928"/>
        <w:gridCol w:w="29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428,572,874.09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475,423,287.27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428,572,874.09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29,938215.68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49,598,630.03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2,748,216.85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493,921,928.10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475,423,287.27</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21"/>
        <w:keepNext w:val="0"/>
        <w:keepLines w:val="0"/>
        <w:widowControl w:val="0"/>
        <w:numPr>
          <w:ilvl w:val="0"/>
          <w:numId w:val="43"/>
        </w:numPr>
        <w:shd w:val="clear" w:color="auto" w:fill="auto"/>
        <w:tabs>
          <w:tab w:pos="777" w:val="left"/>
        </w:tabs>
        <w:bidi w:val="0"/>
        <w:spacing w:before="0" w:after="100" w:line="240" w:lineRule="auto"/>
        <w:ind w:left="0" w:right="0"/>
        <w:jc w:val="both"/>
      </w:pPr>
      <w:bookmarkStart w:id="1643" w:name="bookmark1643"/>
      <w:bookmarkEnd w:id="1643"/>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numPr>
          <w:ilvl w:val="0"/>
          <w:numId w:val="43"/>
        </w:numPr>
        <w:shd w:val="clear" w:color="auto" w:fill="auto"/>
        <w:tabs>
          <w:tab w:pos="777" w:val="left"/>
        </w:tabs>
        <w:bidi w:val="0"/>
        <w:spacing w:before="0" w:after="100" w:line="240" w:lineRule="auto"/>
        <w:ind w:left="0" w:right="0"/>
        <w:jc w:val="both"/>
      </w:pPr>
      <w:bookmarkStart w:id="1644" w:name="bookmark1644"/>
      <w:bookmarkEnd w:id="1644"/>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numPr>
          <w:ilvl w:val="0"/>
          <w:numId w:val="43"/>
        </w:numPr>
        <w:shd w:val="clear" w:color="auto" w:fill="auto"/>
        <w:tabs>
          <w:tab w:pos="777" w:val="left"/>
        </w:tabs>
        <w:bidi w:val="0"/>
        <w:spacing w:before="0" w:after="100" w:line="240" w:lineRule="auto"/>
        <w:ind w:left="0" w:right="0"/>
        <w:jc w:val="both"/>
      </w:pPr>
      <w:bookmarkStart w:id="1645" w:name="bookmark1645"/>
      <w:bookmarkEnd w:id="1645"/>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numPr>
          <w:ilvl w:val="0"/>
          <w:numId w:val="43"/>
        </w:numPr>
        <w:shd w:val="clear" w:color="auto" w:fill="auto"/>
        <w:tabs>
          <w:tab w:pos="777" w:val="left"/>
        </w:tabs>
        <w:bidi w:val="0"/>
        <w:spacing w:before="0" w:after="100" w:line="240" w:lineRule="auto"/>
        <w:ind w:left="0" w:right="0"/>
        <w:jc w:val="both"/>
      </w:pPr>
      <w:bookmarkStart w:id="1646" w:name="bookmark1646"/>
      <w:bookmarkEnd w:id="1646"/>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numPr>
          <w:ilvl w:val="0"/>
          <w:numId w:val="43"/>
        </w:numPr>
        <w:shd w:val="clear" w:color="auto" w:fill="auto"/>
        <w:tabs>
          <w:tab w:pos="777" w:val="left"/>
        </w:tabs>
        <w:bidi w:val="0"/>
        <w:spacing w:before="0" w:after="380" w:line="240" w:lineRule="auto"/>
        <w:ind w:left="0" w:right="0"/>
        <w:jc w:val="both"/>
      </w:pPr>
      <w:bookmarkStart w:id="1647" w:name="bookmark1647"/>
      <w:bookmarkEnd w:id="1647"/>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8"/>
      <w:bookmarkEnd w:id="1649"/>
      <w:bookmarkEnd w:id="1651"/>
    </w:p>
    <w:p>
      <w:pPr>
        <w:pStyle w:val="Style2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3175" distB="0" distL="0" distR="0" simplePos="0" relativeHeight="125829384" behindDoc="0" locked="0" layoutInCell="1" allowOverlap="1">
                <wp:simplePos x="0" y="0"/>
                <wp:positionH relativeFrom="page">
                  <wp:posOffset>1209675</wp:posOffset>
                </wp:positionH>
                <wp:positionV relativeFrom="paragraph">
                  <wp:posOffset>3175</wp:posOffset>
                </wp:positionV>
                <wp:extent cx="252730" cy="146050"/>
                <wp:wrapTopAndBottom/>
                <wp:docPr id="8" name="Shape 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4" type="#_x0000_t202" style="position:absolute;margin-left:95.25pt;margin-top:0.25pt;width:19.900000000000002pt;height:11.5pt;z-index:-125829369;mso-wrap-distance-left:0;mso-wrap-distance-top:0.25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2855595</wp:posOffset>
                </wp:positionH>
                <wp:positionV relativeFrom="paragraph">
                  <wp:posOffset>0</wp:posOffset>
                </wp:positionV>
                <wp:extent cx="597535" cy="149225"/>
                <wp:wrapTopAndBottom/>
                <wp:docPr id="10" name="Shape 1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36" type="#_x0000_t202" style="position:absolute;margin-left:224.84999999999999pt;margin-top:0;width:47.050000000000004pt;height:11.75pt;z-index:-125829367;mso-wrap-distance-left:0;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5290820</wp:posOffset>
                </wp:positionH>
                <wp:positionV relativeFrom="paragraph">
                  <wp:posOffset>0</wp:posOffset>
                </wp:positionV>
                <wp:extent cx="597535" cy="149225"/>
                <wp:wrapTopAndBottom/>
                <wp:docPr id="12" name="Shape 1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38" type="#_x0000_t202" style="position:absolute;margin-left:416.60000000000002pt;margin-top:0;width:47.050000000000004pt;height:11.75pt;z-index:-125829365;mso-wrap-distance-left:0;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w:br w:type="page"/>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452,768,295.19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461,861,374.64</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717,210,056.03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452,768,295.19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730,475,517.25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461,861,374.64</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2"/>
      <w:bookmarkEnd w:id="1653"/>
      <w:bookmarkEnd w:id="1655"/>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362,823.54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281,218.38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590,263.90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1,269,093.30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504,521.09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516,376.14</w:t>
            </w: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2,769,285.02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1,509,979.27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574,250.81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646,778.84</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16,725.30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16,329.96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6,404,651.73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5,192,863.33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56"/>
      <w:bookmarkEnd w:id="1657"/>
      <w:bookmarkEnd w:id="1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17,001,470.08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20,187,532.87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8,812,516.32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6,309,212.84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2,963,808.32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3,349,053.89</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4,292,541.96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4,295,815.41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1,651,501.04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1,270,074.69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2,502,378.26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566,760.74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48,003.49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388,400.81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192,685.01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286,804.40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4,740,505.75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4,511,834.23</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42205,410.23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41,165,489.88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0"/>
      <w:bookmarkEnd w:id="1661"/>
      <w:bookmarkEnd w:id="16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40,498,002.35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41,782,827.56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14,828,979.10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9,094,338.59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3,328,648.16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11,291,183.23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4,405,808.15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3,997,900.40</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2,186,784.59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2,039,322.79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4,055,871.98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4,121,929.68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3,955,839.65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2,264,268.51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1,902,132.17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1,834,734.86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1,880,854.63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3,480,546.71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3,617,089.37</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3,995,544.95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3,685,688.28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84,835,029.01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83,413266.70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64"/>
      <w:bookmarkEnd w:id="1665"/>
      <w:bookmarkEnd w:id="1667"/>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24,095,724.40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34,540,724.28</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40,516235.79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40,122,872.43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26,500290.65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28,802,943.55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514,656.05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536,464.10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334,721.83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423,458.96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研发设备及材料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39,422.59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144,142.42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222,405.87</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74,539.24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125,787.73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46270.50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62,933.87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464,975.01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70,261.74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92,693,791.20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104,947,275.12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8"/>
      <w:bookmarkEnd w:id="1669"/>
      <w:bookmarkEnd w:id="16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25,982,771.71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25,720,105.37</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2,380,267.06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2,179,116.60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768,787.27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215,064.29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542,554.04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23,425,536.13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24,852,330.08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2"/>
      <w:bookmarkEnd w:id="1673"/>
      <w:bookmarkEnd w:id="16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4,982,497.78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4,395,274.72</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9,852,908.38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19,043255.70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2,373,020.86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28,336.76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17236,763.78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23,438,530.42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76"/>
      <w:bookmarkEnd w:id="1677"/>
      <w:bookmarkEnd w:id="16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97"/>
        <w:gridCol w:w="292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7,231,202.51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6,706,180.80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3,769,006.85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1,659,527.26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14,698,136.77</w:t>
            </w:r>
          </w:p>
        </w:tc>
      </w:tr>
    </w:tbl>
    <w:p>
      <w:pPr>
        <w:widowControl w:val="0"/>
        <w:spacing w:line="1" w:lineRule="exact"/>
      </w:pPr>
      <w:r>
        <w:br w:type="page"/>
      </w:r>
    </w:p>
    <w:tbl>
      <w:tblPr>
        <w:tblOverlap w:val="never"/>
        <w:jc w:val="center"/>
        <w:tblLayout w:type="fixed"/>
      </w:tblPr>
      <w:tblGrid>
        <w:gridCol w:w="3466"/>
        <w:gridCol w:w="3197"/>
        <w:gridCol w:w="2928"/>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12,659,736.62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21,404,317.57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系购买银行短期理财产品的收益。</w:t>
      </w:r>
    </w:p>
    <w:p>
      <w:pPr>
        <w:pStyle w:val="Style32"/>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80"/>
      <w:bookmarkEnd w:id="1681"/>
      <w:bookmarkEnd w:id="16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84"/>
      <w:bookmarkEnd w:id="1685"/>
      <w:bookmarkEnd w:id="16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88"/>
      <w:bookmarkEnd w:id="1689"/>
      <w:bookmarkEnd w:id="1691"/>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3,200,576.38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-4,542,477.90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-5,323,368.85</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-3,620,722.54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-2,122,792.47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2"/>
      <w:bookmarkEnd w:id="1693"/>
      <w:bookmarkEnd w:id="1695"/>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-421,603.51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-3,929,558.16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-1,357,100.80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-4,139,473.39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-1,778,704.31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6"/>
      <w:bookmarkEnd w:id="1697"/>
      <w:bookmarkEnd w:id="1699"/>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0"/>
      <w:bookmarkEnd w:id="1701"/>
      <w:bookmarkEnd w:id="1703"/>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400"/>
        <w:gridCol w:w="2390"/>
        <w:gridCol w:w="2395"/>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141,352.12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141,352.12</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49,905.46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191,257.58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35,309.36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191,257.58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7</w:t>
      </w:r>
      <w:bookmarkEnd w:id="170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04"/>
      <w:bookmarkEnd w:id="1705"/>
      <w:bookmarkEnd w:id="17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109,860.00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109,860.00</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102,976.31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53,015.34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102,976.31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602,400.45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602,400.45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815,236.76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815,236.76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8"/>
      <w:bookmarkEnd w:id="1709"/>
      <w:bookmarkEnd w:id="1711"/>
    </w:p>
    <w:p>
      <w:pPr>
        <w:pStyle w:val="Style36"/>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2"/>
      <w:bookmarkEnd w:id="1713"/>
      <w:bookmarkEnd w:id="1714"/>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5,245,796.89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862,727.68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1,159,553.08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672,338.92</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6,405,349.97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1,535,066.60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5"/>
      <w:bookmarkEnd w:id="1716"/>
      <w:bookmarkEnd w:id="171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36,640,890.30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5,496,133.53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-1,330,136.32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1,411,606.05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4,035,833.85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-1,524,515.12</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利用以前年度未确认可抵扣亏损和可抵扣暂时性差异的纳税 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-1,310,014.78</w:t>
            </w:r>
          </w:p>
        </w:tc>
      </w:tr>
    </w:tbl>
    <w:p>
      <w:pPr>
        <w:widowControl w:val="0"/>
        <w:spacing w:line="1" w:lineRule="exact"/>
      </w:pPr>
      <w:r>
        <w:br w:type="page"/>
      </w:r>
    </w:p>
    <w:tbl>
      <w:tblPr>
        <w:tblOverlap w:val="never"/>
        <w:jc w:val="center"/>
        <w:tblLayout w:type="fixed"/>
      </w:tblPr>
      <w:tblGrid>
        <w:gridCol w:w="4790"/>
        <w:gridCol w:w="480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未确认可抵扣亏损和可抵扣暂时性差异的纳税影响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6,295,237.56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-6,668,794.80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6,405,349.97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74" w:val="left"/>
        </w:tabs>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18"/>
      <w:bookmarkEnd w:id="1719"/>
      <w:bookmarkEnd w:id="172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22"/>
      <w:bookmarkEnd w:id="1723"/>
      <w:bookmarkEnd w:id="1725"/>
    </w:p>
    <w:p>
      <w:pPr>
        <w:pStyle w:val="Style36"/>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6"/>
      <w:bookmarkEnd w:id="1727"/>
      <w:bookmarkEnd w:id="17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22,097,184.46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38,393,683.61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2,377,058.73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2,179,116.60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备用金及其他单位往来款等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11,009,185.14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33,143,963.27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51,581,985.35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9"/>
      <w:bookmarkEnd w:id="1730"/>
      <w:bookmarkEnd w:id="17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25,135,851.21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20,917266.73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32,119,741.80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32,642,482.09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研发费用付现支出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27,392,211.09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29,860219.45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保证金、备用金及其他单位往来款等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4,724,503.81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109,739,324.70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89,372,307.91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193,159,292.97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140"/>
        <w:jc w:val="left"/>
      </w:pPr>
      <w:bookmarkStart w:id="1732" w:name="bookmark1732"/>
      <w:bookmarkStart w:id="1733" w:name="bookmark1733"/>
      <w:bookmarkStart w:id="1734" w:name="bookmark1734"/>
      <w:r>
        <w:rPr>
          <w:color w:val="000000"/>
          <w:spacing w:val="0"/>
          <w:w w:val="100"/>
          <w:position w:val="0"/>
        </w:rPr>
        <w:t>⑶收到的其他与投资活动有关的现金</w:t>
      </w:r>
      <w:bookmarkEnd w:id="1732"/>
      <w:bookmarkEnd w:id="1733"/>
      <w:bookmarkEnd w:id="17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79" w:line="1" w:lineRule="exact"/>
      </w:pPr>
    </w:p>
    <w:p>
      <w:pPr>
        <w:pStyle w:val="Style36"/>
        <w:keepNext/>
        <w:keepLines/>
        <w:widowControl w:val="0"/>
        <w:shd w:val="clear" w:color="auto" w:fill="auto"/>
        <w:bidi w:val="0"/>
        <w:spacing w:before="0" w:after="72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5"/>
      <w:bookmarkEnd w:id="1736"/>
      <w:bookmarkEnd w:id="17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6"/>
        <w:keepNext/>
        <w:keepLines/>
        <w:widowControl w:val="0"/>
        <w:shd w:val="clear" w:color="auto" w:fill="auto"/>
        <w:bidi w:val="0"/>
        <w:spacing w:before="0" w:after="380" w:line="240" w:lineRule="auto"/>
        <w:ind w:left="0" w:right="0" w:firstLine="140"/>
        <w:jc w:val="left"/>
      </w:pPr>
      <w:bookmarkStart w:id="1739" w:name="bookmark1739"/>
      <w:bookmarkStart w:id="1740" w:name="bookmark1740"/>
      <w:bookmarkStart w:id="1741" w:name="bookmark1741"/>
      <w:bookmarkStart w:id="1742" w:name="bookmark1742"/>
      <w:r>
        <w:rPr>
          <w:color w:val="000000"/>
          <w:spacing w:val="0"/>
          <w:w w:val="100"/>
          <w:position w:val="0"/>
        </w:rPr>
        <w:t>⑸</w:t>
      </w:r>
      <w:bookmarkEnd w:id="1741"/>
      <w:r>
        <w:rPr>
          <w:color w:val="000000"/>
          <w:spacing w:val="0"/>
          <w:w w:val="100"/>
          <w:position w:val="0"/>
        </w:rPr>
        <w:t>收到的其他与筹资活动有关的现金</w:t>
      </w:r>
      <w:bookmarkEnd w:id="1739"/>
      <w:bookmarkEnd w:id="1740"/>
      <w:bookmarkEnd w:id="17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43"/>
      <w:bookmarkEnd w:id="1744"/>
      <w:bookmarkEnd w:id="1746"/>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5,200,346.14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5,200,346.14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47"/>
      <w:bookmarkEnd w:id="1748"/>
      <w:bookmarkEnd w:id="1750"/>
    </w:p>
    <w:p>
      <w:pPr>
        <w:pStyle w:val="Style36"/>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1"/>
      <w:bookmarkEnd w:id="1752"/>
      <w:bookmarkEnd w:id="1753"/>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30235,540.33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48278,505.04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7,760,195.93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3,901,496.78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10,898,923.19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8,640,177.03</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3,749,109.99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43,996,782.50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43,739,961.80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1,248,938.00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-12,660.23</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25,030,096.11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26,488,892.64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-12,659,736.62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-21,404,317.57</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672,338.92</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-76,326,619.50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-21,136,076.89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24,405,530.79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-2,697,129.15</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4,970,665.55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-15,495,547.74</w:t>
            </w:r>
          </w:p>
        </w:tc>
      </w:tr>
    </w:tbl>
    <w:p>
      <w:pPr>
        <w:widowControl w:val="0"/>
        <w:spacing w:line="1" w:lineRule="exact"/>
      </w:pPr>
      <w:r>
        <w:br w:type="page"/>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64217,756.88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72224,578.63</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295,375,190.19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345,270,298.91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-159,462,269.67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109,567,160.95</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754" w:name="bookmark1754"/>
      <w:bookmarkStart w:id="1755" w:name="bookmark1755"/>
      <w:bookmarkStart w:id="1756" w:name="bookmark1756"/>
      <w:r>
        <w:rPr>
          <w:color w:val="000000"/>
          <w:spacing w:val="0"/>
          <w:w w:val="100"/>
          <w:position w:val="0"/>
        </w:rPr>
        <w:t>⑵本期支付的取得子公司的现金净额</w:t>
      </w:r>
      <w:bookmarkEnd w:id="1754"/>
      <w:bookmarkEnd w:id="1755"/>
      <w:bookmarkEnd w:id="17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57"/>
      <w:bookmarkEnd w:id="1758"/>
      <w:bookmarkEnd w:id="17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61"/>
      <w:bookmarkEnd w:id="1762"/>
      <w:bookmarkEnd w:id="17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295,375,190.19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780,973.90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295,242,505.28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454,056,485.96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295,375,190.19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454,837,459.86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tabs>
          <w:tab w:pos="478" w:val="left"/>
        </w:tabs>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65"/>
      <w:bookmarkEnd w:id="1766"/>
      <w:bookmarkEnd w:id="1768"/>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69"/>
      <w:bookmarkEnd w:id="1770"/>
      <w:bookmarkEnd w:id="17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应计利息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16,663,583.18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保函保证金、履约保证金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银行承兑汇票保证金</w:t>
            </w:r>
          </w:p>
        </w:tc>
      </w:tr>
      <w:tr>
        <w:trPr>
          <w:trHeight w:val="18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103,769,006.85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债权投资对应的借款于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日提前结清，中国农业银行股份有限公 司福州鼓楼支行未及时办理解押手续，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月办理了解押手续，在此期 间该笔大额存单未对任何融资提供质押 担保。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120,486,713.20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8</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73"/>
      <w:bookmarkEnd w:id="1774"/>
      <w:bookmarkEnd w:id="1776"/>
    </w:p>
    <w:p>
      <w:pPr>
        <w:pStyle w:val="Style36"/>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7"/>
      <w:bookmarkEnd w:id="1778"/>
      <w:bookmarkEnd w:id="17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14,676232.54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93,570,492.13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15,508.85</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322" w:lineRule="exact"/>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0"/>
      <w:bookmarkEnd w:id="1781"/>
      <w:bookmarkEnd w:id="1782"/>
    </w:p>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本公司之子公司榕基国际控股有限公司注册于香港，境外主要经营地为香港，记账本位币为港币。</w:t>
      </w:r>
    </w:p>
    <w:p>
      <w:pPr>
        <w:pStyle w:val="Style32"/>
        <w:keepNext/>
        <w:keepLines/>
        <w:widowControl w:val="0"/>
        <w:shd w:val="clear" w:color="auto" w:fill="auto"/>
        <w:tabs>
          <w:tab w:pos="478" w:val="left"/>
        </w:tabs>
        <w:bidi w:val="0"/>
        <w:spacing w:before="0" w:after="380" w:line="322" w:lineRule="exact"/>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8</w:t>
      </w:r>
      <w:bookmarkEnd w:id="178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83"/>
      <w:bookmarkEnd w:id="1784"/>
      <w:bookmarkEnd w:id="1786"/>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300" w:line="322" w:lineRule="exact"/>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87"/>
      <w:bookmarkEnd w:id="1788"/>
      <w:bookmarkEnd w:id="1790"/>
    </w:p>
    <w:p>
      <w:pPr>
        <w:pStyle w:val="Style36"/>
        <w:keepNext/>
        <w:keepLines/>
        <w:widowControl w:val="0"/>
        <w:shd w:val="clear" w:color="auto" w:fill="auto"/>
        <w:bidi w:val="0"/>
        <w:spacing w:before="0" w:after="380" w:line="322" w:lineRule="exact"/>
        <w:ind w:left="0" w:right="0" w:firstLine="0"/>
        <w:jc w:val="left"/>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1"/>
      <w:bookmarkEnd w:id="1792"/>
      <w:bookmarkEnd w:id="17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102,481,376.62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4,982,497.78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9,852,908.38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9,852,908.38</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94"/>
      <w:bookmarkEnd w:id="1795"/>
      <w:bookmarkEnd w:id="179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年福州市软件产业发展专项资金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发放单位补助款计算有误</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97"/>
      <w:bookmarkEnd w:id="1798"/>
      <w:bookmarkEnd w:id="1799"/>
    </w:p>
    <w:p>
      <w:pPr>
        <w:pStyle w:val="Style24"/>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sz w:val="24"/>
          <w:szCs w:val="24"/>
        </w:rPr>
        <w:t>八</w:t>
      </w:r>
      <w:bookmarkEnd w:id="1802"/>
      <w:r>
        <w:rPr>
          <w:color w:val="000000"/>
          <w:spacing w:val="0"/>
          <w:w w:val="100"/>
          <w:position w:val="0"/>
          <w:sz w:val="24"/>
          <w:szCs w:val="24"/>
        </w:rPr>
        <w:t>、合并范围的变更</w:t>
      </w:r>
      <w:bookmarkEnd w:id="1800"/>
      <w:bookmarkEnd w:id="1801"/>
      <w:bookmarkEnd w:id="1803"/>
    </w:p>
    <w:p>
      <w:pPr>
        <w:pStyle w:val="Style32"/>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bookmarkEnd w:id="1806"/>
      <w:r>
        <w:rPr>
          <w:color w:val="000000"/>
          <w:spacing w:val="0"/>
          <w:w w:val="100"/>
          <w:position w:val="0"/>
        </w:rPr>
        <w:t>、非同一控制下企业合并</w:t>
      </w:r>
      <w:bookmarkEnd w:id="1804"/>
      <w:bookmarkEnd w:id="1805"/>
      <w:bookmarkEnd w:id="1807"/>
    </w:p>
    <w:p>
      <w:pPr>
        <w:pStyle w:val="Style36"/>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08"/>
      <w:bookmarkEnd w:id="1809"/>
      <w:bookmarkEnd w:id="18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9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1"/>
      <w:bookmarkEnd w:id="1812"/>
      <w:bookmarkEnd w:id="18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14"/>
      <w:bookmarkEnd w:id="1815"/>
      <w:bookmarkEnd w:id="181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05" w:lineRule="exact"/>
        <w:ind w:left="0" w:right="0" w:firstLine="0"/>
        <w:jc w:val="distribute"/>
      </w:pPr>
      <w:r>
        <w:rPr>
          <w:color w:val="000000"/>
          <w:spacing w:val="0"/>
          <w:w w:val="100"/>
          <w:position w:val="0"/>
        </w:rPr>
        <w:t>可辨认资产、负债公允价值的确定方法: 企业合并中承担的被购买方的或有负债: 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18"/>
      <w:bookmarkEnd w:id="1819"/>
      <w:bookmarkEnd w:id="1821"/>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22"/>
      <w:bookmarkEnd w:id="1823"/>
      <w:bookmarkEnd w:id="1825"/>
    </w:p>
    <w:p>
      <w:pPr>
        <w:pStyle w:val="Style36"/>
        <w:keepNext/>
        <w:keepLines/>
        <w:widowControl w:val="0"/>
        <w:shd w:val="clear" w:color="auto" w:fill="auto"/>
        <w:tabs>
          <w:tab w:pos="483"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26"/>
      <w:bookmarkEnd w:id="1827"/>
      <w:bookmarkEnd w:id="1829"/>
    </w:p>
    <w:p>
      <w:pPr>
        <w:pStyle w:val="Style32"/>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bookmarkEnd w:id="1832"/>
      <w:r>
        <w:rPr>
          <w:color w:val="000000"/>
          <w:spacing w:val="0"/>
          <w:w w:val="100"/>
          <w:position w:val="0"/>
        </w:rPr>
        <w:t>、同一控制下企业合并</w:t>
      </w:r>
      <w:bookmarkEnd w:id="1830"/>
      <w:bookmarkEnd w:id="1831"/>
      <w:bookmarkEnd w:id="1833"/>
    </w:p>
    <w:p>
      <w:pPr>
        <w:pStyle w:val="Style36"/>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34"/>
      <w:bookmarkEnd w:id="1835"/>
      <w:bookmarkEnd w:id="18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5"/>
        <w:gridCol w:w="1061"/>
        <w:gridCol w:w="1061"/>
        <w:gridCol w:w="1066"/>
        <w:gridCol w:w="1070"/>
        <w:gridCol w:w="1066"/>
      </w:tblGrid>
      <w:tr>
        <w:trPr>
          <w:trHeight w:val="126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37"/>
      <w:bookmarkEnd w:id="1838"/>
      <w:bookmarkEnd w:id="1839"/>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或有对价及其变动的说明: 其他说明：</w:t>
      </w:r>
    </w:p>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0"/>
      <w:bookmarkEnd w:id="1841"/>
      <w:bookmarkEnd w:id="1843"/>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 其他说明：</w:t>
      </w:r>
    </w:p>
    <w:p>
      <w:pPr>
        <w:widowControl w:val="0"/>
        <w:spacing w:after="259" w:line="1" w:lineRule="exact"/>
      </w:pPr>
    </w:p>
    <w:p>
      <w:pPr>
        <w:pStyle w:val="Style32"/>
        <w:keepNext/>
        <w:keepLines/>
        <w:widowControl w:val="0"/>
        <w:shd w:val="clear" w:color="auto" w:fill="auto"/>
        <w:tabs>
          <w:tab w:pos="368" w:val="left"/>
        </w:tabs>
        <w:bidi w:val="0"/>
        <w:spacing w:before="0" w:after="26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反向购买</w:t>
      </w:r>
      <w:bookmarkEnd w:id="1844"/>
      <w:bookmarkEnd w:id="1845"/>
      <w:bookmarkEnd w:id="1847"/>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68" w:val="left"/>
        </w:tabs>
        <w:bidi w:val="0"/>
        <w:spacing w:before="0" w:after="2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处置子公司</w:t>
      </w:r>
      <w:bookmarkEnd w:id="1848"/>
      <w:bookmarkEnd w:id="1849"/>
      <w:bookmarkEnd w:id="1851"/>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36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68" w:val="left"/>
        </w:tabs>
        <w:bidi w:val="0"/>
        <w:spacing w:before="0" w:after="26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w:t>
        <w:tab/>
        <w:t>其他原因的合并范围变动</w:t>
      </w:r>
      <w:bookmarkEnd w:id="1852"/>
      <w:bookmarkEnd w:id="1853"/>
      <w:bookmarkEnd w:id="1855"/>
    </w:p>
    <w:p>
      <w:pPr>
        <w:pStyle w:val="Style21"/>
        <w:keepNext w:val="0"/>
        <w:keepLines w:val="0"/>
        <w:widowControl w:val="0"/>
        <w:shd w:val="clear" w:color="auto" w:fill="auto"/>
        <w:bidi w:val="0"/>
        <w:spacing w:before="0" w:after="8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孙公司河南裕信德置业有限公司于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日注销，注销时的资产总额为</w:t>
      </w:r>
      <w:r>
        <w:rPr>
          <w:rFonts w:ascii="Times New Roman" w:eastAsia="Times New Roman" w:hAnsi="Times New Roman" w:cs="Times New Roman"/>
          <w:color w:val="000000"/>
          <w:spacing w:val="0"/>
          <w:w w:val="100"/>
          <w:position w:val="0"/>
          <w:sz w:val="18"/>
          <w:szCs w:val="18"/>
        </w:rPr>
        <w:t>157.12</w:t>
      </w:r>
      <w:r>
        <w:rPr>
          <w:color w:val="000000"/>
          <w:spacing w:val="0"/>
          <w:w w:val="100"/>
          <w:position w:val="0"/>
        </w:rPr>
        <w:t>元。除前述事项外，本期无其他合并范 围变动的事项。</w:t>
      </w:r>
    </w:p>
    <w:p>
      <w:pPr>
        <w:pStyle w:val="Style32"/>
        <w:keepNext/>
        <w:keepLines/>
        <w:widowControl w:val="0"/>
        <w:shd w:val="clear" w:color="auto" w:fill="auto"/>
        <w:tabs>
          <w:tab w:pos="368"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color w:val="000000"/>
          <w:spacing w:val="0"/>
          <w:w w:val="100"/>
          <w:position w:val="0"/>
        </w:rPr>
        <w:t>、</w:t>
        <w:tab/>
        <w:t>其他</w:t>
      </w:r>
      <w:bookmarkEnd w:id="1856"/>
      <w:bookmarkEnd w:id="1857"/>
      <w:bookmarkEnd w:id="1859"/>
    </w:p>
    <w:p>
      <w:pPr>
        <w:pStyle w:val="Style24"/>
        <w:keepNext/>
        <w:keepLines/>
        <w:widowControl w:val="0"/>
        <w:shd w:val="clear" w:color="auto" w:fill="auto"/>
        <w:bidi w:val="0"/>
        <w:spacing w:before="0" w:after="36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sz w:val="24"/>
          <w:szCs w:val="24"/>
        </w:rPr>
        <w:t>九</w:t>
      </w:r>
      <w:bookmarkEnd w:id="1862"/>
      <w:r>
        <w:rPr>
          <w:color w:val="000000"/>
          <w:spacing w:val="0"/>
          <w:w w:val="100"/>
          <w:position w:val="0"/>
          <w:sz w:val="24"/>
          <w:szCs w:val="24"/>
        </w:rPr>
        <w:t>、在其他主体中的权益</w:t>
      </w:r>
      <w:bookmarkEnd w:id="1860"/>
      <w:bookmarkEnd w:id="1861"/>
      <w:bookmarkEnd w:id="1863"/>
    </w:p>
    <w:p>
      <w:pPr>
        <w:pStyle w:val="Style32"/>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1</w:t>
      </w:r>
      <w:bookmarkEnd w:id="1866"/>
      <w:r>
        <w:rPr>
          <w:color w:val="000000"/>
          <w:spacing w:val="0"/>
          <w:w w:val="100"/>
          <w:position w:val="0"/>
        </w:rPr>
        <w:t>、在子公司中的权益</w:t>
      </w:r>
      <w:bookmarkEnd w:id="1864"/>
      <w:bookmarkEnd w:id="1865"/>
      <w:bookmarkEnd w:id="1867"/>
    </w:p>
    <w:p>
      <w:pPr>
        <w:pStyle w:val="Style36"/>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68"/>
      <w:bookmarkEnd w:id="1869"/>
      <w:bookmarkEnd w:id="1870"/>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上海榕基软件开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榕基五一（北京） 信息技术有限公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马鞍山榕基软件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北京中榕基信息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福建榕基软件工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信阳榕基信息技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河南豫础置业有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福州榕易付网络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福建星榕基信息 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福州创华电气自 动化系统有限公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福建容大物联网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马鞍山榕基置业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投资有限公司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沈阳榕基信息技 术有限公司（孙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3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1"/>
      <w:bookmarkEnd w:id="1872"/>
      <w:bookmarkEnd w:id="18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10"/>
        <w:gridCol w:w="1920"/>
        <w:gridCol w:w="1910"/>
        <w:gridCol w:w="1925"/>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30"/>
        <w:gridCol w:w="1920"/>
        <w:gridCol w:w="1920"/>
        <w:gridCol w:w="1901"/>
        <w:gridCol w:w="1934"/>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子公司少数股东的持股比例不同于表决权比例的说明: 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4"/>
      <w:bookmarkEnd w:id="1875"/>
      <w:bookmarkEnd w:id="18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54"/>
        <w:gridCol w:w="720"/>
        <w:gridCol w:w="734"/>
        <w:gridCol w:w="744"/>
        <w:gridCol w:w="734"/>
        <w:gridCol w:w="734"/>
        <w:gridCol w:w="730"/>
        <w:gridCol w:w="744"/>
        <w:gridCol w:w="734"/>
        <w:gridCol w:w="730"/>
        <w:gridCol w:w="758"/>
        <w:gridCol w:w="7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w:t>
            </w:r>
          </w:p>
        </w:tc>
      </w:tr>
      <w:tr>
        <w:trPr>
          <w:trHeight w:val="33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p>
    <w:tbl>
      <w:tblPr>
        <w:tblOverlap w:val="never"/>
        <w:jc w:val="center"/>
        <w:tblLayout w:type="fixed"/>
      </w:tblPr>
      <w:tblGrid>
        <w:gridCol w:w="1066"/>
        <w:gridCol w:w="1070"/>
        <w:gridCol w:w="1056"/>
        <w:gridCol w:w="1070"/>
        <w:gridCol w:w="1070"/>
        <w:gridCol w:w="1056"/>
        <w:gridCol w:w="1075"/>
        <w:gridCol w:w="1061"/>
        <w:gridCol w:w="1066"/>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140"/>
        <w:jc w:val="left"/>
      </w:pPr>
      <w:bookmarkStart w:id="1878" w:name="bookmark1878"/>
      <w:bookmarkStart w:id="1879" w:name="bookmark1879"/>
      <w:bookmarkStart w:id="1880" w:name="bookmark1880"/>
      <w:bookmarkStart w:id="1881" w:name="bookmark1881"/>
      <w:r>
        <w:rPr>
          <w:color w:val="000000"/>
          <w:spacing w:val="0"/>
          <w:w w:val="100"/>
          <w:position w:val="0"/>
        </w:rPr>
        <w:t>⑷</w:t>
      </w:r>
      <w:bookmarkEnd w:id="1880"/>
      <w:r>
        <w:rPr>
          <w:color w:val="000000"/>
          <w:spacing w:val="0"/>
          <w:w w:val="100"/>
          <w:position w:val="0"/>
        </w:rPr>
        <w:t>使用企业集团资产和清偿企业集团债务的重大限制</w:t>
      </w:r>
      <w:bookmarkEnd w:id="1878"/>
      <w:bookmarkEnd w:id="1879"/>
      <w:bookmarkEnd w:id="1881"/>
    </w:p>
    <w:p>
      <w:pPr>
        <w:pStyle w:val="Style36"/>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882"/>
      <w:bookmarkEnd w:id="1883"/>
      <w:bookmarkEnd w:id="188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、在子公司的所有者权益份额发生变化且仍控制子公司的交易</w:t>
      </w:r>
      <w:bookmarkEnd w:id="1886"/>
      <w:bookmarkEnd w:id="1887"/>
      <w:bookmarkEnd w:id="1889"/>
    </w:p>
    <w:p>
      <w:pPr>
        <w:pStyle w:val="Style36"/>
        <w:keepNext/>
        <w:keepLines/>
        <w:widowControl w:val="0"/>
        <w:shd w:val="clear" w:color="auto" w:fill="auto"/>
        <w:tabs>
          <w:tab w:pos="483" w:val="left"/>
        </w:tabs>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90"/>
      <w:bookmarkEnd w:id="1891"/>
      <w:bookmarkEnd w:id="1893"/>
    </w:p>
    <w:p>
      <w:pPr>
        <w:pStyle w:val="Style36"/>
        <w:keepNext/>
        <w:keepLines/>
        <w:widowControl w:val="0"/>
        <w:shd w:val="clear" w:color="auto" w:fill="auto"/>
        <w:tabs>
          <w:tab w:pos="483" w:val="left"/>
        </w:tabs>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94"/>
      <w:bookmarkEnd w:id="1895"/>
      <w:bookmarkEnd w:id="1897"/>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3</w:t>
      </w:r>
      <w:bookmarkEnd w:id="1900"/>
      <w:r>
        <w:rPr>
          <w:color w:val="000000"/>
          <w:spacing w:val="0"/>
          <w:w w:val="100"/>
          <w:position w:val="0"/>
        </w:rPr>
        <w:t>、在合营安排或联营企业中的权益</w:t>
      </w:r>
      <w:bookmarkEnd w:id="1898"/>
      <w:bookmarkEnd w:id="1899"/>
      <w:bookmarkEnd w:id="1901"/>
    </w:p>
    <w:p>
      <w:pPr>
        <w:pStyle w:val="Style36"/>
        <w:keepNext/>
        <w:keepLines/>
        <w:widowControl w:val="0"/>
        <w:shd w:val="clear" w:color="auto" w:fill="auto"/>
        <w:bidi w:val="0"/>
        <w:spacing w:before="0" w:after="30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02"/>
      <w:bookmarkEnd w:id="1903"/>
      <w:bookmarkEnd w:id="1904"/>
    </w:p>
    <w:tbl>
      <w:tblPr>
        <w:tblOverlap w:val="never"/>
        <w:jc w:val="center"/>
        <w:tblLayout w:type="fixed"/>
      </w:tblPr>
      <w:tblGrid>
        <w:gridCol w:w="1378"/>
        <w:gridCol w:w="1368"/>
        <w:gridCol w:w="1373"/>
        <w:gridCol w:w="1368"/>
        <w:gridCol w:w="1368"/>
        <w:gridCol w:w="1368"/>
        <w:gridCol w:w="1382"/>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福建文鑫莲业有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福建省三明市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权益法（说明）</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福建文鑫莲业有限责任公司董事会成员中的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人由本公司委派，本公司对其具有重大影响。</w:t>
      </w:r>
    </w:p>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05"/>
      <w:bookmarkEnd w:id="1906"/>
      <w:bookmarkEnd w:id="19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3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20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45"/>
        </w:numPr>
        <w:shd w:val="clear" w:color="auto" w:fill="auto"/>
        <w:bidi w:val="0"/>
        <w:spacing w:before="0" w:after="38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重要联营企业的主要财务信息</w:t>
      </w:r>
      <w:bookmarkEnd w:id="1908"/>
      <w:bookmarkEnd w:id="1909"/>
      <w:bookmarkEnd w:id="19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福建亿榕信息技术有限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福建文鑫莲业有限责任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福建亿榕信息技术有限 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福建文鑫莲业有限责任 公司</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678,387,375.44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134,515,476.19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714,042,576.69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138,655,364.28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72,531,387.71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65,403,521.14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87,368,815.24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66,616,782.51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750,918,763.15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199,918,997.33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801,411,391.93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205,272,146.79</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523,726,530.88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88,755,438.32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586,349,840.90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69,803,287.99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26,692,212.81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46,716,389.83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523,726,530.88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115,447,651.13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586,349,840.90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116,519,677.82</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2,106,826.89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227,192,232.27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82,364,519.31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215,061,551.03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86,645,642.08</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92,467238.53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10,361,456.53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87,530,051.27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10,900,021.77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92,467238.53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25,131,692.24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87,530,051.27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25,670,424.13</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457,679,666.15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17,241,591.30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227,295,979.93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15,556,256.71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12,130,681.24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-4,281,122.77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11,919,976.59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-1,940,042.51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12,130,681.24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-4,281,122.77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11,919,976.59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-1,940,042.51</w:t>
            </w: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140"/>
        <w:jc w:val="left"/>
      </w:pPr>
      <w:bookmarkStart w:id="1912" w:name="bookmark1912"/>
      <w:bookmarkStart w:id="1913" w:name="bookmark1913"/>
      <w:bookmarkStart w:id="1914" w:name="bookmark1914"/>
      <w:r>
        <w:rPr>
          <w:color w:val="000000"/>
          <w:spacing w:val="0"/>
          <w:w w:val="100"/>
          <w:position w:val="0"/>
        </w:rPr>
        <w:t>⑷不重要的合营企业和联营企业的汇总财务信息</w:t>
      </w:r>
      <w:bookmarkEnd w:id="1912"/>
      <w:bookmarkEnd w:id="1913"/>
      <w:bookmarkEnd w:id="1914"/>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12,600,183.84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11,033,525.20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8,093,151.82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5,970,536.22</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8,093,151.82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5,970,536.22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5"/>
      <w:bookmarkEnd w:id="1916"/>
      <w:bookmarkEnd w:id="1918"/>
    </w:p>
    <w:p>
      <w:pPr>
        <w:pStyle w:val="Style36"/>
        <w:keepNext/>
        <w:keepLines/>
        <w:widowControl w:val="0"/>
        <w:shd w:val="clear" w:color="auto" w:fill="auto"/>
        <w:tabs>
          <w:tab w:pos="483"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19"/>
      <w:bookmarkEnd w:id="1920"/>
      <w:bookmarkEnd w:id="19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3"/>
      <w:bookmarkEnd w:id="1924"/>
      <w:bookmarkEnd w:id="1926"/>
    </w:p>
    <w:p>
      <w:pPr>
        <w:pStyle w:val="Style36"/>
        <w:keepNext/>
        <w:keepLines/>
        <w:widowControl w:val="0"/>
        <w:shd w:val="clear" w:color="auto" w:fill="auto"/>
        <w:tabs>
          <w:tab w:pos="483" w:val="left"/>
        </w:tabs>
        <w:bidi w:val="0"/>
        <w:spacing w:before="0" w:after="38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7"/>
      <w:bookmarkEnd w:id="1928"/>
      <w:bookmarkEnd w:id="1930"/>
    </w:p>
    <w:p>
      <w:pPr>
        <w:pStyle w:val="Style32"/>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、重要的共同经营</w:t>
      </w:r>
      <w:bookmarkEnd w:id="1931"/>
      <w:bookmarkEnd w:id="1932"/>
      <w:bookmarkEnd w:id="1934"/>
    </w:p>
    <w:tbl>
      <w:tblPr>
        <w:tblOverlap w:val="never"/>
        <w:jc w:val="center"/>
        <w:tblLayout w:type="fixed"/>
      </w:tblPr>
      <w:tblGrid>
        <w:gridCol w:w="1613"/>
        <w:gridCol w:w="1598"/>
        <w:gridCol w:w="1598"/>
        <w:gridCol w:w="1589"/>
        <w:gridCol w:w="1594"/>
        <w:gridCol w:w="159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32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共同经营为单独主体的，分类为共同经营的依据： 其他说明</w:t>
      </w:r>
    </w:p>
    <w:p>
      <w:pPr>
        <w:pStyle w:val="Style32"/>
        <w:keepNext/>
        <w:keepLines/>
        <w:widowControl w:val="0"/>
        <w:shd w:val="clear" w:color="auto" w:fill="auto"/>
        <w:tabs>
          <w:tab w:pos="377" w:val="left"/>
        </w:tabs>
        <w:bidi w:val="0"/>
        <w:spacing w:before="0" w:after="2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w:t>
        <w:tab/>
        <w:t>在未纳入合并财务报表范围的结构化主体中的权益</w:t>
      </w:r>
      <w:bookmarkEnd w:id="1935"/>
      <w:bookmarkEnd w:id="1936"/>
      <w:bookmarkEnd w:id="1938"/>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7" w:val="left"/>
        </w:tabs>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6</w:t>
      </w:r>
      <w:bookmarkEnd w:id="1941"/>
      <w:r>
        <w:rPr>
          <w:color w:val="000000"/>
          <w:spacing w:val="0"/>
          <w:w w:val="100"/>
          <w:position w:val="0"/>
        </w:rPr>
        <w:t>、</w:t>
        <w:tab/>
        <w:t>其他</w:t>
      </w:r>
      <w:bookmarkEnd w:id="1939"/>
      <w:bookmarkEnd w:id="1940"/>
      <w:bookmarkEnd w:id="1942"/>
    </w:p>
    <w:p>
      <w:pPr>
        <w:pStyle w:val="Style24"/>
        <w:keepNext/>
        <w:keepLines/>
        <w:widowControl w:val="0"/>
        <w:shd w:val="clear" w:color="auto" w:fill="auto"/>
        <w:bidi w:val="0"/>
        <w:spacing w:before="0" w:after="26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十、与金融工具相关的风险</w:t>
      </w:r>
      <w:bookmarkEnd w:id="1943"/>
      <w:bookmarkEnd w:id="1944"/>
      <w:bookmarkEnd w:id="1945"/>
    </w:p>
    <w:p>
      <w:pPr>
        <w:pStyle w:val="Style21"/>
        <w:keepNext w:val="0"/>
        <w:keepLines w:val="0"/>
        <w:widowControl w:val="0"/>
        <w:shd w:val="clear" w:color="auto" w:fill="auto"/>
        <w:bidi w:val="0"/>
        <w:spacing w:before="0" w:after="120" w:line="310" w:lineRule="exact"/>
        <w:ind w:left="0" w:right="0"/>
        <w:jc w:val="both"/>
      </w:pPr>
      <w:r>
        <w:rPr>
          <w:color w:val="000000"/>
          <w:spacing w:val="0"/>
          <w:w w:val="100"/>
          <w:position w:val="0"/>
        </w:rPr>
        <w:t>本公司的主要金融工具包括货币资金、应收票据、应收账款、其他应收款、其他流动资产、交易性金融资产、其他权益 工具投资、应付票据、应付账款、其他应付款、短期借款、一年内到期的非流动负债、租赁负债。各项金融工具的详细情况 已于相关附注内披露。与这些金融工具有关的风险，以及本公司为降低这些风险所采取的风险管理政策如下所述。本公司管 理层对这些风险敞口进行管理和监控以确保将上述风险控制在限定的范围之内。</w:t>
      </w:r>
    </w:p>
    <w:p>
      <w:pPr>
        <w:pStyle w:val="Style21"/>
        <w:keepNext w:val="0"/>
        <w:keepLines w:val="0"/>
        <w:widowControl w:val="0"/>
        <w:shd w:val="clear" w:color="auto" w:fill="auto"/>
        <w:bidi w:val="0"/>
        <w:spacing w:before="0" w:after="38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21"/>
        <w:keepNext w:val="0"/>
        <w:keepLines w:val="0"/>
        <w:widowControl w:val="0"/>
        <w:shd w:val="clear" w:color="auto" w:fill="auto"/>
        <w:bidi w:val="0"/>
        <w:spacing w:before="0" w:after="0" w:line="306" w:lineRule="exact"/>
        <w:ind w:left="0" w:right="0"/>
        <w:jc w:val="both"/>
      </w:pPr>
      <w:bookmarkStart w:id="1946" w:name="bookmark1946"/>
      <w:r>
        <w:rPr>
          <w:color w:val="000000"/>
          <w:spacing w:val="0"/>
          <w:w w:val="100"/>
          <w:position w:val="0"/>
        </w:rPr>
        <w:t>（</w:t>
      </w:r>
      <w:bookmarkEnd w:id="1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）流动性风险</w:t>
      </w:r>
    </w:p>
    <w:p>
      <w:pPr>
        <w:pStyle w:val="Style21"/>
        <w:keepNext w:val="0"/>
        <w:keepLines w:val="0"/>
        <w:widowControl w:val="0"/>
        <w:shd w:val="clear" w:color="auto" w:fill="auto"/>
        <w:bidi w:val="0"/>
        <w:spacing w:before="0" w:after="0" w:line="306" w:lineRule="exact"/>
        <w:ind w:left="0" w:right="0"/>
        <w:jc w:val="both"/>
      </w:pPr>
      <w:r>
        <w:rPr>
          <w:color w:val="000000"/>
          <w:spacing w:val="0"/>
          <w:w w:val="100"/>
          <w:position w:val="0"/>
        </w:rPr>
        <w:t>流动性风险，是指本公司在履行以交付现金或其他金融资产结算的义务时遇到资金短缺的风险。</w:t>
      </w:r>
    </w:p>
    <w:p>
      <w:pPr>
        <w:pStyle w:val="Style21"/>
        <w:keepNext w:val="0"/>
        <w:keepLines w:val="0"/>
        <w:widowControl w:val="0"/>
        <w:shd w:val="clear" w:color="auto" w:fill="auto"/>
        <w:bidi w:val="0"/>
        <w:spacing w:before="0" w:after="0" w:line="306" w:lineRule="exact"/>
        <w:ind w:left="0" w:right="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金流量波动的影响。本公司管理层对银行借款的使用情况进行监控并确保遵守借款协议。同时从主要金融机构获得提供足够 备用资金的承诺，以满足短期和长期的资金需求。</w:t>
      </w:r>
    </w:p>
    <w:p>
      <w:pPr>
        <w:pStyle w:val="Style21"/>
        <w:keepNext w:val="0"/>
        <w:keepLines w:val="0"/>
        <w:widowControl w:val="0"/>
        <w:shd w:val="clear" w:color="auto" w:fill="auto"/>
        <w:bidi w:val="0"/>
        <w:spacing w:before="0" w:after="0" w:line="306" w:lineRule="exact"/>
        <w:ind w:left="0" w:right="0"/>
        <w:jc w:val="both"/>
      </w:pPr>
      <w:r>
        <w:rPr>
          <w:color w:val="000000"/>
          <w:spacing w:val="0"/>
          <w:w w:val="100"/>
          <w:position w:val="0"/>
        </w:rPr>
        <w:t>本公司通过经营业务产生的资金及银行及其他借款来筹措营运资金。于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日，本公司尚未使用的银行借款额 度为</w:t>
      </w:r>
      <w:r>
        <w:rPr>
          <w:color w:val="000000"/>
          <w:spacing w:val="0"/>
          <w:w w:val="100"/>
          <w:position w:val="0"/>
          <w:sz w:val="18"/>
          <w:szCs w:val="18"/>
        </w:rPr>
        <w:t>232,100.00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219,000.00</w:t>
      </w:r>
      <w:r>
        <w:rPr>
          <w:color w:val="000000"/>
          <w:spacing w:val="0"/>
          <w:w w:val="100"/>
          <w:position w:val="0"/>
        </w:rPr>
        <w:t>万元）。</w:t>
      </w:r>
    </w:p>
    <w:p>
      <w:pPr>
        <w:pStyle w:val="Style21"/>
        <w:keepNext w:val="0"/>
        <w:keepLines w:val="0"/>
        <w:widowControl w:val="0"/>
        <w:shd w:val="clear" w:color="auto" w:fill="auto"/>
        <w:bidi w:val="0"/>
        <w:spacing w:before="0" w:after="100" w:line="306" w:lineRule="exact"/>
        <w:ind w:left="0" w:right="0"/>
        <w:jc w:val="both"/>
      </w:pPr>
      <w:r>
        <w:rPr>
          <w:color w:val="000000"/>
          <w:spacing w:val="0"/>
          <w:w w:val="100"/>
          <w:position w:val="0"/>
        </w:rPr>
        <w:t>期末，本公司持有的金融资产、金融负债和表外担保项目按未折现剩余合同现金流量的到期期限分析如下：</w:t>
      </w:r>
    </w:p>
    <w:p>
      <w:pPr>
        <w:pStyle w:val="Style26"/>
        <w:keepNext w:val="0"/>
        <w:keepLines w:val="0"/>
        <w:widowControl w:val="0"/>
        <w:shd w:val="clear" w:color="auto" w:fill="auto"/>
        <w:bidi w:val="0"/>
        <w:spacing w:before="0" w:after="0" w:line="240" w:lineRule="auto"/>
        <w:ind w:left="8107" w:right="0" w:firstLine="0"/>
        <w:jc w:val="left"/>
      </w:pPr>
      <w:r>
        <w:rPr>
          <w:color w:val="000000"/>
          <w:spacing w:val="0"/>
          <w:w w:val="100"/>
          <w:position w:val="0"/>
        </w:rPr>
        <w:t>单位：万元</w:t>
      </w:r>
    </w:p>
    <w:tbl>
      <w:tblPr>
        <w:tblOverlap w:val="never"/>
        <w:jc w:val="center"/>
        <w:tblLayout w:type="fixed"/>
      </w:tblPr>
      <w:tblGrid>
        <w:gridCol w:w="2952"/>
        <w:gridCol w:w="1742"/>
        <w:gridCol w:w="1560"/>
        <w:gridCol w:w="1704"/>
        <w:gridCol w:w="1142"/>
      </w:tblGrid>
      <w:tr>
        <w:trPr>
          <w:trHeight w:val="350"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Hei" w:eastAsia="SimHei" w:hAnsi="SimHei" w:cs="SimHei"/>
                <w:color w:val="000000"/>
                <w:spacing w:val="0"/>
                <w:w w:val="100"/>
                <w:position w:val="0"/>
                <w:sz w:val="18"/>
                <w:szCs w:val="18"/>
              </w:rPr>
              <w:t>日</w:t>
            </w:r>
          </w:p>
        </w:tc>
      </w:tr>
      <w:tr>
        <w:trPr>
          <w:trHeight w:val="33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一年以内</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一年至五年以内</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56,951.06</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1,961.95</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33,742.81</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2,829.23</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504.44</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665.09</w:t>
            </w:r>
          </w:p>
        </w:tc>
      </w:tr>
      <w:tr>
        <w:trPr>
          <w:trHeight w:val="36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85,950.51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96,654.58</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期初，本公司持有的金融负债和表外担保项目按未折现剩余合同现金流量的到期期限分析如下:</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107" w:right="0" w:firstLine="0"/>
        <w:jc w:val="left"/>
      </w:pPr>
      <w:r>
        <w:rPr>
          <w:color w:val="000000"/>
          <w:spacing w:val="0"/>
          <w:w w:val="100"/>
          <w:position w:val="0"/>
        </w:rPr>
        <w:t>单位：万元</w:t>
      </w:r>
    </w:p>
    <w:tbl>
      <w:tblPr>
        <w:tblOverlap w:val="never"/>
        <w:jc w:val="center"/>
        <w:tblLayout w:type="fixed"/>
      </w:tblPr>
      <w:tblGrid>
        <w:gridCol w:w="2952"/>
        <w:gridCol w:w="1742"/>
        <w:gridCol w:w="1560"/>
        <w:gridCol w:w="1704"/>
        <w:gridCol w:w="1142"/>
      </w:tblGrid>
      <w:tr>
        <w:trPr>
          <w:trHeight w:val="336"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一年以内</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一年至五年以内</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57,050.99</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653.70</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38,903.55</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3,036.81</w:t>
            </w:r>
          </w:p>
        </w:tc>
      </w:tr>
      <w:tr>
        <w:trPr>
          <w:trHeight w:val="36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85,664.30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99,645.05</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本公司从事风险管理的目标是在风险和收益之间取得适当的平衡，力求降低金融风险对本公司财务业绩的不利影响。基 于该风险管理目标，本公司已制定风险管理政策以辨别和分析本公司所面临的风险，设定适当的风险可接受水平并设计相应 的内部控制程序，以监控本公司的风险水平。本公司会定期审阅这些风险管理政策及有关内部控制系统，以适应市场情况或 本公司经营活动的改变。本公司的内部审计部门也定期或随机检查内部控制系统的执行是否符合风险管理政策。</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本公司的金融工具导致的主要风险是信用风险、流动性风险、市场风险（包括汇率风险和利率风险）。</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1"/>
        <w:keepNext w:val="0"/>
        <w:keepLines w:val="0"/>
        <w:widowControl w:val="0"/>
        <w:shd w:val="clear" w:color="auto" w:fill="auto"/>
        <w:bidi w:val="0"/>
        <w:spacing w:before="0" w:line="312"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1"/>
        <w:keepNext w:val="0"/>
        <w:keepLines w:val="0"/>
        <w:widowControl w:val="0"/>
        <w:shd w:val="clear" w:color="auto" w:fill="auto"/>
        <w:tabs>
          <w:tab w:pos="735" w:val="left"/>
        </w:tabs>
        <w:bidi w:val="0"/>
        <w:spacing w:before="0" w:after="0" w:line="313" w:lineRule="exact"/>
        <w:ind w:left="0" w:right="0" w:firstLine="300"/>
        <w:jc w:val="both"/>
      </w:pPr>
      <w:bookmarkStart w:id="1947" w:name="bookmark1947"/>
      <w:r>
        <w:rPr>
          <w:color w:val="000000"/>
          <w:spacing w:val="0"/>
          <w:w w:val="100"/>
          <w:position w:val="0"/>
        </w:rPr>
        <w:t>（</w:t>
      </w:r>
      <w:bookmarkEnd w:id="1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本公司对信用风险按组合分类进行管理。信用风险主要产生于银行存款、应收票据、应收账款、其他应收款、长期应收 款等。</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本公司银行存款主要存放于国有银行和其它大中型上市银行，本公司预期银行存款不存在重大的信用风险。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对于应收票据、应收账款、其他应收款和长期应收款，本公司设定相关政策以控制信用风险敞口。本公司基于对客户的 财务状况、信用记录及其他因素诸如目前市场状况等评估客户的信用资质并设置相应信用期。本公司会定期对客户信用记录 进行监控，对于信用记录不良的客户，本公司会采用书面催款、缩短信用期或取消信用期等方式，以确保本公司的整体信用 风险在可控的范围内。</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本公司应收账款的债务人为分布于不同行业和地区的客户。本公司持续对应收账款的财务状况实施信用评估，并在适当 时购买信用担保保险。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21.47%（2020</w:t>
      </w:r>
      <w:r>
        <w:rPr>
          <w:color w:val="000000"/>
          <w:spacing w:val="0"/>
          <w:w w:val="100"/>
          <w:position w:val="0"/>
        </w:rPr>
        <w:t>年：</w:t>
      </w:r>
      <w:r>
        <w:rPr>
          <w:color w:val="000000"/>
          <w:spacing w:val="0"/>
          <w:w w:val="100"/>
          <w:position w:val="0"/>
          <w:sz w:val="18"/>
          <w:szCs w:val="18"/>
        </w:rPr>
        <w:t>20.14%）；</w:t>
      </w:r>
      <w:r>
        <w:rPr>
          <w:color w:val="000000"/>
          <w:spacing w:val="0"/>
          <w:w w:val="100"/>
          <w:position w:val="0"/>
        </w:rPr>
        <w:t>本公司其他应收款中， 欠款金额前五大公司的其他应收款占本公司其他应收款总额的</w:t>
      </w:r>
      <w:r>
        <w:rPr>
          <w:color w:val="000000"/>
          <w:spacing w:val="0"/>
          <w:w w:val="100"/>
          <w:position w:val="0"/>
          <w:sz w:val="18"/>
          <w:szCs w:val="18"/>
        </w:rPr>
        <w:t xml:space="preserve">27. </w:t>
      </w:r>
      <w:r>
        <w:rPr>
          <w:color w:val="000000"/>
          <w:spacing w:val="0"/>
          <w:w w:val="100"/>
          <w:position w:val="0"/>
          <w:sz w:val="18"/>
          <w:szCs w:val="18"/>
        </w:rPr>
        <w:t>93%（2020</w:t>
      </w:r>
      <w:r>
        <w:rPr>
          <w:color w:val="000000"/>
          <w:spacing w:val="0"/>
          <w:w w:val="100"/>
          <w:position w:val="0"/>
        </w:rPr>
        <w:t>年：</w:t>
      </w:r>
      <w:r>
        <w:rPr>
          <w:color w:val="000000"/>
          <w:spacing w:val="0"/>
          <w:w w:val="100"/>
          <w:position w:val="0"/>
          <w:sz w:val="18"/>
          <w:szCs w:val="18"/>
        </w:rPr>
        <w:t>24.16%）</w:t>
      </w:r>
      <w:r>
        <w:rPr>
          <w:color w:val="000000"/>
          <w:spacing w:val="0"/>
          <w:w w:val="100"/>
          <w:position w:val="0"/>
        </w:rPr>
        <w:t>。</w:t>
      </w:r>
    </w:p>
    <w:p>
      <w:pPr>
        <w:pStyle w:val="Style21"/>
        <w:keepNext w:val="0"/>
        <w:keepLines w:val="0"/>
        <w:widowControl w:val="0"/>
        <w:shd w:val="clear" w:color="auto" w:fill="auto"/>
        <w:tabs>
          <w:tab w:pos="735" w:val="left"/>
        </w:tabs>
        <w:bidi w:val="0"/>
        <w:spacing w:before="0" w:after="0" w:line="313" w:lineRule="exact"/>
        <w:ind w:left="0" w:right="0" w:firstLine="300"/>
        <w:jc w:val="both"/>
      </w:pPr>
      <w:bookmarkStart w:id="1948" w:name="bookmark1948"/>
      <w:r>
        <w:rPr>
          <w:color w:val="000000"/>
          <w:spacing w:val="0"/>
          <w:w w:val="100"/>
          <w:position w:val="0"/>
        </w:rPr>
        <w:t>（</w:t>
      </w:r>
      <w:bookmarkEnd w:id="19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利率风险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本公司所承担的利率变动风险不重大。</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汇率风险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本集团的主要经营位于中国境内，主要业务以人民币结算。因此，本集团面临的汇率风险并不重大。</w:t>
      </w:r>
    </w:p>
    <w:p>
      <w:pPr>
        <w:pStyle w:val="Style21"/>
        <w:keepNext w:val="0"/>
        <w:keepLines w:val="0"/>
        <w:widowControl w:val="0"/>
        <w:shd w:val="clear" w:color="auto" w:fill="auto"/>
        <w:bidi w:val="0"/>
        <w:spacing w:before="0" w:after="0" w:line="309" w:lineRule="exact"/>
        <w:ind w:left="0" w:right="0"/>
        <w:jc w:val="both"/>
      </w:pPr>
      <w:r>
        <w:rPr>
          <w:color w:val="000000"/>
          <w:spacing w:val="0"/>
          <w:w w:val="100"/>
          <w:position w:val="0"/>
        </w:rPr>
        <w:t>本集团期末外币金融资产和外币金融负债列示见本附注五之</w:t>
      </w:r>
      <w:r>
        <w:rPr>
          <w:color w:val="000000"/>
          <w:spacing w:val="0"/>
          <w:w w:val="100"/>
          <w:position w:val="0"/>
          <w:sz w:val="18"/>
          <w:szCs w:val="18"/>
        </w:rPr>
        <w:t>55</w:t>
      </w:r>
      <w:r>
        <w:rPr>
          <w:color w:val="000000"/>
          <w:spacing w:val="0"/>
          <w:w w:val="100"/>
          <w:position w:val="0"/>
        </w:rPr>
        <w:t>、外币货币性项目。</w:t>
      </w:r>
    </w:p>
    <w:p>
      <w:pPr>
        <w:pStyle w:val="Style21"/>
        <w:keepNext w:val="0"/>
        <w:keepLines w:val="0"/>
        <w:widowControl w:val="0"/>
        <w:shd w:val="clear" w:color="auto" w:fill="auto"/>
        <w:bidi w:val="0"/>
        <w:spacing w:before="0" w:after="0" w:line="309" w:lineRule="exact"/>
        <w:ind w:left="0" w:right="0" w:firstLine="440"/>
        <w:jc w:val="both"/>
      </w:pPr>
      <w:r>
        <w:rPr>
          <w:color w:val="000000"/>
          <w:spacing w:val="0"/>
          <w:w w:val="100"/>
          <w:position w:val="0"/>
          <w:sz w:val="18"/>
          <w:szCs w:val="18"/>
        </w:rPr>
        <w:t>2</w:t>
      </w:r>
      <w:r>
        <w:rPr>
          <w:color w:val="000000"/>
          <w:spacing w:val="0"/>
          <w:w w:val="100"/>
          <w:position w:val="0"/>
        </w:rPr>
        <w:t>、资本管理</w:t>
      </w:r>
    </w:p>
    <w:p>
      <w:pPr>
        <w:pStyle w:val="Style21"/>
        <w:keepNext w:val="0"/>
        <w:keepLines w:val="0"/>
        <w:widowControl w:val="0"/>
        <w:shd w:val="clear" w:color="auto" w:fill="auto"/>
        <w:bidi w:val="0"/>
        <w:spacing w:before="0" w:after="0" w:line="309" w:lineRule="exact"/>
        <w:ind w:left="0" w:right="0"/>
        <w:jc w:val="both"/>
      </w:pPr>
      <w:r>
        <w:rPr>
          <w:color w:val="000000"/>
          <w:spacing w:val="0"/>
          <w:w w:val="100"/>
          <w:position w:val="0"/>
        </w:rPr>
        <w:t>本公司资本管理政策的目标是为了保障本公司能够持续经营，从而为股东提供回报，并使其他利益相关者获益，同时维 持最佳的资本结构以降低资本成本。</w:t>
      </w:r>
    </w:p>
    <w:p>
      <w:pPr>
        <w:pStyle w:val="Style21"/>
        <w:keepNext w:val="0"/>
        <w:keepLines w:val="0"/>
        <w:widowControl w:val="0"/>
        <w:shd w:val="clear" w:color="auto" w:fill="auto"/>
        <w:bidi w:val="0"/>
        <w:spacing w:before="0" w:after="0" w:line="309" w:lineRule="exact"/>
        <w:ind w:left="0" w:right="0"/>
        <w:jc w:val="both"/>
      </w:pPr>
      <w:r>
        <w:rPr>
          <w:color w:val="000000"/>
          <w:spacing w:val="0"/>
          <w:w w:val="100"/>
          <w:position w:val="0"/>
        </w:rPr>
        <w:t>为了维持或调整资本结构，本公司可能会调整融资方式、调整支付给股东的股利金额、向股东返还资本、发行新股与其 他权益工具或出售资产以减低债务。</w:t>
      </w:r>
    </w:p>
    <w:p>
      <w:pPr>
        <w:pStyle w:val="Style21"/>
        <w:keepNext w:val="0"/>
        <w:keepLines w:val="0"/>
        <w:widowControl w:val="0"/>
        <w:shd w:val="clear" w:color="auto" w:fill="auto"/>
        <w:bidi w:val="0"/>
        <w:spacing w:before="0" w:after="360" w:line="309" w:lineRule="exact"/>
        <w:ind w:left="0" w:right="0"/>
        <w:jc w:val="both"/>
      </w:pPr>
      <w:r>
        <w:rPr>
          <w:color w:val="000000"/>
          <w:spacing w:val="0"/>
          <w:w w:val="100"/>
          <w:position w:val="0"/>
        </w:rPr>
        <w:t>本公司以资产负债率（即总负债除以总资产）为基础对资本结构进行监控。于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日，本公司的资产负债率为 </w:t>
      </w:r>
      <w:r>
        <w:rPr>
          <w:color w:val="000000"/>
          <w:spacing w:val="0"/>
          <w:w w:val="100"/>
          <w:position w:val="0"/>
          <w:sz w:val="18"/>
          <w:szCs w:val="18"/>
        </w:rPr>
        <w:t xml:space="preserve">44. </w:t>
      </w:r>
      <w:r>
        <w:rPr>
          <w:color w:val="000000"/>
          <w:spacing w:val="0"/>
          <w:w w:val="100"/>
          <w:position w:val="0"/>
          <w:sz w:val="18"/>
          <w:szCs w:val="18"/>
        </w:rPr>
        <w:t>44%（2020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44.90%</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r>
        <w:rPr>
          <w:color w:val="000000"/>
          <w:spacing w:val="0"/>
          <w:w w:val="100"/>
          <w:position w:val="0"/>
          <w:sz w:val="24"/>
          <w:szCs w:val="24"/>
        </w:rPr>
        <w:t>十一、公允价值的披露</w:t>
      </w:r>
      <w:bookmarkEnd w:id="1949"/>
      <w:bookmarkEnd w:id="1950"/>
      <w:bookmarkEnd w:id="1951"/>
    </w:p>
    <w:p>
      <w:pPr>
        <w:pStyle w:val="Style32"/>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2"/>
      <w:bookmarkEnd w:id="1953"/>
      <w:bookmarkEnd w:id="1954"/>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011"/>
        <w:gridCol w:w="1838"/>
        <w:gridCol w:w="1920"/>
        <w:gridCol w:w="1910"/>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2006"/>
        <w:gridCol w:w="1838"/>
        <w:gridCol w:w="1920"/>
        <w:gridCol w:w="1910"/>
        <w:gridCol w:w="1930"/>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27,745,000.00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27,745,000.00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110,761,462.93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110,761,462.93</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280" w:line="240" w:lineRule="auto"/>
        <w:ind w:left="0" w:right="0" w:firstLine="0"/>
        <w:jc w:val="both"/>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55"/>
      <w:bookmarkEnd w:id="1956"/>
      <w:bookmarkEnd w:id="1957"/>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相同资产或负债在活跃市场中的报价（未经调整的）。</w:t>
      </w:r>
    </w:p>
    <w:p>
      <w:pPr>
        <w:pStyle w:val="Style32"/>
        <w:keepNext/>
        <w:keepLines/>
        <w:widowControl w:val="0"/>
        <w:shd w:val="clear" w:color="auto" w:fill="auto"/>
        <w:tabs>
          <w:tab w:pos="368" w:val="left"/>
        </w:tabs>
        <w:bidi w:val="0"/>
        <w:spacing w:before="0" w:after="280" w:line="240" w:lineRule="auto"/>
        <w:ind w:left="0" w:right="0" w:firstLine="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3</w:t>
      </w:r>
      <w:bookmarkEnd w:id="1960"/>
      <w:r>
        <w:rPr>
          <w:color w:val="000000"/>
          <w:spacing w:val="0"/>
          <w:w w:val="100"/>
          <w:position w:val="0"/>
        </w:rPr>
        <w:t>、</w:t>
        <w:tab/>
        <w:t>持续和非持续第二层次公允价值计量项目，采用的估值技术和重要参数的定性及定量信息</w:t>
      </w:r>
      <w:bookmarkEnd w:id="1958"/>
      <w:bookmarkEnd w:id="1959"/>
      <w:bookmarkEnd w:id="1961"/>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直接（即价格）或间接（即从价格推导出）地使用除第一层次中的资产或负债的市场报价之外的可观察输入值。</w:t>
      </w:r>
    </w:p>
    <w:p>
      <w:pPr>
        <w:pStyle w:val="Style32"/>
        <w:keepNext/>
        <w:keepLines/>
        <w:widowControl w:val="0"/>
        <w:shd w:val="clear" w:color="auto" w:fill="auto"/>
        <w:tabs>
          <w:tab w:pos="368" w:val="left"/>
        </w:tabs>
        <w:bidi w:val="0"/>
        <w:spacing w:before="0" w:after="280" w:line="240" w:lineRule="auto"/>
        <w:ind w:left="0" w:right="0" w:firstLine="0"/>
        <w:jc w:val="both"/>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4</w:t>
      </w:r>
      <w:bookmarkEnd w:id="1964"/>
      <w:r>
        <w:rPr>
          <w:color w:val="000000"/>
          <w:spacing w:val="0"/>
          <w:w w:val="100"/>
          <w:position w:val="0"/>
        </w:rPr>
        <w:t>、</w:t>
        <w:tab/>
        <w:t>持续和非持续第三层次公允价值计量项目，采用的估值技术和重要参数的定性及定量信息</w:t>
      </w:r>
      <w:bookmarkEnd w:id="1962"/>
      <w:bookmarkEnd w:id="1963"/>
      <w:bookmarkEnd w:id="1965"/>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资产或负债使用了任何非基于可观察市场数据的输入值（不可观察输入值）。</w:t>
      </w:r>
    </w:p>
    <w:p>
      <w:pPr>
        <w:pStyle w:val="Style32"/>
        <w:keepNext/>
        <w:keepLines/>
        <w:widowControl w:val="0"/>
        <w:shd w:val="clear" w:color="auto" w:fill="auto"/>
        <w:tabs>
          <w:tab w:pos="368" w:val="left"/>
        </w:tabs>
        <w:bidi w:val="0"/>
        <w:spacing w:before="0" w:line="240" w:lineRule="auto"/>
        <w:ind w:left="0" w:right="0" w:firstLine="0"/>
        <w:jc w:val="both"/>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5</w:t>
      </w:r>
      <w:bookmarkEnd w:id="1968"/>
      <w:r>
        <w:rPr>
          <w:color w:val="000000"/>
          <w:spacing w:val="0"/>
          <w:w w:val="100"/>
          <w:position w:val="0"/>
        </w:rPr>
        <w:t>、</w:t>
        <w:tab/>
        <w:t>持续的第三层次公允价值计量项目，期初与期末账面价值间的调节信息及不可观察参数敏感性分析</w:t>
      </w:r>
      <w:bookmarkEnd w:id="1966"/>
      <w:bookmarkEnd w:id="1967"/>
      <w:bookmarkEnd w:id="1969"/>
    </w:p>
    <w:p>
      <w:pPr>
        <w:pStyle w:val="Style32"/>
        <w:keepNext/>
        <w:keepLines/>
        <w:widowControl w:val="0"/>
        <w:shd w:val="clear" w:color="auto" w:fill="auto"/>
        <w:tabs>
          <w:tab w:pos="368" w:val="left"/>
        </w:tabs>
        <w:bidi w:val="0"/>
        <w:spacing w:before="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6</w:t>
      </w:r>
      <w:bookmarkEnd w:id="1972"/>
      <w:r>
        <w:rPr>
          <w:color w:val="000000"/>
          <w:spacing w:val="0"/>
          <w:w w:val="100"/>
          <w:position w:val="0"/>
        </w:rPr>
        <w:t>、</w:t>
        <w:tab/>
        <w:t>持续的公允价值计量项目，本期内发生各层级之间转换的，转换的原因及确定转换时点的政策</w:t>
      </w:r>
      <w:bookmarkEnd w:id="1970"/>
      <w:bookmarkEnd w:id="1971"/>
      <w:bookmarkEnd w:id="1973"/>
    </w:p>
    <w:p>
      <w:pPr>
        <w:pStyle w:val="Style32"/>
        <w:keepNext/>
        <w:keepLines/>
        <w:widowControl w:val="0"/>
        <w:shd w:val="clear" w:color="auto" w:fill="auto"/>
        <w:tabs>
          <w:tab w:pos="368" w:val="left"/>
        </w:tabs>
        <w:bidi w:val="0"/>
        <w:spacing w:before="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7</w:t>
      </w:r>
      <w:bookmarkEnd w:id="1976"/>
      <w:r>
        <w:rPr>
          <w:color w:val="000000"/>
          <w:spacing w:val="0"/>
          <w:w w:val="100"/>
          <w:position w:val="0"/>
        </w:rPr>
        <w:t>、</w:t>
        <w:tab/>
        <w:t>本期内发生的估值技术变更及变更原因</w:t>
      </w:r>
      <w:bookmarkEnd w:id="1974"/>
      <w:bookmarkEnd w:id="1975"/>
      <w:bookmarkEnd w:id="1977"/>
    </w:p>
    <w:p>
      <w:pPr>
        <w:pStyle w:val="Style32"/>
        <w:keepNext/>
        <w:keepLines/>
        <w:widowControl w:val="0"/>
        <w:shd w:val="clear" w:color="auto" w:fill="auto"/>
        <w:tabs>
          <w:tab w:pos="368" w:val="left"/>
        </w:tabs>
        <w:bidi w:val="0"/>
        <w:spacing w:before="0" w:after="280" w:line="240" w:lineRule="auto"/>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8</w:t>
      </w:r>
      <w:bookmarkEnd w:id="1980"/>
      <w:r>
        <w:rPr>
          <w:color w:val="000000"/>
          <w:spacing w:val="0"/>
          <w:w w:val="100"/>
          <w:position w:val="0"/>
        </w:rPr>
        <w:t>、</w:t>
        <w:tab/>
        <w:t>不以公允价值计量的金融资产和金融负债的公允价值情况</w:t>
      </w:r>
      <w:bookmarkEnd w:id="1978"/>
      <w:bookmarkEnd w:id="1979"/>
      <w:bookmarkEnd w:id="1981"/>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本公司以摊余成本计量的金融资产和金融负债主要包括：货币资金、应收票据、应收账款、其他应收款、债权投资、短期借 款、应付票据、应付账款、其他应付款等。</w:t>
      </w:r>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本公司上述以公允价值计量的金融资产和金融负债的账面价值与公允价值相差很小。</w:t>
      </w:r>
    </w:p>
    <w:p>
      <w:pPr>
        <w:pStyle w:val="Style32"/>
        <w:keepNext/>
        <w:keepLines/>
        <w:widowControl w:val="0"/>
        <w:shd w:val="clear" w:color="auto" w:fill="auto"/>
        <w:bidi w:val="0"/>
        <w:spacing w:before="0" w:line="240" w:lineRule="auto"/>
        <w:ind w:left="0" w:right="0" w:firstLine="0"/>
        <w:jc w:val="both"/>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9</w:t>
      </w:r>
      <w:bookmarkEnd w:id="1984"/>
      <w:r>
        <w:rPr>
          <w:color w:val="000000"/>
          <w:spacing w:val="0"/>
          <w:w w:val="100"/>
          <w:position w:val="0"/>
        </w:rPr>
        <w:t>、其他</w:t>
      </w:r>
      <w:bookmarkEnd w:id="1982"/>
      <w:bookmarkEnd w:id="1983"/>
      <w:bookmarkEnd w:id="1985"/>
    </w:p>
    <w:p>
      <w:pPr>
        <w:pStyle w:val="Style24"/>
        <w:keepNext/>
        <w:keepLines/>
        <w:widowControl w:val="0"/>
        <w:shd w:val="clear" w:color="auto" w:fill="auto"/>
        <w:bidi w:val="0"/>
        <w:spacing w:before="0" w:after="360" w:line="240" w:lineRule="auto"/>
        <w:ind w:left="0" w:right="0" w:firstLine="0"/>
        <w:jc w:val="both"/>
      </w:pPr>
      <w:bookmarkStart w:id="1986" w:name="bookmark1986"/>
      <w:bookmarkStart w:id="1987" w:name="bookmark1987"/>
      <w:bookmarkStart w:id="1988" w:name="bookmark1988"/>
      <w:r>
        <w:rPr>
          <w:color w:val="000000"/>
          <w:spacing w:val="0"/>
          <w:w w:val="100"/>
          <w:position w:val="0"/>
          <w:sz w:val="24"/>
          <w:szCs w:val="24"/>
        </w:rPr>
        <w:t>十二、关联方及关联交易</w:t>
      </w:r>
      <w:bookmarkEnd w:id="1986"/>
      <w:bookmarkEnd w:id="1987"/>
      <w:bookmarkEnd w:id="1988"/>
    </w:p>
    <w:p>
      <w:pPr>
        <w:pStyle w:val="Style32"/>
        <w:keepNext/>
        <w:keepLines/>
        <w:widowControl w:val="0"/>
        <w:shd w:val="clear" w:color="auto" w:fill="auto"/>
        <w:bidi w:val="0"/>
        <w:spacing w:before="0" w:line="240" w:lineRule="auto"/>
        <w:ind w:left="0" w:right="0" w:firstLine="0"/>
        <w:jc w:val="both"/>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89"/>
      <w:bookmarkEnd w:id="1990"/>
      <w:bookmarkEnd w:id="1991"/>
    </w:p>
    <w:tbl>
      <w:tblPr>
        <w:tblOverlap w:val="never"/>
        <w:jc w:val="center"/>
        <w:tblLayout w:type="fixed"/>
      </w:tblPr>
      <w:tblGrid>
        <w:gridCol w:w="1613"/>
        <w:gridCol w:w="1594"/>
        <w:gridCol w:w="1594"/>
        <w:gridCol w:w="1603"/>
        <w:gridCol w:w="1584"/>
        <w:gridCol w:w="1603"/>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本企业最终控制方是鲁峰。</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tabs>
          <w:tab w:pos="368" w:val="left"/>
        </w:tabs>
        <w:bidi w:val="0"/>
        <w:spacing w:before="0" w:line="240" w:lineRule="auto"/>
        <w:ind w:left="0" w:right="0" w:firstLine="0"/>
        <w:jc w:val="both"/>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2</w:t>
      </w:r>
      <w:bookmarkEnd w:id="1994"/>
      <w:r>
        <w:rPr>
          <w:color w:val="000000"/>
          <w:spacing w:val="0"/>
          <w:w w:val="100"/>
          <w:position w:val="0"/>
        </w:rPr>
        <w:t>、</w:t>
        <w:tab/>
        <w:t>本企业的子公司情况</w:t>
      </w:r>
      <w:bookmarkEnd w:id="1992"/>
      <w:bookmarkEnd w:id="1993"/>
      <w:bookmarkEnd w:id="1995"/>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368" w:val="left"/>
        </w:tabs>
        <w:bidi w:val="0"/>
        <w:spacing w:before="0" w:line="240" w:lineRule="auto"/>
        <w:ind w:left="0" w:right="0" w:firstLine="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w:t>
        <w:tab/>
        <w:t>本企业合营和联营企业情况</w:t>
      </w:r>
      <w:bookmarkEnd w:id="1996"/>
      <w:bookmarkEnd w:id="1997"/>
      <w:bookmarkEnd w:id="199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40.70%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福建文鑫莲业有限责任公司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12.58%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建宁县日升投资有限公司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15.00%</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本集团持股</w:t>
            </w:r>
            <w:r>
              <w:rPr>
                <w:rFonts w:ascii="Times New Roman" w:eastAsia="Times New Roman" w:hAnsi="Times New Roman" w:cs="Times New Roman"/>
                <w:color w:val="000000"/>
                <w:spacing w:val="0"/>
                <w:w w:val="100"/>
                <w:position w:val="0"/>
                <w:sz w:val="18"/>
                <w:szCs w:val="18"/>
              </w:rPr>
              <w:t>35.00%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4</w:t>
      </w:r>
      <w:bookmarkEnd w:id="2002"/>
      <w:r>
        <w:rPr>
          <w:color w:val="000000"/>
          <w:spacing w:val="0"/>
          <w:w w:val="100"/>
          <w:position w:val="0"/>
        </w:rPr>
        <w:t>、其他关联方情况</w:t>
      </w:r>
      <w:bookmarkEnd w:id="2000"/>
      <w:bookmarkEnd w:id="2001"/>
      <w:bookmarkEnd w:id="2003"/>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子公司福建星榕基信息科技有限责任公司的参股股东（持股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5</w:t>
      </w:r>
      <w:bookmarkEnd w:id="2006"/>
      <w:r>
        <w:rPr>
          <w:color w:val="000000"/>
          <w:spacing w:val="0"/>
          <w:w w:val="100"/>
          <w:position w:val="0"/>
        </w:rPr>
        <w:t>、关联交易情况</w:t>
      </w:r>
      <w:bookmarkEnd w:id="2004"/>
      <w:bookmarkEnd w:id="2005"/>
      <w:bookmarkEnd w:id="2007"/>
    </w:p>
    <w:p>
      <w:pPr>
        <w:pStyle w:val="Style36"/>
        <w:keepNext/>
        <w:keepLines/>
        <w:widowControl w:val="0"/>
        <w:shd w:val="clear" w:color="auto" w:fill="auto"/>
        <w:bidi w:val="0"/>
        <w:spacing w:before="0" w:line="240" w:lineRule="auto"/>
        <w:ind w:left="0" w:right="0" w:firstLine="0"/>
        <w:jc w:val="both"/>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08"/>
      <w:bookmarkEnd w:id="2009"/>
      <w:bookmarkEnd w:id="2010"/>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4"/>
        <w:gridCol w:w="17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福建闽光软件股份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86,933.96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3,815,044.25</w:t>
            </w:r>
          </w:p>
        </w:tc>
      </w:tr>
    </w:tbl>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874,528.30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269,026.55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4,242,504.99</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858,490.57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6"/>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1"/>
      <w:bookmarkEnd w:id="2012"/>
      <w:bookmarkEnd w:id="201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6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946"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14"/>
      <w:bookmarkEnd w:id="2015"/>
      <w:bookmarkEnd w:id="2017"/>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5"/>
        <w:gridCol w:w="2390"/>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63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18"/>
      <w:bookmarkEnd w:id="2019"/>
      <w:bookmarkEnd w:id="2021"/>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63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22"/>
      <w:bookmarkEnd w:id="2023"/>
      <w:bookmarkEnd w:id="20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322"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36"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26"/>
      <w:bookmarkEnd w:id="2027"/>
      <w:bookmarkEnd w:id="2029"/>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1310005</wp:posOffset>
                </wp:positionH>
                <wp:positionV relativeFrom="paragraph">
                  <wp:posOffset>0</wp:posOffset>
                </wp:positionV>
                <wp:extent cx="368935" cy="149225"/>
                <wp:wrapTopAndBottom/>
                <wp:docPr id="14" name="Shape 14"/>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关联方</w:t>
                            </w:r>
                          </w:p>
                        </w:txbxContent>
                      </wps:txbx>
                      <wps:bodyPr wrap="none" lIns="0" tIns="0" rIns="0" bIns="0">
                        <a:noAutoFit/>
                      </wps:bodyPr>
                    </wps:wsp>
                  </a:graphicData>
                </a:graphic>
              </wp:anchor>
            </w:drawing>
          </mc:Choice>
          <mc:Fallback>
            <w:pict>
              <v:shape id="_x0000_s1040" type="#_x0000_t202" style="position:absolute;margin-left:103.15000000000001pt;margin-top:0;width:29.050000000000001pt;height:11.75pt;z-index:-125829363;mso-wrap-distance-left:0;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关联方</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2654300</wp:posOffset>
                </wp:positionH>
                <wp:positionV relativeFrom="paragraph">
                  <wp:posOffset>0</wp:posOffset>
                </wp:positionV>
                <wp:extent cx="709930" cy="149225"/>
                <wp:wrapTopAndBottom/>
                <wp:docPr id="16" name="Shape 16"/>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关联交易内容</w:t>
                            </w:r>
                          </w:p>
                        </w:txbxContent>
                      </wps:txbx>
                      <wps:bodyPr wrap="none" lIns="0" tIns="0" rIns="0" bIns="0">
                        <a:noAutoFit/>
                      </wps:bodyPr>
                    </wps:wsp>
                  </a:graphicData>
                </a:graphic>
              </wp:anchor>
            </w:drawing>
          </mc:Choice>
          <mc:Fallback>
            <w:pict>
              <v:shape id="_x0000_s1042" type="#_x0000_t202" style="position:absolute;margin-left:209.pt;margin-top:0;width:55.899999999999999pt;height:11.75pt;z-index:-125829361;mso-wrap-distance-left:0;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关联交易内容</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4232910</wp:posOffset>
                </wp:positionH>
                <wp:positionV relativeFrom="paragraph">
                  <wp:posOffset>0</wp:posOffset>
                </wp:positionV>
                <wp:extent cx="597535" cy="149225"/>
                <wp:wrapTopAndBottom/>
                <wp:docPr id="18" name="Shape 1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044" type="#_x0000_t202" style="position:absolute;margin-left:333.30000000000001pt;margin-top:0;width:47.050000000000004pt;height:11.75pt;z-index:-125829359;mso-wrap-distance-left:0;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5756910</wp:posOffset>
                </wp:positionH>
                <wp:positionV relativeFrom="paragraph">
                  <wp:posOffset>0</wp:posOffset>
                </wp:positionV>
                <wp:extent cx="597535" cy="149225"/>
                <wp:wrapTopAndBottom/>
                <wp:docPr id="20" name="Shape 2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046" type="#_x0000_t202" style="position:absolute;margin-left:453.30000000000001pt;margin-top:0;width:47.050000000000004pt;height:11.75pt;z-index:-125829357;mso-wrap-distance-left:0;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w:br w:type="page"/>
      </w:r>
    </w:p>
    <w:p>
      <w:pPr>
        <w:pStyle w:val="Style36"/>
        <w:keepNext/>
        <w:keepLines/>
        <w:widowControl w:val="0"/>
        <w:shd w:val="clear" w:color="auto" w:fill="auto"/>
        <w:bidi w:val="0"/>
        <w:spacing w:before="0" w:line="240" w:lineRule="auto"/>
        <w:ind w:left="0" w:right="0" w:firstLine="0"/>
        <w:jc w:val="both"/>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0"/>
      <w:bookmarkEnd w:id="2031"/>
      <w:bookmarkEnd w:id="20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4,717,000.00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4"/>
      <w:bookmarkEnd w:id="2035"/>
      <w:bookmarkEnd w:id="2037"/>
    </w:p>
    <w:p>
      <w:pPr>
        <w:pStyle w:val="Style32"/>
        <w:keepNext/>
        <w:keepLines/>
        <w:widowControl w:val="0"/>
        <w:shd w:val="clear" w:color="auto" w:fill="auto"/>
        <w:bidi w:val="0"/>
        <w:spacing w:before="0" w:line="240" w:lineRule="auto"/>
        <w:ind w:left="0" w:right="0" w:firstLine="0"/>
        <w:jc w:val="both"/>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6</w:t>
      </w:r>
      <w:bookmarkEnd w:id="2040"/>
      <w:r>
        <w:rPr>
          <w:color w:val="000000"/>
          <w:spacing w:val="0"/>
          <w:w w:val="100"/>
          <w:position w:val="0"/>
        </w:rPr>
        <w:t>、关联方应收应付款项</w:t>
      </w:r>
      <w:bookmarkEnd w:id="2038"/>
      <w:bookmarkEnd w:id="2039"/>
      <w:bookmarkEnd w:id="2041"/>
    </w:p>
    <w:p>
      <w:pPr>
        <w:pStyle w:val="Style36"/>
        <w:keepNext/>
        <w:keepLines/>
        <w:widowControl w:val="0"/>
        <w:shd w:val="clear" w:color="auto" w:fill="auto"/>
        <w:bidi w:val="0"/>
        <w:spacing w:before="0" w:line="240" w:lineRule="auto"/>
        <w:ind w:left="0" w:right="0" w:firstLine="0"/>
        <w:jc w:val="both"/>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2"/>
      <w:bookmarkEnd w:id="2043"/>
      <w:bookmarkEnd w:id="20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1,690,349.72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2,571,259.72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573,099.84</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3,309,305.50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4,089,905.50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793,441.67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福建闽光软件股份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1,227,519.90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1,698,151.40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63,001.42</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福建闽光软件股份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17,622.50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 应用服务有限公司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25,826.22</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45"/>
      <w:bookmarkEnd w:id="2046"/>
      <w:bookmarkEnd w:id="20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福建闽光软件股份有限公司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福建省星云大数据应用服务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62" w:right="1075" w:bottom="1429" w:left="1039"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7</w:t>
      </w:r>
      <w:bookmarkEnd w:id="2050"/>
      <w:r>
        <w:rPr>
          <w:color w:val="000000"/>
          <w:spacing w:val="0"/>
          <w:w w:val="100"/>
          <w:position w:val="0"/>
        </w:rPr>
        <w:t>、关联方承诺</w:t>
      </w:r>
      <w:bookmarkEnd w:id="2048"/>
      <w:bookmarkEnd w:id="2049"/>
      <w:bookmarkEnd w:id="2051"/>
    </w:p>
    <w:p>
      <w:pPr>
        <w:pStyle w:val="Style32"/>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8</w:t>
      </w:r>
      <w:bookmarkEnd w:id="2054"/>
      <w:r>
        <w:rPr>
          <w:color w:val="000000"/>
          <w:spacing w:val="0"/>
          <w:w w:val="100"/>
          <w:position w:val="0"/>
        </w:rPr>
        <w:t>、其他</w:t>
      </w:r>
      <w:bookmarkEnd w:id="2052"/>
      <w:bookmarkEnd w:id="2053"/>
      <w:bookmarkEnd w:id="2055"/>
    </w:p>
    <w:p>
      <w:pPr>
        <w:pStyle w:val="Style24"/>
        <w:keepNext/>
        <w:keepLines/>
        <w:widowControl w:val="0"/>
        <w:shd w:val="clear" w:color="auto" w:fill="auto"/>
        <w:bidi w:val="0"/>
        <w:spacing w:before="0" w:after="360" w:line="240" w:lineRule="auto"/>
        <w:ind w:left="0" w:right="0" w:firstLine="0"/>
        <w:jc w:val="left"/>
      </w:pPr>
      <w:bookmarkStart w:id="2056" w:name="bookmark2056"/>
      <w:bookmarkStart w:id="2057" w:name="bookmark2057"/>
      <w:bookmarkStart w:id="2058" w:name="bookmark2058"/>
      <w:r>
        <w:rPr>
          <w:color w:val="000000"/>
          <w:spacing w:val="0"/>
          <w:w w:val="100"/>
          <w:position w:val="0"/>
          <w:sz w:val="24"/>
          <w:szCs w:val="24"/>
        </w:rPr>
        <w:t>十三、股份支付</w:t>
      </w:r>
      <w:bookmarkEnd w:id="2056"/>
      <w:bookmarkEnd w:id="2057"/>
      <w:bookmarkEnd w:id="2058"/>
    </w:p>
    <w:p>
      <w:pPr>
        <w:pStyle w:val="Style32"/>
        <w:keepNext/>
        <w:keepLines/>
        <w:widowControl w:val="0"/>
        <w:shd w:val="clear" w:color="auto" w:fill="auto"/>
        <w:tabs>
          <w:tab w:pos="358"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bookmarkEnd w:id="2061"/>
      <w:r>
        <w:rPr>
          <w:color w:val="000000"/>
          <w:spacing w:val="0"/>
          <w:w w:val="100"/>
          <w:position w:val="0"/>
        </w:rPr>
        <w:t>、</w:t>
        <w:tab/>
        <w:t>股份支付总体情况</w:t>
      </w:r>
      <w:bookmarkEnd w:id="2059"/>
      <w:bookmarkEnd w:id="2060"/>
      <w:bookmarkEnd w:id="206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bookmarkEnd w:id="2065"/>
      <w:r>
        <w:rPr>
          <w:color w:val="000000"/>
          <w:spacing w:val="0"/>
          <w:w w:val="100"/>
          <w:position w:val="0"/>
        </w:rPr>
        <w:t>、</w:t>
        <w:tab/>
        <w:t>以权益结算的股份支付情况</w:t>
      </w:r>
      <w:bookmarkEnd w:id="2063"/>
      <w:bookmarkEnd w:id="2064"/>
      <w:bookmarkEnd w:id="206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以现金结算的股份支付情况</w:t>
      </w:r>
      <w:bookmarkEnd w:id="2067"/>
      <w:bookmarkEnd w:id="2068"/>
      <w:bookmarkEnd w:id="207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color w:val="000000"/>
          <w:spacing w:val="0"/>
          <w:w w:val="100"/>
          <w:position w:val="0"/>
        </w:rPr>
        <w:t>、</w:t>
        <w:tab/>
        <w:t>股份支付的修改、终止情况</w:t>
      </w:r>
      <w:bookmarkEnd w:id="2071"/>
      <w:bookmarkEnd w:id="2072"/>
      <w:bookmarkEnd w:id="2074"/>
    </w:p>
    <w:p>
      <w:pPr>
        <w:pStyle w:val="Style32"/>
        <w:keepNext/>
        <w:keepLines/>
        <w:widowControl w:val="0"/>
        <w:shd w:val="clear" w:color="auto" w:fill="auto"/>
        <w:tabs>
          <w:tab w:pos="368"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5</w:t>
      </w:r>
      <w:bookmarkEnd w:id="2077"/>
      <w:r>
        <w:rPr>
          <w:color w:val="000000"/>
          <w:spacing w:val="0"/>
          <w:w w:val="100"/>
          <w:position w:val="0"/>
        </w:rPr>
        <w:t>、</w:t>
        <w:tab/>
        <w:t>其他</w:t>
      </w:r>
      <w:bookmarkEnd w:id="2075"/>
      <w:bookmarkEnd w:id="2076"/>
      <w:bookmarkEnd w:id="2078"/>
    </w:p>
    <w:p>
      <w:pPr>
        <w:pStyle w:val="Style24"/>
        <w:keepNext/>
        <w:keepLines/>
        <w:widowControl w:val="0"/>
        <w:shd w:val="clear" w:color="auto" w:fill="auto"/>
        <w:bidi w:val="0"/>
        <w:spacing w:before="0" w:after="36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十四、承诺及或有事项</w:t>
      </w:r>
      <w:bookmarkEnd w:id="2079"/>
      <w:bookmarkEnd w:id="2080"/>
      <w:bookmarkEnd w:id="2081"/>
    </w:p>
    <w:p>
      <w:pPr>
        <w:pStyle w:val="Style32"/>
        <w:keepNext/>
        <w:keepLines/>
        <w:widowControl w:val="0"/>
        <w:shd w:val="clear" w:color="auto" w:fill="auto"/>
        <w:tabs>
          <w:tab w:pos="358" w:val="left"/>
        </w:tabs>
        <w:bidi w:val="0"/>
        <w:spacing w:before="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1</w:t>
      </w:r>
      <w:bookmarkEnd w:id="2084"/>
      <w:r>
        <w:rPr>
          <w:color w:val="000000"/>
          <w:spacing w:val="0"/>
          <w:w w:val="100"/>
          <w:position w:val="0"/>
        </w:rPr>
        <w:t>、</w:t>
        <w:tab/>
        <w:t>重要承诺事项</w:t>
      </w:r>
      <w:bookmarkEnd w:id="2082"/>
      <w:bookmarkEnd w:id="2083"/>
      <w:bookmarkEnd w:id="2085"/>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日，本公司不存在应披露的承诺事项。</w:t>
      </w:r>
    </w:p>
    <w:p>
      <w:pPr>
        <w:pStyle w:val="Style32"/>
        <w:keepNext/>
        <w:keepLines/>
        <w:widowControl w:val="0"/>
        <w:shd w:val="clear" w:color="auto" w:fill="auto"/>
        <w:tabs>
          <w:tab w:pos="368" w:val="left"/>
        </w:tabs>
        <w:bidi w:val="0"/>
        <w:spacing w:before="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2</w:t>
      </w:r>
      <w:bookmarkEnd w:id="2088"/>
      <w:r>
        <w:rPr>
          <w:color w:val="000000"/>
          <w:spacing w:val="0"/>
          <w:w w:val="100"/>
          <w:position w:val="0"/>
        </w:rPr>
        <w:t>、</w:t>
        <w:tab/>
        <w:t>或有事项</w:t>
      </w:r>
      <w:bookmarkEnd w:id="2086"/>
      <w:bookmarkEnd w:id="2087"/>
      <w:bookmarkEnd w:id="2089"/>
    </w:p>
    <w:p>
      <w:pPr>
        <w:pStyle w:val="Style36"/>
        <w:keepNext/>
        <w:keepLines/>
        <w:widowControl w:val="0"/>
        <w:shd w:val="clear" w:color="auto" w:fill="auto"/>
        <w:tabs>
          <w:tab w:pos="483"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90"/>
      <w:bookmarkEnd w:id="2091"/>
      <w:bookmarkEnd w:id="209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日，本公司不存在应披露的未决诉讼、对外担保等或有事项。</w:t>
      </w:r>
    </w:p>
    <w:p>
      <w:pPr>
        <w:pStyle w:val="Style36"/>
        <w:keepNext/>
        <w:keepLines/>
        <w:widowControl w:val="0"/>
        <w:shd w:val="clear" w:color="auto" w:fill="auto"/>
        <w:tabs>
          <w:tab w:pos="483"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94"/>
      <w:bookmarkEnd w:id="2095"/>
      <w:bookmarkEnd w:id="2097"/>
    </w:p>
    <w:p>
      <w:pPr>
        <w:pStyle w:val="Style2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62" w:right="1188" w:bottom="1462" w:left="1102" w:header="0" w:footer="3" w:gutter="0"/>
          <w:cols w:space="720"/>
          <w:noEndnote/>
          <w:rtlGutter w:val="0"/>
          <w:docGrid w:linePitch="360"/>
        </w:sectPr>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4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、其他</w:t>
      </w:r>
      <w:bookmarkEnd w:id="2098"/>
      <w:bookmarkEnd w:id="2099"/>
      <w:bookmarkEnd w:id="2101"/>
    </w:p>
    <w:p>
      <w:pPr>
        <w:pStyle w:val="Style24"/>
        <w:keepNext/>
        <w:keepLines/>
        <w:widowControl w:val="0"/>
        <w:shd w:val="clear" w:color="auto" w:fill="auto"/>
        <w:bidi w:val="0"/>
        <w:spacing w:before="0" w:after="340" w:line="240" w:lineRule="auto"/>
        <w:ind w:left="0" w:right="0" w:firstLine="0"/>
        <w:jc w:val="left"/>
      </w:pPr>
      <w:bookmarkStart w:id="2102" w:name="bookmark2102"/>
      <w:bookmarkStart w:id="2103" w:name="bookmark2103"/>
      <w:bookmarkStart w:id="2104" w:name="bookmark2104"/>
      <w:r>
        <w:rPr>
          <w:color w:val="000000"/>
          <w:spacing w:val="0"/>
          <w:w w:val="100"/>
          <w:position w:val="0"/>
          <w:sz w:val="24"/>
          <w:szCs w:val="24"/>
        </w:rPr>
        <w:t>十五、资产负债表日后事项</w:t>
      </w:r>
      <w:bookmarkEnd w:id="2102"/>
      <w:bookmarkEnd w:id="2103"/>
      <w:bookmarkEnd w:id="2104"/>
    </w:p>
    <w:p>
      <w:pPr>
        <w:pStyle w:val="Style32"/>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5"/>
      <w:bookmarkEnd w:id="2106"/>
      <w:bookmarkEnd w:id="21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08"/>
      <w:bookmarkEnd w:id="2109"/>
      <w:bookmarkEnd w:id="21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6,222,000.00</w:t>
            </w:r>
          </w:p>
        </w:tc>
      </w:tr>
    </w:tbl>
    <w:p>
      <w:pPr>
        <w:widowControl w:val="0"/>
        <w:spacing w:after="339" w:line="1" w:lineRule="exact"/>
      </w:pPr>
    </w:p>
    <w:p>
      <w:pPr>
        <w:pStyle w:val="Style32"/>
        <w:keepNext/>
        <w:keepLines/>
        <w:widowControl w:val="0"/>
        <w:shd w:val="clear" w:color="auto" w:fill="auto"/>
        <w:tabs>
          <w:tab w:pos="368" w:val="left"/>
        </w:tabs>
        <w:bidi w:val="0"/>
        <w:spacing w:before="0" w:after="380" w:line="240" w:lineRule="auto"/>
        <w:ind w:left="0" w:right="0" w:firstLine="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w:t>
        <w:tab/>
        <w:t>销售退回</w:t>
      </w:r>
      <w:bookmarkEnd w:id="2111"/>
      <w:bookmarkEnd w:id="2112"/>
      <w:bookmarkEnd w:id="2114"/>
    </w:p>
    <w:p>
      <w:pPr>
        <w:pStyle w:val="Style32"/>
        <w:keepNext/>
        <w:keepLines/>
        <w:widowControl w:val="0"/>
        <w:shd w:val="clear" w:color="auto" w:fill="auto"/>
        <w:tabs>
          <w:tab w:pos="368" w:val="left"/>
        </w:tabs>
        <w:bidi w:val="0"/>
        <w:spacing w:before="0" w:after="260" w:line="240" w:lineRule="auto"/>
        <w:ind w:left="0" w:right="0" w:firstLine="0"/>
        <w:jc w:val="both"/>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4</w:t>
      </w:r>
      <w:bookmarkEnd w:id="2117"/>
      <w:r>
        <w:rPr>
          <w:color w:val="000000"/>
          <w:spacing w:val="0"/>
          <w:w w:val="100"/>
          <w:position w:val="0"/>
        </w:rPr>
        <w:t>、</w:t>
        <w:tab/>
        <w:t>其他资产负债表日后事项说明</w:t>
      </w:r>
      <w:bookmarkEnd w:id="2115"/>
      <w:bookmarkEnd w:id="2116"/>
      <w:bookmarkEnd w:id="2118"/>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收购子公司少数股权</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日第五届董事会第十二次会议审议通过了《关于拟以公开摘牌方式参与子公司福建星榕基信 息科技有限责任公司</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股权转让项目的议案》，同意公司通过公开摘牌方式收购星榕基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股权。</w:t>
      </w:r>
    </w:p>
    <w:p>
      <w:pPr>
        <w:pStyle w:val="Style2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日，公司收到福建省产权交易中心出具的《成交确认书（股权转让）》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MCJJ2022002-1（S）］</w:t>
      </w:r>
      <w:r>
        <w:rPr>
          <w:color w:val="000000"/>
          <w:spacing w:val="0"/>
          <w:w w:val="100"/>
          <w:position w:val="0"/>
        </w:rPr>
        <w:t>，</w:t>
      </w:r>
      <w:r>
        <w:rPr>
          <w:color w:val="000000"/>
          <w:spacing w:val="0"/>
          <w:w w:val="100"/>
          <w:position w:val="0"/>
        </w:rPr>
        <w:t>确认 本公司为星榕基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股权转让项目的最终受让方，成交价格为人民币</w:t>
      </w:r>
      <w:r>
        <w:rPr>
          <w:rFonts w:ascii="Times New Roman" w:eastAsia="Times New Roman" w:hAnsi="Times New Roman" w:cs="Times New Roman"/>
          <w:color w:val="000000"/>
          <w:spacing w:val="0"/>
          <w:w w:val="100"/>
          <w:position w:val="0"/>
          <w:sz w:val="18"/>
          <w:szCs w:val="18"/>
        </w:rPr>
        <w:t>13,949,643.84</w:t>
      </w:r>
      <w:r>
        <w:rPr>
          <w:color w:val="000000"/>
          <w:spacing w:val="0"/>
          <w:w w:val="100"/>
          <w:position w:val="0"/>
        </w:rPr>
        <w:t>元。近日，公司与星云大数据签署了《股 权转让合同》。</w:t>
      </w:r>
    </w:p>
    <w:p>
      <w:pPr>
        <w:pStyle w:val="Style21"/>
        <w:keepNext w:val="0"/>
        <w:keepLines w:val="0"/>
        <w:widowControl w:val="0"/>
        <w:shd w:val="clear" w:color="auto" w:fill="auto"/>
        <w:bidi w:val="0"/>
        <w:spacing w:before="0" w:after="34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日（董事会批准报告日），本公司不存在其他应披露的资产负债表日后事项。</w:t>
      </w:r>
    </w:p>
    <w:p>
      <w:pPr>
        <w:pStyle w:val="Style24"/>
        <w:keepNext/>
        <w:keepLines/>
        <w:widowControl w:val="0"/>
        <w:shd w:val="clear" w:color="auto" w:fill="auto"/>
        <w:bidi w:val="0"/>
        <w:spacing w:before="0" w:after="340" w:line="240" w:lineRule="auto"/>
        <w:ind w:left="0" w:right="0" w:firstLine="0"/>
        <w:jc w:val="both"/>
      </w:pPr>
      <w:bookmarkStart w:id="2119" w:name="bookmark2119"/>
      <w:bookmarkStart w:id="2120" w:name="bookmark2120"/>
      <w:bookmarkStart w:id="2121" w:name="bookmark2121"/>
      <w:r>
        <w:rPr>
          <w:color w:val="000000"/>
          <w:spacing w:val="0"/>
          <w:w w:val="100"/>
          <w:position w:val="0"/>
          <w:sz w:val="24"/>
          <w:szCs w:val="24"/>
        </w:rPr>
        <w:t>十六、其他重要事项</w:t>
      </w:r>
      <w:bookmarkEnd w:id="2119"/>
      <w:bookmarkEnd w:id="2120"/>
      <w:bookmarkEnd w:id="2121"/>
    </w:p>
    <w:p>
      <w:pPr>
        <w:pStyle w:val="Style32"/>
        <w:keepNext/>
        <w:keepLines/>
        <w:widowControl w:val="0"/>
        <w:shd w:val="clear" w:color="auto" w:fill="auto"/>
        <w:bidi w:val="0"/>
        <w:spacing w:before="0" w:after="340" w:line="240" w:lineRule="auto"/>
        <w:ind w:left="0" w:right="0" w:firstLine="0"/>
        <w:jc w:val="both"/>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2"/>
      <w:bookmarkEnd w:id="2123"/>
      <w:bookmarkEnd w:id="2124"/>
    </w:p>
    <w:p>
      <w:pPr>
        <w:pStyle w:val="Style36"/>
        <w:keepNext/>
        <w:keepLines/>
        <w:widowControl w:val="0"/>
        <w:shd w:val="clear" w:color="auto" w:fill="auto"/>
        <w:bidi w:val="0"/>
        <w:spacing w:before="0" w:after="380" w:line="240" w:lineRule="auto"/>
        <w:ind w:left="0" w:right="0" w:firstLine="0"/>
        <w:jc w:val="both"/>
      </w:pPr>
      <w:bookmarkStart w:id="2125" w:name="bookmark2125"/>
      <w:bookmarkStart w:id="2126" w:name="bookmark2126"/>
      <w:bookmarkStart w:id="2127" w:name="bookmark21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25"/>
      <w:bookmarkEnd w:id="2126"/>
      <w:bookmarkEnd w:id="2127"/>
    </w:p>
    <w:p>
      <w:pPr>
        <w:pStyle w:val="Style26"/>
        <w:keepNext w:val="0"/>
        <w:keepLines w:val="0"/>
        <w:widowControl w:val="0"/>
        <w:shd w:val="clear" w:color="auto" w:fill="auto"/>
        <w:bidi w:val="0"/>
        <w:spacing w:before="0" w:after="0" w:line="315" w:lineRule="exact"/>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2128" w:name="bookmark2128"/>
      <w:bookmarkStart w:id="2129" w:name="bookmark2129"/>
      <w:bookmarkStart w:id="2130" w:name="bookmark21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28"/>
      <w:bookmarkEnd w:id="2129"/>
      <w:bookmarkEnd w:id="2130"/>
    </w:p>
    <w:tbl>
      <w:tblPr>
        <w:tblOverlap w:val="never"/>
        <w:jc w:val="center"/>
        <w:tblLayout w:type="fixed"/>
      </w:tblPr>
      <w:tblGrid>
        <w:gridCol w:w="3341"/>
        <w:gridCol w:w="306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2"/>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131"/>
      <w:bookmarkEnd w:id="2132"/>
      <w:bookmarkEnd w:id="2133"/>
    </w:p>
    <w:p>
      <w:pPr>
        <w:pStyle w:val="Style32"/>
        <w:keepNext/>
        <w:keepLines/>
        <w:widowControl w:val="0"/>
        <w:shd w:val="clear" w:color="auto" w:fill="auto"/>
        <w:tabs>
          <w:tab w:pos="368" w:val="left"/>
        </w:tabs>
        <w:bidi w:val="0"/>
        <w:spacing w:before="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3</w:t>
      </w:r>
      <w:bookmarkEnd w:id="2136"/>
      <w:r>
        <w:rPr>
          <w:color w:val="000000"/>
          <w:spacing w:val="0"/>
          <w:w w:val="100"/>
          <w:position w:val="0"/>
        </w:rPr>
        <w:t>、</w:t>
        <w:tab/>
        <w:t>资产置换</w:t>
      </w:r>
      <w:bookmarkEnd w:id="2134"/>
      <w:bookmarkEnd w:id="2135"/>
      <w:bookmarkEnd w:id="2137"/>
    </w:p>
    <w:p>
      <w:pPr>
        <w:pStyle w:val="Style36"/>
        <w:keepNext/>
        <w:keepLines/>
        <w:widowControl w:val="0"/>
        <w:shd w:val="clear" w:color="auto" w:fill="auto"/>
        <w:tabs>
          <w:tab w:pos="483" w:val="left"/>
        </w:tabs>
        <w:bidi w:val="0"/>
        <w:spacing w:before="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38"/>
      <w:bookmarkEnd w:id="2139"/>
      <w:bookmarkEnd w:id="2141"/>
    </w:p>
    <w:p>
      <w:pPr>
        <w:pStyle w:val="Style36"/>
        <w:keepNext/>
        <w:keepLines/>
        <w:widowControl w:val="0"/>
        <w:shd w:val="clear" w:color="auto" w:fill="auto"/>
        <w:tabs>
          <w:tab w:pos="483" w:val="left"/>
        </w:tabs>
        <w:bidi w:val="0"/>
        <w:spacing w:before="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42"/>
      <w:bookmarkEnd w:id="2143"/>
      <w:bookmarkEnd w:id="2145"/>
    </w:p>
    <w:p>
      <w:pPr>
        <w:pStyle w:val="Style32"/>
        <w:keepNext/>
        <w:keepLines/>
        <w:widowControl w:val="0"/>
        <w:shd w:val="clear" w:color="auto" w:fill="auto"/>
        <w:tabs>
          <w:tab w:pos="368" w:val="left"/>
        </w:tabs>
        <w:bidi w:val="0"/>
        <w:spacing w:before="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4</w:t>
      </w:r>
      <w:bookmarkEnd w:id="2148"/>
      <w:r>
        <w:rPr>
          <w:color w:val="000000"/>
          <w:spacing w:val="0"/>
          <w:w w:val="100"/>
          <w:position w:val="0"/>
        </w:rPr>
        <w:t>、</w:t>
        <w:tab/>
        <w:t>年金计划</w:t>
      </w:r>
      <w:bookmarkEnd w:id="2146"/>
      <w:bookmarkEnd w:id="2147"/>
      <w:bookmarkEnd w:id="2149"/>
    </w:p>
    <w:p>
      <w:pPr>
        <w:pStyle w:val="Style32"/>
        <w:keepNext/>
        <w:keepLines/>
        <w:widowControl w:val="0"/>
        <w:shd w:val="clear" w:color="auto" w:fill="auto"/>
        <w:tabs>
          <w:tab w:pos="368" w:val="left"/>
        </w:tabs>
        <w:bidi w:val="0"/>
        <w:spacing w:before="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5</w:t>
      </w:r>
      <w:bookmarkEnd w:id="2152"/>
      <w:r>
        <w:rPr>
          <w:color w:val="000000"/>
          <w:spacing w:val="0"/>
          <w:w w:val="100"/>
          <w:position w:val="0"/>
        </w:rPr>
        <w:t>、</w:t>
        <w:tab/>
        <w:t>终止经营</w:t>
      </w:r>
      <w:bookmarkEnd w:id="2150"/>
      <w:bookmarkEnd w:id="2151"/>
      <w:bookmarkEnd w:id="2153"/>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9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6</w:t>
      </w:r>
      <w:bookmarkEnd w:id="2156"/>
      <w:r>
        <w:rPr>
          <w:color w:val="000000"/>
          <w:spacing w:val="0"/>
          <w:w w:val="100"/>
          <w:position w:val="0"/>
        </w:rPr>
        <w:t>、分部信息</w:t>
      </w:r>
      <w:bookmarkEnd w:id="2154"/>
      <w:bookmarkEnd w:id="2155"/>
      <w:bookmarkEnd w:id="2157"/>
    </w:p>
    <w:p>
      <w:pPr>
        <w:pStyle w:val="Style36"/>
        <w:keepNext/>
        <w:keepLines/>
        <w:widowControl w:val="0"/>
        <w:shd w:val="clear" w:color="auto" w:fill="auto"/>
        <w:tabs>
          <w:tab w:pos="483" w:val="left"/>
        </w:tabs>
        <w:bidi w:val="0"/>
        <w:spacing w:before="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58"/>
      <w:bookmarkEnd w:id="2159"/>
      <w:bookmarkEnd w:id="2161"/>
    </w:p>
    <w:p>
      <w:pPr>
        <w:pStyle w:val="Style36"/>
        <w:keepNext/>
        <w:keepLines/>
        <w:widowControl w:val="0"/>
        <w:shd w:val="clear" w:color="auto" w:fill="auto"/>
        <w:tabs>
          <w:tab w:pos="483" w:val="left"/>
        </w:tabs>
        <w:bidi w:val="0"/>
        <w:spacing w:before="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62"/>
      <w:bookmarkEnd w:id="2163"/>
      <w:bookmarkEnd w:id="2165"/>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483" w:val="left"/>
        </w:tabs>
        <w:bidi w:val="0"/>
        <w:spacing w:before="0" w:after="26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66"/>
      <w:bookmarkEnd w:id="2167"/>
      <w:bookmarkEnd w:id="2169"/>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除系统集成业务、软件产品及服务业务、园区开发与运营业务外，本集团未经营其他对经营成果有重大影响的业务。同时， 由于本集团仅于一个地域内经营业务，收入主要来自中国境内，其主要资产亦位于中国境内，因此本集团无需披露分部数据。</w:t>
      </w:r>
    </w:p>
    <w:p>
      <w:pPr>
        <w:pStyle w:val="Style36"/>
        <w:keepNext/>
        <w:keepLines/>
        <w:widowControl w:val="0"/>
        <w:shd w:val="clear" w:color="auto" w:fill="auto"/>
        <w:tabs>
          <w:tab w:pos="483" w:val="left"/>
        </w:tabs>
        <w:bidi w:val="0"/>
        <w:spacing w:before="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70"/>
      <w:bookmarkEnd w:id="2171"/>
      <w:bookmarkEnd w:id="2173"/>
    </w:p>
    <w:p>
      <w:pPr>
        <w:pStyle w:val="Style32"/>
        <w:keepNext/>
        <w:keepLines/>
        <w:widowControl w:val="0"/>
        <w:shd w:val="clear" w:color="auto" w:fill="auto"/>
        <w:tabs>
          <w:tab w:pos="363" w:val="left"/>
        </w:tabs>
        <w:bidi w:val="0"/>
        <w:spacing w:before="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7</w:t>
      </w:r>
      <w:bookmarkEnd w:id="2176"/>
      <w:r>
        <w:rPr>
          <w:color w:val="000000"/>
          <w:spacing w:val="0"/>
          <w:w w:val="100"/>
          <w:position w:val="0"/>
        </w:rPr>
        <w:t>、</w:t>
        <w:tab/>
        <w:t>其他对投资者决策有影响的重要交易和事项</w:t>
      </w:r>
      <w:bookmarkEnd w:id="2174"/>
      <w:bookmarkEnd w:id="2175"/>
      <w:bookmarkEnd w:id="2177"/>
    </w:p>
    <w:p>
      <w:pPr>
        <w:pStyle w:val="Style32"/>
        <w:keepNext/>
        <w:keepLines/>
        <w:widowControl w:val="0"/>
        <w:shd w:val="clear" w:color="auto" w:fill="auto"/>
        <w:tabs>
          <w:tab w:pos="368" w:val="left"/>
        </w:tabs>
        <w:bidi w:val="0"/>
        <w:spacing w:before="0" w:after="26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8</w:t>
      </w:r>
      <w:bookmarkEnd w:id="2180"/>
      <w:r>
        <w:rPr>
          <w:color w:val="000000"/>
          <w:spacing w:val="0"/>
          <w:w w:val="100"/>
          <w:position w:val="0"/>
        </w:rPr>
        <w:t>、</w:t>
        <w:tab/>
        <w:t>其他</w:t>
      </w:r>
      <w:bookmarkEnd w:id="2178"/>
      <w:bookmarkEnd w:id="2179"/>
      <w:bookmarkEnd w:id="2181"/>
    </w:p>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sz w:val="18"/>
          <w:szCs w:val="18"/>
        </w:rPr>
        <w:t>（1）</w:t>
      </w:r>
      <w:r>
        <w:rPr>
          <w:color w:val="000000"/>
          <w:spacing w:val="0"/>
          <w:w w:val="100"/>
          <w:position w:val="0"/>
        </w:rPr>
        <w:t>租赁</w:t>
      </w:r>
    </w:p>
    <w:p>
      <w:pPr>
        <w:pStyle w:val="Style21"/>
        <w:keepNext w:val="0"/>
        <w:keepLines w:val="0"/>
        <w:widowControl w:val="0"/>
        <w:shd w:val="clear" w:color="auto" w:fill="auto"/>
        <w:bidi w:val="0"/>
        <w:spacing w:before="0" w:after="0" w:line="312" w:lineRule="exact"/>
        <w:ind w:left="0" w:right="0"/>
        <w:jc w:val="both"/>
      </w:pPr>
      <w:r>
        <w:rPr>
          <w:b/>
          <w:bCs/>
          <w:color w:val="000000"/>
          <w:spacing w:val="0"/>
          <w:w w:val="100"/>
          <w:position w:val="0"/>
        </w:rPr>
        <w:t>作为承租人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租赁费用补充信息</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本公司对短期租赁和低价值资产租赁进行简化处理，未确认使用权资产和租赁负债，短期租赁、低价值资产和未纳入租 赁负债计量的可变租赁付款额当期计入费用的情况如下：</w:t>
      </w:r>
      <w:r>
        <w:br w:type="page"/>
      </w:r>
    </w:p>
    <w:p>
      <w:pPr>
        <w:pStyle w:val="Style26"/>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left"/>
        <w:tblLayout w:type="fixed"/>
      </w:tblPr>
      <w:tblGrid>
        <w:gridCol w:w="6154"/>
        <w:gridCol w:w="2947"/>
      </w:tblGrid>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3,328,648.16</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低价值租赁</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3,328,648.16</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作为出租人</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租赁收入情况</w:t>
      </w:r>
    </w:p>
    <w:p>
      <w:pPr>
        <w:pStyle w:val="Style26"/>
        <w:keepNext w:val="0"/>
        <w:keepLines w:val="0"/>
        <w:widowControl w:val="0"/>
        <w:shd w:val="clear" w:color="auto" w:fill="auto"/>
        <w:bidi w:val="0"/>
        <w:spacing w:before="0" w:after="0" w:line="240" w:lineRule="auto"/>
        <w:ind w:left="8290" w:right="0" w:firstLine="0"/>
        <w:jc w:val="left"/>
      </w:pPr>
      <w:r>
        <w:rPr>
          <w:color w:val="000000"/>
          <w:spacing w:val="0"/>
          <w:w w:val="100"/>
          <w:position w:val="0"/>
        </w:rPr>
        <w:t>单位：元</w:t>
      </w:r>
    </w:p>
    <w:tbl>
      <w:tblPr>
        <w:tblOverlap w:val="never"/>
        <w:jc w:val="left"/>
        <w:tblLayout w:type="fixed"/>
      </w:tblPr>
      <w:tblGrid>
        <w:gridCol w:w="6154"/>
        <w:gridCol w:w="2947"/>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6,325,958.60</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293" w:right="0" w:firstLine="0"/>
        <w:jc w:val="left"/>
      </w:pPr>
      <w:r>
        <w:rPr>
          <w:color w:val="000000"/>
          <w:spacing w:val="0"/>
          <w:w w:val="100"/>
          <w:position w:val="0"/>
          <w:sz w:val="18"/>
          <w:szCs w:val="18"/>
        </w:rPr>
        <w:t>（2）</w:t>
      </w:r>
      <w:r>
        <w:rPr>
          <w:color w:val="000000"/>
          <w:spacing w:val="0"/>
          <w:w w:val="100"/>
          <w:position w:val="0"/>
        </w:rPr>
        <w:t>子公司信阳榕基信息技术有限公司对外投资</w:t>
      </w:r>
    </w:p>
    <w:p>
      <w:pPr>
        <w:pStyle w:val="Style21"/>
        <w:keepNext w:val="0"/>
        <w:keepLines w:val="0"/>
        <w:widowControl w:val="0"/>
        <w:shd w:val="clear" w:color="auto" w:fill="auto"/>
        <w:bidi w:val="0"/>
        <w:spacing w:before="0" w:after="360" w:line="318" w:lineRule="exact"/>
        <w:ind w:left="0" w:right="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日召开第五届董事会第十三次会议，审议通过了《关于子公司信阳榕基信息技术有限公司对外投资 的议案》，拟以自有资产方式合计出资</w:t>
      </w:r>
      <w:r>
        <w:rPr>
          <w:color w:val="000000"/>
          <w:spacing w:val="0"/>
          <w:w w:val="100"/>
          <w:position w:val="0"/>
          <w:sz w:val="18"/>
          <w:szCs w:val="18"/>
        </w:rPr>
        <w:t>2,513.58</w:t>
      </w:r>
      <w:r>
        <w:rPr>
          <w:color w:val="000000"/>
          <w:spacing w:val="0"/>
          <w:w w:val="100"/>
          <w:position w:val="0"/>
        </w:rPr>
        <w:t>万元人民币投资河南滋身润心生物科技有限公司，占其股权比例为</w:t>
      </w:r>
      <w:r>
        <w:rPr>
          <w:color w:val="000000"/>
          <w:spacing w:val="0"/>
          <w:w w:val="100"/>
          <w:position w:val="0"/>
          <w:sz w:val="18"/>
          <w:szCs w:val="18"/>
        </w:rPr>
        <w:t xml:space="preserve">45.70%， </w:t>
      </w:r>
      <w:r>
        <w:rPr>
          <w:color w:val="000000"/>
          <w:spacing w:val="0"/>
          <w:w w:val="100"/>
          <w:position w:val="0"/>
        </w:rPr>
        <w:t>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日河南滋身润心生物科技有限公司工商股权信息已变更，但资产尚未实际交割，公司将根据后续实际进展 及时履行信息披露义务。</w:t>
      </w:r>
    </w:p>
    <w:p>
      <w:pPr>
        <w:pStyle w:val="Style24"/>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r>
        <w:rPr>
          <w:color w:val="000000"/>
          <w:spacing w:val="0"/>
          <w:w w:val="100"/>
          <w:position w:val="0"/>
          <w:sz w:val="24"/>
          <w:szCs w:val="24"/>
        </w:rPr>
        <w:t>十七、母公司财务报表主要项目注释</w:t>
      </w:r>
      <w:bookmarkEnd w:id="2182"/>
      <w:bookmarkEnd w:id="2183"/>
      <w:bookmarkEnd w:id="2184"/>
    </w:p>
    <w:p>
      <w:pPr>
        <w:pStyle w:val="Style32"/>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5"/>
      <w:bookmarkEnd w:id="2186"/>
      <w:bookmarkEnd w:id="2187"/>
    </w:p>
    <w:p>
      <w:pPr>
        <w:pStyle w:val="Style36"/>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88"/>
      <w:bookmarkEnd w:id="2189"/>
      <w:bookmarkEnd w:id="219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62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 单位客户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113,051, </w:t>
            </w:r>
            <w:r>
              <w:rPr>
                <w:rFonts w:ascii="Times New Roman" w:eastAsia="Times New Roman" w:hAnsi="Times New Roman" w:cs="Times New Roman"/>
                <w:color w:val="000000"/>
                <w:spacing w:val="0"/>
                <w:w w:val="100"/>
                <w:position w:val="0"/>
                <w:sz w:val="18"/>
                <w:szCs w:val="18"/>
              </w:rPr>
              <w:t>175.93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18,990,1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98,845,47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应收合并报表范围 内客户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应收政府部门、事业 单位客户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43,694,4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10,3182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55,231,87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8,671,85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41,183,60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7,346,938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33,836,665.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114,096, </w:t>
            </w:r>
            <w:r>
              <w:rPr>
                <w:rFonts w:ascii="Times New Roman" w:eastAsia="Times New Roman" w:hAnsi="Times New Roman" w:cs="Times New Roman"/>
                <w:color w:val="000000"/>
                <w:spacing w:val="0"/>
                <w:w w:val="100"/>
                <w:position w:val="0"/>
                <w:sz w:val="18"/>
                <w:szCs w:val="18"/>
              </w:rPr>
              <w:t>175.93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20,035,1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漯河市信息化办公室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按组合计提坏账准备：应收合并报表范围内客户</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39,130,000.00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按组合计提坏账准备：应收政府部门、事业单位客户</w:t>
      </w:r>
    </w:p>
    <w:p>
      <w:pPr>
        <w:widowControl w:val="0"/>
        <w:spacing w:after="79"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1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20,354,915.34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8,292,070.14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1,164,206.65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5,112,692.49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1,619,700.98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31.68%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9,934,814.30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6,626,521.14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66.70%</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43,694,492.27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10,318257.99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按组合计提坏账准备：应收其他客户</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10,396,156.44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5,778,758.62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1,054,045.57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7,795,595.56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2,365,963.25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6,256,173.04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4,829,765.59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77.20%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30,226,683.66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8,671,858.36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69,881,071.78</w:t>
            </w: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14,070,828.76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12,908288.05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17235,987.34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7,756,194.30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5,170,796.20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4,308,996.84</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114,096,175.93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91"/>
      <w:bookmarkEnd w:id="2192"/>
      <w:bookmarkEnd w:id="219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78"/>
        <w:gridCol w:w="1373"/>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18,068,673.28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1,966,443.07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20,035,116.35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18,068,673.28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1,966,443.07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20,035,116.35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2194" w:name="bookmark2194"/>
      <w:bookmarkStart w:id="2195" w:name="bookmark2195"/>
      <w:bookmarkStart w:id="2196" w:name="bookmark2196"/>
      <w:r>
        <w:rPr>
          <w:color w:val="000000"/>
          <w:spacing w:val="0"/>
          <w:w w:val="100"/>
          <w:position w:val="0"/>
        </w:rPr>
        <w:t>⑶本期实际核销的应收账款情况</w:t>
      </w:r>
      <w:bookmarkEnd w:id="2194"/>
      <w:bookmarkEnd w:id="2195"/>
      <w:bookmarkEnd w:id="2196"/>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699"/>
        <w:gridCol w:w="1550"/>
        <w:gridCol w:w="1560"/>
        <w:gridCol w:w="192"/>
        <w:gridCol w:w="1358"/>
        <w:gridCol w:w="1632"/>
        <w:gridCol w:w="1598"/>
      </w:tblGrid>
      <w:tr>
        <w:trPr>
          <w:trHeight w:val="331"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638"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23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本期无实际核销的应收账款</w:t>
      </w:r>
    </w:p>
    <w:p>
      <w:pPr>
        <w:pStyle w:val="Style36"/>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97"/>
      <w:bookmarkEnd w:id="2198"/>
      <w:bookmarkEnd w:id="2200"/>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2405"/>
        <w:gridCol w:w="2410"/>
        <w:gridCol w:w="2381"/>
        <w:gridCol w:w="2395"/>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福建省高级人民法院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5,198,350.00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231,846.41</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北京思源政通科技集团有限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773,318.00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南平建设集团信达供应链有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2,450,910.70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743,851.40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46,697260.70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201"/>
      <w:bookmarkEnd w:id="2202"/>
      <w:bookmarkEnd w:id="220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205"/>
      <w:bookmarkEnd w:id="2206"/>
      <w:bookmarkEnd w:id="2208"/>
    </w:p>
    <w:p>
      <w:pPr>
        <w:pStyle w:val="Style32"/>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09"/>
      <w:bookmarkEnd w:id="2210"/>
      <w:bookmarkEnd w:id="22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1,267,584,104.00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1,176,774,748.46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1,267,584,104.00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1,176,774,748.46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12"/>
      <w:bookmarkEnd w:id="2213"/>
      <w:bookmarkEnd w:id="2214"/>
    </w:p>
    <w:p>
      <w:pPr>
        <w:pStyle w:val="Style58"/>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1</w:t>
      </w:r>
      <w:bookmarkEnd w:id="2217"/>
      <w:r>
        <w:rPr>
          <w:color w:val="000000"/>
          <w:spacing w:val="0"/>
          <w:w w:val="100"/>
          <w:position w:val="0"/>
        </w:rPr>
        <w:t>）应收利息分类</w:t>
      </w:r>
      <w:bookmarkEnd w:id="2215"/>
      <w:bookmarkEnd w:id="2216"/>
      <w:bookmarkEnd w:id="22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bookmarkEnd w:id="2221"/>
      <w:r>
        <w:rPr>
          <w:color w:val="000000"/>
          <w:spacing w:val="0"/>
          <w:w w:val="100"/>
          <w:position w:val="0"/>
        </w:rPr>
        <w:t>）重要逾期利息</w:t>
      </w:r>
      <w:bookmarkEnd w:id="2219"/>
      <w:bookmarkEnd w:id="2220"/>
      <w:bookmarkEnd w:id="22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6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8"/>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）坏账准备计提情况</w:t>
      </w:r>
      <w:bookmarkEnd w:id="2223"/>
      <w:bookmarkEnd w:id="2224"/>
      <w:bookmarkEnd w:id="222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27"/>
      <w:bookmarkEnd w:id="2228"/>
      <w:bookmarkEnd w:id="2229"/>
    </w:p>
    <w:p>
      <w:pPr>
        <w:pStyle w:val="Style58"/>
        <w:keepNext/>
        <w:keepLines/>
        <w:widowControl w:val="0"/>
        <w:shd w:val="clear" w:color="auto" w:fill="auto"/>
        <w:bidi w:val="0"/>
        <w:spacing w:before="0" w:after="36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bookmarkEnd w:id="2232"/>
      <w:r>
        <w:rPr>
          <w:color w:val="000000"/>
          <w:spacing w:val="0"/>
          <w:w w:val="100"/>
          <w:position w:val="0"/>
        </w:rPr>
        <w:t>）应收股利分类</w:t>
      </w:r>
      <w:bookmarkEnd w:id="2230"/>
      <w:bookmarkEnd w:id="2231"/>
      <w:bookmarkEnd w:id="2233"/>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2</w:t>
      </w:r>
      <w:bookmarkEnd w:id="223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4"/>
      <w:bookmarkEnd w:id="2235"/>
      <w:bookmarkEnd w:id="22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3</w:t>
      </w:r>
      <w:bookmarkEnd w:id="2240"/>
      <w:r>
        <w:rPr>
          <w:color w:val="000000"/>
          <w:spacing w:val="0"/>
          <w:w w:val="100"/>
          <w:position w:val="0"/>
        </w:rPr>
        <w:t>）坏账准备计提情况</w:t>
      </w:r>
      <w:bookmarkEnd w:id="2238"/>
      <w:bookmarkEnd w:id="2239"/>
      <w:bookmarkEnd w:id="224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2"/>
      <w:bookmarkEnd w:id="2243"/>
      <w:bookmarkEnd w:id="2245"/>
    </w:p>
    <w:p>
      <w:pPr>
        <w:pStyle w:val="Style58"/>
        <w:keepNext/>
        <w:keepLines/>
        <w:widowControl w:val="0"/>
        <w:shd w:val="clear" w:color="auto" w:fill="auto"/>
        <w:bidi w:val="0"/>
        <w:spacing w:before="0" w:after="320" w:line="240" w:lineRule="auto"/>
        <w:ind w:left="0" w:right="0" w:firstLine="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6"/>
      <w:bookmarkEnd w:id="2247"/>
      <w:bookmarkEnd w:id="2248"/>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1,255,264,630.12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1,158,803,492.94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16219,788.86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22,953,743.84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2,263,088.49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2,652,442.73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1,276,667,183.95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1,186,672,768.00</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9"/>
      <w:bookmarkEnd w:id="2250"/>
      <w:bookmarkEnd w:id="2251"/>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9,898,019.54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9,898,019.54</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585,252.89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1,400,192.48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1,400,192.48</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9,083,079.95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9,083,079.95</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widowControl w:val="0"/>
        <w:spacing w:after="59" w:line="1" w:lineRule="exact"/>
      </w:pP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1,260,115,943.48</w:t>
            </w:r>
          </w:p>
        </w:tc>
      </w:tr>
    </w:tbl>
    <w:p>
      <w:pPr>
        <w:spacing w:lineRule="exact" w:line="1"/>
        <w:rPr>
          <w:sz w:val="2"/>
          <w:szCs w:val="2"/>
        </w:rPr>
      </w:pPr>
      <w:r>
        <w:br w:type="page"/>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4,939,977.94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1,998,336.65</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9,612,925.88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4,325,816.65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2,883,877.76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2,403,231.47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1,276,667,183.95</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）本期计提、收回或转回的坏账准备情况</w:t>
      </w:r>
      <w:bookmarkEnd w:id="2252"/>
      <w:bookmarkEnd w:id="2253"/>
      <w:bookmarkEnd w:id="2255"/>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085"/>
        <w:gridCol w:w="3749"/>
        <w:gridCol w:w="1589"/>
        <w:gridCol w:w="1574"/>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tabs>
                <w:tab w:pos="1061" w:val="left"/>
                <w:tab w:pos="2544" w:val="left"/>
              </w:tabs>
              <w:bidi w:val="0"/>
              <w:spacing w:before="0" w:after="0" w:line="240" w:lineRule="auto"/>
              <w:ind w:left="0" w:right="0" w:firstLine="0"/>
              <w:jc w:val="center"/>
            </w:pPr>
            <w:r>
              <w:rPr>
                <w:color w:val="000000"/>
                <w:spacing w:val="0"/>
                <w:w w:val="100"/>
                <w:position w:val="0"/>
              </w:rPr>
              <w:t>计提</w:t>
              <w:tab/>
              <w:t>收回或转回</w:t>
              <w:tab/>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3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4149" w:val="left"/>
              </w:tabs>
              <w:bidi w:val="0"/>
              <w:spacing w:before="0" w:after="0" w:line="240" w:lineRule="auto"/>
              <w:ind w:left="1240" w:right="0" w:firstLine="0"/>
              <w:jc w:val="left"/>
            </w:pPr>
            <w:r>
              <w:rPr>
                <w:color w:val="000000"/>
                <w:spacing w:val="0"/>
                <w:w w:val="100"/>
                <w:position w:val="0"/>
              </w:rPr>
              <w:t>单位名称</w:t>
              <w:tab/>
              <w:t>转回或收回金额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4</w:t>
      </w:r>
      <w:bookmarkEnd w:id="2258"/>
      <w:r>
        <w:rPr>
          <w:color w:val="000000"/>
          <w:spacing w:val="0"/>
          <w:w w:val="100"/>
          <w:position w:val="0"/>
        </w:rPr>
        <w:t>）本期实际核销的其他应收款情况</w:t>
      </w:r>
      <w:bookmarkEnd w:id="2256"/>
      <w:bookmarkEnd w:id="2257"/>
      <w:bookmarkEnd w:id="22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32"/>
        <w:gridCol w:w="1598"/>
      </w:tblGrid>
      <w:tr>
        <w:trPr>
          <w:trHeight w:val="33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638"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58"/>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5</w:t>
      </w:r>
      <w:bookmarkEnd w:id="2262"/>
      <w:r>
        <w:rPr>
          <w:color w:val="000000"/>
          <w:spacing w:val="0"/>
          <w:w w:val="100"/>
          <w:position w:val="0"/>
        </w:rPr>
        <w:t>）按欠款方归集的期末余额前五名的其他应收款情况</w:t>
      </w:r>
      <w:bookmarkEnd w:id="2260"/>
      <w:bookmarkEnd w:id="2261"/>
      <w:bookmarkEnd w:id="22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5"/>
        <w:gridCol w:w="1546"/>
        <w:gridCol w:w="1622"/>
        <w:gridCol w:w="1618"/>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信阳榕基信息技术有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514,041,816.47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上海榕基软件开发有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278,381,598.47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河南榕基信息技术有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176,828,172.46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马鞍山榕基软件信息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144,755,243.43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北京中榕基信息技术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69220237.49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1,183,227,068.32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8"/>
        <w:keepNext/>
        <w:keepLines/>
        <w:widowControl w:val="0"/>
        <w:shd w:val="clear" w:color="auto" w:fill="auto"/>
        <w:bidi w:val="0"/>
        <w:spacing w:before="0" w:after="36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6</w:t>
      </w:r>
      <w:bookmarkEnd w:id="2266"/>
      <w:r>
        <w:rPr>
          <w:color w:val="000000"/>
          <w:spacing w:val="0"/>
          <w:w w:val="100"/>
          <w:position w:val="0"/>
        </w:rPr>
        <w:t>）涉及政府补助的应收款项</w:t>
      </w:r>
      <w:bookmarkEnd w:id="2264"/>
      <w:bookmarkEnd w:id="2265"/>
      <w:bookmarkEnd w:id="22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58"/>
        <w:keepNext/>
        <w:keepLines/>
        <w:widowControl w:val="0"/>
        <w:shd w:val="clear" w:color="auto" w:fill="auto"/>
        <w:tabs>
          <w:tab w:pos="382" w:val="left"/>
        </w:tabs>
        <w:bidi w:val="0"/>
        <w:spacing w:before="0" w:after="360" w:line="240" w:lineRule="auto"/>
        <w:ind w:left="0" w:right="0" w:firstLine="0"/>
        <w:jc w:val="left"/>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7</w:t>
      </w:r>
      <w:bookmarkEnd w:id="2270"/>
      <w:r>
        <w:rPr>
          <w:color w:val="000000"/>
          <w:spacing w:val="0"/>
          <w:w w:val="100"/>
          <w:position w:val="0"/>
        </w:rPr>
        <w:t>）</w:t>
        <w:tab/>
        <w:t>因金融资产转移而终止确认的其他应收款</w:t>
      </w:r>
      <w:bookmarkEnd w:id="2268"/>
      <w:bookmarkEnd w:id="2269"/>
      <w:bookmarkEnd w:id="2271"/>
    </w:p>
    <w:p>
      <w:pPr>
        <w:pStyle w:val="Style58"/>
        <w:keepNext/>
        <w:keepLines/>
        <w:widowControl w:val="0"/>
        <w:shd w:val="clear" w:color="auto" w:fill="auto"/>
        <w:tabs>
          <w:tab w:pos="387" w:val="left"/>
        </w:tabs>
        <w:bidi w:val="0"/>
        <w:spacing w:before="0" w:after="36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8</w:t>
      </w:r>
      <w:bookmarkEnd w:id="2274"/>
      <w:r>
        <w:rPr>
          <w:color w:val="000000"/>
          <w:spacing w:val="0"/>
          <w:w w:val="100"/>
          <w:position w:val="0"/>
        </w:rPr>
        <w:t>）</w:t>
        <w:tab/>
        <w:t>转移其他应收款且继续涉入形成的资产、负债金额</w:t>
      </w:r>
      <w:bookmarkEnd w:id="2272"/>
      <w:bookmarkEnd w:id="2273"/>
      <w:bookmarkEnd w:id="227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3</w:t>
      </w:r>
      <w:bookmarkEnd w:id="2278"/>
      <w:r>
        <w:rPr>
          <w:color w:val="000000"/>
          <w:spacing w:val="0"/>
          <w:w w:val="100"/>
          <w:position w:val="0"/>
        </w:rPr>
        <w:t>、长期股权投资</w:t>
      </w:r>
      <w:bookmarkEnd w:id="2276"/>
      <w:bookmarkEnd w:id="2277"/>
      <w:bookmarkEnd w:id="2279"/>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r>
      <w:tr>
        <w:trPr>
          <w:trHeight w:val="6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9,826,081.04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8,253,225.90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695,752,618.33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695,752,618.33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694,179,763.19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694,179,763.19</w:t>
            </w:r>
          </w:p>
        </w:tc>
      </w:tr>
    </w:tbl>
    <w:p>
      <w:pPr>
        <w:widowControl w:val="0"/>
        <w:spacing w:after="359" w:line="1" w:lineRule="exact"/>
      </w:pPr>
    </w:p>
    <w:p>
      <w:pPr>
        <w:pStyle w:val="Style36"/>
        <w:keepNext/>
        <w:keepLines/>
        <w:widowControl w:val="0"/>
        <w:shd w:val="clear" w:color="auto" w:fill="auto"/>
        <w:bidi w:val="0"/>
        <w:spacing w:before="0" w:after="680" w:line="240" w:lineRule="auto"/>
        <w:ind w:left="0" w:right="0" w:firstLine="0"/>
        <w:jc w:val="left"/>
      </w:pPr>
      <w:bookmarkStart w:id="2280" w:name="bookmark2280"/>
      <w:bookmarkStart w:id="2281" w:name="bookmark2281"/>
      <w:bookmarkStart w:id="2282" w:name="bookmark2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0"/>
      <w:bookmarkEnd w:id="2281"/>
      <w:bookmarkEnd w:id="2282"/>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282"/>
        <w:gridCol w:w="1166"/>
        <w:gridCol w:w="1166"/>
        <w:gridCol w:w="1162"/>
        <w:gridCol w:w="1166"/>
        <w:gridCol w:w="1214"/>
        <w:gridCol w:w="1210"/>
        <w:gridCol w:w="123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浙江榕基信息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福州创华电气 自动化系统有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7,496,345.89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7,496,345.89</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上海榕基软件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福建榕基软件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榕基五一（北 京）信息技术有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马鞍山榕基软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件信息科技有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6"/>
        <w:gridCol w:w="1162"/>
        <w:gridCol w:w="1166"/>
        <w:gridCol w:w="1214"/>
        <w:gridCol w:w="1210"/>
        <w:gridCol w:w="1238"/>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北京中榕基信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福建榕基投资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榕基国际控股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80,380,191.40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80,380,191.40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信阳榕基信息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河南豫础置业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福州榕易付网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福建星榕基信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息科技有限责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福建容大物联 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685,926,537.2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685,926,537.29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3"/>
      <w:bookmarkEnd w:id="2284"/>
      <w:bookmarkEnd w:id="22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福建闽光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8,253,225</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2,832,855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9,826,081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8,253,225</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2,832,855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9,826,081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8,253,225</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2,832,855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9,826,081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47"/>
        </w:numPr>
        <w:shd w:val="clear" w:color="auto" w:fill="auto"/>
        <w:bidi w:val="0"/>
        <w:spacing w:before="0" w:after="380" w:line="240" w:lineRule="auto"/>
        <w:ind w:left="0" w:right="0" w:firstLine="0"/>
        <w:jc w:val="both"/>
      </w:pPr>
      <w:bookmarkStart w:id="2286" w:name="bookmark2286"/>
      <w:bookmarkStart w:id="2287" w:name="bookmark2287"/>
      <w:bookmarkStart w:id="2288" w:name="bookmark2288"/>
      <w:bookmarkStart w:id="2289" w:name="bookmark2289"/>
      <w:bookmarkEnd w:id="2288"/>
      <w:r>
        <w:rPr>
          <w:color w:val="000000"/>
          <w:spacing w:val="0"/>
          <w:w w:val="100"/>
          <w:position w:val="0"/>
        </w:rPr>
        <w:t>其他说明</w:t>
      </w:r>
      <w:bookmarkEnd w:id="2286"/>
      <w:bookmarkEnd w:id="2287"/>
      <w:bookmarkEnd w:id="2289"/>
    </w:p>
    <w:p>
      <w:pPr>
        <w:pStyle w:val="Style32"/>
        <w:keepNext/>
        <w:keepLines/>
        <w:widowControl w:val="0"/>
        <w:shd w:val="clear" w:color="auto" w:fill="auto"/>
        <w:bidi w:val="0"/>
        <w:spacing w:before="0" w:after="380" w:line="240" w:lineRule="auto"/>
        <w:ind w:left="0" w:right="0" w:firstLine="0"/>
        <w:jc w:val="both"/>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4</w:t>
      </w:r>
      <w:bookmarkEnd w:id="2292"/>
      <w:r>
        <w:rPr>
          <w:color w:val="000000"/>
          <w:spacing w:val="0"/>
          <w:w w:val="100"/>
          <w:position w:val="0"/>
        </w:rPr>
        <w:t>、营业收入和营业成本</w:t>
      </w:r>
      <w:bookmarkEnd w:id="2290"/>
      <w:bookmarkEnd w:id="2291"/>
      <w:bookmarkEnd w:id="2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319,395,968.53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182,600,573.79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460,302,542.99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325,468,886.16</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319,395,968.53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182,600,573.79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460,302,542.99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325,468,886.16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5</w:t>
      </w:r>
      <w:bookmarkEnd w:id="2296"/>
      <w:r>
        <w:rPr>
          <w:color w:val="000000"/>
          <w:spacing w:val="0"/>
          <w:w w:val="100"/>
          <w:position w:val="0"/>
        </w:rPr>
        <w:t>、投资收益</w:t>
      </w:r>
      <w:bookmarkEnd w:id="2294"/>
      <w:bookmarkEnd w:id="2295"/>
      <w:bookmarkEnd w:id="2297"/>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2,105,647.68</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3,769,006.85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银行短期理财产品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11,507,490.37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6,704,261.02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13,613,138.05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6</w:t>
      </w:r>
      <w:bookmarkEnd w:id="2300"/>
      <w:r>
        <w:rPr>
          <w:color w:val="000000"/>
          <w:spacing w:val="0"/>
          <w:w w:val="100"/>
          <w:position w:val="0"/>
        </w:rPr>
        <w:t>、其他</w:t>
      </w:r>
      <w:bookmarkEnd w:id="2298"/>
      <w:bookmarkEnd w:id="2299"/>
      <w:bookmarkEnd w:id="2301"/>
    </w:p>
    <w:p>
      <w:pPr>
        <w:pStyle w:val="Style24"/>
        <w:keepNext/>
        <w:keepLines/>
        <w:widowControl w:val="0"/>
        <w:shd w:val="clear" w:color="auto" w:fill="auto"/>
        <w:bidi w:val="0"/>
        <w:spacing w:before="0" w:after="340" w:line="240" w:lineRule="auto"/>
        <w:ind w:left="0" w:right="0" w:firstLine="0"/>
        <w:jc w:val="left"/>
      </w:pPr>
      <w:bookmarkStart w:id="2302" w:name="bookmark2302"/>
      <w:bookmarkStart w:id="2303" w:name="bookmark2303"/>
      <w:bookmarkStart w:id="2304" w:name="bookmark2304"/>
      <w:r>
        <w:rPr>
          <w:color w:val="000000"/>
          <w:spacing w:val="0"/>
          <w:w w:val="100"/>
          <w:position w:val="0"/>
          <w:sz w:val="24"/>
          <w:szCs w:val="24"/>
        </w:rPr>
        <w:t>十八、补充资料</w:t>
      </w:r>
      <w:bookmarkEnd w:id="2302"/>
      <w:bookmarkEnd w:id="2303"/>
      <w:bookmarkEnd w:id="2304"/>
    </w:p>
    <w:p>
      <w:pPr>
        <w:pStyle w:val="Style32"/>
        <w:keepNext/>
        <w:keepLines/>
        <w:widowControl w:val="0"/>
        <w:shd w:val="clear" w:color="auto" w:fill="auto"/>
        <w:bidi w:val="0"/>
        <w:spacing w:before="0" w:after="340" w:line="240" w:lineRule="auto"/>
        <w:ind w:left="0" w:right="0" w:firstLine="0"/>
        <w:jc w:val="left"/>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5"/>
      <w:bookmarkEnd w:id="2306"/>
      <w:bookmarkEnd w:id="2307"/>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251,222.47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14,562255.65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5,428,534.11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1,777,378.44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3,722,997.72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179,557.42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18,116,835.53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08"/>
      <w:bookmarkEnd w:id="2309"/>
      <w:bookmarkEnd w:id="2310"/>
    </w:p>
    <w:tbl>
      <w:tblPr>
        <w:tblOverlap w:val="never"/>
        <w:jc w:val="center"/>
        <w:tblLayout w:type="fixed"/>
      </w:tblPr>
      <w:tblGrid>
        <w:gridCol w:w="2678"/>
        <w:gridCol w:w="3082"/>
        <w:gridCol w:w="1915"/>
        <w:gridCol w:w="191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0.0481</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0.0190</w:t>
            </w:r>
          </w:p>
        </w:tc>
      </w:tr>
    </w:tbl>
    <w:p>
      <w:pPr>
        <w:pStyle w:val="Style32"/>
        <w:keepNext/>
        <w:keepLines/>
        <w:widowControl w:val="0"/>
        <w:shd w:val="clear" w:color="auto" w:fill="auto"/>
        <w:tabs>
          <w:tab w:pos="396" w:val="left"/>
        </w:tabs>
        <w:bidi w:val="0"/>
        <w:spacing w:before="0" w:after="300" w:line="322" w:lineRule="exact"/>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3</w:t>
      </w:r>
      <w:bookmarkEnd w:id="2313"/>
      <w:r>
        <w:rPr>
          <w:color w:val="000000"/>
          <w:spacing w:val="0"/>
          <w:w w:val="100"/>
          <w:position w:val="0"/>
        </w:rPr>
        <w:t>、</w:t>
        <w:tab/>
        <w:t>境内外会计准则下会计数据差异</w:t>
      </w:r>
      <w:bookmarkEnd w:id="2311"/>
      <w:bookmarkEnd w:id="2312"/>
      <w:bookmarkEnd w:id="2314"/>
    </w:p>
    <w:p>
      <w:pPr>
        <w:pStyle w:val="Style36"/>
        <w:keepNext/>
        <w:keepLines/>
        <w:widowControl w:val="0"/>
        <w:shd w:val="clear" w:color="auto" w:fill="auto"/>
        <w:tabs>
          <w:tab w:pos="483" w:val="left"/>
        </w:tabs>
        <w:bidi w:val="0"/>
        <w:spacing w:before="0" w:after="380" w:line="322" w:lineRule="exact"/>
        <w:ind w:left="0" w:right="0" w:firstLine="0"/>
        <w:jc w:val="left"/>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15"/>
      <w:bookmarkEnd w:id="2316"/>
      <w:bookmarkEnd w:id="2318"/>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322" w:lineRule="exact"/>
        <w:ind w:left="0" w:right="0" w:firstLine="0"/>
        <w:jc w:val="left"/>
      </w:pPr>
      <w:bookmarkStart w:id="2319" w:name="bookmark2319"/>
      <w:bookmarkStart w:id="2320" w:name="bookmark2320"/>
      <w:bookmarkStart w:id="2321" w:name="bookmark2321"/>
      <w:bookmarkStart w:id="2322" w:name="bookmark2322"/>
      <w:r>
        <w:rPr>
          <w:color w:val="000000"/>
          <w:spacing w:val="0"/>
          <w:w w:val="100"/>
          <w:position w:val="0"/>
        </w:rPr>
        <w:t>（</w:t>
      </w:r>
      <w:bookmarkEnd w:id="232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19"/>
      <w:bookmarkEnd w:id="2320"/>
      <w:bookmarkEnd w:id="2322"/>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79" w:val="left"/>
        </w:tabs>
        <w:bidi w:val="0"/>
        <w:spacing w:before="0" w:after="380" w:line="322"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23"/>
      <w:bookmarkEnd w:id="2324"/>
      <w:bookmarkEnd w:id="2326"/>
    </w:p>
    <w:p>
      <w:pPr>
        <w:pStyle w:val="Style32"/>
        <w:keepNext/>
        <w:keepLines/>
        <w:widowControl w:val="0"/>
        <w:shd w:val="clear" w:color="auto" w:fill="auto"/>
        <w:tabs>
          <w:tab w:pos="396" w:val="left"/>
        </w:tabs>
        <w:bidi w:val="0"/>
        <w:spacing w:before="0" w:after="1900" w:line="336"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4</w:t>
      </w:r>
      <w:bookmarkEnd w:id="2329"/>
      <w:r>
        <w:rPr>
          <w:color w:val="000000"/>
          <w:spacing w:val="0"/>
          <w:w w:val="100"/>
          <w:position w:val="0"/>
        </w:rPr>
        <w:t>、</w:t>
        <w:tab/>
        <w:t>其他</w:t>
      </w:r>
      <w:bookmarkEnd w:id="2327"/>
      <w:bookmarkEnd w:id="2328"/>
      <w:bookmarkEnd w:id="2330"/>
    </w:p>
    <w:p>
      <w:pPr>
        <w:pStyle w:val="Style21"/>
        <w:keepNext w:val="0"/>
        <w:keepLines w:val="0"/>
        <w:widowControl w:val="0"/>
        <w:shd w:val="clear" w:color="auto" w:fill="auto"/>
        <w:bidi w:val="0"/>
        <w:spacing w:before="0" w:after="500" w:line="240" w:lineRule="auto"/>
        <w:ind w:left="0" w:right="0" w:firstLine="0"/>
        <w:jc w:val="right"/>
      </w:pPr>
      <w:r>
        <w:rPr>
          <w:color w:val="000000"/>
          <w:spacing w:val="0"/>
          <w:w w:val="100"/>
          <w:position w:val="0"/>
        </w:rPr>
        <w:t>福建榕基软件股份有限公司</w:t>
      </w:r>
    </w:p>
    <w:p>
      <w:pPr>
        <w:pStyle w:val="Style21"/>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董事长：</w:t>
      </w:r>
    </w:p>
    <w:p>
      <w:pPr>
        <w:pStyle w:val="Style21"/>
        <w:keepNext w:val="0"/>
        <w:keepLines w:val="0"/>
        <w:widowControl w:val="0"/>
        <w:pBdr>
          <w:top w:val="single" w:sz="4" w:space="0" w:color="auto"/>
        </w:pBdr>
        <w:shd w:val="clear" w:color="auto" w:fill="auto"/>
        <w:bidi w:val="0"/>
        <w:spacing w:before="0" w:after="500" w:line="240" w:lineRule="auto"/>
        <w:ind w:left="0" w:right="0" w:firstLine="0"/>
        <w:jc w:val="right"/>
      </w:pPr>
      <w:r>
        <w:rPr>
          <w:color w:val="000000"/>
          <w:spacing w:val="0"/>
          <w:w w:val="100"/>
          <w:position w:val="0"/>
        </w:rPr>
        <w:t>鲁峰</w:t>
      </w:r>
    </w:p>
    <w:p>
      <w:pPr>
        <w:pStyle w:val="Style6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Hei" w:eastAsia="SimHei" w:hAnsi="SimHei" w:cs="SimHei"/>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443" w:right="1075" w:bottom="1477" w:left="10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5)_"/>
    <w:basedOn w:val="DefaultParagraphFont"/>
    <w:link w:val="Style45"/>
    <w:rPr>
      <w:rFonts w:ascii="SimHei" w:eastAsia="SimHei" w:hAnsi="SimHei" w:cs="SimHei"/>
      <w:b w:val="0"/>
      <w:bCs w:val="0"/>
      <w:i w:val="0"/>
      <w:iCs w:val="0"/>
      <w:smallCaps w:val="0"/>
      <w:strike w:val="0"/>
      <w:color w:val="303030"/>
      <w:sz w:val="26"/>
      <w:szCs w:val="26"/>
      <w:u w:val="none"/>
      <w:shd w:val="clear" w:color="auto" w:fill="auto"/>
    </w:rPr>
  </w:style>
  <w:style w:type="character" w:customStyle="1" w:styleId="CharStyle49">
    <w:name w:val="Body text (6)_"/>
    <w:basedOn w:val="DefaultParagraphFont"/>
    <w:link w:val="Style48"/>
    <w:rPr>
      <w:rFonts w:ascii="Times New Roman" w:eastAsia="Times New Roman" w:hAnsi="Times New Roman" w:cs="Times New Roman"/>
      <w:b/>
      <w:bCs/>
      <w:i w:val="0"/>
      <w:iCs w:val="0"/>
      <w:smallCaps w:val="0"/>
      <w:strike w:val="0"/>
      <w:color w:val="5B5B5B"/>
      <w:sz w:val="20"/>
      <w:szCs w:val="20"/>
      <w:u w:val="none"/>
      <w:shd w:val="clear" w:color="auto" w:fill="auto"/>
    </w:rPr>
  </w:style>
  <w:style w:type="character" w:customStyle="1" w:styleId="CharStyle52">
    <w:name w:val="Body text (7)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5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63">
    <w:name w:val="Body text (8)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2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60" w:line="638"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Table of contents"/>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21">
    <w:name w:val="Body text"/>
    <w:basedOn w:val="Normal"/>
    <w:link w:val="CharStyle22"/>
    <w:qFormat/>
    <w:pPr>
      <w:widowControl w:val="0"/>
      <w:shd w:val="clear" w:color="auto" w:fill="auto"/>
      <w:spacing w:after="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5)"/>
    <w:basedOn w:val="Normal"/>
    <w:link w:val="CharStyle46"/>
    <w:pPr>
      <w:widowControl w:val="0"/>
      <w:shd w:val="clear" w:color="auto" w:fill="auto"/>
      <w:spacing w:after="660"/>
      <w:jc w:val="center"/>
    </w:pPr>
    <w:rPr>
      <w:rFonts w:ascii="SimHei" w:eastAsia="SimHei" w:hAnsi="SimHei" w:cs="SimHei"/>
      <w:b w:val="0"/>
      <w:bCs w:val="0"/>
      <w:i w:val="0"/>
      <w:iCs w:val="0"/>
      <w:smallCaps w:val="0"/>
      <w:strike w:val="0"/>
      <w:color w:val="303030"/>
      <w:sz w:val="26"/>
      <w:szCs w:val="26"/>
      <w:u w:val="none"/>
      <w:shd w:val="clear" w:color="auto" w:fill="auto"/>
    </w:rPr>
  </w:style>
  <w:style w:type="paragraph" w:customStyle="1" w:styleId="Style48">
    <w:name w:val="Body text (6)"/>
    <w:basedOn w:val="Normal"/>
    <w:link w:val="CharStyle49"/>
    <w:pPr>
      <w:widowControl w:val="0"/>
      <w:shd w:val="clear" w:color="auto" w:fill="auto"/>
      <w:spacing w:after="700"/>
      <w:jc w:val="center"/>
    </w:pPr>
    <w:rPr>
      <w:rFonts w:ascii="Times New Roman" w:eastAsia="Times New Roman" w:hAnsi="Times New Roman" w:cs="Times New Roman"/>
      <w:b/>
      <w:bCs/>
      <w:i w:val="0"/>
      <w:iCs w:val="0"/>
      <w:smallCaps w:val="0"/>
      <w:strike w:val="0"/>
      <w:color w:val="5B5B5B"/>
      <w:sz w:val="20"/>
      <w:szCs w:val="20"/>
      <w:u w:val="none"/>
      <w:shd w:val="clear" w:color="auto" w:fill="auto"/>
    </w:rPr>
  </w:style>
  <w:style w:type="paragraph" w:customStyle="1" w:styleId="Style51">
    <w:name w:val="Body text (7)"/>
    <w:basedOn w:val="Normal"/>
    <w:link w:val="CharStyle52"/>
    <w:pPr>
      <w:widowControl w:val="0"/>
      <w:shd w:val="clear" w:color="auto" w:fill="auto"/>
      <w:spacing w:after="320"/>
      <w:ind w:firstLine="140"/>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5"/>
    <w:basedOn w:val="Normal"/>
    <w:link w:val="CharStyle5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2">
    <w:name w:val="Body text (8)"/>
    <w:basedOn w:val="Normal"/>
    <w:link w:val="CharStyle63"/>
    <w:pPr>
      <w:widowControl w:val="0"/>
      <w:shd w:val="clear" w:color="auto" w:fill="auto"/>
      <w:spacing w:after="38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福建榕基软件股份有限公司2021年年度报告全文</dc:title>
  <dc:subject/>
  <dc:creator>福建榕基软件股份有限公司</dc:creator>
  <cp:keywords/>
</cp:coreProperties>
</file>