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福建榕基软件股份有限公司</w:t>
      </w:r>
      <w:bookmarkEnd w:id="0"/>
      <w:bookmarkEnd w:id="1"/>
      <w:bookmarkEnd w:id="2"/>
    </w:p>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Fujian Rongji Software Co., Ltd.</w:t>
      </w:r>
    </w:p>
    <w:p>
      <w:pPr>
        <w:pStyle w:val="Style10"/>
        <w:keepNext/>
        <w:keepLines/>
        <w:widowControl w:val="0"/>
        <w:shd w:val="clear" w:color="auto" w:fill="auto"/>
        <w:bidi w:val="0"/>
        <w:spacing w:before="0" w:after="840" w:line="240" w:lineRule="auto"/>
        <w:ind w:left="0" w:right="0" w:firstLine="0"/>
        <w:jc w:val="center"/>
      </w:pPr>
      <w:bookmarkStart w:id="3" w:name="bookmark3"/>
      <w:bookmarkStart w:id="4" w:name="bookmark4"/>
      <w:bookmarkStart w:id="5" w:name="bookmark5"/>
      <w:r>
        <w:rPr>
          <w:rFonts w:ascii="SimHei" w:eastAsia="SimHei" w:hAnsi="SimHei" w:cs="SimHei"/>
          <w:color w:val="000000"/>
          <w:spacing w:val="0"/>
          <w:w w:val="100"/>
          <w:position w:val="0"/>
        </w:rPr>
        <w:t>（福州市鼓楼区铜盘路福州软件园产业基地）</w:t>
      </w:r>
      <w:bookmarkEnd w:id="3"/>
      <w:bookmarkEnd w:id="4"/>
      <w:bookmarkEnd w:id="5"/>
    </w:p>
    <w:p>
      <w:pPr>
        <w:widowControl w:val="0"/>
        <w:jc w:val="center"/>
        <w:rPr>
          <w:sz w:val="2"/>
          <w:szCs w:val="2"/>
        </w:rPr>
      </w:pPr>
      <w:r>
        <w:drawing>
          <wp:inline>
            <wp:extent cx="1304290" cy="11887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304290" cy="1188720"/>
                    </a:xfrm>
                    <a:prstGeom prst="rect"/>
                  </pic:spPr>
                </pic:pic>
              </a:graphicData>
            </a:graphic>
          </wp:inline>
        </w:drawing>
      </w:r>
    </w:p>
    <w:p>
      <w:pPr>
        <w:widowControl w:val="0"/>
        <w:spacing w:after="839" w:line="1" w:lineRule="exact"/>
      </w:pPr>
    </w:p>
    <w:p>
      <w:pPr>
        <w:pStyle w:val="Style13"/>
        <w:keepNext w:val="0"/>
        <w:keepLines w:val="0"/>
        <w:widowControl w:val="0"/>
        <w:shd w:val="clear" w:color="auto" w:fill="auto"/>
        <w:bidi w:val="0"/>
        <w:spacing w:before="0" w:line="240" w:lineRule="auto"/>
        <w:ind w:left="0" w:right="0" w:firstLine="0"/>
        <w:jc w:val="center"/>
      </w:pPr>
      <w:r>
        <w:rPr>
          <w:rFonts w:ascii="Arial" w:eastAsia="Arial" w:hAnsi="Arial" w:cs="Arial"/>
          <w:color w:val="000000"/>
          <w:spacing w:val="0"/>
          <w:w w:val="100"/>
          <w:position w:val="0"/>
        </w:rPr>
        <w:t>2020</w:t>
      </w:r>
      <w:r>
        <w:rPr>
          <w:color w:val="000000"/>
          <w:spacing w:val="0"/>
          <w:w w:val="100"/>
          <w:position w:val="0"/>
        </w:rPr>
        <w:t>年度报告</w:t>
      </w:r>
    </w:p>
    <w:p>
      <w:pPr>
        <w:pStyle w:val="Style8"/>
        <w:keepNext w:val="0"/>
        <w:keepLines w:val="0"/>
        <w:widowControl w:val="0"/>
        <w:shd w:val="clear" w:color="auto" w:fill="auto"/>
        <w:bidi w:val="0"/>
        <w:spacing w:before="0" w:after="40"/>
        <w:ind w:right="0" w:firstLine="0"/>
        <w:jc w:val="left"/>
        <w:rPr>
          <w:sz w:val="28"/>
          <w:szCs w:val="28"/>
        </w:rPr>
      </w:pPr>
      <w:r>
        <w:rPr>
          <w:rFonts w:ascii="SimHei" w:eastAsia="SimHei" w:hAnsi="SimHei" w:cs="SimHei"/>
          <w:color w:val="000000"/>
          <w:spacing w:val="0"/>
          <w:w w:val="100"/>
          <w:position w:val="0"/>
          <w:sz w:val="28"/>
          <w:szCs w:val="28"/>
        </w:rPr>
        <w:t>公告编号：</w:t>
      </w:r>
      <w:r>
        <w:rPr>
          <w:color w:val="000000"/>
          <w:spacing w:val="0"/>
          <w:w w:val="100"/>
          <w:position w:val="0"/>
          <w:sz w:val="28"/>
          <w:szCs w:val="28"/>
        </w:rPr>
        <w:t xml:space="preserve">2021 </w:t>
      </w:r>
      <w:r>
        <w:rPr>
          <w:color w:val="000000"/>
          <w:spacing w:val="0"/>
          <w:w w:val="100"/>
          <w:position w:val="0"/>
          <w:sz w:val="28"/>
          <w:szCs w:val="28"/>
        </w:rPr>
        <w:t xml:space="preserve">-020 </w:t>
      </w:r>
      <w:r>
        <w:rPr>
          <w:rFonts w:ascii="SimHei" w:eastAsia="SimHei" w:hAnsi="SimHei" w:cs="SimHei"/>
          <w:color w:val="000000"/>
          <w:spacing w:val="0"/>
          <w:w w:val="100"/>
          <w:position w:val="0"/>
          <w:sz w:val="28"/>
          <w:szCs w:val="28"/>
        </w:rPr>
        <w:t>证券代码：</w:t>
      </w:r>
      <w:r>
        <w:rPr>
          <w:color w:val="000000"/>
          <w:spacing w:val="0"/>
          <w:w w:val="100"/>
          <w:position w:val="0"/>
          <w:sz w:val="28"/>
          <w:szCs w:val="28"/>
        </w:rPr>
        <w:t>002474</w:t>
      </w:r>
    </w:p>
    <w:p>
      <w:pPr>
        <w:pStyle w:val="Style18"/>
        <w:keepNext w:val="0"/>
        <w:keepLines w:val="0"/>
        <w:widowControl w:val="0"/>
        <w:shd w:val="clear" w:color="auto" w:fill="auto"/>
        <w:bidi w:val="0"/>
        <w:spacing w:before="0"/>
        <w:ind w:right="0" w:firstLine="0"/>
        <w:jc w:val="left"/>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609" w:right="1109" w:bottom="1609" w:left="1104" w:header="0" w:footer="3" w:gutter="0"/>
          <w:pgNumType w:start="1"/>
          <w:cols w:space="720"/>
          <w:noEndnote/>
          <w:rtlGutter w:val="0"/>
          <w:docGrid w:linePitch="360"/>
        </w:sectPr>
      </w:pPr>
      <w:r>
        <w:rPr>
          <w:color w:val="000000"/>
          <w:spacing w:val="0"/>
          <w:w w:val="100"/>
          <w:position w:val="0"/>
        </w:rPr>
        <w:t>证券简称：榕基软件 披露日期：</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w:t>
      </w:r>
    </w:p>
    <w:p>
      <w:pPr>
        <w:pStyle w:val="Style10"/>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1"/>
        <w:keepNext w:val="0"/>
        <w:keepLines w:val="0"/>
        <w:widowControl w:val="0"/>
        <w:shd w:val="clear" w:color="auto" w:fill="auto"/>
        <w:bidi w:val="0"/>
        <w:spacing w:before="0" w:line="624" w:lineRule="exact"/>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实、准确、完整，不存在虚假记载、误导性陈述或重大遗漏，并承担个别和连带 的法律责任。</w:t>
      </w:r>
      <w:bookmarkEnd w:id="9"/>
    </w:p>
    <w:p>
      <w:pPr>
        <w:pStyle w:val="Style21"/>
        <w:keepNext w:val="0"/>
        <w:keepLines w:val="0"/>
        <w:widowControl w:val="0"/>
        <w:shd w:val="clear" w:color="auto" w:fill="auto"/>
        <w:bidi w:val="0"/>
        <w:spacing w:before="0" w:line="624" w:lineRule="exact"/>
        <w:ind w:left="0" w:right="0"/>
        <w:jc w:val="both"/>
      </w:pPr>
      <w:r>
        <w:rPr>
          <w:color w:val="000000"/>
          <w:spacing w:val="0"/>
          <w:w w:val="100"/>
          <w:position w:val="0"/>
        </w:rPr>
        <w:t>公司负责人鲁峰、主管会计工作负责人侯伟及会计机构负责人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会计主管人 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镇千金声明：保证本年度报告中财务报告的真实、准确、完整。</w:t>
      </w:r>
    </w:p>
    <w:p>
      <w:pPr>
        <w:pStyle w:val="Style21"/>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21"/>
        <w:keepNext w:val="0"/>
        <w:keepLines w:val="0"/>
        <w:widowControl w:val="0"/>
        <w:shd w:val="clear" w:color="auto" w:fill="auto"/>
        <w:bidi w:val="0"/>
        <w:spacing w:before="0" w:line="619" w:lineRule="exact"/>
        <w:ind w:left="0" w:right="0"/>
        <w:jc w:val="both"/>
      </w:pPr>
      <w:r>
        <w:rPr>
          <w:color w:val="000000"/>
          <w:spacing w:val="0"/>
          <w:w w:val="100"/>
          <w:position w:val="0"/>
        </w:rPr>
        <w:t>本年度报告涉及未来计划等前瞻性陈述，并不代表公司对未来年度的盈利 预测及对投资者的实质承诺，请投资者注意投资风险。</w:t>
      </w:r>
    </w:p>
    <w:p>
      <w:pPr>
        <w:pStyle w:val="Style21"/>
        <w:keepNext w:val="0"/>
        <w:keepLines w:val="0"/>
        <w:widowControl w:val="0"/>
        <w:shd w:val="clear" w:color="auto" w:fill="auto"/>
        <w:bidi w:val="0"/>
        <w:spacing w:before="0" w:line="629" w:lineRule="exact"/>
        <w:ind w:left="0" w:right="0"/>
        <w:jc w:val="both"/>
      </w:pPr>
      <w:r>
        <w:rPr>
          <w:color w:val="000000"/>
          <w:spacing w:val="0"/>
          <w:w w:val="100"/>
          <w:position w:val="0"/>
        </w:rPr>
        <w:t>公司已在本报告中详细描述未来将面临的主要风险及应对措施，详情请查 阅本报告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。公司在发展过程中，存在人力资源风 险、行业技术风险、公司管理能力风险、新业务投入风险等风险因素，敬请广大 投资者注意投资风险。</w:t>
      </w:r>
    </w:p>
    <w:p>
      <w:pPr>
        <w:pStyle w:val="Style21"/>
        <w:keepNext w:val="0"/>
        <w:keepLines w:val="0"/>
        <w:widowControl w:val="0"/>
        <w:shd w:val="clear" w:color="auto" w:fill="auto"/>
        <w:bidi w:val="0"/>
        <w:spacing w:before="0" w:line="634" w:lineRule="exact"/>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622,200,000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0.15</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股（含税），不以公积 金转增股本。</w:t>
      </w:r>
    </w:p>
    <w:p>
      <w:pPr>
        <w:pStyle w:val="Style24"/>
        <w:keepNext/>
        <w:keepLines/>
        <w:widowControl w:val="0"/>
        <w:shd w:val="clear" w:color="auto" w:fill="auto"/>
        <w:bidi w:val="0"/>
        <w:spacing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26"/>
        <w:keepNext w:val="0"/>
        <w:keepLines w:val="0"/>
        <w:widowControl w:val="0"/>
        <w:shd w:val="clear" w:color="auto" w:fill="auto"/>
        <w:tabs>
          <w:tab w:leader="dot" w:pos="9615"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7"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w:t>
        </w:r>
      </w:hyperlink>
    </w:p>
    <w:p>
      <w:pPr>
        <w:pStyle w:val="Style26"/>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17"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6"/>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65"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26"/>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104"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16</w:t>
        </w:r>
      </w:hyperlink>
    </w:p>
    <w:p>
      <w:pPr>
        <w:pStyle w:val="Style26"/>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301"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34</w:t>
        </w:r>
      </w:hyperlink>
    </w:p>
    <w:p>
      <w:pPr>
        <w:pStyle w:val="Style26"/>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508"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57</w:t>
        </w:r>
      </w:hyperlink>
    </w:p>
    <w:p>
      <w:pPr>
        <w:pStyle w:val="Style26"/>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564"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26"/>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568"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26"/>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572"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64</w:t>
        </w:r>
      </w:hyperlink>
    </w:p>
    <w:p>
      <w:pPr>
        <w:pStyle w:val="Style26"/>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612"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71</w:t>
        </w:r>
      </w:hyperlink>
    </w:p>
    <w:p>
      <w:pPr>
        <w:pStyle w:val="Style26"/>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691"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26"/>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695"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p>
    <w:p>
      <w:pPr>
        <w:pStyle w:val="Style26"/>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2051" w:tooltip="Current Document">
        <w:r>
          <w:rPr>
            <w:color w:val="000000"/>
            <w:spacing w:val="0"/>
            <w:w w:val="100"/>
            <w:position w:val="0"/>
            <w:sz w:val="22"/>
            <w:szCs w:val="22"/>
          </w:rPr>
          <w:t>第十三节 备查文件目录</w:t>
        </w:r>
        <w:r>
          <w:rPr>
            <w:color w:val="000000"/>
            <w:spacing w:val="0"/>
            <w:w w:val="100"/>
            <w:position w:val="0"/>
            <w:sz w:val="22"/>
            <w:szCs w:val="22"/>
          </w:rPr>
          <w:tab/>
          <w:t xml:space="preserve"> </w:t>
        </w:r>
        <w:r>
          <w:rPr>
            <w:rFonts w:ascii="Times New Roman" w:eastAsia="Times New Roman" w:hAnsi="Times New Roman" w:cs="Times New Roman"/>
            <w:color w:val="000000"/>
            <w:spacing w:val="0"/>
            <w:w w:val="100"/>
            <w:position w:val="0"/>
            <w:sz w:val="24"/>
            <w:szCs w:val="24"/>
          </w:rPr>
          <w:t>206</w:t>
        </w:r>
      </w:hyperlink>
      <w:r>
        <w:br w:type="page"/>
      </w:r>
      <w:r>
        <w:fldChar w:fldCharType="end"/>
      </w:r>
    </w:p>
    <w:p>
      <w:pPr>
        <w:pStyle w:val="Style10"/>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公司、本公司、榕基软件</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上海榕基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上海榕基软件开发有限公司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创华公司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福州创华电气自动化有限公司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浙江榕基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浙江榕基信息技术有限公司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五一公司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榕基五一（北京）信息技术有限公司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榕基工程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福建榕基软件工程有限公司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河南榕基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河南榕基信息技术有限公司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中榕基公司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北京中榕基信息技术有限公司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马鞍山榕基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马鞍山榕基软件信息科技有限公司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福建榕基投资有限公司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信阳榕基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信阳榕基信息技术有限公司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榕基国际</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榕基国际控股有限公司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亿榕信息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星云大数据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福建省星云大数据应用服务有限公司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星榕基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福建星榕基信息科技有限责任公司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容大物联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福建容大物联网科技有限公司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福水智联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福水智联技术有限公司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福建证监局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中国证券监督管理委员会福建监管局</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公司主营业务领域、五大业务领域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电子政务、协同管理、信息安全、大数据、物联网等</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公共管理组织在政务活动中，综合运用现代信息技术，实现服务职 能和管理职能重组优化的运作模式。电子政务有狭义和广义之分。 狭义的电子政务专指政府部门的管理和服务，广义的电子政务包括 各类行政管理活动，例如电子政府（狭义电子政务）、电子党务、电 子政协、电子人大。</w:t>
            </w:r>
          </w:p>
        </w:tc>
      </w:tr>
      <w:tr>
        <w:trPr>
          <w:trHeight w:val="134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指无法在一定时间范围内用常规软件工具进行捕捉、管理和处理的 数据集合，是需要新处理模式才能具有更强的决策力、洞察发现力 和流程优化能力的海量、高增长率和多样化的信息资产。大数据技 术，是指从各种各样类型的数据中，快速获得有价值信息的能力。</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是指通过各种信息传感设备，实时采集任何需要监控、连接、互动 的物体或过程等各种需要的信息，与互联网结合形成的一个巨大网 络。其目是实现物与物、物与人，所有物品与网络的连接，方便识 别、管理和控制。</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信创工程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是信息化应用创新的简称。信创发展是当前的一项国家战略，是经 济发展的新动能。中国要逐步建立自主的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底层架构和标准，从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基础设置、基础软件、应用软件、信息安全等几个方面推进和提 倡行业的创新发展，形成自主开放生态。</w:t>
            </w: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金关工程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是国家重大电子政务工程项目。金关工程为国家、社会公众提供海 关业务服务和信息资源服务，为构建开放型国家经济新体制提供有 力支撑，为落实国家一带一路、跨境新政、全国一体化通关改革等 重大决策提供了有力保障。涉及智慧监管、智慧口岸、智慧物流、 智慧供应链、大数据应用、贸易安全等领域的智能技术信息化建设 体系。</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金环工程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建设国家和地方环境保护信息系统。构建环境保护信息基础网络平 台，建设国家环境数据信息库和环境管理决策支持体系，建立高 效、便捷的环境污染事故应急指挥信息传输系统，构筑数字环保， 完善信息发布制度，促进环境信息共享。</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协同管理软件</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基于网络的、实现组织内部多人或者多组织共同完成管理事务、提 高组织的灵活性和应变能力的软件。榕基</w:t>
            </w:r>
            <w:r>
              <w:rPr>
                <w:rFonts w:ascii="Times New Roman" w:eastAsia="Times New Roman" w:hAnsi="Times New Roman" w:cs="Times New Roman"/>
                <w:color w:val="000000"/>
                <w:spacing w:val="0"/>
                <w:w w:val="100"/>
                <w:position w:val="0"/>
                <w:sz w:val="18"/>
                <w:szCs w:val="18"/>
              </w:rPr>
              <w:t>iTask</w:t>
            </w:r>
            <w:r>
              <w:rPr>
                <w:color w:val="000000"/>
                <w:spacing w:val="0"/>
                <w:w w:val="100"/>
                <w:position w:val="0"/>
              </w:rPr>
              <w:t>移动协同管理平台为 远程办公提供一体化支撑与服务，可进行任务的部署、协调与监 督；该平台不仅可以有效承载复杂而庞大的组织工作，而且还能对 团队工作进行分解，对具体工作落实情况进行追踪。</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天平工程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最高人民法院在''十二五''期间，推进全国法院信息化建设的重大举 措，是国家电子政务重点业务信息系统建设项目。</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32"/>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bookmarkStart w:id="23" w:name="bookmark23"/>
      <w:r>
        <w:rPr>
          <w:color w:val="000000"/>
          <w:spacing w:val="0"/>
          <w:w w:val="100"/>
          <w:position w:val="0"/>
        </w:rPr>
        <w:t>一</w:t>
      </w:r>
      <w:bookmarkEnd w:id="22"/>
      <w:r>
        <w:rPr>
          <w:color w:val="000000"/>
          <w:spacing w:val="0"/>
          <w:w w:val="100"/>
          <w:position w:val="0"/>
        </w:rPr>
        <w:t>、公司信息</w:t>
      </w:r>
      <w:bookmarkEnd w:id="20"/>
      <w:bookmarkEnd w:id="21"/>
      <w:bookmarkEnd w:id="23"/>
      <w:bookmarkEnd w:id="19"/>
    </w:p>
    <w:tbl>
      <w:tblPr>
        <w:tblOverlap w:val="never"/>
        <w:jc w:val="center"/>
        <w:tblLayout w:type="fixed"/>
      </w:tblPr>
      <w:tblGrid>
        <w:gridCol w:w="2290"/>
        <w:gridCol w:w="2957"/>
        <w:gridCol w:w="2155"/>
        <w:gridCol w:w="218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榕基软件</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002474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榕基软件</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FUJIAN RONGJI SOFTWARE Co., Ltd.</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RONGJI SOFTWARE</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福建省福州市鼓楼区铜盘路福州软件园产业基地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福建省福州市鼓楼区铜盘路福州软件园产业基地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"http://www.rongji" </w:instrText>
            </w:r>
            <w:r>
              <w:fldChar w:fldCharType="separate"/>
            </w:r>
            <w:r>
              <w:rPr>
                <w:rFonts w:ascii="Times New Roman" w:eastAsia="Times New Roman" w:hAnsi="Times New Roman" w:cs="Times New Roman"/>
                <w:color w:val="000000"/>
                <w:spacing w:val="0"/>
                <w:w w:val="100"/>
                <w:position w:val="0"/>
                <w:sz w:val="18"/>
                <w:szCs w:val="18"/>
              </w:rPr>
              <w:t>http://www.rongji</w:t>
            </w:r>
            <w:r>
              <w:fldChar w:fldCharType="end"/>
            </w:r>
            <w:r>
              <w:rPr>
                <w:rFonts w:ascii="Times New Roman" w:eastAsia="Times New Roman" w:hAnsi="Times New Roman" w:cs="Times New Roman"/>
                <w:color w:val="000000"/>
                <w:spacing w:val="0"/>
                <w:w w:val="100"/>
                <w:position w:val="0"/>
                <w:sz w:val="18"/>
                <w:szCs w:val="18"/>
              </w:rPr>
              <w:t>. com</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"mailto:rongji@rongji.com" </w:instrText>
            </w:r>
            <w:r>
              <w:fldChar w:fldCharType="separate"/>
            </w:r>
            <w:r>
              <w:rPr>
                <w:rFonts w:ascii="Times New Roman" w:eastAsia="Times New Roman" w:hAnsi="Times New Roman" w:cs="Times New Roman"/>
                <w:color w:val="000000"/>
                <w:spacing w:val="0"/>
                <w:w w:val="100"/>
                <w:position w:val="0"/>
                <w:sz w:val="18"/>
                <w:szCs w:val="18"/>
              </w:rPr>
              <w:t>rongji@rongji.com</w:t>
            </w:r>
            <w:r>
              <w:fldChar w:fldCharType="end"/>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二</w:t>
      </w:r>
      <w:bookmarkEnd w:id="26"/>
      <w:r>
        <w:rPr>
          <w:color w:val="000000"/>
          <w:spacing w:val="0"/>
          <w:w w:val="100"/>
          <w:position w:val="0"/>
        </w:rPr>
        <w:t>、联系人和联系方式</w:t>
      </w:r>
      <w:bookmarkEnd w:id="24"/>
      <w:bookmarkEnd w:id="25"/>
      <w:bookmarkEnd w:id="2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陈略</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福州市鼓楼区铜盘路福州软件园产业基 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福州市鼓楼区铜盘路福州软件园产业基 地</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0591-83517761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0591-87303569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0591-87862566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0591-87862566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wanxiaoxiong@rongji. com</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chenlve@rongji. com</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三</w:t>
      </w:r>
      <w:bookmarkEnd w:id="30"/>
      <w:r>
        <w:rPr>
          <w:color w:val="000000"/>
          <w:spacing w:val="0"/>
          <w:w w:val="100"/>
          <w:position w:val="0"/>
        </w:rPr>
        <w:t>、信息披露及备置地点</w:t>
      </w:r>
      <w:bookmarkEnd w:id="28"/>
      <w:bookmarkEnd w:id="29"/>
      <w:bookmarkEnd w:id="31"/>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四</w:t>
      </w:r>
      <w:bookmarkEnd w:id="34"/>
      <w:r>
        <w:rPr>
          <w:color w:val="000000"/>
          <w:spacing w:val="0"/>
          <w:w w:val="100"/>
          <w:position w:val="0"/>
        </w:rPr>
        <w:t>、注册变更情况</w:t>
      </w:r>
      <w:bookmarkEnd w:id="32"/>
      <w:bookmarkEnd w:id="33"/>
      <w:bookmarkEnd w:id="35"/>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913500006285075795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五</w:t>
      </w:r>
      <w:bookmarkEnd w:id="38"/>
      <w:r>
        <w:rPr>
          <w:color w:val="000000"/>
          <w:spacing w:val="0"/>
          <w:w w:val="100"/>
          <w:position w:val="0"/>
        </w:rPr>
        <w:t>、其他有关资料</w:t>
      </w:r>
      <w:bookmarkEnd w:id="36"/>
      <w:bookmarkEnd w:id="37"/>
      <w:bookmarkEnd w:id="39"/>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号赛特广场五层</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林新田、杨莹</w:t>
            </w:r>
          </w:p>
        </w:tc>
      </w:tr>
    </w:tbl>
    <w:p>
      <w:pPr>
        <w:pStyle w:val="Style3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六</w:t>
      </w:r>
      <w:bookmarkEnd w:id="42"/>
      <w:r>
        <w:rPr>
          <w:color w:val="000000"/>
          <w:spacing w:val="0"/>
          <w:w w:val="100"/>
          <w:position w:val="0"/>
        </w:rPr>
        <w:t>、主要会计数据和财务指标</w:t>
      </w:r>
      <w:bookmarkEnd w:id="40"/>
      <w:bookmarkEnd w:id="41"/>
      <w:bookmarkEnd w:id="43"/>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730,475,517.25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727,322,833.38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812,488,365.82</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49,598,630.03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49,816,021.80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33,287,713.07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20,920,322.09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618,405.60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-1,482,717.72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72,224,578.63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108,243,966.33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26,395,263.03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0.0535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0.0535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2,886,763,316.10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2,758,681,945.09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2,525,819,358.71</w:t>
            </w: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1,581,336,369.85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1,537,547,113.10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1,455,404,522.77</w:t>
            </w:r>
          </w:p>
        </w:tc>
      </w:tr>
    </w:tbl>
    <w:p>
      <w:pPr>
        <w:pStyle w:val="Style36"/>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 确定性</w:t>
      </w:r>
    </w:p>
    <w:p>
      <w:pPr>
        <w:pStyle w:val="Style3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i w:val="0"/>
          <w:iCs w:val="0"/>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522" w:val="left"/>
        </w:tabs>
        <w:bidi w:val="0"/>
        <w:spacing w:before="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七</w:t>
      </w:r>
      <w:bookmarkEnd w:id="46"/>
      <w:r>
        <w:rPr>
          <w:color w:val="000000"/>
          <w:spacing w:val="0"/>
          <w:w w:val="100"/>
          <w:position w:val="0"/>
        </w:rPr>
        <w:t>、</w:t>
        <w:tab/>
        <w:t>境内外会计准则下会计数据差异</w:t>
      </w:r>
      <w:bookmarkEnd w:id="44"/>
      <w:bookmarkEnd w:id="45"/>
      <w:bookmarkEnd w:id="47"/>
    </w:p>
    <w:p>
      <w:pPr>
        <w:pStyle w:val="Style43"/>
        <w:keepNext/>
        <w:keepLines/>
        <w:widowControl w:val="0"/>
        <w:shd w:val="clear" w:color="auto" w:fill="auto"/>
        <w:tabs>
          <w:tab w:pos="403" w:val="left"/>
        </w:tabs>
        <w:bidi w:val="0"/>
        <w:spacing w:before="0" w:after="38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1</w:t>
      </w:r>
      <w:bookmarkEnd w:id="50"/>
      <w:r>
        <w:rPr>
          <w:color w:val="000000"/>
          <w:spacing w:val="0"/>
          <w:w w:val="100"/>
          <w:position w:val="0"/>
        </w:rPr>
        <w:t>、</w:t>
        <w:tab/>
        <w:t>同时按照国际会计准则与按照中国会计准则披露的财务报告中净利润和净资产差异情况</w:t>
      </w:r>
      <w:bookmarkEnd w:id="48"/>
      <w:bookmarkEnd w:id="49"/>
      <w:bookmarkEnd w:id="51"/>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43"/>
        <w:keepNext/>
        <w:keepLines/>
        <w:widowControl w:val="0"/>
        <w:shd w:val="clear" w:color="auto" w:fill="auto"/>
        <w:tabs>
          <w:tab w:pos="403" w:val="left"/>
        </w:tabs>
        <w:bidi w:val="0"/>
        <w:spacing w:before="0" w:after="38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2</w:t>
      </w:r>
      <w:bookmarkEnd w:id="54"/>
      <w:r>
        <w:rPr>
          <w:color w:val="000000"/>
          <w:spacing w:val="0"/>
          <w:w w:val="100"/>
          <w:position w:val="0"/>
        </w:rPr>
        <w:t>、</w:t>
        <w:tab/>
        <w:t>同时按照境外会计准则与按照中国会计准则披露的财务报告中净利润和净资产差异情况</w:t>
      </w:r>
      <w:bookmarkEnd w:id="52"/>
      <w:bookmarkEnd w:id="53"/>
      <w:bookmarkEnd w:id="55"/>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2"/>
        <w:keepNext/>
        <w:keepLines/>
        <w:widowControl w:val="0"/>
        <w:shd w:val="clear" w:color="auto" w:fill="auto"/>
        <w:tabs>
          <w:tab w:pos="522" w:val="left"/>
        </w:tabs>
        <w:bidi w:val="0"/>
        <w:spacing w:before="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八</w:t>
      </w:r>
      <w:bookmarkEnd w:id="58"/>
      <w:r>
        <w:rPr>
          <w:color w:val="000000"/>
          <w:spacing w:val="0"/>
          <w:w w:val="100"/>
          <w:position w:val="0"/>
        </w:rPr>
        <w:t>、</w:t>
        <w:tab/>
        <w:t>分季度主要财务指标</w:t>
      </w:r>
      <w:bookmarkEnd w:id="56"/>
      <w:bookmarkEnd w:id="57"/>
      <w:bookmarkEnd w:id="5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78,016,294.60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175,093,677.59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163,413,038.70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313,952,506.36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-7,898,297.65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19,164,310.56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14,475,452.15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23,857,164.97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-14,092,471.41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10,013,581.15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4,887,090.39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20,112,121.96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-54,057,446.41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66,321,086.96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40,040,133.70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19,920,804.38</w:t>
            </w:r>
          </w:p>
        </w:tc>
      </w:tr>
    </w:tbl>
    <w:p>
      <w:pPr>
        <w:pStyle w:val="Style3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九</w:t>
      </w:r>
      <w:bookmarkEnd w:id="62"/>
      <w:r>
        <w:rPr>
          <w:color w:val="000000"/>
          <w:spacing w:val="0"/>
          <w:w w:val="100"/>
          <w:position w:val="0"/>
        </w:rPr>
        <w:t>、非经常性损益项目及金额</w:t>
      </w:r>
      <w:bookmarkEnd w:id="60"/>
      <w:bookmarkEnd w:id="61"/>
      <w:bookmarkEnd w:id="63"/>
    </w:p>
    <w:p>
      <w:pPr>
        <w:pStyle w:val="Style3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12,660.23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-402,807.32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-1,737,964.97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22,097,426.18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13,727,666.46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12,939,440.04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14,698,136.77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19,433,133.13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28,073,359.27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-183,357.30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22,665,421.95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7,487,205.25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5,938,788.64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4,221,955.78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459,352.69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287,009.38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276,301.45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28,678,307.94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49,197,616.20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34,770,430.79</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 《公开发行证券的公司信息披露解释性公告第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 目，应说明原因</w:t>
      </w:r>
    </w:p>
    <w:p>
      <w:pPr>
        <w:pStyle w:val="Style3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9"/>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增值税税收返还</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1,341,104.24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与公司经常性经营活动相关</w:t>
            </w:r>
          </w:p>
        </w:tc>
      </w:tr>
    </w:tbl>
    <w:p>
      <w:pPr>
        <w:sectPr>
          <w:footnotePr>
            <w:pos w:val="pageBottom"/>
            <w:numFmt w:val="decimal"/>
            <w:numRestart w:val="continuous"/>
          </w:footnotePr>
          <w:pgSz w:w="11900" w:h="16840"/>
          <w:pgMar w:top="1441" w:right="1118" w:bottom="1412" w:left="1096" w:header="0" w:footer="3" w:gutter="0"/>
          <w:cols w:space="720"/>
          <w:noEndnote/>
          <w:rtlGutter w:val="0"/>
          <w:docGrid w:linePitch="360"/>
        </w:sectPr>
      </w:pPr>
    </w:p>
    <w:p>
      <w:pPr>
        <w:pStyle w:val="Style10"/>
        <w:keepNext/>
        <w:keepLines/>
        <w:widowControl w:val="0"/>
        <w:shd w:val="clear" w:color="auto" w:fill="auto"/>
        <w:bidi w:val="0"/>
        <w:spacing w:before="520" w:after="580" w:line="240" w:lineRule="auto"/>
        <w:ind w:left="0" w:right="0" w:firstLine="0"/>
        <w:jc w:val="center"/>
      </w:pPr>
      <w:bookmarkStart w:id="64" w:name="bookmark64"/>
      <w:bookmarkStart w:id="65" w:name="bookmark65"/>
      <w:bookmarkStart w:id="66" w:name="bookmark66"/>
      <w:r>
        <w:rPr>
          <w:color w:val="000000"/>
          <w:spacing w:val="0"/>
          <w:w w:val="100"/>
          <w:position w:val="0"/>
        </w:rPr>
        <w:t>第三节公司业务概要</w:t>
      </w:r>
      <w:bookmarkEnd w:id="64"/>
      <w:bookmarkEnd w:id="65"/>
      <w:bookmarkEnd w:id="66"/>
    </w:p>
    <w:p>
      <w:pPr>
        <w:pStyle w:val="Style32"/>
        <w:keepNext/>
        <w:keepLines/>
        <w:widowControl w:val="0"/>
        <w:shd w:val="clear" w:color="auto" w:fill="auto"/>
        <w:bidi w:val="0"/>
        <w:spacing w:before="0" w:after="240" w:line="240" w:lineRule="auto"/>
        <w:ind w:left="0" w:right="0" w:firstLine="0"/>
        <w:jc w:val="both"/>
      </w:pPr>
      <w:bookmarkStart w:id="67" w:name="bookmark67"/>
      <w:bookmarkStart w:id="68" w:name="bookmark68"/>
      <w:bookmarkStart w:id="69" w:name="bookmark69"/>
      <w:bookmarkStart w:id="70" w:name="bookmark70"/>
      <w:bookmarkStart w:id="71" w:name="bookmark71"/>
      <w:r>
        <w:rPr>
          <w:color w:val="000000"/>
          <w:spacing w:val="0"/>
          <w:w w:val="100"/>
          <w:position w:val="0"/>
        </w:rPr>
        <w:t>一</w:t>
      </w:r>
      <w:bookmarkEnd w:id="70"/>
      <w:r>
        <w:rPr>
          <w:color w:val="000000"/>
          <w:spacing w:val="0"/>
          <w:w w:val="100"/>
          <w:position w:val="0"/>
        </w:rPr>
        <w:t>、报告期内公司从事的主要业务</w:t>
      </w:r>
      <w:bookmarkEnd w:id="68"/>
      <w:bookmarkEnd w:id="69"/>
      <w:bookmarkEnd w:id="71"/>
      <w:bookmarkEnd w:id="67"/>
    </w:p>
    <w:p>
      <w:pPr>
        <w:pStyle w:val="Style36"/>
        <w:keepNext w:val="0"/>
        <w:keepLines w:val="0"/>
        <w:widowControl w:val="0"/>
        <w:shd w:val="clear" w:color="auto" w:fill="auto"/>
        <w:bidi w:val="0"/>
        <w:spacing w:before="0" w:line="313"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6"/>
        <w:keepNext w:val="0"/>
        <w:keepLines w:val="0"/>
        <w:widowControl w:val="0"/>
        <w:shd w:val="clear" w:color="auto" w:fill="auto"/>
        <w:bidi w:val="0"/>
        <w:spacing w:before="0" w:line="312" w:lineRule="exact"/>
        <w:ind w:left="0" w:right="0"/>
        <w:jc w:val="left"/>
      </w:pPr>
      <w:r>
        <w:rPr>
          <w:color w:val="000000"/>
          <w:spacing w:val="0"/>
          <w:w w:val="100"/>
          <w:position w:val="0"/>
        </w:rPr>
        <w:t>公司一直专注于行业应用软件研发、系统集成和运维服务，为党政、海关、能源、司法、环保等行业提供信息系统全 生命周期、全方位的专业服务。公司是海西软件产业的龙头企业，是国内电子政务和协同管理细分领域的领先服务厂商， 为金关工程、天平工程、金环工程、司法行政、智能电网等提供核心技术与服务，是国内通用电子政务和协同管理细分领 域最具竞争力、拥有最多实用化客户的厂商之一。</w:t>
      </w:r>
    </w:p>
    <w:p>
      <w:pPr>
        <w:pStyle w:val="Style36"/>
        <w:keepNext w:val="0"/>
        <w:keepLines w:val="0"/>
        <w:widowControl w:val="0"/>
        <w:shd w:val="clear" w:color="auto" w:fill="auto"/>
        <w:bidi w:val="0"/>
        <w:spacing w:before="0" w:line="314" w:lineRule="exact"/>
        <w:ind w:left="0" w:right="0"/>
        <w:jc w:val="left"/>
      </w:pPr>
      <w:r>
        <w:rPr>
          <w:color w:val="000000"/>
          <w:spacing w:val="0"/>
          <w:w w:val="100"/>
          <w:position w:val="0"/>
        </w:rPr>
        <w:t>报告期内，公司进一步推进软件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行业化、产品化、服务化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经营战略，依托长期积累的品牌、团队、产品、技术等综 合优势，积极进行技术创新和商业模式创新，进一步提升公司的核心竞争力，积极培育和拓展信创工程、大数据、物联网 等新技术、新业务，为实现公司经营业绩的持续稳健增长提供了有效支撑。</w:t>
      </w:r>
    </w:p>
    <w:p>
      <w:pPr>
        <w:pStyle w:val="Style36"/>
        <w:keepNext w:val="0"/>
        <w:keepLines w:val="0"/>
        <w:widowControl w:val="0"/>
        <w:shd w:val="clear" w:color="auto" w:fill="auto"/>
        <w:bidi w:val="0"/>
        <w:spacing w:before="0" w:after="140" w:line="313" w:lineRule="exact"/>
        <w:ind w:left="0" w:right="0"/>
        <w:jc w:val="left"/>
      </w:pPr>
      <w:r>
        <w:rPr>
          <w:color w:val="000000"/>
          <w:spacing w:val="0"/>
          <w:w w:val="100"/>
          <w:position w:val="0"/>
        </w:rPr>
        <w:t>报告期内，公司继续被评为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、公司与全资子公司福建榕基软件工程有限公司继续获得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国家规划布 局内重点软件企业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福建省工业和信息化省级龙头企业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称号；公司入选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年中国创新软件企业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政务 大数据创新排行榜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；福建榕基软件工程有限公司获评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年度福建省数字经济领域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瞪羚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创新企业、获福建省级新型研发 机构认定；榕基软件全资子公司上海榕基软件开发有限公司入选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上海市高新技术企业名单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、上海市及上海市松江区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专精 特新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中小企业名录。</w:t>
      </w:r>
    </w:p>
    <w:p>
      <w:pPr>
        <w:pStyle w:val="Style36"/>
        <w:keepNext w:val="0"/>
        <w:keepLines w:val="0"/>
        <w:widowControl w:val="0"/>
        <w:shd w:val="clear" w:color="auto" w:fill="auto"/>
        <w:bidi w:val="0"/>
        <w:spacing w:before="0" w:after="0" w:line="360" w:lineRule="auto"/>
        <w:ind w:left="0" w:right="0"/>
        <w:jc w:val="both"/>
      </w:pPr>
      <w:bookmarkStart w:id="72" w:name="bookmark72"/>
      <w:r>
        <w:rPr>
          <w:rFonts w:ascii="Times New Roman" w:eastAsia="Times New Roman" w:hAnsi="Times New Roman" w:cs="Times New Roman"/>
          <w:color w:val="000000"/>
          <w:spacing w:val="0"/>
          <w:w w:val="100"/>
          <w:position w:val="0"/>
          <w:sz w:val="18"/>
          <w:szCs w:val="18"/>
        </w:rPr>
        <w:t>1</w:t>
      </w:r>
      <w:bookmarkEnd w:id="72"/>
      <w:r>
        <w:rPr>
          <w:color w:val="000000"/>
          <w:spacing w:val="0"/>
          <w:w w:val="100"/>
          <w:position w:val="0"/>
        </w:rPr>
        <w:t>、电子政务领域</w:t>
      </w:r>
    </w:p>
    <w:p>
      <w:pPr>
        <w:pStyle w:val="Style36"/>
        <w:keepNext w:val="0"/>
        <w:keepLines w:val="0"/>
        <w:widowControl w:val="0"/>
        <w:shd w:val="clear" w:color="auto" w:fill="auto"/>
        <w:bidi w:val="0"/>
        <w:spacing w:before="0" w:line="312" w:lineRule="exact"/>
        <w:ind w:left="0" w:right="0"/>
        <w:jc w:val="both"/>
      </w:pPr>
      <w:r>
        <w:rPr>
          <w:color w:val="000000"/>
          <w:spacing w:val="0"/>
          <w:w w:val="100"/>
          <w:position w:val="0"/>
        </w:rPr>
        <w:t>报告期内，在电子政务领域，公司持续保持较高的研发投入，积极进行安全可靠、大数据等新技术研究以及电子政务 行业应用的研发，在信创工程、互联网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党建、司法行政以及大数据、物联网等领域获得近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项自主知识产 权的软件产品和解决方案，在全国各地积极推广应用，提升了公司在电子政务领域的竞争优势。</w:t>
      </w:r>
    </w:p>
    <w:p>
      <w:pPr>
        <w:pStyle w:val="Style36"/>
        <w:keepNext w:val="0"/>
        <w:keepLines w:val="0"/>
        <w:widowControl w:val="0"/>
        <w:shd w:val="clear" w:color="auto" w:fill="auto"/>
        <w:bidi w:val="0"/>
        <w:spacing w:before="0" w:line="313" w:lineRule="exact"/>
        <w:ind w:left="0" w:right="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）信创工程</w:t>
      </w:r>
    </w:p>
    <w:p>
      <w:pPr>
        <w:pStyle w:val="Style36"/>
        <w:keepNext w:val="0"/>
        <w:keepLines w:val="0"/>
        <w:widowControl w:val="0"/>
        <w:shd w:val="clear" w:color="auto" w:fill="auto"/>
        <w:bidi w:val="0"/>
        <w:spacing w:before="0" w:line="312" w:lineRule="exact"/>
        <w:ind w:left="0" w:right="0"/>
        <w:jc w:val="both"/>
      </w:pPr>
      <w:r>
        <w:rPr>
          <w:color w:val="000000"/>
          <w:spacing w:val="0"/>
          <w:w w:val="100"/>
          <w:position w:val="0"/>
        </w:rPr>
        <w:t>公司将发展自主可控信创业务作为企业核心战略，专注于发展党政协同办公、电子公文、数字档案、社会信用、社会 治理和公共服务以及司法、海关、环保等优势行业领域信创业务，是国内信创产业细分领域应用软件开发和系统集成服务 的先行者和领导者之一。</w:t>
      </w:r>
    </w:p>
    <w:p>
      <w:pPr>
        <w:pStyle w:val="Style36"/>
        <w:keepNext w:val="0"/>
        <w:keepLines w:val="0"/>
        <w:widowControl w:val="0"/>
        <w:shd w:val="clear" w:color="auto" w:fill="auto"/>
        <w:bidi w:val="0"/>
        <w:spacing w:before="0" w:line="314" w:lineRule="exact"/>
        <w:ind w:left="0" w:right="0"/>
        <w:jc w:val="both"/>
      </w:pPr>
      <w:r>
        <w:rPr>
          <w:color w:val="000000"/>
          <w:spacing w:val="0"/>
          <w:w w:val="100"/>
          <w:position w:val="0"/>
        </w:rPr>
        <w:t>公司拥有信创工程先发优势，</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年即通过参与国家核高基项目开展自主可控相关技术预研工作，多次作为党政协同 办公应用领域开发商代表参与国家自主可控技术演进、办公文档互操作等信创专题技术研讨会，积极参与信创联盟工作组 标准编写以及应用指南、典型案例修订工作。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年成立福建省中间件软件技术重点实验室，启动榕基自主可控技术创新 工程项目，建立了完善的自主可控技术创新研发适配测试平台。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年承建了五个国家第二批信创电子公文试点项目，是 承担福建省内最多国家试点项目建设任务的服务商。</w:t>
      </w:r>
    </w:p>
    <w:p>
      <w:pPr>
        <w:pStyle w:val="Style36"/>
        <w:keepNext w:val="0"/>
        <w:keepLines w:val="0"/>
        <w:widowControl w:val="0"/>
        <w:shd w:val="clear" w:color="auto" w:fill="auto"/>
        <w:bidi w:val="0"/>
        <w:spacing w:before="0" w:line="312" w:lineRule="exact"/>
        <w:ind w:left="0" w:right="0"/>
        <w:jc w:val="both"/>
      </w:pPr>
      <w:r>
        <w:rPr>
          <w:color w:val="000000"/>
          <w:spacing w:val="0"/>
          <w:w w:val="100"/>
          <w:position w:val="0"/>
        </w:rPr>
        <w:t>公司坚持技术创新和应用创新，通过实施企业自主可控技术创新工程，围绕自主可控信创产业发展战略，以平台化、 组件化、智能化为方向，构建完善的信创技术架构体系，专注于研发自主可控共性关键技术、信创工程行业应用产品及解 决方案。公司已重构研发形成</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多项自主知识产权信创产品，包括非结构化数据服务、分布式全文检索、工作流平台、基 础支撑平台、迁移适配服务平台等中间件，党政综合办公系统、电子公文系统、数字档案管理系统、督查督办管理系统、 司法综合管理信息平台等应用软件，以及网络隐患扫描系统信息安全产品等。报告期内，榕基自主可控技术创新工程项目 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福建省科技进步奖（企业创新）二等奖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val="0"/>
        <w:keepLines w:val="0"/>
        <w:widowControl w:val="0"/>
        <w:shd w:val="clear" w:color="auto" w:fill="auto"/>
        <w:bidi w:val="0"/>
        <w:spacing w:before="0" w:line="314" w:lineRule="exact"/>
        <w:ind w:left="0" w:right="0"/>
        <w:jc w:val="both"/>
      </w:pPr>
      <w:r>
        <w:rPr>
          <w:color w:val="000000"/>
          <w:spacing w:val="0"/>
          <w:w w:val="100"/>
          <w:position w:val="0"/>
        </w:rPr>
        <w:t>报告期内，公司研发完成微服务化版本统一开发平台、移动应用基础支撑平台、内容管理系统、智能表单平台和多租 户应用管理平台等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多项信创中间件产品。公司发布了新一代微服务版本党政机关协同办公平台、移动办公平台、数字档 案全文信息管理系统、数字档案馆馆藏资源管理系统，为党政机关提供先进安全、便捷高效的信创协同办公解决方案，为 基于信创平台环境的党政机关办公提供全业务、全场景、一体化、智能化支撑服务。公司参与制订《福建省党政机关电子 公文归档一体化管理技术规范》地方标准，有利于推进和规范电子公文在线归档、电子档案全流程管理以及电子公文全生 </w:t>
      </w:r>
      <w:r>
        <w:rPr>
          <w:color w:val="000000"/>
          <w:spacing w:val="0"/>
          <w:w w:val="100"/>
          <w:position w:val="0"/>
        </w:rPr>
        <w:t>命周期安全有效管理，推动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文档一体化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建设和电子档案单套制落地。公司自主知识产权信创产品与所有信创工程基础软 硬件目录产品完成适配和兼容性互认证测试，与鲲鹏云等主要国产信创云计算平台完成适配验证工作，覆盖整个信创核心 产品生态体系。</w:t>
      </w:r>
    </w:p>
    <w:p>
      <w:pPr>
        <w:pStyle w:val="Style36"/>
        <w:keepNext w:val="0"/>
        <w:keepLines w:val="0"/>
        <w:widowControl w:val="0"/>
        <w:shd w:val="clear" w:color="auto" w:fill="auto"/>
        <w:bidi w:val="0"/>
        <w:spacing w:before="0" w:line="314" w:lineRule="exact"/>
        <w:ind w:left="0" w:right="0" w:firstLine="300"/>
        <w:jc w:val="left"/>
      </w:pPr>
      <w:r>
        <w:rPr>
          <w:color w:val="000000"/>
          <w:spacing w:val="0"/>
          <w:w w:val="100"/>
          <w:position w:val="0"/>
        </w:rPr>
        <w:t>报告期内，公司持续完善信创工程全生命周期过程服务体系，进一步提升信创工程系统集成服务能力，形成了多种典 型场景应用的信创工程解决方案和建设模式，发布了灵活智能的系统迁移工具，建立了标准化的系统集成服务规范。公司 积极布局全国信创业务，进一步加强福建、北京、上海、浙江、河南、湖北、宁夏等区域信创工程服务支撑体系建设，加 入了福建、河南等地鲲鹏生态联盟，持续提升区域本地化信创工程集成适配服务能力。</w:t>
      </w:r>
    </w:p>
    <w:p>
      <w:pPr>
        <w:pStyle w:val="Style36"/>
        <w:keepNext w:val="0"/>
        <w:keepLines w:val="0"/>
        <w:widowControl w:val="0"/>
        <w:shd w:val="clear" w:color="auto" w:fill="auto"/>
        <w:bidi w:val="0"/>
        <w:spacing w:before="0" w:line="317" w:lineRule="exact"/>
        <w:ind w:left="0" w:right="0" w:firstLine="0"/>
        <w:jc w:val="both"/>
      </w:pPr>
      <w:r>
        <w:rPr>
          <w:color w:val="000000"/>
          <w:spacing w:val="0"/>
          <w:w w:val="100"/>
          <w:position w:val="0"/>
        </w:rPr>
        <w:t>报告期内，公司中标福建、浙江、北京、湖北、河南、宁夏等地数十个信创工程项目，继续巩固和提升公司在福建、浙江 等区域党政机关协同办公、电子公文、数字档案、综合集成等信创工程细分领域的竞争优势地位。</w:t>
      </w:r>
    </w:p>
    <w:p>
      <w:pPr>
        <w:pStyle w:val="Style36"/>
        <w:keepNext w:val="0"/>
        <w:keepLines w:val="0"/>
        <w:widowControl w:val="0"/>
        <w:shd w:val="clear" w:color="auto" w:fill="auto"/>
        <w:bidi w:val="0"/>
        <w:spacing w:before="0" w:line="312" w:lineRule="exact"/>
        <w:ind w:left="0" w:right="0" w:firstLine="300"/>
        <w:jc w:val="left"/>
      </w:pPr>
      <w:r>
        <w:rPr>
          <w:color w:val="000000"/>
          <w:spacing w:val="0"/>
          <w:w w:val="100"/>
          <w:position w:val="0"/>
        </w:rPr>
        <w:t>强化核心技术自主创新、增强产业链供应链自主可控能力是构建国家高质量新发展格局的基础，已成为国家重要战略 部署，国家从体制、人才、财税、市场、资本等多方面推动科技产业的发展，自主可控信创产业需求将进一步释放，产业 链将进一步完善，市场竞争将进一步规范有序，信创产业将持续稳定快速发展。报告期内，国内党政机关信创业务已全面 启动，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年党政信创市场将进一步深入发展，重要行业信创市场也将逐步铺开，公司将依托信创领域的先发优势、行业 经验优势、产品技术优势和本地化服务优势，紧抓国家自主可控信创产业战略发展机遇，全面推进公司信创业务持续健康 发展。</w:t>
      </w:r>
    </w:p>
    <w:p>
      <w:pPr>
        <w:pStyle w:val="Style36"/>
        <w:keepNext w:val="0"/>
        <w:keepLines w:val="0"/>
        <w:widowControl w:val="0"/>
        <w:numPr>
          <w:ilvl w:val="0"/>
          <w:numId w:val="1"/>
        </w:numPr>
        <w:shd w:val="clear" w:color="auto" w:fill="auto"/>
        <w:bidi w:val="0"/>
        <w:spacing w:before="0" w:line="314" w:lineRule="exact"/>
        <w:ind w:left="0" w:right="0" w:firstLine="300"/>
        <w:jc w:val="left"/>
      </w:pPr>
      <w:bookmarkStart w:id="74" w:name="bookmark74"/>
      <w:bookmarkEnd w:id="74"/>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w:t>
      </w:r>
    </w:p>
    <w:p>
      <w:pPr>
        <w:pStyle w:val="Style36"/>
        <w:keepNext w:val="0"/>
        <w:keepLines w:val="0"/>
        <w:widowControl w:val="0"/>
        <w:shd w:val="clear" w:color="auto" w:fill="auto"/>
        <w:bidi w:val="0"/>
        <w:spacing w:before="0" w:line="308" w:lineRule="exact"/>
        <w:ind w:left="0" w:right="0"/>
        <w:jc w:val="left"/>
      </w:pPr>
      <w:r>
        <w:rPr>
          <w:color w:val="000000"/>
          <w:spacing w:val="0"/>
          <w:w w:val="100"/>
          <w:position w:val="0"/>
        </w:rPr>
        <w:t>公司坚持技术创新，采用大数据、云计算、工作流、智能交互等新技术，积极打造政务信息资源共享平台和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一体化解决方案，在福建、北京、上海、浙江、河南、湖北等地成功推广应用，公司将加大市场开拓力度，依托 全国营销服务网络，积极拓展互联网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政务服务区域市场。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智慧政务将助力打通政务内部的数据收集和存储，打造统一 安全的政务云平台、数据资源整合和大数据平台、一体化网上政务服务平台，实现互联网和政务服务深度融合，推动政务 服务的高效执行。随着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的推广落地，将有助于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智慧政务的快速发展，为公司业务带来新的发展机遇。</w:t>
      </w:r>
    </w:p>
    <w:p>
      <w:pPr>
        <w:pStyle w:val="Style36"/>
        <w:keepNext w:val="0"/>
        <w:keepLines w:val="0"/>
        <w:widowControl w:val="0"/>
        <w:numPr>
          <w:ilvl w:val="0"/>
          <w:numId w:val="1"/>
        </w:numPr>
        <w:shd w:val="clear" w:color="auto" w:fill="auto"/>
        <w:bidi w:val="0"/>
        <w:spacing w:before="0" w:line="314" w:lineRule="exact"/>
        <w:ind w:left="0" w:right="0"/>
        <w:jc w:val="left"/>
      </w:pPr>
      <w:bookmarkStart w:id="75" w:name="bookmark75"/>
      <w:bookmarkEnd w:id="75"/>
      <w:r>
        <w:rPr>
          <w:color w:val="000000"/>
          <w:spacing w:val="0"/>
          <w:w w:val="100"/>
          <w:position w:val="0"/>
        </w:rPr>
        <w:t>金关工程</w:t>
      </w:r>
    </w:p>
    <w:p>
      <w:pPr>
        <w:pStyle w:val="Style36"/>
        <w:keepNext w:val="0"/>
        <w:keepLines w:val="0"/>
        <w:widowControl w:val="0"/>
        <w:shd w:val="clear" w:color="auto" w:fill="auto"/>
        <w:bidi w:val="0"/>
        <w:spacing w:before="0" w:line="312" w:lineRule="exact"/>
        <w:ind w:left="0" w:right="0"/>
        <w:jc w:val="left"/>
      </w:pPr>
      <w:r>
        <w:rPr>
          <w:color w:val="000000"/>
          <w:spacing w:val="0"/>
          <w:w w:val="100"/>
          <w:position w:val="0"/>
        </w:rPr>
        <w:t>公司拥有丰富的智慧海关信息化服务和建设经验，对海关所属检验检疫业务深耕二十多年，是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金关工程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的领先服务 厂商。智慧海关是涉及智慧风控、智慧监管、智慧办公、智慧口岸、智慧物流、智慧供应链、大数据应用、贸易安全等领 域的智能技术信息化建设体系。</w:t>
      </w:r>
    </w:p>
    <w:p>
      <w:pPr>
        <w:pStyle w:val="Style36"/>
        <w:keepNext w:val="0"/>
        <w:keepLines w:val="0"/>
        <w:widowControl w:val="0"/>
        <w:shd w:val="clear" w:color="auto" w:fill="auto"/>
        <w:bidi w:val="0"/>
        <w:spacing w:before="0" w:line="316" w:lineRule="exact"/>
        <w:ind w:left="0" w:right="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年开始，公司为原国家检验检疫系统提供政务系统网络建设服务，是原国检中国电子检验检疫主干系统(</w:t>
      </w:r>
      <w:r>
        <w:rPr>
          <w:rFonts w:ascii="Times New Roman" w:eastAsia="Times New Roman" w:hAnsi="Times New Roman" w:cs="Times New Roman"/>
          <w:color w:val="000000"/>
          <w:spacing w:val="0"/>
          <w:w w:val="100"/>
          <w:position w:val="0"/>
          <w:sz w:val="18"/>
          <w:szCs w:val="18"/>
        </w:rPr>
        <w:t xml:space="preserve">e-CIQ </w:t>
      </w:r>
      <w:r>
        <w:rPr>
          <w:color w:val="000000"/>
          <w:spacing w:val="0"/>
          <w:w w:val="100"/>
          <w:position w:val="0"/>
        </w:rPr>
        <w:t>主干系统)唯一承建商。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年海关总署制定了《全国通关一体化关检业务全面融合框架方案》，明确了海关、原国检申 报系统及数据合并整合。公司响应国家政策，围绕海关总署参与关检融合的相关工作，积极参与新一代海关信息化系统的 建设和技术支持服务项目，协助海关总署进一步推进关检融合信息系统建设工作。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年成功实施海关总署</w:t>
      </w:r>
      <w:r>
        <w:rPr>
          <w:rFonts w:ascii="Times New Roman" w:eastAsia="Times New Roman" w:hAnsi="Times New Roman" w:cs="Times New Roman"/>
          <w:color w:val="000000"/>
          <w:spacing w:val="0"/>
          <w:w w:val="100"/>
          <w:position w:val="0"/>
          <w:sz w:val="18"/>
          <w:szCs w:val="18"/>
        </w:rPr>
        <w:t>H2018</w:t>
      </w:r>
      <w:r>
        <w:rPr>
          <w:color w:val="000000"/>
          <w:spacing w:val="0"/>
          <w:w w:val="100"/>
          <w:position w:val="0"/>
        </w:rPr>
        <w:t>系统中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出证拟证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业务子系统、海关总署智慧卫生检疫系统业务融合及升级优化采购项目，在服务关检业务融合领域迈上新的 高度。</w:t>
      </w:r>
    </w:p>
    <w:p>
      <w:pPr>
        <w:pStyle w:val="Style36"/>
        <w:keepNext w:val="0"/>
        <w:keepLines w:val="0"/>
        <w:widowControl w:val="0"/>
        <w:shd w:val="clear" w:color="auto" w:fill="auto"/>
        <w:bidi w:val="0"/>
        <w:spacing w:before="0" w:line="314" w:lineRule="exact"/>
        <w:ind w:left="0" w:right="0"/>
        <w:jc w:val="left"/>
      </w:pPr>
      <w:r>
        <w:rPr>
          <w:color w:val="000000"/>
          <w:spacing w:val="0"/>
          <w:w w:val="100"/>
          <w:position w:val="0"/>
        </w:rPr>
        <w:t>公司在口岸防控信息系统承建上具有丰富的建设及服务经验。公司于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年开始承建口岸卫检智慧防线系统。</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月，该系统成功在中老两国唯一的国家级一类口岸磨憨口岸上线应用，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年起该系统作为云南省出入境人员卫生检疫业 务的统一管理平台进行推广应用，截至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年底，昆明关区</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个隶属海关的</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个作业现场已全部安装检疫查验一体化智能闸 道，实现了相关口岸业务的规范统一管理，并在云南各口岸应对登革热、基孔肯亚热、</w:t>
      </w:r>
      <w:r>
        <w:rPr>
          <w:rFonts w:ascii="Times New Roman" w:eastAsia="Times New Roman" w:hAnsi="Times New Roman" w:cs="Times New Roman"/>
          <w:color w:val="000000"/>
          <w:spacing w:val="0"/>
          <w:w w:val="100"/>
          <w:position w:val="0"/>
          <w:sz w:val="18"/>
          <w:szCs w:val="18"/>
        </w:rPr>
        <w:t>MERS</w:t>
      </w:r>
      <w:r>
        <w:rPr>
          <w:color w:val="000000"/>
          <w:spacing w:val="0"/>
          <w:w w:val="100"/>
          <w:position w:val="0"/>
        </w:rPr>
        <w:t>中发挥了重大作用。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月，承建昆明海关口岸卫检智慧通道项目，满足海关疫情防控一线工作的迫切需求，以扎牢境外输入防控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第一道防线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该项目的顺利建设，对公司继续拓展口岸商务卫生防疫等政府项目空间具有典型示范意义。</w:t>
      </w:r>
    </w:p>
    <w:p>
      <w:pPr>
        <w:pStyle w:val="Style36"/>
        <w:keepNext w:val="0"/>
        <w:keepLines w:val="0"/>
        <w:widowControl w:val="0"/>
        <w:shd w:val="clear" w:color="auto" w:fill="auto"/>
        <w:bidi w:val="0"/>
        <w:spacing w:before="0" w:line="316"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年，我们将积极参与基础支撑平台的建设，该平台系海关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规划信息化建设重要基石，也是建设智慧海关 的重要系统；将持续参与新一代海关信息化系统建设等相关工作。基于对海关信息化、外贸行业的深刻理解和持续耕耘， 结合行业发展前景、国家发展规划及企业能力优势，持续为海关输出榕基智慧，包括核心业务系统架构设计、人工智能、 大数据分析、物联网等核心领域的建设，加强与海关在建系统的合作，创新业务模式改革探索，完善海关信息化协同生态 建设，助力提升公众服务能力和水平，推动业务智慧化升级，敏捷国门安全应急响应能力，以高品质、高水准的智慧方案 服务于海关。</w:t>
      </w:r>
    </w:p>
    <w:p>
      <w:pPr>
        <w:pStyle w:val="Style36"/>
        <w:keepNext w:val="0"/>
        <w:keepLines w:val="0"/>
        <w:widowControl w:val="0"/>
        <w:numPr>
          <w:ilvl w:val="0"/>
          <w:numId w:val="1"/>
        </w:numPr>
        <w:shd w:val="clear" w:color="auto" w:fill="auto"/>
        <w:tabs>
          <w:tab w:pos="765" w:val="left"/>
        </w:tabs>
        <w:bidi w:val="0"/>
        <w:spacing w:before="0" w:line="317" w:lineRule="exact"/>
        <w:ind w:left="0" w:right="0"/>
        <w:jc w:val="left"/>
      </w:pPr>
      <w:bookmarkStart w:id="76" w:name="bookmark76"/>
      <w:bookmarkEnd w:id="76"/>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党建</w:t>
      </w:r>
    </w:p>
    <w:p>
      <w:pPr>
        <w:pStyle w:val="Style36"/>
        <w:keepNext w:val="0"/>
        <w:keepLines w:val="0"/>
        <w:widowControl w:val="0"/>
        <w:shd w:val="clear" w:color="auto" w:fill="auto"/>
        <w:bidi w:val="0"/>
        <w:spacing w:before="0" w:line="309" w:lineRule="exact"/>
        <w:ind w:left="0" w:right="0"/>
        <w:jc w:val="left"/>
      </w:pPr>
      <w:r>
        <w:rPr>
          <w:color w:val="000000"/>
          <w:spacing w:val="0"/>
          <w:w w:val="100"/>
          <w:position w:val="0"/>
        </w:rPr>
        <w:t>坚持服务初心，献礼建党百年。榕基公司自主研发的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智慧党建一体化平台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结合云计算、移动互联网、大数据等新一 代技术，提供服务、教育、管理、监督、宣传、展示的六大阵地功能，以党的政治建设为统领，不忘初心，牢记使命，努 力以高质量党建引领高质量发展，将党建工作高效融入到党员的日常生活中，为基层党组织提供了全新的工作形式，适应 企事业、机关、高校、社区、县区等多种场合。</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公众号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小程序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大屏的多端适配，实现党务工作各环节全贯通，为进 一步服务党组织建设，提高工作效能提供良好服务。同时，为了更好的服务于党员党性教育，公司同步研发</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智慧党建 教育平台，通过虚拟现实技术手段，展示</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党建主题教育应用场景，实现了沉浸式党性教育体验，开创党员教育新阵地。</w:t>
      </w:r>
    </w:p>
    <w:p>
      <w:pPr>
        <w:pStyle w:val="Style36"/>
        <w:keepNext w:val="0"/>
        <w:keepLines w:val="0"/>
        <w:widowControl w:val="0"/>
        <w:numPr>
          <w:ilvl w:val="0"/>
          <w:numId w:val="1"/>
        </w:numPr>
        <w:shd w:val="clear" w:color="auto" w:fill="auto"/>
        <w:tabs>
          <w:tab w:pos="765" w:val="left"/>
        </w:tabs>
        <w:bidi w:val="0"/>
        <w:spacing w:before="0" w:line="317" w:lineRule="exact"/>
        <w:ind w:left="0" w:right="0"/>
        <w:jc w:val="left"/>
      </w:pPr>
      <w:bookmarkStart w:id="77" w:name="bookmark77"/>
      <w:bookmarkEnd w:id="77"/>
      <w:r>
        <w:rPr>
          <w:color w:val="000000"/>
          <w:spacing w:val="0"/>
          <w:w w:val="100"/>
          <w:position w:val="0"/>
        </w:rPr>
        <w:t>法院行业</w:t>
      </w:r>
    </w:p>
    <w:p>
      <w:pPr>
        <w:pStyle w:val="Style36"/>
        <w:keepNext w:val="0"/>
        <w:keepLines w:val="0"/>
        <w:widowControl w:val="0"/>
        <w:shd w:val="clear" w:color="auto" w:fill="auto"/>
        <w:bidi w:val="0"/>
        <w:spacing w:before="0" w:line="312" w:lineRule="exact"/>
        <w:ind w:left="0" w:right="0"/>
        <w:jc w:val="left"/>
      </w:pPr>
      <w:r>
        <w:rPr>
          <w:color w:val="000000"/>
          <w:spacing w:val="0"/>
          <w:w w:val="100"/>
          <w:position w:val="0"/>
        </w:rPr>
        <w:t>法院行业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天平工程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是国家电子政务建设的重要组成，打造智慧法院，强化保障体系，提升应用成效，为优化营商环 境、推进人民法院各项事业发展提供有力的司法服务和保障。</w:t>
      </w:r>
    </w:p>
    <w:p>
      <w:pPr>
        <w:pStyle w:val="Style36"/>
        <w:keepNext w:val="0"/>
        <w:keepLines w:val="0"/>
        <w:widowControl w:val="0"/>
        <w:shd w:val="clear" w:color="auto" w:fill="auto"/>
        <w:bidi w:val="0"/>
        <w:spacing w:before="0" w:line="317" w:lineRule="exact"/>
        <w:ind w:left="0" w:right="0"/>
        <w:jc w:val="left"/>
      </w:pPr>
      <w:r>
        <w:rPr>
          <w:color w:val="000000"/>
          <w:spacing w:val="0"/>
          <w:w w:val="100"/>
          <w:position w:val="0"/>
        </w:rPr>
        <w:t>报告期内，公司继续深入研究智慧法院和人民法院信息化</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版建设需求，采用微服务架构、大数据、云计算和人工智 能等新技术同审判执行工作深度融合，对智慧审判、智慧执行、智慧服务、智慧管理相关应用软件系统进行全面重构升 级，进一步提升了公司在法院行业的竞争力。公司成功中标福建、河南、宁夏等地法院系统新版法标审判业务系统、司法 大数据分析、减刑假释、电子卷宗、移动办公办案等项目，为进一步拓展全国法院行业市场奠定了良好的基础。</w:t>
      </w:r>
    </w:p>
    <w:p>
      <w:pPr>
        <w:pStyle w:val="Style36"/>
        <w:keepNext w:val="0"/>
        <w:keepLines w:val="0"/>
        <w:widowControl w:val="0"/>
        <w:shd w:val="clear" w:color="auto" w:fill="auto"/>
        <w:bidi w:val="0"/>
        <w:spacing w:before="0" w:line="326"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月，公司承建的福建智慧法院智能化审判辅助服务系统之</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版法标审判业务系统通过数字福建专家小组的验 收，项目进入运维期。</w:t>
      </w:r>
    </w:p>
    <w:p>
      <w:pPr>
        <w:pStyle w:val="Style36"/>
        <w:keepNext w:val="0"/>
        <w:keepLines w:val="0"/>
        <w:widowControl w:val="0"/>
        <w:shd w:val="clear" w:color="auto" w:fill="auto"/>
        <w:bidi w:val="0"/>
        <w:spacing w:before="0" w:line="326"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月，公司承建的福建法院繁简分流和速裁办案平台上线运行，有效的缓解了人民法院案多人少的矛盾，实现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由随机分案向按类分案，由均衡办案向专业办案，由统一考核向分类考核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的三个转变。</w:t>
      </w:r>
    </w:p>
    <w:p>
      <w:pPr>
        <w:pStyle w:val="Style36"/>
        <w:keepNext w:val="0"/>
        <w:keepLines w:val="0"/>
        <w:widowControl w:val="0"/>
        <w:shd w:val="clear" w:color="auto" w:fill="auto"/>
        <w:bidi w:val="0"/>
        <w:spacing w:before="0" w:line="319"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月，新冠肺炎疫情防控期间，为满足人民群众的需要，减少人民群众的奔波诉累，切实保障人民群众生命安全 和身体健康，协同腾讯打通福建移动微法院审判业务在线诉讼，为疫情防控提供有力司法保障。福建移动微法院平台基于 微信载体，以小程序形式为人民群众提供网上立案、网上查询、网上庭审、网上阅卷等服务。</w:t>
      </w:r>
    </w:p>
    <w:p>
      <w:pPr>
        <w:pStyle w:val="Style36"/>
        <w:keepNext w:val="0"/>
        <w:keepLines w:val="0"/>
        <w:widowControl w:val="0"/>
        <w:shd w:val="clear" w:color="auto" w:fill="auto"/>
        <w:bidi w:val="0"/>
        <w:spacing w:before="0" w:line="326"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月，公司承建的最高人民法院重点研发项目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立案风险智能拦截系统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上线，并通过最高人民法院的评测。该系 统识别和建立案件风险库，并将自动识别的立案风险向法官预警，为法官立案决策提供科学依据。</w:t>
      </w:r>
    </w:p>
    <w:p>
      <w:pPr>
        <w:pStyle w:val="Style36"/>
        <w:keepNext w:val="0"/>
        <w:keepLines w:val="0"/>
        <w:widowControl w:val="0"/>
        <w:shd w:val="clear" w:color="auto" w:fill="auto"/>
        <w:bidi w:val="0"/>
        <w:spacing w:before="0" w:line="326"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月，公司作为智慧法院领域牵头单位，成功中标工信部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年协同攻关和体验推广中心项目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融合应用软件 (智慧海洋、智慧警务、智慧法院、轨道交通)技术攻关科研项目。</w:t>
      </w:r>
    </w:p>
    <w:p>
      <w:pPr>
        <w:pStyle w:val="Style36"/>
        <w:keepNext w:val="0"/>
        <w:keepLines w:val="0"/>
        <w:widowControl w:val="0"/>
        <w:shd w:val="clear" w:color="auto" w:fill="auto"/>
        <w:bidi w:val="0"/>
        <w:spacing w:before="0" w:line="326"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月，厦门法院司法审判大数据平台改造项目通过终验，健全全市法院数据采、存、管、通、用，最大化数据 价值，实现数据从资源到资产的转变，达到数据的可信、可用、可靠和可控。</w:t>
      </w:r>
    </w:p>
    <w:p>
      <w:pPr>
        <w:pStyle w:val="Style36"/>
        <w:keepNext w:val="0"/>
        <w:keepLines w:val="0"/>
        <w:widowControl w:val="0"/>
        <w:shd w:val="clear" w:color="auto" w:fill="auto"/>
        <w:bidi w:val="0"/>
        <w:spacing w:before="0" w:line="326"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月，公司中标福建法院民法典实施配套各业务系统升级改造项目，基于该项目建设，民法典新理念、新原 则、新概念、新条款将通过各业务系统贯彻到审判执行工作各环节。</w:t>
      </w:r>
    </w:p>
    <w:p>
      <w:pPr>
        <w:pStyle w:val="Style36"/>
        <w:keepNext w:val="0"/>
        <w:keepLines w:val="0"/>
        <w:widowControl w:val="0"/>
        <w:shd w:val="clear" w:color="auto" w:fill="auto"/>
        <w:bidi w:val="0"/>
        <w:spacing w:before="0" w:line="326"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年，我们将持续推进企业智慧法院产品和解决方案研发与创新，尽责实施项目建设，有效服务国家司法体制改革 及法治建设进程。</w:t>
      </w:r>
    </w:p>
    <w:p>
      <w:pPr>
        <w:pStyle w:val="Style36"/>
        <w:keepNext w:val="0"/>
        <w:keepLines w:val="0"/>
        <w:widowControl w:val="0"/>
        <w:numPr>
          <w:ilvl w:val="0"/>
          <w:numId w:val="1"/>
        </w:numPr>
        <w:shd w:val="clear" w:color="auto" w:fill="auto"/>
        <w:tabs>
          <w:tab w:pos="765" w:val="left"/>
        </w:tabs>
        <w:bidi w:val="0"/>
        <w:spacing w:before="0" w:line="317" w:lineRule="exact"/>
        <w:ind w:left="0" w:right="0"/>
        <w:jc w:val="left"/>
      </w:pPr>
      <w:bookmarkStart w:id="78" w:name="bookmark78"/>
      <w:bookmarkEnd w:id="78"/>
      <w:r>
        <w:rPr>
          <w:color w:val="000000"/>
          <w:spacing w:val="0"/>
          <w:w w:val="100"/>
          <w:position w:val="0"/>
        </w:rPr>
        <w:t>金环工程</w:t>
      </w:r>
    </w:p>
    <w:p>
      <w:pPr>
        <w:pStyle w:val="Style36"/>
        <w:keepNext w:val="0"/>
        <w:keepLines w:val="0"/>
        <w:widowControl w:val="0"/>
        <w:shd w:val="clear" w:color="auto" w:fill="auto"/>
        <w:bidi w:val="0"/>
        <w:spacing w:before="0" w:line="312" w:lineRule="exact"/>
        <w:ind w:left="0" w:right="0"/>
        <w:jc w:val="left"/>
      </w:pPr>
      <w:r>
        <w:rPr>
          <w:color w:val="000000"/>
          <w:spacing w:val="0"/>
          <w:w w:val="100"/>
          <w:position w:val="0"/>
        </w:rPr>
        <w:t>公司是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金环工程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的重要合作伙伴，自主研发了榕基环境监测管理信息系统、榕基污染监控管理信息系统、榕基生态 保护管理信息系统、榕基核安全与辐射管理信息系统、榕基环境应急管理信息系统等软件产品；公司参与了中国沙尘暴监 测全国网(涉及北方</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个省</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个城市)、中国环境监测总站</w:t>
      </w:r>
      <w:r>
        <w:rPr>
          <w:rFonts w:ascii="Times New Roman" w:eastAsia="Times New Roman" w:hAnsi="Times New Roman" w:cs="Times New Roman"/>
          <w:color w:val="000000"/>
          <w:spacing w:val="0"/>
          <w:w w:val="100"/>
          <w:position w:val="0"/>
          <w:sz w:val="18"/>
          <w:szCs w:val="18"/>
        </w:rPr>
        <w:t>113</w:t>
      </w:r>
      <w:r>
        <w:rPr>
          <w:color w:val="000000"/>
          <w:spacing w:val="0"/>
          <w:w w:val="100"/>
          <w:position w:val="0"/>
        </w:rPr>
        <w:t xml:space="preserve">重点城市空气质量数据传输和实时发布系统项目(涉及全国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个省站)、生态环境大数据建设项目、</w:t>
      </w:r>
      <w:r>
        <w:rPr>
          <w:rFonts w:ascii="Times New Roman" w:eastAsia="Times New Roman" w:hAnsi="Times New Roman" w:cs="Times New Roman"/>
          <w:color w:val="000000"/>
          <w:spacing w:val="0"/>
          <w:w w:val="100"/>
          <w:position w:val="0"/>
          <w:sz w:val="18"/>
          <w:szCs w:val="18"/>
        </w:rPr>
        <w:t>“2+26”</w:t>
      </w:r>
      <w:r>
        <w:rPr>
          <w:color w:val="000000"/>
          <w:spacing w:val="0"/>
          <w:w w:val="100"/>
          <w:position w:val="0"/>
        </w:rPr>
        <w:t>城市空气质量自动监测站数据采集与传输项目、核安全管理局核安全与辐 射管理信息系统开发以及中国环境监测总站土壤环境监测采样管理系统等多个环保信息化建设项目，高科技环保研发成果 在国家环保领域焕发强大的生命力，造福全社会。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月公司中标信阳市生态环境局环境空气质量监控信息中心建设项 目。</w:t>
      </w:r>
    </w:p>
    <w:p>
      <w:pPr>
        <w:pStyle w:val="Style36"/>
        <w:keepNext w:val="0"/>
        <w:keepLines w:val="0"/>
        <w:widowControl w:val="0"/>
        <w:shd w:val="clear" w:color="auto" w:fill="auto"/>
        <w:bidi w:val="0"/>
        <w:spacing w:before="0" w:after="140" w:line="312" w:lineRule="exact"/>
        <w:ind w:left="0" w:right="0"/>
        <w:jc w:val="left"/>
      </w:pPr>
      <w:r>
        <w:rPr>
          <w:color w:val="000000"/>
          <w:spacing w:val="0"/>
          <w:w w:val="100"/>
          <w:position w:val="0"/>
        </w:rPr>
        <w:t>公司承建的武夷山国家公园森林生态监测平台(软件开发服务类)项目，目前正在试运行，运行效果良好。该项目运 用智能化技术，实现了对公园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天地空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、全天候监测管理，提升了生态保护能力。</w:t>
      </w:r>
    </w:p>
    <w:p>
      <w:pPr>
        <w:pStyle w:val="Style36"/>
        <w:keepNext w:val="0"/>
        <w:keepLines w:val="0"/>
        <w:widowControl w:val="0"/>
        <w:numPr>
          <w:ilvl w:val="0"/>
          <w:numId w:val="1"/>
        </w:numPr>
        <w:shd w:val="clear" w:color="auto" w:fill="auto"/>
        <w:bidi w:val="0"/>
        <w:spacing w:before="0" w:line="240" w:lineRule="auto"/>
        <w:ind w:left="0" w:right="0" w:firstLine="480"/>
        <w:jc w:val="both"/>
      </w:pPr>
      <w:bookmarkStart w:id="79" w:name="bookmark79"/>
      <w:bookmarkEnd w:id="79"/>
      <w:r>
        <w:rPr>
          <w:color w:val="000000"/>
          <w:spacing w:val="0"/>
          <w:w w:val="100"/>
          <w:position w:val="0"/>
        </w:rPr>
        <w:t>司法行政行业</w:t>
      </w:r>
    </w:p>
    <w:p>
      <w:pPr>
        <w:pStyle w:val="Style36"/>
        <w:keepNext w:val="0"/>
        <w:keepLines w:val="0"/>
        <w:widowControl w:val="0"/>
        <w:shd w:val="clear" w:color="auto" w:fill="auto"/>
        <w:bidi w:val="0"/>
        <w:spacing w:before="0" w:line="317" w:lineRule="exact"/>
        <w:ind w:left="0" w:right="0"/>
        <w:jc w:val="both"/>
      </w:pPr>
      <w:r>
        <w:rPr>
          <w:color w:val="000000"/>
          <w:spacing w:val="0"/>
          <w:w w:val="100"/>
          <w:position w:val="0"/>
        </w:rPr>
        <w:t>近年来，司法部大力推进全国智慧司法的信息化建设工作，并于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年制定大系统共治、大数据慧治、大平台共享、 大服务惠民的建设理念的《数字法治智慧司法信息化建设指导意见》，督促全国各级省、市、县级司法厅正机关加快司法 行政信息化建设。因此，市场规模得到快速发展。</w:t>
      </w:r>
    </w:p>
    <w:p>
      <w:pPr>
        <w:pStyle w:val="Style36"/>
        <w:keepNext w:val="0"/>
        <w:keepLines w:val="0"/>
        <w:widowControl w:val="0"/>
        <w:shd w:val="clear" w:color="auto" w:fill="auto"/>
        <w:bidi w:val="0"/>
        <w:spacing w:before="0" w:line="312" w:lineRule="exact"/>
        <w:ind w:left="0" w:right="0"/>
        <w:jc w:val="both"/>
      </w:pPr>
      <w:r>
        <w:rPr>
          <w:color w:val="000000"/>
          <w:spacing w:val="0"/>
          <w:w w:val="100"/>
          <w:position w:val="0"/>
        </w:rPr>
        <w:t>报告期内，公司继续加大司法行政行业信息化解决方案研发投入，围绕一大统筹、四大职能，以《数字法治智慧司法 信息化建设指导意见》为纲，整合全省（市）法治建设数据资源，构建依法治省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市、智慧矫正、智慧监狱、跨部门办案、 执法监督、法律公共服务、综合服务保障、应急指挥、大数据分析研判九类业务应用，形成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全口径归集数据、全业务协同 运行、立体式评价效能、全数字支撑决策、全方位提供服务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的数字法治、智慧司法的整体信息化解决方案，为省（市） 域治理体系和治理能力现代化法治保障提供支撑。</w:t>
      </w:r>
    </w:p>
    <w:p>
      <w:pPr>
        <w:pStyle w:val="Style36"/>
        <w:keepNext w:val="0"/>
        <w:keepLines w:val="0"/>
        <w:widowControl w:val="0"/>
        <w:shd w:val="clear" w:color="auto" w:fill="auto"/>
        <w:bidi w:val="0"/>
        <w:spacing w:before="0" w:after="140" w:line="312" w:lineRule="exact"/>
        <w:ind w:left="0" w:right="0"/>
        <w:jc w:val="both"/>
      </w:pPr>
      <w:r>
        <w:rPr>
          <w:color w:val="000000"/>
          <w:spacing w:val="0"/>
          <w:w w:val="100"/>
          <w:position w:val="0"/>
        </w:rPr>
        <w:t>报告期内，公司司法行政行业业务保持稳健增长，依据新法、新规完成河南省智慧矫正平台升级，承建河南多个县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区智慧矫正平台，为河南省智慧矫正体系提供持续服务；为河南省</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万执法人员提供执法证件考试、执法证件管理服务， 为河南省司法法治领域的信息化发展打下坚实的基础。</w:t>
      </w:r>
    </w:p>
    <w:p>
      <w:pPr>
        <w:pStyle w:val="Style36"/>
        <w:keepNext w:val="0"/>
        <w:keepLines w:val="0"/>
        <w:widowControl w:val="0"/>
        <w:shd w:val="clear" w:color="auto" w:fill="auto"/>
        <w:tabs>
          <w:tab w:pos="674" w:val="left"/>
        </w:tabs>
        <w:bidi w:val="0"/>
        <w:spacing w:before="0" w:after="0" w:line="360" w:lineRule="auto"/>
        <w:ind w:left="0" w:right="0"/>
        <w:jc w:val="both"/>
      </w:pPr>
      <w:bookmarkStart w:id="80" w:name="bookmark80"/>
      <w:r>
        <w:rPr>
          <w:rFonts w:ascii="Times New Roman" w:eastAsia="Times New Roman" w:hAnsi="Times New Roman" w:cs="Times New Roman"/>
          <w:color w:val="000000"/>
          <w:spacing w:val="0"/>
          <w:w w:val="100"/>
          <w:position w:val="0"/>
          <w:sz w:val="18"/>
          <w:szCs w:val="18"/>
        </w:rPr>
        <w:t>2</w:t>
      </w:r>
      <w:bookmarkEnd w:id="80"/>
      <w:r>
        <w:rPr>
          <w:color w:val="000000"/>
          <w:spacing w:val="0"/>
          <w:w w:val="100"/>
          <w:position w:val="0"/>
        </w:rPr>
        <w:t>、</w:t>
        <w:tab/>
        <w:t>大数据平台</w:t>
      </w:r>
    </w:p>
    <w:p>
      <w:pPr>
        <w:pStyle w:val="Style36"/>
        <w:keepNext w:val="0"/>
        <w:keepLines w:val="0"/>
        <w:widowControl w:val="0"/>
        <w:shd w:val="clear" w:color="auto" w:fill="auto"/>
        <w:bidi w:val="0"/>
        <w:spacing w:before="0" w:line="312" w:lineRule="exact"/>
        <w:ind w:left="0" w:right="0"/>
        <w:jc w:val="both"/>
      </w:pPr>
      <w:r>
        <w:rPr>
          <w:color w:val="000000"/>
          <w:spacing w:val="0"/>
          <w:w w:val="100"/>
          <w:position w:val="0"/>
        </w:rPr>
        <w:t>随着中国信息化政策环境、经济环境的日益成熟，企业提升自身核心竞争力、实现可持续发展的迫切愿望将加大信息 化需求，中小企业信息化市场将迅速成长并将带动各类行业应用软件市场的快速增长，为公司协同管理软件平台、公共信 用信息平台等成熟产品提供巨大的潜在市场。</w:t>
      </w:r>
    </w:p>
    <w:p>
      <w:pPr>
        <w:pStyle w:val="Style36"/>
        <w:keepNext w:val="0"/>
        <w:keepLines w:val="0"/>
        <w:widowControl w:val="0"/>
        <w:shd w:val="clear" w:color="auto" w:fill="auto"/>
        <w:bidi w:val="0"/>
        <w:spacing w:before="0" w:line="314" w:lineRule="exact"/>
        <w:ind w:left="0" w:right="0"/>
        <w:jc w:val="both"/>
      </w:pPr>
      <w:r>
        <w:rPr>
          <w:color w:val="000000"/>
          <w:spacing w:val="0"/>
          <w:w w:val="100"/>
          <w:position w:val="0"/>
        </w:rPr>
        <w:t>近年来，社会信用体系行业蓬勃发展。</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年，公司入选首批河南省综合信用服务机构试点单位，全面参与河南省社 会信用体系建设。先后承建了河南省新乡市发改委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新乡市市县一体化联合奖惩系统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、驻马店公共信用信息平台升级改造 项目、许昌市公共信用信息共享平台升级改造项目、鄢陵县公共信用信息平台建设项目、泌阳县公共信用信息平台建设项 目、西平县公共信用信息平台建设项目和遂平县公共信用信息平台建设项目。</w:t>
      </w:r>
    </w:p>
    <w:p>
      <w:pPr>
        <w:pStyle w:val="Style36"/>
        <w:keepNext w:val="0"/>
        <w:keepLines w:val="0"/>
        <w:widowControl w:val="0"/>
        <w:shd w:val="clear" w:color="auto" w:fill="auto"/>
        <w:bidi w:val="0"/>
        <w:spacing w:before="0" w:line="311" w:lineRule="exact"/>
        <w:ind w:left="0" w:right="0"/>
        <w:jc w:val="both"/>
      </w:pPr>
      <w:r>
        <w:rPr>
          <w:color w:val="000000"/>
          <w:spacing w:val="0"/>
          <w:w w:val="100"/>
          <w:position w:val="0"/>
        </w:rPr>
        <w:t xml:space="preserve">公司承建的河南省公共信用信息平台，是河南省社会信用体系建设的基础性工程，通过平台的建设，助力河南省建成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信用信息共享平台体系。截至目前，该平台汇聚河南省全省各级政务部门公共信用信息，并纵向联通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国家公共信 用信息平台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，信用信息归集量超过</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亿条，初步完成</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多万家企业、</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万多个政府机关、</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万多个事业单位和</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万多个社 会组织的信用综合评价；已建成企业投资担保分析、多维查询、信用画像、基因图谱、信用监测地图、信用预警、企业公 共信用评价和大数据可视化等大数据应用，支持对不同行业企业和个人进行信用监测和预警，支持对企业进行信用综合评 级，精确反应企业信用状况，为实施精准聚焦、重点监控和协同监管提供支撑；直接嵌入省直部门行政审批、全部地市政 务服务、公共资源交易等</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余个平台系统，在行政审批、市场准入、政府采购、招投标、公务员录用、评先评优等多领域 进行应用，让执行更高效、监管更智慧、奖惩更精准。累计核查</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万次，反馈案例近</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万个，让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守信者一路绿灯、失 信者处处受限</w:t>
      </w:r>
    </w:p>
    <w:p>
      <w:pPr>
        <w:pStyle w:val="Style36"/>
        <w:keepNext w:val="0"/>
        <w:keepLines w:val="0"/>
        <w:widowControl w:val="0"/>
        <w:shd w:val="clear" w:color="auto" w:fill="auto"/>
        <w:bidi w:val="0"/>
        <w:spacing w:before="0" w:line="307" w:lineRule="exact"/>
        <w:ind w:left="0" w:right="0"/>
        <w:jc w:val="both"/>
      </w:pPr>
      <w:r>
        <w:rPr>
          <w:color w:val="000000"/>
          <w:spacing w:val="0"/>
          <w:w w:val="100"/>
          <w:position w:val="0"/>
        </w:rPr>
        <w:t>在大数据支撑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信易贷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方面，以河南省信用信息共享平台为枢纽，以依法共享为原则，建立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信易贷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专用数据服务， 为中小企业、金融机构、政府部门提供信用评级、风险防控等服务，累计向各地各部门及金融服务机构共享数据近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 条，信用核查近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亿次，帮助银行实现信用授信</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多亿，发放信用贷款</w:t>
      </w:r>
      <w:r>
        <w:rPr>
          <w:rFonts w:ascii="Times New Roman" w:eastAsia="Times New Roman" w:hAnsi="Times New Roman" w:cs="Times New Roman"/>
          <w:color w:val="000000"/>
          <w:spacing w:val="0"/>
          <w:w w:val="100"/>
          <w:position w:val="0"/>
          <w:sz w:val="18"/>
          <w:szCs w:val="18"/>
        </w:rPr>
        <w:t>670</w:t>
      </w:r>
      <w:r>
        <w:rPr>
          <w:color w:val="000000"/>
          <w:spacing w:val="0"/>
          <w:w w:val="100"/>
          <w:position w:val="0"/>
        </w:rPr>
        <w:t>亿元，有力支撑了全省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信易贷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全国信用观摩中，帮助河南省荣获第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名优秀成绩。</w:t>
      </w:r>
    </w:p>
    <w:p>
      <w:pPr>
        <w:pStyle w:val="Style36"/>
        <w:keepNext w:val="0"/>
        <w:keepLines w:val="0"/>
        <w:widowControl w:val="0"/>
        <w:shd w:val="clear" w:color="auto" w:fill="auto"/>
        <w:bidi w:val="0"/>
        <w:spacing w:before="0" w:after="140" w:line="312" w:lineRule="exact"/>
        <w:ind w:left="0" w:right="0" w:firstLine="300"/>
        <w:jc w:val="left"/>
      </w:pPr>
      <w:r>
        <w:rPr>
          <w:color w:val="000000"/>
          <w:spacing w:val="0"/>
          <w:w w:val="100"/>
          <w:position w:val="0"/>
        </w:rPr>
        <w:t>公司承建的河南省中小企业公共服务平台，是以互联网、大数据、云计算为支撑，数据资源中心、专业应用系统组成的 国内一流的互联网开放平台。该平台为全省五十多万家中小企业提供统一的</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类专业应用服务，主要包括网上企业政务服务 大厅、投融资服务、市场开拓服务、创业辅导服务、人力资源与培训服务、技术创新服务、信息化服务等内容。依托平台， 公司联合河南省相关管理部门，实现上述两个平台的互联互通，建立完善全省中小企业的信用档案和评价体系，为全省五十 多万家中小企业搭建全方位、全链条的融资服务平台，通过让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数据多跑路，企业少跑腿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的信息化手段，实现数据层面的全 方位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银企对接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，让金融更好的服务实体经济，更好的服务民营企业特别是中小微企业。</w:t>
      </w:r>
    </w:p>
    <w:p>
      <w:pPr>
        <w:pStyle w:val="Style36"/>
        <w:keepNext w:val="0"/>
        <w:keepLines w:val="0"/>
        <w:widowControl w:val="0"/>
        <w:shd w:val="clear" w:color="auto" w:fill="auto"/>
        <w:tabs>
          <w:tab w:pos="674" w:val="left"/>
        </w:tabs>
        <w:bidi w:val="0"/>
        <w:spacing w:before="0" w:after="0" w:line="360" w:lineRule="auto"/>
        <w:ind w:left="0" w:right="0"/>
        <w:jc w:val="left"/>
      </w:pPr>
      <w:bookmarkStart w:id="81" w:name="bookmark81"/>
      <w:r>
        <w:rPr>
          <w:rFonts w:ascii="Times New Roman" w:eastAsia="Times New Roman" w:hAnsi="Times New Roman" w:cs="Times New Roman"/>
          <w:color w:val="000000"/>
          <w:spacing w:val="0"/>
          <w:w w:val="100"/>
          <w:position w:val="0"/>
          <w:sz w:val="18"/>
          <w:szCs w:val="18"/>
        </w:rPr>
        <w:t>3</w:t>
      </w:r>
      <w:bookmarkEnd w:id="81"/>
      <w:r>
        <w:rPr>
          <w:color w:val="000000"/>
          <w:spacing w:val="0"/>
          <w:w w:val="100"/>
          <w:position w:val="0"/>
        </w:rPr>
        <w:t>、</w:t>
        <w:tab/>
        <w:t>物联网</w:t>
      </w:r>
    </w:p>
    <w:p>
      <w:pPr>
        <w:pStyle w:val="Style36"/>
        <w:keepNext w:val="0"/>
        <w:keepLines w:val="0"/>
        <w:widowControl w:val="0"/>
        <w:shd w:val="clear" w:color="auto" w:fill="auto"/>
        <w:bidi w:val="0"/>
        <w:spacing w:before="0" w:line="317" w:lineRule="exact"/>
        <w:ind w:left="0" w:right="0"/>
        <w:jc w:val="left"/>
      </w:pPr>
      <w:r>
        <w:rPr>
          <w:color w:val="000000"/>
          <w:spacing w:val="0"/>
          <w:w w:val="100"/>
          <w:position w:val="0"/>
        </w:rPr>
        <w:t>亿榕信息系国网信息通信产业集团下属国有控股企业，公司持股</w:t>
      </w:r>
      <w:r>
        <w:rPr>
          <w:rFonts w:ascii="Times New Roman" w:eastAsia="Times New Roman" w:hAnsi="Times New Roman" w:cs="Times New Roman"/>
          <w:color w:val="000000"/>
          <w:spacing w:val="0"/>
          <w:w w:val="100"/>
          <w:position w:val="0"/>
          <w:sz w:val="18"/>
          <w:szCs w:val="18"/>
        </w:rPr>
        <w:t>40.7%</w:t>
      </w:r>
      <w:r>
        <w:rPr>
          <w:color w:val="000000"/>
          <w:spacing w:val="0"/>
          <w:w w:val="100"/>
          <w:position w:val="0"/>
        </w:rPr>
        <w:t>。亿榕信息紧跟国家新基建、碳中和、碳达峰 等发展战略，结合大数据、云计算、数字化、人工智能等技术的深度应用，支撑各专业领域业务应用智能化升级与新业务 的快速构建，为国网总部、各省市公司及其直属产业公司等近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家单位提供专业信息化服务。</w:t>
      </w:r>
    </w:p>
    <w:p>
      <w:pPr>
        <w:pStyle w:val="Style36"/>
        <w:keepNext w:val="0"/>
        <w:keepLines w:val="0"/>
        <w:widowControl w:val="0"/>
        <w:shd w:val="clear" w:color="auto" w:fill="auto"/>
        <w:bidi w:val="0"/>
        <w:spacing w:before="0" w:line="312" w:lineRule="exact"/>
        <w:ind w:left="0" w:right="0"/>
        <w:jc w:val="both"/>
      </w:pPr>
      <w:r>
        <w:rPr>
          <w:color w:val="000000"/>
          <w:spacing w:val="0"/>
          <w:w w:val="100"/>
          <w:position w:val="0"/>
        </w:rPr>
        <w:t xml:space="preserve">控股子公司容大物联网以电力行业为主要目标客户，持续推进物联网应用技术的研发及在电力行业信息化建设领域的 </w:t>
      </w:r>
      <w:r>
        <w:rPr>
          <w:color w:val="000000"/>
          <w:spacing w:val="0"/>
          <w:w w:val="100"/>
          <w:position w:val="0"/>
        </w:rPr>
        <w:t>持续拓展。</w:t>
      </w:r>
    </w:p>
    <w:p>
      <w:pPr>
        <w:pStyle w:val="Style36"/>
        <w:keepNext w:val="0"/>
        <w:keepLines w:val="0"/>
        <w:widowControl w:val="0"/>
        <w:shd w:val="clear" w:color="auto" w:fill="auto"/>
        <w:bidi w:val="0"/>
        <w:spacing w:before="0" w:line="312" w:lineRule="exact"/>
        <w:ind w:left="0" w:right="0"/>
        <w:jc w:val="left"/>
      </w:pPr>
      <w:r>
        <w:rPr>
          <w:color w:val="000000"/>
          <w:spacing w:val="0"/>
          <w:w w:val="100"/>
          <w:position w:val="0"/>
        </w:rPr>
        <w:t>参股子公司福水智联技术有限公司，由福州市创业投资有限责任公司、福州开发区国有资产营运有限公司等投资方共 同出资成立的混合所有制企业，专注于水治理数字化、网络化、可视化、智能化解决方案的服务。福水智联与华为、三大 运营商建立战略合作伙伴关系，以</w:t>
      </w:r>
      <w:r>
        <w:rPr>
          <w:rFonts w:ascii="Times New Roman" w:eastAsia="Times New Roman" w:hAnsi="Times New Roman" w:cs="Times New Roman"/>
          <w:color w:val="000000"/>
          <w:spacing w:val="0"/>
          <w:w w:val="100"/>
          <w:position w:val="0"/>
          <w:sz w:val="18"/>
          <w:szCs w:val="18"/>
        </w:rPr>
        <w:t>NB-IoT</w:t>
      </w:r>
      <w:r>
        <w:rPr>
          <w:color w:val="000000"/>
          <w:spacing w:val="0"/>
          <w:w w:val="100"/>
          <w:position w:val="0"/>
        </w:rPr>
        <w:t>窄带物联网和大数据应用为载体，构建综合性的智慧水务大数据云平台，为水行 业以及整个城市提供包括用智慧计量、智慧用水管理、管网监控、管网</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系统、水资源监测、水质监测、城市内涝监测 在内的水务整体运营解决方案，致力成为物联网领军企业。</w:t>
      </w:r>
    </w:p>
    <w:p>
      <w:pPr>
        <w:pStyle w:val="Style36"/>
        <w:keepNext w:val="0"/>
        <w:keepLines w:val="0"/>
        <w:widowControl w:val="0"/>
        <w:shd w:val="clear" w:color="auto" w:fill="auto"/>
        <w:bidi w:val="0"/>
        <w:spacing w:before="0" w:after="380" w:line="317" w:lineRule="exact"/>
        <w:ind w:left="0" w:right="0" w:firstLine="300"/>
        <w:jc w:val="left"/>
      </w:pPr>
      <w:r>
        <w:rPr>
          <w:color w:val="000000"/>
          <w:spacing w:val="0"/>
          <w:w w:val="100"/>
          <w:position w:val="0"/>
        </w:rPr>
        <w:t>控股子公司星榕基以物联网领域为方向，运营业务为主业的公司，积极拓展发展物联网、中小企业信息化、党建信息化、 行业信息化四大业务。</w:t>
      </w:r>
    </w:p>
    <w:p>
      <w:pPr>
        <w:pStyle w:val="Style32"/>
        <w:keepNext/>
        <w:keepLines/>
        <w:widowControl w:val="0"/>
        <w:shd w:val="clear" w:color="auto" w:fill="auto"/>
        <w:bidi w:val="0"/>
        <w:spacing w:before="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rPr>
        <w:t>二</w:t>
      </w:r>
      <w:bookmarkEnd w:id="84"/>
      <w:r>
        <w:rPr>
          <w:color w:val="000000"/>
          <w:spacing w:val="0"/>
          <w:w w:val="100"/>
          <w:position w:val="0"/>
        </w:rPr>
        <w:t>、主要资产重大变化情况</w:t>
      </w:r>
      <w:bookmarkEnd w:id="82"/>
      <w:bookmarkEnd w:id="83"/>
      <w:bookmarkEnd w:id="85"/>
    </w:p>
    <w:p>
      <w:pPr>
        <w:pStyle w:val="Style43"/>
        <w:keepNext/>
        <w:keepLines/>
        <w:widowControl w:val="0"/>
        <w:shd w:val="clear" w:color="auto" w:fill="auto"/>
        <w:bidi w:val="0"/>
        <w:spacing w:before="0" w:after="340" w:line="24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1</w:t>
      </w:r>
      <w:bookmarkEnd w:id="88"/>
      <w:r>
        <w:rPr>
          <w:color w:val="000000"/>
          <w:spacing w:val="0"/>
          <w:w w:val="100"/>
          <w:position w:val="0"/>
        </w:rPr>
        <w:t>、主要资产重大变化情况</w:t>
      </w:r>
      <w:bookmarkEnd w:id="86"/>
      <w:bookmarkEnd w:id="87"/>
      <w:bookmarkEnd w:id="89"/>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报告期比上年期末增加</w:t>
            </w:r>
            <w:r>
              <w:rPr>
                <w:rFonts w:ascii="Times New Roman" w:eastAsia="Times New Roman" w:hAnsi="Times New Roman" w:cs="Times New Roman"/>
                <w:color w:val="000000"/>
                <w:spacing w:val="0"/>
                <w:w w:val="100"/>
                <w:position w:val="0"/>
                <w:sz w:val="18"/>
                <w:szCs w:val="18"/>
              </w:rPr>
              <w:t>20.54%</w:t>
            </w:r>
            <w:r>
              <w:rPr>
                <w:color w:val="000000"/>
                <w:spacing w:val="0"/>
                <w:w w:val="100"/>
                <w:position w:val="0"/>
              </w:rPr>
              <w:t>，主要是园区建设投入增加</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2</w:t>
      </w:r>
      <w:bookmarkEnd w:id="92"/>
      <w:r>
        <w:rPr>
          <w:color w:val="000000"/>
          <w:spacing w:val="0"/>
          <w:w w:val="100"/>
          <w:position w:val="0"/>
        </w:rPr>
        <w:t>、主要境外资产情况</w:t>
      </w:r>
      <w:bookmarkEnd w:id="90"/>
      <w:bookmarkEnd w:id="91"/>
      <w:bookmarkEnd w:id="93"/>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6"/>
        <w:gridCol w:w="1061"/>
        <w:gridCol w:w="1066"/>
        <w:gridCol w:w="1066"/>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保障资产安 全性的控制 措施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90,152,021.8</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32"/>
        <w:keepNext/>
        <w:keepLines/>
        <w:widowControl w:val="0"/>
        <w:shd w:val="clear" w:color="auto" w:fill="auto"/>
        <w:bidi w:val="0"/>
        <w:spacing w:before="0" w:after="26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rPr>
        <w:t>三</w:t>
      </w:r>
      <w:bookmarkEnd w:id="96"/>
      <w:r>
        <w:rPr>
          <w:color w:val="000000"/>
          <w:spacing w:val="0"/>
          <w:w w:val="100"/>
          <w:position w:val="0"/>
        </w:rPr>
        <w:t>、核心竞争力分析</w:t>
      </w:r>
      <w:bookmarkEnd w:id="94"/>
      <w:bookmarkEnd w:id="95"/>
      <w:bookmarkEnd w:id="97"/>
    </w:p>
    <w:p>
      <w:pPr>
        <w:pStyle w:val="Style36"/>
        <w:keepNext w:val="0"/>
        <w:keepLines w:val="0"/>
        <w:widowControl w:val="0"/>
        <w:shd w:val="clear" w:color="auto" w:fill="auto"/>
        <w:bidi w:val="0"/>
        <w:spacing w:before="0" w:after="160" w:line="307" w:lineRule="exact"/>
        <w:ind w:left="0" w:right="0"/>
        <w:jc w:val="left"/>
      </w:pPr>
      <w:r>
        <w:rPr>
          <w:color w:val="000000"/>
          <w:spacing w:val="0"/>
          <w:w w:val="100"/>
          <w:position w:val="0"/>
        </w:rPr>
        <w:t>公司一直专注于行业应用软件研发、系统集成和运维服务，经过多年的不懈努力，已在客户资源、技术创新、行业经 验、企业管理与人力资源、销售和服务网络等方面形成了公司的核心竞争力，成为国内知名的软件产品和服务提供商。</w:t>
      </w:r>
    </w:p>
    <w:p>
      <w:pPr>
        <w:pStyle w:val="Style36"/>
        <w:keepNext w:val="0"/>
        <w:keepLines w:val="0"/>
        <w:widowControl w:val="0"/>
        <w:shd w:val="clear" w:color="auto" w:fill="auto"/>
        <w:tabs>
          <w:tab w:pos="680" w:val="left"/>
        </w:tabs>
        <w:bidi w:val="0"/>
        <w:spacing w:before="0" w:after="0" w:line="360" w:lineRule="auto"/>
        <w:ind w:left="0" w:right="0"/>
        <w:jc w:val="left"/>
      </w:pPr>
      <w:bookmarkStart w:id="98" w:name="bookmark98"/>
      <w:r>
        <w:rPr>
          <w:rFonts w:ascii="Times New Roman" w:eastAsia="Times New Roman" w:hAnsi="Times New Roman" w:cs="Times New Roman"/>
          <w:color w:val="000000"/>
          <w:spacing w:val="0"/>
          <w:w w:val="100"/>
          <w:position w:val="0"/>
          <w:sz w:val="18"/>
          <w:szCs w:val="18"/>
        </w:rPr>
        <w:t>1</w:t>
      </w:r>
      <w:bookmarkEnd w:id="98"/>
      <w:r>
        <w:rPr>
          <w:color w:val="000000"/>
          <w:spacing w:val="0"/>
          <w:w w:val="100"/>
          <w:position w:val="0"/>
        </w:rPr>
        <w:t>、</w:t>
        <w:tab/>
        <w:t>客户资源</w:t>
      </w:r>
    </w:p>
    <w:p>
      <w:pPr>
        <w:pStyle w:val="Style36"/>
        <w:keepNext w:val="0"/>
        <w:keepLines w:val="0"/>
        <w:widowControl w:val="0"/>
        <w:shd w:val="clear" w:color="auto" w:fill="auto"/>
        <w:bidi w:val="0"/>
        <w:spacing w:before="0" w:after="160" w:line="314" w:lineRule="exact"/>
        <w:ind w:left="0" w:right="0"/>
        <w:jc w:val="left"/>
      </w:pPr>
      <w:r>
        <w:rPr>
          <w:color w:val="000000"/>
          <w:spacing w:val="0"/>
          <w:w w:val="100"/>
          <w:position w:val="0"/>
        </w:rPr>
        <w:t>公司经过</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年的发展和积累，客户涵盖了党政、海关、能源、司法、环保等行业，拥有了广泛、优质的客户资源，公 司客户群整体质量突出。公司始终强调品牌建设，重视客户需求，技术支持和服务到位，客户满意度和忠诚度较高，客户 对公司各类产品形成了较强的粘性，稳定客户的保有率不断提高。</w:t>
      </w:r>
    </w:p>
    <w:p>
      <w:pPr>
        <w:pStyle w:val="Style36"/>
        <w:keepNext w:val="0"/>
        <w:keepLines w:val="0"/>
        <w:widowControl w:val="0"/>
        <w:shd w:val="clear" w:color="auto" w:fill="auto"/>
        <w:tabs>
          <w:tab w:pos="699" w:val="left"/>
        </w:tabs>
        <w:bidi w:val="0"/>
        <w:spacing w:before="0" w:after="0" w:line="360" w:lineRule="auto"/>
        <w:ind w:left="0" w:right="0"/>
        <w:jc w:val="left"/>
      </w:pPr>
      <w:bookmarkStart w:id="99" w:name="bookmark99"/>
      <w:r>
        <w:rPr>
          <w:rFonts w:ascii="Times New Roman" w:eastAsia="Times New Roman" w:hAnsi="Times New Roman" w:cs="Times New Roman"/>
          <w:color w:val="000000"/>
          <w:spacing w:val="0"/>
          <w:w w:val="100"/>
          <w:position w:val="0"/>
          <w:sz w:val="18"/>
          <w:szCs w:val="18"/>
        </w:rPr>
        <w:t>2</w:t>
      </w:r>
      <w:bookmarkEnd w:id="99"/>
      <w:r>
        <w:rPr>
          <w:color w:val="000000"/>
          <w:spacing w:val="0"/>
          <w:w w:val="100"/>
          <w:position w:val="0"/>
        </w:rPr>
        <w:t>、</w:t>
        <w:tab/>
        <w:t>技术研发</w:t>
      </w:r>
    </w:p>
    <w:p>
      <w:pPr>
        <w:pStyle w:val="Style36"/>
        <w:keepNext w:val="0"/>
        <w:keepLines w:val="0"/>
        <w:widowControl w:val="0"/>
        <w:shd w:val="clear" w:color="auto" w:fill="auto"/>
        <w:bidi w:val="0"/>
        <w:spacing w:before="0" w:after="340" w:line="316" w:lineRule="exact"/>
        <w:ind w:left="0" w:right="0"/>
        <w:jc w:val="left"/>
      </w:pPr>
      <w:r>
        <w:rPr>
          <w:color w:val="000000"/>
          <w:spacing w:val="0"/>
          <w:w w:val="100"/>
          <w:position w:val="0"/>
        </w:rPr>
        <w:t>公司从</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年开始连续近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国家规划布局内重点软件企业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计划成果产业化基地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，被认定为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福建省省级企业技术中心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福建省工业和信息化省级龙头企业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福建省软件技术研发中心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福州市民营数字经济示范企业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福建省科技成果产业化基地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福州软件园博士后工作站榕基分站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福建省创新型企 业</w:t>
      </w:r>
      <w:r>
        <w:rPr>
          <w:color w:val="000000"/>
          <w:spacing w:val="0"/>
          <w:w w:val="100"/>
          <w:position w:val="0"/>
        </w:rPr>
        <w:t>''；</w:t>
      </w:r>
      <w:r>
        <w:rPr>
          <w:color w:val="000000"/>
          <w:spacing w:val="0"/>
          <w:w w:val="100"/>
          <w:position w:val="0"/>
        </w:rPr>
        <w:t>曾荣获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中国十大创新软件企业''、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福建省知识产权优势企业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福建省战略性新兴产业骨干企业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'。公司作为中国软 件产品开发与销售的先行者之一，建立了以企业技术中心为核心的创新体系，多次承担国家</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项目、电子信息产业发展基 金、创新基金以及高科技产业化专项基金项目课题，在所处领域中拥有多项国内领先的创新技术，已形成较强的核心技术 竞争力。</w:t>
      </w:r>
    </w:p>
    <w:p>
      <w:pPr>
        <w:pStyle w:val="Style36"/>
        <w:keepNext w:val="0"/>
        <w:keepLines w:val="0"/>
        <w:widowControl w:val="0"/>
        <w:shd w:val="clear" w:color="auto" w:fill="auto"/>
        <w:bidi w:val="0"/>
        <w:spacing w:before="0" w:after="140" w:line="314" w:lineRule="exact"/>
        <w:ind w:left="0" w:right="0"/>
        <w:jc w:val="both"/>
      </w:pPr>
      <w:r>
        <w:rPr>
          <w:color w:val="000000"/>
          <w:spacing w:val="0"/>
          <w:w w:val="100"/>
          <w:position w:val="0"/>
        </w:rPr>
        <w:t>公司结合自身条件和外部市场环境，在信创工程、云计算、大数据、移动办公云平台、智慧城市、中小企业信息化等 方向上取得了技术创新。截至目前，公司拥有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品牌的自主知识产权包括</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项专利（发明专利</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项、外观新型专利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341</w:t>
      </w:r>
      <w:r>
        <w:rPr>
          <w:color w:val="000000"/>
          <w:spacing w:val="0"/>
          <w:w w:val="100"/>
          <w:position w:val="0"/>
        </w:rPr>
        <w:t>项计算机软件著作权。近年来有多个自主产品被列入国家和省部级创新产品，获得多项国 家、省、市科技进步奖和优秀产品等荣誉。</w:t>
      </w:r>
    </w:p>
    <w:p>
      <w:pPr>
        <w:pStyle w:val="Style36"/>
        <w:keepNext w:val="0"/>
        <w:keepLines w:val="0"/>
        <w:widowControl w:val="0"/>
        <w:shd w:val="clear" w:color="auto" w:fill="auto"/>
        <w:tabs>
          <w:tab w:pos="664" w:val="left"/>
        </w:tabs>
        <w:bidi w:val="0"/>
        <w:spacing w:before="0" w:after="0" w:line="360" w:lineRule="auto"/>
        <w:ind w:left="0" w:right="0"/>
        <w:jc w:val="both"/>
      </w:pPr>
      <w:bookmarkStart w:id="100" w:name="bookmark100"/>
      <w:r>
        <w:rPr>
          <w:rFonts w:ascii="Times New Roman" w:eastAsia="Times New Roman" w:hAnsi="Times New Roman" w:cs="Times New Roman"/>
          <w:color w:val="000000"/>
          <w:spacing w:val="0"/>
          <w:w w:val="100"/>
          <w:position w:val="0"/>
          <w:sz w:val="18"/>
          <w:szCs w:val="18"/>
        </w:rPr>
        <w:t>3</w:t>
      </w:r>
      <w:bookmarkEnd w:id="100"/>
      <w:r>
        <w:rPr>
          <w:color w:val="000000"/>
          <w:spacing w:val="0"/>
          <w:w w:val="100"/>
          <w:position w:val="0"/>
        </w:rPr>
        <w:t>、</w:t>
        <w:tab/>
        <w:t>行业经验</w:t>
      </w:r>
    </w:p>
    <w:p>
      <w:pPr>
        <w:pStyle w:val="Style36"/>
        <w:keepNext w:val="0"/>
        <w:keepLines w:val="0"/>
        <w:widowControl w:val="0"/>
        <w:shd w:val="clear" w:color="auto" w:fill="auto"/>
        <w:bidi w:val="0"/>
        <w:spacing w:before="0" w:after="140" w:line="312" w:lineRule="exact"/>
        <w:ind w:left="0" w:right="0"/>
        <w:jc w:val="both"/>
      </w:pPr>
      <w:r>
        <w:rPr>
          <w:color w:val="000000"/>
          <w:spacing w:val="0"/>
          <w:w w:val="100"/>
          <w:position w:val="0"/>
        </w:rPr>
        <w:t>公司作为主营业务领域的龙头企业和骨干企业，具备突出的行业业务理解能力，具备较强的综合集成、软件开发、数 据服务、安全运维等一体化综合服务能力，承担了政府政务云计算平台、信创工程、金关工程、金环工程、天平工程、信 息安全等国家重大信息化项目以及多个行业核心业务支撑系统和关键共性技术平台，具有典型示范和辐射带动作用。</w:t>
      </w:r>
    </w:p>
    <w:p>
      <w:pPr>
        <w:pStyle w:val="Style36"/>
        <w:keepNext w:val="0"/>
        <w:keepLines w:val="0"/>
        <w:widowControl w:val="0"/>
        <w:shd w:val="clear" w:color="auto" w:fill="auto"/>
        <w:tabs>
          <w:tab w:pos="674" w:val="left"/>
        </w:tabs>
        <w:bidi w:val="0"/>
        <w:spacing w:before="0" w:after="0" w:line="360" w:lineRule="auto"/>
        <w:ind w:left="0" w:right="0"/>
        <w:jc w:val="both"/>
      </w:pPr>
      <w:bookmarkStart w:id="101" w:name="bookmark101"/>
      <w:r>
        <w:rPr>
          <w:rFonts w:ascii="Times New Roman" w:eastAsia="Times New Roman" w:hAnsi="Times New Roman" w:cs="Times New Roman"/>
          <w:color w:val="000000"/>
          <w:spacing w:val="0"/>
          <w:w w:val="100"/>
          <w:position w:val="0"/>
          <w:sz w:val="18"/>
          <w:szCs w:val="18"/>
        </w:rPr>
        <w:t>4</w:t>
      </w:r>
      <w:bookmarkEnd w:id="101"/>
      <w:r>
        <w:rPr>
          <w:color w:val="000000"/>
          <w:spacing w:val="0"/>
          <w:w w:val="100"/>
          <w:position w:val="0"/>
        </w:rPr>
        <w:t>、</w:t>
        <w:tab/>
        <w:t>人力优势</w:t>
      </w:r>
    </w:p>
    <w:p>
      <w:pPr>
        <w:pStyle w:val="Style36"/>
        <w:keepNext w:val="0"/>
        <w:keepLines w:val="0"/>
        <w:widowControl w:val="0"/>
        <w:shd w:val="clear" w:color="auto" w:fill="auto"/>
        <w:bidi w:val="0"/>
        <w:spacing w:before="0" w:after="140" w:line="314" w:lineRule="exact"/>
        <w:ind w:left="0" w:right="0"/>
        <w:jc w:val="both"/>
      </w:pPr>
      <w:r>
        <w:rPr>
          <w:color w:val="000000"/>
          <w:spacing w:val="0"/>
          <w:w w:val="100"/>
          <w:position w:val="0"/>
        </w:rPr>
        <w:t>公司在多年的经营实践中形成了稳定的、受过良好教育又具有行业经验的核心管理团队和优秀的、富有经验的研发技 术团队。公司建立了人员招聘体系、职务职责体系、薪酬福利体系、绩效考核体系、研发和创新激励体系等一系列机制， 吸引、培养了一支技术水平高、经验丰富、富有团队协作精神，且对公司的企业文化有较高的认同感的研发技术团队，为 公司规模化发展提供了有力的保障。</w:t>
      </w:r>
    </w:p>
    <w:p>
      <w:pPr>
        <w:pStyle w:val="Style36"/>
        <w:keepNext w:val="0"/>
        <w:keepLines w:val="0"/>
        <w:widowControl w:val="0"/>
        <w:shd w:val="clear" w:color="auto" w:fill="auto"/>
        <w:tabs>
          <w:tab w:pos="674" w:val="left"/>
        </w:tabs>
        <w:bidi w:val="0"/>
        <w:spacing w:before="0" w:after="0" w:line="360" w:lineRule="auto"/>
        <w:ind w:left="0" w:right="0"/>
        <w:jc w:val="both"/>
      </w:pPr>
      <w:bookmarkStart w:id="102" w:name="bookmark102"/>
      <w:r>
        <w:rPr>
          <w:rFonts w:ascii="Times New Roman" w:eastAsia="Times New Roman" w:hAnsi="Times New Roman" w:cs="Times New Roman"/>
          <w:color w:val="000000"/>
          <w:spacing w:val="0"/>
          <w:w w:val="100"/>
          <w:position w:val="0"/>
          <w:sz w:val="18"/>
          <w:szCs w:val="18"/>
        </w:rPr>
        <w:t>5</w:t>
      </w:r>
      <w:bookmarkEnd w:id="102"/>
      <w:r>
        <w:rPr>
          <w:color w:val="000000"/>
          <w:spacing w:val="0"/>
          <w:w w:val="100"/>
          <w:position w:val="0"/>
        </w:rPr>
        <w:t>、</w:t>
        <w:tab/>
        <w:t>销售和服务网络</w:t>
      </w:r>
    </w:p>
    <w:p>
      <w:pPr>
        <w:pStyle w:val="Style36"/>
        <w:keepNext w:val="0"/>
        <w:keepLines w:val="0"/>
        <w:widowControl w:val="0"/>
        <w:shd w:val="clear" w:color="auto" w:fill="auto"/>
        <w:bidi w:val="0"/>
        <w:spacing w:before="0" w:after="140" w:line="317" w:lineRule="exact"/>
        <w:ind w:left="0" w:right="0" w:firstLine="240"/>
        <w:jc w:val="both"/>
        <w:sectPr>
          <w:footnotePr>
            <w:pos w:val="pageBottom"/>
            <w:numFmt w:val="decimal"/>
            <w:numRestart w:val="continuous"/>
          </w:footnotePr>
          <w:pgSz w:w="11900" w:h="16840"/>
          <w:pgMar w:top="1383" w:right="1062" w:bottom="1436" w:left="1061" w:header="0" w:footer="3" w:gutter="0"/>
          <w:cols w:space="720"/>
          <w:noEndnote/>
          <w:rtlGutter w:val="0"/>
          <w:docGrid w:linePitch="360"/>
        </w:sectPr>
      </w:pPr>
      <w:r>
        <w:rPr>
          <w:color w:val="000000"/>
          <w:spacing w:val="0"/>
          <w:w w:val="100"/>
          <w:position w:val="0"/>
        </w:rPr>
        <w:t xml:space="preserve">公司总部设在福州，在北京、上海、深圳、杭州和郑州设立五个区域分部，在全国设立了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多家分子公司。截至报告期末， 公司建立了完善的客户服务支持系统、客户服务中心、服务管理体系在内的运维服务体系，提高了公司的运维服务能力和服 务质量，进一步提高了市场占有率。</w:t>
      </w:r>
    </w:p>
    <w:p>
      <w:pPr>
        <w:pStyle w:val="Style10"/>
        <w:keepNext/>
        <w:keepLines/>
        <w:widowControl w:val="0"/>
        <w:shd w:val="clear" w:color="auto" w:fill="auto"/>
        <w:bidi w:val="0"/>
        <w:spacing w:before="600" w:after="560" w:line="240" w:lineRule="auto"/>
        <w:ind w:left="0" w:right="0" w:firstLine="0"/>
        <w:jc w:val="center"/>
      </w:pPr>
      <w:bookmarkStart w:id="103" w:name="bookmark103"/>
      <w:bookmarkStart w:id="104" w:name="bookmark104"/>
      <w:bookmarkStart w:id="105" w:name="bookmark105"/>
      <w:r>
        <w:rPr>
          <w:color w:val="000000"/>
          <w:spacing w:val="0"/>
          <w:w w:val="100"/>
          <w:position w:val="0"/>
        </w:rPr>
        <w:t>第四节经营情况讨论与分析</w:t>
      </w:r>
      <w:bookmarkEnd w:id="103"/>
      <w:bookmarkEnd w:id="104"/>
      <w:bookmarkEnd w:id="105"/>
    </w:p>
    <w:p>
      <w:pPr>
        <w:pStyle w:val="Style32"/>
        <w:keepNext/>
        <w:keepLines/>
        <w:widowControl w:val="0"/>
        <w:shd w:val="clear" w:color="auto" w:fill="auto"/>
        <w:bidi w:val="0"/>
        <w:spacing w:before="0" w:line="240" w:lineRule="auto"/>
        <w:ind w:left="0" w:right="0" w:firstLine="0"/>
        <w:jc w:val="left"/>
      </w:pPr>
      <w:bookmarkStart w:id="106" w:name="bookmark106"/>
      <w:bookmarkStart w:id="107" w:name="bookmark107"/>
      <w:bookmarkStart w:id="108" w:name="bookmark108"/>
      <w:bookmarkStart w:id="109" w:name="bookmark109"/>
      <w:bookmarkStart w:id="110" w:name="bookmark110"/>
      <w:r>
        <w:rPr>
          <w:color w:val="000000"/>
          <w:spacing w:val="0"/>
          <w:w w:val="100"/>
          <w:position w:val="0"/>
        </w:rPr>
        <w:t>一</w:t>
      </w:r>
      <w:bookmarkEnd w:id="109"/>
      <w:r>
        <w:rPr>
          <w:color w:val="000000"/>
          <w:spacing w:val="0"/>
          <w:w w:val="100"/>
          <w:position w:val="0"/>
        </w:rPr>
        <w:t>、概述</w:t>
      </w:r>
      <w:bookmarkEnd w:id="107"/>
      <w:bookmarkEnd w:id="108"/>
      <w:bookmarkEnd w:id="110"/>
      <w:bookmarkEnd w:id="106"/>
    </w:p>
    <w:p>
      <w:pPr>
        <w:pStyle w:val="Style36"/>
        <w:keepNext w:val="0"/>
        <w:keepLines w:val="0"/>
        <w:widowControl w:val="0"/>
        <w:shd w:val="clear" w:color="auto" w:fill="auto"/>
        <w:tabs>
          <w:tab w:pos="302" w:val="left"/>
        </w:tabs>
        <w:bidi w:val="0"/>
        <w:spacing w:before="0" w:after="0" w:line="360" w:lineRule="auto"/>
        <w:ind w:left="0" w:right="0" w:firstLine="0"/>
        <w:jc w:val="left"/>
      </w:pPr>
      <w:bookmarkStart w:id="111" w:name="bookmark111"/>
      <w:r>
        <w:rPr>
          <w:rFonts w:ascii="Times New Roman" w:eastAsia="Times New Roman" w:hAnsi="Times New Roman" w:cs="Times New Roman"/>
          <w:color w:val="000000"/>
          <w:spacing w:val="0"/>
          <w:w w:val="100"/>
          <w:position w:val="0"/>
          <w:sz w:val="18"/>
          <w:szCs w:val="18"/>
        </w:rPr>
        <w:t>1</w:t>
      </w:r>
      <w:bookmarkEnd w:id="111"/>
      <w:r>
        <w:rPr>
          <w:color w:val="000000"/>
          <w:spacing w:val="0"/>
          <w:w w:val="100"/>
          <w:position w:val="0"/>
        </w:rPr>
        <w:t>、</w:t>
        <w:tab/>
        <w:t>总体经营情况</w:t>
      </w:r>
    </w:p>
    <w:p>
      <w:pPr>
        <w:pStyle w:val="Style36"/>
        <w:keepNext w:val="0"/>
        <w:keepLines w:val="0"/>
        <w:widowControl w:val="0"/>
        <w:shd w:val="clear" w:color="auto" w:fill="auto"/>
        <w:bidi w:val="0"/>
        <w:spacing w:before="0" w:after="0" w:line="312" w:lineRule="exact"/>
        <w:ind w:left="0" w:right="0"/>
        <w:jc w:val="left"/>
      </w:pPr>
      <w:r>
        <w:rPr>
          <w:color w:val="000000"/>
          <w:spacing w:val="0"/>
          <w:w w:val="100"/>
          <w:position w:val="0"/>
        </w:rPr>
        <w:t>报告期内，在公司经营管理班子和全体员工的共同努力下，公司继续推进软件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行业化、产品化、服务化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经营布局， 持续加大产品研发的投入和力度，巩固了电子政务、协同管理等领域的综合竞争优势，积极培育以信创工程、大数据、物 联网技术为基础的新业务，致力于传统和创新两大运营服务体系建设，开拓了新的业务增长点，提升了公司的竞争力。</w:t>
      </w:r>
    </w:p>
    <w:p>
      <w:pPr>
        <w:pStyle w:val="Style36"/>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报告期内，公司共实现营业收入</w:t>
      </w:r>
      <w:r>
        <w:rPr>
          <w:rFonts w:ascii="Times New Roman" w:eastAsia="Times New Roman" w:hAnsi="Times New Roman" w:cs="Times New Roman"/>
          <w:color w:val="000000"/>
          <w:spacing w:val="0"/>
          <w:w w:val="100"/>
          <w:position w:val="0"/>
          <w:sz w:val="18"/>
          <w:szCs w:val="18"/>
        </w:rPr>
        <w:t>73,047.55</w:t>
      </w:r>
      <w:r>
        <w:rPr>
          <w:color w:val="000000"/>
          <w:spacing w:val="0"/>
          <w:w w:val="100"/>
          <w:position w:val="0"/>
        </w:rPr>
        <w:t>万元，比上年同期增加</w:t>
      </w:r>
      <w:r>
        <w:rPr>
          <w:rFonts w:ascii="Times New Roman" w:eastAsia="Times New Roman" w:hAnsi="Times New Roman" w:cs="Times New Roman"/>
          <w:color w:val="000000"/>
          <w:spacing w:val="0"/>
          <w:w w:val="100"/>
          <w:position w:val="0"/>
          <w:sz w:val="18"/>
          <w:szCs w:val="18"/>
        </w:rPr>
        <w:t xml:space="preserve">0.43% </w:t>
      </w:r>
      <w:r>
        <w:rPr>
          <w:color w:val="000000"/>
          <w:spacing w:val="0"/>
          <w:w w:val="100"/>
          <w:position w:val="0"/>
        </w:rPr>
        <w:t>；营业成本比上年同期增加</w:t>
      </w:r>
      <w:r>
        <w:rPr>
          <w:rFonts w:ascii="Times New Roman" w:eastAsia="Times New Roman" w:hAnsi="Times New Roman" w:cs="Times New Roman"/>
          <w:color w:val="000000"/>
          <w:spacing w:val="0"/>
          <w:w w:val="100"/>
          <w:position w:val="0"/>
          <w:sz w:val="18"/>
          <w:szCs w:val="18"/>
        </w:rPr>
        <w:t xml:space="preserve">1.22% </w:t>
      </w:r>
      <w:r>
        <w:rPr>
          <w:color w:val="000000"/>
          <w:spacing w:val="0"/>
          <w:w w:val="100"/>
          <w:position w:val="0"/>
        </w:rPr>
        <w:t>；销售费用比 上年同期增加</w:t>
      </w:r>
      <w:r>
        <w:rPr>
          <w:rFonts w:ascii="Times New Roman" w:eastAsia="Times New Roman" w:hAnsi="Times New Roman" w:cs="Times New Roman"/>
          <w:color w:val="000000"/>
          <w:spacing w:val="0"/>
          <w:w w:val="100"/>
          <w:position w:val="0"/>
          <w:sz w:val="18"/>
          <w:szCs w:val="18"/>
        </w:rPr>
        <w:t>2.16%</w:t>
      </w:r>
      <w:r>
        <w:rPr>
          <w:color w:val="000000"/>
          <w:spacing w:val="0"/>
          <w:w w:val="100"/>
          <w:position w:val="0"/>
        </w:rPr>
        <w:t>，管理费用比上年同期减少</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，研发费用比上年同期增加</w:t>
      </w:r>
      <w:r>
        <w:rPr>
          <w:rFonts w:ascii="Times New Roman" w:eastAsia="Times New Roman" w:hAnsi="Times New Roman" w:cs="Times New Roman"/>
          <w:color w:val="000000"/>
          <w:spacing w:val="0"/>
          <w:w w:val="100"/>
          <w:position w:val="0"/>
          <w:sz w:val="18"/>
          <w:szCs w:val="18"/>
        </w:rPr>
        <w:t>1.97%</w:t>
      </w:r>
      <w:r>
        <w:rPr>
          <w:color w:val="000000"/>
          <w:spacing w:val="0"/>
          <w:w w:val="100"/>
          <w:position w:val="0"/>
        </w:rPr>
        <w:t>，财务费用比上年同期增加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销售费用比上年同期略有增加主要是报告期职工薪酬及服务费增加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管理费用比上年同期减少主要是报告期职工薪酬及业务 招待费减少，财务费用比上年同期增加主要是短期借款利息支出增加；经营活动产生的现金流量净额较上年同期减少 </w:t>
      </w:r>
      <w:r>
        <w:rPr>
          <w:rFonts w:ascii="Times New Roman" w:eastAsia="Times New Roman" w:hAnsi="Times New Roman" w:cs="Times New Roman"/>
          <w:color w:val="000000"/>
          <w:spacing w:val="0"/>
          <w:w w:val="100"/>
          <w:position w:val="0"/>
          <w:sz w:val="18"/>
          <w:szCs w:val="18"/>
        </w:rPr>
        <w:t>33.28%</w:t>
      </w:r>
      <w:r>
        <w:rPr>
          <w:color w:val="000000"/>
          <w:spacing w:val="0"/>
          <w:w w:val="100"/>
          <w:position w:val="0"/>
        </w:rPr>
        <w:t xml:space="preserve">，主要是报告期支付其他与经营活动有关的现金增加所致；投资活动产生的现金流量净额较上年同期增加 </w:t>
      </w:r>
      <w:r>
        <w:rPr>
          <w:rFonts w:ascii="Times New Roman" w:eastAsia="Times New Roman" w:hAnsi="Times New Roman" w:cs="Times New Roman"/>
          <w:color w:val="000000"/>
          <w:spacing w:val="0"/>
          <w:w w:val="100"/>
          <w:position w:val="0"/>
          <w:sz w:val="18"/>
          <w:szCs w:val="18"/>
        </w:rPr>
        <w:t>101.39%</w:t>
      </w:r>
      <w:r>
        <w:rPr>
          <w:color w:val="000000"/>
          <w:spacing w:val="0"/>
          <w:w w:val="100"/>
          <w:position w:val="0"/>
        </w:rPr>
        <w:t>，主要是报告期理财产品到期赎回金额增加所致。</w:t>
      </w:r>
    </w:p>
    <w:p>
      <w:pPr>
        <w:pStyle w:val="Style36"/>
        <w:keepNext w:val="0"/>
        <w:keepLines w:val="0"/>
        <w:widowControl w:val="0"/>
        <w:shd w:val="clear" w:color="auto" w:fill="auto"/>
        <w:tabs>
          <w:tab w:pos="321" w:val="left"/>
        </w:tabs>
        <w:bidi w:val="0"/>
        <w:spacing w:before="0" w:after="0" w:line="317" w:lineRule="exact"/>
        <w:ind w:left="0" w:right="0" w:firstLine="0"/>
        <w:jc w:val="left"/>
      </w:pPr>
      <w:bookmarkStart w:id="112" w:name="bookmark112"/>
      <w:r>
        <w:rPr>
          <w:rFonts w:ascii="Times New Roman" w:eastAsia="Times New Roman" w:hAnsi="Times New Roman" w:cs="Times New Roman"/>
          <w:color w:val="000000"/>
          <w:spacing w:val="0"/>
          <w:w w:val="100"/>
          <w:position w:val="0"/>
          <w:sz w:val="18"/>
          <w:szCs w:val="18"/>
        </w:rPr>
        <w:t>2</w:t>
      </w:r>
      <w:bookmarkEnd w:id="112"/>
      <w:r>
        <w:rPr>
          <w:color w:val="000000"/>
          <w:spacing w:val="0"/>
          <w:w w:val="100"/>
          <w:position w:val="0"/>
        </w:rPr>
        <w:t>、</w:t>
        <w:tab/>
        <w:t>报告期内公司重要经营管理事项回顾</w:t>
      </w:r>
    </w:p>
    <w:p>
      <w:pPr>
        <w:pStyle w:val="Style36"/>
        <w:keepNext w:val="0"/>
        <w:keepLines w:val="0"/>
        <w:widowControl w:val="0"/>
        <w:shd w:val="clear" w:color="auto" w:fill="auto"/>
        <w:tabs>
          <w:tab w:pos="786" w:val="left"/>
        </w:tabs>
        <w:bidi w:val="0"/>
        <w:spacing w:before="0" w:after="0" w:line="312" w:lineRule="exact"/>
        <w:ind w:left="0" w:right="0"/>
        <w:jc w:val="left"/>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报告期内，公司新获得</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项计算机软件著作权。截至目前，公司拥有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品牌的自主知识产权包括</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项专利 （发明专利</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项、外观新型专利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341</w:t>
      </w:r>
      <w:r>
        <w:rPr>
          <w:color w:val="000000"/>
          <w:spacing w:val="0"/>
          <w:w w:val="100"/>
          <w:position w:val="0"/>
        </w:rPr>
        <w:t>项计算机软件著作权。</w:t>
      </w:r>
    </w:p>
    <w:p>
      <w:pPr>
        <w:pStyle w:val="Style36"/>
        <w:keepNext w:val="0"/>
        <w:keepLines w:val="0"/>
        <w:widowControl w:val="0"/>
        <w:shd w:val="clear" w:color="auto" w:fill="auto"/>
        <w:tabs>
          <w:tab w:pos="869" w:val="left"/>
        </w:tabs>
        <w:bidi w:val="0"/>
        <w:spacing w:before="0" w:after="0" w:line="322" w:lineRule="exact"/>
        <w:ind w:left="0" w:right="0"/>
        <w:jc w:val="left"/>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月，国家发改委、科技部、财政部、海关总署、税务总局联合公布了第</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批国家企业技术中心名单，榕基软件 技术中心获评入选。</w:t>
      </w:r>
    </w:p>
    <w:p>
      <w:pPr>
        <w:pStyle w:val="Style36"/>
        <w:keepNext w:val="0"/>
        <w:keepLines w:val="0"/>
        <w:widowControl w:val="0"/>
        <w:shd w:val="clear" w:color="auto" w:fill="auto"/>
        <w:tabs>
          <w:tab w:pos="793" w:val="left"/>
        </w:tabs>
        <w:bidi w:val="0"/>
        <w:spacing w:before="0" w:after="0" w:line="317" w:lineRule="exact"/>
        <w:ind w:left="0" w:right="0"/>
        <w:jc w:val="left"/>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月，公司承建的河南社区矫正综合管理指挥平台正式上线，标志着河南省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智慧矫正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建设取得阶段性成果。</w:t>
      </w:r>
    </w:p>
    <w:p>
      <w:pPr>
        <w:pStyle w:val="Style36"/>
        <w:keepNext w:val="0"/>
        <w:keepLines w:val="0"/>
        <w:widowControl w:val="0"/>
        <w:shd w:val="clear" w:color="auto" w:fill="auto"/>
        <w:tabs>
          <w:tab w:pos="793" w:val="left"/>
        </w:tabs>
        <w:bidi w:val="0"/>
        <w:spacing w:before="0" w:after="0" w:line="317" w:lineRule="exact"/>
        <w:ind w:left="0" w:right="0"/>
        <w:jc w:val="left"/>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月，福州市人民政府公布了福州市民营数字经济示范企业名单，公司系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家数字化产业示范企业之一。</w:t>
      </w:r>
    </w:p>
    <w:p>
      <w:pPr>
        <w:pStyle w:val="Style36"/>
        <w:keepNext w:val="0"/>
        <w:keepLines w:val="0"/>
        <w:widowControl w:val="0"/>
        <w:shd w:val="clear" w:color="auto" w:fill="auto"/>
        <w:bidi w:val="0"/>
        <w:spacing w:before="0" w:after="0" w:line="317" w:lineRule="exact"/>
        <w:ind w:left="0" w:right="0"/>
        <w:jc w:val="left"/>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月，榕基三款产品入选福州市首批疫情防控软件和信息技术服务产品参考目录；公司河南社区矫正综合管理指 挥平台项目团队坚守平台运维保障工作岗位，积极为河南省司法厅社区矫正管理局做好疫情期间社区矫正工作提供信息技 术服务；公司限时免费为客户伙伴开放共享</w:t>
      </w:r>
      <w:r>
        <w:rPr>
          <w:rFonts w:ascii="Times New Roman" w:eastAsia="Times New Roman" w:hAnsi="Times New Roman" w:cs="Times New Roman"/>
          <w:color w:val="000000"/>
          <w:spacing w:val="0"/>
          <w:w w:val="100"/>
          <w:position w:val="0"/>
          <w:sz w:val="18"/>
          <w:szCs w:val="18"/>
        </w:rPr>
        <w:t>iTask</w:t>
      </w:r>
      <w:r>
        <w:rPr>
          <w:color w:val="000000"/>
          <w:spacing w:val="0"/>
          <w:w w:val="100"/>
          <w:position w:val="0"/>
        </w:rPr>
        <w:t>移动协同管理平台并提供技术支持服务；自主研发的榕基疫情应急值班管 理系统入选《河南省疫情防控相关软件产品和解决方案目录》。</w:t>
      </w:r>
    </w:p>
    <w:p>
      <w:pPr>
        <w:pStyle w:val="Style36"/>
        <w:keepNext w:val="0"/>
        <w:keepLines w:val="0"/>
        <w:widowControl w:val="0"/>
        <w:shd w:val="clear" w:color="auto" w:fill="auto"/>
        <w:tabs>
          <w:tab w:pos="859" w:val="left"/>
        </w:tabs>
        <w:bidi w:val="0"/>
        <w:spacing w:before="0" w:after="0" w:line="322" w:lineRule="exact"/>
        <w:ind w:left="0" w:right="0"/>
        <w:jc w:val="left"/>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月，公司承建昆明海关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口岸卫检智慧通道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项目，满足海关疫情防控一线工作的迫切需求，成为扎牢境外输入 防控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第一道防线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，同时，对公司未来继续拓展口岸商务卫生防疫等项目具有典型示范意义。</w:t>
      </w:r>
    </w:p>
    <w:p>
      <w:pPr>
        <w:pStyle w:val="Style36"/>
        <w:keepNext w:val="0"/>
        <w:keepLines w:val="0"/>
        <w:widowControl w:val="0"/>
        <w:shd w:val="clear" w:color="auto" w:fill="auto"/>
        <w:tabs>
          <w:tab w:pos="869" w:val="left"/>
        </w:tabs>
        <w:bidi w:val="0"/>
        <w:spacing w:before="0" w:after="0" w:line="326" w:lineRule="exact"/>
        <w:ind w:left="0" w:right="0"/>
        <w:jc w:val="left"/>
      </w:pPr>
      <w:bookmarkStart w:id="119" w:name="bookmark119"/>
      <w:r>
        <w:rPr>
          <w:color w:val="000000"/>
          <w:spacing w:val="0"/>
          <w:w w:val="100"/>
          <w:position w:val="0"/>
        </w:rPr>
        <w:t>（</w:t>
      </w:r>
      <w:bookmarkEnd w:id="119"/>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月，公司承建的福建省离退休干部信息管理系统上线运行，标志着福建全省老干部工作进入了大数据、数字 化、智能化管理的新阶段。</w:t>
      </w:r>
    </w:p>
    <w:p>
      <w:pPr>
        <w:pStyle w:val="Style36"/>
        <w:keepNext w:val="0"/>
        <w:keepLines w:val="0"/>
        <w:widowControl w:val="0"/>
        <w:shd w:val="clear" w:color="auto" w:fill="auto"/>
        <w:tabs>
          <w:tab w:pos="873" w:val="left"/>
        </w:tabs>
        <w:bidi w:val="0"/>
        <w:spacing w:before="0" w:after="0" w:line="326" w:lineRule="exact"/>
        <w:ind w:left="0" w:right="0"/>
        <w:jc w:val="left"/>
      </w:pPr>
      <w:bookmarkStart w:id="120" w:name="bookmark120"/>
      <w:r>
        <w:rPr>
          <w:color w:val="000000"/>
          <w:spacing w:val="0"/>
          <w:w w:val="100"/>
          <w:position w:val="0"/>
        </w:rPr>
        <w:t>（</w:t>
      </w:r>
      <w:bookmarkEnd w:id="120"/>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月，经福建省数字办组织专家评审，全资子公司福建榕基软件工程有限公司获评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年度福建省数字经济领域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瞪羚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创新企业。</w:t>
      </w:r>
    </w:p>
    <w:p>
      <w:pPr>
        <w:pStyle w:val="Style36"/>
        <w:keepNext w:val="0"/>
        <w:keepLines w:val="0"/>
        <w:widowControl w:val="0"/>
        <w:shd w:val="clear" w:color="auto" w:fill="auto"/>
        <w:tabs>
          <w:tab w:pos="793" w:val="left"/>
        </w:tabs>
        <w:bidi w:val="0"/>
        <w:spacing w:before="0" w:after="0" w:line="317" w:lineRule="exact"/>
        <w:ind w:left="0" w:right="0"/>
        <w:jc w:val="left"/>
      </w:pPr>
      <w:bookmarkStart w:id="121" w:name="bookmark121"/>
      <w:r>
        <w:rPr>
          <w:color w:val="000000"/>
          <w:spacing w:val="0"/>
          <w:w w:val="100"/>
          <w:position w:val="0"/>
        </w:rPr>
        <w:t>（</w:t>
      </w:r>
      <w:bookmarkEnd w:id="121"/>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月，公司及全资子公司福建榕基软件工程有限公司双双入选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年福建省工业和信息化省级龙头企业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val="0"/>
        <w:keepLines w:val="0"/>
        <w:widowControl w:val="0"/>
        <w:shd w:val="clear" w:color="auto" w:fill="auto"/>
        <w:tabs>
          <w:tab w:pos="960" w:val="left"/>
        </w:tabs>
        <w:bidi w:val="0"/>
        <w:spacing w:before="0" w:after="0" w:line="317" w:lineRule="exact"/>
        <w:ind w:left="0" w:right="0"/>
        <w:jc w:val="left"/>
      </w:pPr>
      <w:bookmarkStart w:id="122" w:name="bookmark122"/>
      <w:r>
        <w:rPr>
          <w:color w:val="000000"/>
          <w:spacing w:val="0"/>
          <w:w w:val="100"/>
          <w:position w:val="0"/>
        </w:rPr>
        <w:t>（</w:t>
      </w:r>
      <w:bookmarkEnd w:id="122"/>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月，公司与河南省信阳市政务服务和大数据管理局签订区块链建设相关项目合作框架协议，由公司承担当地政 务服务区块链建设项目工作，公司在区块链业务上取得了实质性进展。</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月，承建的信阳市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不动产登记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应用场景 正式上线运行，该项目实现了业务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一链办理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，充分发挥了区块链技术优势。</w:t>
      </w:r>
    </w:p>
    <w:p>
      <w:pPr>
        <w:pStyle w:val="Style36"/>
        <w:keepNext w:val="0"/>
        <w:keepLines w:val="0"/>
        <w:widowControl w:val="0"/>
        <w:shd w:val="clear" w:color="auto" w:fill="auto"/>
        <w:bidi w:val="0"/>
        <w:spacing w:before="0" w:after="0" w:line="326" w:lineRule="exact"/>
        <w:ind w:left="0" w:right="0"/>
        <w:jc w:val="left"/>
      </w:pPr>
      <w:bookmarkStart w:id="123" w:name="bookmark123"/>
      <w:r>
        <w:rPr>
          <w:color w:val="000000"/>
          <w:spacing w:val="0"/>
          <w:w w:val="100"/>
          <w:position w:val="0"/>
        </w:rPr>
        <w:t>（</w:t>
      </w:r>
      <w:bookmarkEnd w:id="123"/>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月，公司入选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政务大数据创新排行榜。公司研发的信创工程、互联网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党建、司法行政以 及大数据、物联网等领域软件产品和解决方案，在全国各地推广应用，进一步提升了企业在电子政务领域的竞争优势。</w:t>
      </w:r>
    </w:p>
    <w:p>
      <w:pPr>
        <w:pStyle w:val="Style36"/>
        <w:keepNext w:val="0"/>
        <w:keepLines w:val="0"/>
        <w:widowControl w:val="0"/>
        <w:shd w:val="clear" w:color="auto" w:fill="auto"/>
        <w:bidi w:val="0"/>
        <w:spacing w:before="0" w:after="0" w:line="326" w:lineRule="exact"/>
        <w:ind w:left="0" w:right="0"/>
        <w:jc w:val="left"/>
      </w:pPr>
      <w:bookmarkStart w:id="124" w:name="bookmark124"/>
      <w:r>
        <w:rPr>
          <w:color w:val="000000"/>
          <w:spacing w:val="0"/>
          <w:w w:val="100"/>
          <w:position w:val="0"/>
        </w:rPr>
        <w:t>（</w:t>
      </w:r>
      <w:bookmarkEnd w:id="124"/>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月，公司与京东云计算有限公司签订战略合作协议，双方将在人工智能、大数据、</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工业互联网等新基建 领域开展紧密合作，推进新基建领域业务的布局与拓展。</w:t>
      </w:r>
    </w:p>
    <w:p>
      <w:pPr>
        <w:pStyle w:val="Style36"/>
        <w:keepNext w:val="0"/>
        <w:keepLines w:val="0"/>
        <w:widowControl w:val="0"/>
        <w:shd w:val="clear" w:color="auto" w:fill="auto"/>
        <w:tabs>
          <w:tab w:pos="992" w:val="left"/>
        </w:tabs>
        <w:bidi w:val="0"/>
        <w:spacing w:before="0" w:after="0" w:line="322" w:lineRule="exact"/>
        <w:ind w:left="0" w:right="0"/>
        <w:jc w:val="left"/>
      </w:pPr>
      <w:bookmarkStart w:id="125" w:name="bookmark125"/>
      <w:r>
        <w:rPr>
          <w:color w:val="000000"/>
          <w:spacing w:val="0"/>
          <w:w w:val="100"/>
          <w:position w:val="0"/>
          <w:sz w:val="18"/>
          <w:szCs w:val="18"/>
        </w:rPr>
        <w:t>（</w:t>
      </w:r>
      <w:bookmarkEnd w:id="125"/>
      <w:r>
        <w:rPr>
          <w:color w:val="000000"/>
          <w:spacing w:val="0"/>
          <w:w w:val="100"/>
          <w:position w:val="0"/>
          <w:sz w:val="18"/>
          <w:szCs w:val="18"/>
        </w:rPr>
        <w:t>13）</w:t>
        <w:tab/>
        <w:t>9</w:t>
      </w:r>
      <w:r>
        <w:rPr>
          <w:color w:val="000000"/>
          <w:spacing w:val="0"/>
          <w:w w:val="100"/>
          <w:position w:val="0"/>
        </w:rPr>
        <w:t>月，公司自主可控技术创新工程荣获</w:t>
      </w:r>
      <w:r>
        <w:rPr>
          <w:color w:val="000000"/>
          <w:spacing w:val="0"/>
          <w:w w:val="100"/>
          <w:position w:val="0"/>
          <w:sz w:val="18"/>
          <w:szCs w:val="18"/>
        </w:rPr>
        <w:t>2019</w:t>
      </w:r>
      <w:r>
        <w:rPr>
          <w:color w:val="000000"/>
          <w:spacing w:val="0"/>
          <w:w w:val="100"/>
          <w:position w:val="0"/>
        </w:rPr>
        <w:t>年度福建省科学技术进步奖二等奖；全资子公司福建榕基软件工程 有限公司获“福建省级新型研发机构”认定。</w:t>
      </w:r>
    </w:p>
    <w:p>
      <w:pPr>
        <w:pStyle w:val="Style36"/>
        <w:keepNext w:val="0"/>
        <w:keepLines w:val="0"/>
        <w:widowControl w:val="0"/>
        <w:shd w:val="clear" w:color="auto" w:fill="auto"/>
        <w:tabs>
          <w:tab w:pos="916" w:val="left"/>
        </w:tabs>
        <w:bidi w:val="0"/>
        <w:spacing w:before="0" w:after="0" w:line="322" w:lineRule="exact"/>
        <w:ind w:left="0" w:right="0"/>
        <w:jc w:val="left"/>
      </w:pPr>
      <w:bookmarkStart w:id="126" w:name="bookmark126"/>
      <w:r>
        <w:rPr>
          <w:color w:val="000000"/>
          <w:spacing w:val="0"/>
          <w:w w:val="100"/>
          <w:position w:val="0"/>
          <w:sz w:val="18"/>
          <w:szCs w:val="18"/>
        </w:rPr>
        <w:t>（</w:t>
      </w:r>
      <w:bookmarkEnd w:id="126"/>
      <w:r>
        <w:rPr>
          <w:color w:val="000000"/>
          <w:spacing w:val="0"/>
          <w:w w:val="100"/>
          <w:position w:val="0"/>
          <w:sz w:val="18"/>
          <w:szCs w:val="18"/>
        </w:rPr>
        <w:t>14）</w:t>
        <w:tab/>
        <w:t>10</w:t>
      </w:r>
      <w:r>
        <w:rPr>
          <w:color w:val="000000"/>
          <w:spacing w:val="0"/>
          <w:w w:val="100"/>
          <w:position w:val="0"/>
        </w:rPr>
        <w:t>月，公司入选</w:t>
      </w:r>
      <w:r>
        <w:rPr>
          <w:color w:val="000000"/>
          <w:spacing w:val="0"/>
          <w:w w:val="100"/>
          <w:position w:val="0"/>
          <w:sz w:val="18"/>
          <w:szCs w:val="18"/>
        </w:rPr>
        <w:t>“2020</w:t>
      </w:r>
      <w:r>
        <w:rPr>
          <w:color w:val="000000"/>
          <w:spacing w:val="0"/>
          <w:w w:val="100"/>
          <w:position w:val="0"/>
        </w:rPr>
        <w:t>年中国创新企业</w:t>
      </w:r>
      <w:r>
        <w:rPr>
          <w:color w:val="000000"/>
          <w:spacing w:val="0"/>
          <w:w w:val="100"/>
          <w:position w:val="0"/>
          <w:sz w:val="18"/>
          <w:szCs w:val="18"/>
        </w:rPr>
        <w:t>100</w:t>
      </w:r>
      <w:r>
        <w:rPr>
          <w:color w:val="000000"/>
          <w:spacing w:val="0"/>
          <w:w w:val="100"/>
          <w:position w:val="0"/>
        </w:rPr>
        <w:t>强”。</w:t>
      </w:r>
    </w:p>
    <w:p>
      <w:pPr>
        <w:pStyle w:val="Style36"/>
        <w:keepNext w:val="0"/>
        <w:keepLines w:val="0"/>
        <w:widowControl w:val="0"/>
        <w:shd w:val="clear" w:color="auto" w:fill="auto"/>
        <w:tabs>
          <w:tab w:pos="987" w:val="left"/>
        </w:tabs>
        <w:bidi w:val="0"/>
        <w:spacing w:before="0" w:after="0" w:line="329" w:lineRule="exact"/>
        <w:ind w:left="0" w:right="0"/>
        <w:jc w:val="left"/>
      </w:pPr>
      <w:bookmarkStart w:id="127" w:name="bookmark127"/>
      <w:r>
        <w:rPr>
          <w:color w:val="000000"/>
          <w:spacing w:val="0"/>
          <w:w w:val="100"/>
          <w:position w:val="0"/>
          <w:sz w:val="18"/>
          <w:szCs w:val="18"/>
        </w:rPr>
        <w:t>（</w:t>
      </w:r>
      <w:bookmarkEnd w:id="127"/>
      <w:r>
        <w:rPr>
          <w:color w:val="000000"/>
          <w:spacing w:val="0"/>
          <w:w w:val="100"/>
          <w:position w:val="0"/>
          <w:sz w:val="18"/>
          <w:szCs w:val="18"/>
        </w:rPr>
        <w:t>15）</w:t>
        <w:tab/>
        <w:t>10</w:t>
      </w:r>
      <w:r>
        <w:rPr>
          <w:color w:val="000000"/>
          <w:spacing w:val="0"/>
          <w:w w:val="100"/>
          <w:position w:val="0"/>
        </w:rPr>
        <w:t>月，公司参加</w:t>
      </w:r>
      <w:r>
        <w:rPr>
          <w:color w:val="000000"/>
          <w:spacing w:val="0"/>
          <w:w w:val="100"/>
          <w:position w:val="0"/>
          <w:sz w:val="18"/>
          <w:szCs w:val="18"/>
        </w:rPr>
        <w:t>“</w:t>
      </w:r>
      <w:r>
        <w:rPr>
          <w:color w:val="000000"/>
          <w:spacing w:val="0"/>
          <w:w w:val="100"/>
          <w:position w:val="0"/>
        </w:rPr>
        <w:t>第三届数字中国建设峰会暨成果展”，公司以</w:t>
      </w:r>
      <w:r>
        <w:rPr>
          <w:color w:val="000000"/>
          <w:spacing w:val="0"/>
          <w:w w:val="100"/>
          <w:position w:val="0"/>
          <w:sz w:val="18"/>
          <w:szCs w:val="18"/>
        </w:rPr>
        <w:t>“</w:t>
      </w:r>
      <w:r>
        <w:rPr>
          <w:color w:val="000000"/>
          <w:spacing w:val="0"/>
          <w:w w:val="100"/>
          <w:position w:val="0"/>
        </w:rPr>
        <w:t>服务数字中国建设</w:t>
      </w:r>
      <w:r>
        <w:rPr>
          <w:color w:val="000000"/>
          <w:spacing w:val="0"/>
          <w:w w:val="100"/>
          <w:position w:val="0"/>
          <w:sz w:val="18"/>
          <w:szCs w:val="18"/>
        </w:rPr>
        <w:t>20</w:t>
      </w:r>
      <w:r>
        <w:rPr>
          <w:color w:val="000000"/>
          <w:spacing w:val="0"/>
          <w:w w:val="100"/>
          <w:position w:val="0"/>
        </w:rPr>
        <w:t>年”为主题，展示了在 智慧政务、信创工程、智慧海关、大数据、物联网等方面的一系列研发成果。</w:t>
      </w:r>
    </w:p>
    <w:p>
      <w:pPr>
        <w:pStyle w:val="Style36"/>
        <w:keepNext w:val="0"/>
        <w:keepLines w:val="0"/>
        <w:widowControl w:val="0"/>
        <w:shd w:val="clear" w:color="auto" w:fill="auto"/>
        <w:tabs>
          <w:tab w:pos="978" w:val="left"/>
        </w:tabs>
        <w:bidi w:val="0"/>
        <w:spacing w:before="0" w:after="0" w:line="329" w:lineRule="exact"/>
        <w:ind w:left="0" w:right="0"/>
        <w:jc w:val="left"/>
      </w:pPr>
      <w:bookmarkStart w:id="128" w:name="bookmark128"/>
      <w:r>
        <w:rPr>
          <w:color w:val="000000"/>
          <w:spacing w:val="0"/>
          <w:w w:val="100"/>
          <w:position w:val="0"/>
          <w:sz w:val="18"/>
          <w:szCs w:val="18"/>
        </w:rPr>
        <w:t>（</w:t>
      </w:r>
      <w:bookmarkEnd w:id="128"/>
      <w:r>
        <w:rPr>
          <w:color w:val="000000"/>
          <w:spacing w:val="0"/>
          <w:w w:val="100"/>
          <w:position w:val="0"/>
          <w:sz w:val="18"/>
          <w:szCs w:val="18"/>
        </w:rPr>
        <w:t>16）</w:t>
        <w:tab/>
        <w:t>12</w:t>
      </w:r>
      <w:r>
        <w:rPr>
          <w:color w:val="000000"/>
          <w:spacing w:val="0"/>
          <w:w w:val="100"/>
          <w:position w:val="0"/>
        </w:rPr>
        <w:t>月，公司承建的郑州大学智慧党建平台上线运行，该平台的有效稳定运行再次验证了榕基智慧党建一体化平 台解决方案先进性、可靠性与实用性。</w:t>
      </w:r>
    </w:p>
    <w:p>
      <w:pPr>
        <w:pStyle w:val="Style36"/>
        <w:keepNext w:val="0"/>
        <w:keepLines w:val="0"/>
        <w:widowControl w:val="0"/>
        <w:shd w:val="clear" w:color="auto" w:fill="auto"/>
        <w:tabs>
          <w:tab w:pos="992" w:val="left"/>
        </w:tabs>
        <w:bidi w:val="0"/>
        <w:spacing w:before="0" w:after="0" w:line="319" w:lineRule="exact"/>
        <w:ind w:left="0" w:right="0"/>
        <w:jc w:val="left"/>
      </w:pPr>
      <w:bookmarkStart w:id="129" w:name="bookmark129"/>
      <w:r>
        <w:rPr>
          <w:color w:val="000000"/>
          <w:spacing w:val="0"/>
          <w:w w:val="100"/>
          <w:position w:val="0"/>
          <w:sz w:val="18"/>
          <w:szCs w:val="18"/>
        </w:rPr>
        <w:t>（</w:t>
      </w:r>
      <w:bookmarkEnd w:id="129"/>
      <w:r>
        <w:rPr>
          <w:color w:val="000000"/>
          <w:spacing w:val="0"/>
          <w:w w:val="100"/>
          <w:position w:val="0"/>
          <w:sz w:val="18"/>
          <w:szCs w:val="18"/>
        </w:rPr>
        <w:t>17）</w:t>
        <w:tab/>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月，承建福建法院民法典实施配套各业务系统升级改造项目，依托云运算、大数据、人工智能、物联 网、区块链等新兴技术，该项目建设将促进福建法院工作向服务便捷化、审判智能化、执行高效化、管理科学化、公开常 态化、决策精准化方向发展。</w:t>
      </w:r>
    </w:p>
    <w:p>
      <w:pPr>
        <w:pStyle w:val="Style36"/>
        <w:keepNext w:val="0"/>
        <w:keepLines w:val="0"/>
        <w:widowControl w:val="0"/>
        <w:shd w:val="clear" w:color="auto" w:fill="auto"/>
        <w:tabs>
          <w:tab w:pos="982" w:val="left"/>
        </w:tabs>
        <w:bidi w:val="0"/>
        <w:spacing w:before="0" w:after="0" w:line="322" w:lineRule="exact"/>
        <w:ind w:left="0" w:right="0"/>
        <w:jc w:val="left"/>
      </w:pPr>
      <w:bookmarkStart w:id="130" w:name="bookmark130"/>
      <w:r>
        <w:rPr>
          <w:color w:val="000000"/>
          <w:spacing w:val="0"/>
          <w:w w:val="100"/>
          <w:position w:val="0"/>
          <w:sz w:val="18"/>
          <w:szCs w:val="18"/>
        </w:rPr>
        <w:t>（</w:t>
      </w:r>
      <w:bookmarkEnd w:id="130"/>
      <w:r>
        <w:rPr>
          <w:color w:val="000000"/>
          <w:spacing w:val="0"/>
          <w:w w:val="100"/>
          <w:position w:val="0"/>
          <w:sz w:val="18"/>
          <w:szCs w:val="18"/>
        </w:rPr>
        <w:t>18）</w:t>
        <w:tab/>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月，承建的河南省信用信息平台荣获全国省级平台第二名，被授予“全国信用信息共享平台和信用门户 网站一体化建设示范性平台网站”称号，标志着公司在信用体系建设和信用大数据融合试点建设取得了阶段性成果。</w:t>
      </w:r>
    </w:p>
    <w:p>
      <w:pPr>
        <w:pStyle w:val="Style36"/>
        <w:keepNext w:val="0"/>
        <w:keepLines w:val="0"/>
        <w:widowControl w:val="0"/>
        <w:shd w:val="clear" w:color="auto" w:fill="auto"/>
        <w:tabs>
          <w:tab w:pos="992" w:val="left"/>
        </w:tabs>
        <w:bidi w:val="0"/>
        <w:spacing w:before="0" w:after="0" w:line="322" w:lineRule="exact"/>
        <w:ind w:left="0" w:right="0"/>
        <w:jc w:val="left"/>
      </w:pPr>
      <w:bookmarkStart w:id="131" w:name="bookmark131"/>
      <w:r>
        <w:rPr>
          <w:color w:val="000000"/>
          <w:spacing w:val="0"/>
          <w:w w:val="100"/>
          <w:position w:val="0"/>
          <w:sz w:val="18"/>
          <w:szCs w:val="18"/>
        </w:rPr>
        <w:t>（</w:t>
      </w:r>
      <w:bookmarkEnd w:id="131"/>
      <w:r>
        <w:rPr>
          <w:color w:val="000000"/>
          <w:spacing w:val="0"/>
          <w:w w:val="100"/>
          <w:position w:val="0"/>
          <w:sz w:val="18"/>
          <w:szCs w:val="18"/>
        </w:rPr>
        <w:t>19）</w:t>
        <w:tab/>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月，公司全资子公司上海榕基软件开发有限公司被上海市科委、财政局、国税局联合评定为“上海市高 新技术企业”；并通过松江区经委、上海市经委评定，分别入选松江区及上海市“专精特新”中小企业名录。</w:t>
      </w:r>
    </w:p>
    <w:p>
      <w:pPr>
        <w:pStyle w:val="Style36"/>
        <w:keepNext w:val="0"/>
        <w:keepLines w:val="0"/>
        <w:widowControl w:val="0"/>
        <w:shd w:val="clear" w:color="auto" w:fill="auto"/>
        <w:tabs>
          <w:tab w:pos="992" w:val="left"/>
        </w:tabs>
        <w:bidi w:val="0"/>
        <w:spacing w:before="0" w:after="380" w:line="326" w:lineRule="exact"/>
        <w:ind w:left="0" w:right="0"/>
        <w:jc w:val="left"/>
      </w:pPr>
      <w:bookmarkStart w:id="132" w:name="bookmark132"/>
      <w:r>
        <w:rPr>
          <w:color w:val="000000"/>
          <w:spacing w:val="0"/>
          <w:w w:val="100"/>
          <w:position w:val="0"/>
          <w:sz w:val="18"/>
          <w:szCs w:val="18"/>
        </w:rPr>
        <w:t>（</w:t>
      </w:r>
      <w:bookmarkEnd w:id="132"/>
      <w:r>
        <w:rPr>
          <w:color w:val="000000"/>
          <w:spacing w:val="0"/>
          <w:w w:val="100"/>
          <w:position w:val="0"/>
          <w:sz w:val="18"/>
          <w:szCs w:val="18"/>
        </w:rPr>
        <w:t>20）</w:t>
        <w:tab/>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月，公司建设的“福州市智能视频监控公共安全行业技术创新中心”成功入选</w:t>
      </w:r>
      <w:r>
        <w:rPr>
          <w:color w:val="000000"/>
          <w:spacing w:val="0"/>
          <w:w w:val="100"/>
          <w:position w:val="0"/>
          <w:sz w:val="18"/>
          <w:szCs w:val="18"/>
        </w:rPr>
        <w:t>“2021</w:t>
      </w:r>
      <w:r>
        <w:rPr>
          <w:color w:val="000000"/>
          <w:spacing w:val="0"/>
          <w:w w:val="100"/>
          <w:position w:val="0"/>
        </w:rPr>
        <w:t>年度福州市行业技 术创新中心”名单。</w:t>
      </w:r>
    </w:p>
    <w:p>
      <w:pPr>
        <w:pStyle w:val="Style32"/>
        <w:keepNext/>
        <w:keepLines/>
        <w:widowControl w:val="0"/>
        <w:shd w:val="clear" w:color="auto" w:fill="auto"/>
        <w:bidi w:val="0"/>
        <w:spacing w:before="0" w:line="240" w:lineRule="auto"/>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二</w:t>
      </w:r>
      <w:bookmarkEnd w:id="135"/>
      <w:r>
        <w:rPr>
          <w:color w:val="000000"/>
          <w:spacing w:val="0"/>
          <w:w w:val="100"/>
          <w:position w:val="0"/>
        </w:rPr>
        <w:t>、主营业务分析</w:t>
      </w:r>
      <w:bookmarkEnd w:id="133"/>
      <w:bookmarkEnd w:id="134"/>
      <w:bookmarkEnd w:id="136"/>
    </w:p>
    <w:p>
      <w:pPr>
        <w:pStyle w:val="Style43"/>
        <w:keepNext/>
        <w:keepLines/>
        <w:widowControl w:val="0"/>
        <w:shd w:val="clear" w:color="auto" w:fill="auto"/>
        <w:tabs>
          <w:tab w:pos="368" w:val="left"/>
        </w:tabs>
        <w:bidi w:val="0"/>
        <w:spacing w:before="0" w:after="240" w:line="240" w:lineRule="auto"/>
        <w:ind w:left="0" w:right="0" w:firstLine="0"/>
        <w:jc w:val="both"/>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1</w:t>
      </w:r>
      <w:bookmarkEnd w:id="139"/>
      <w:r>
        <w:rPr>
          <w:color w:val="000000"/>
          <w:spacing w:val="0"/>
          <w:w w:val="100"/>
          <w:position w:val="0"/>
        </w:rPr>
        <w:t>、</w:t>
        <w:tab/>
        <w:t>概述</w:t>
      </w:r>
      <w:bookmarkEnd w:id="137"/>
      <w:bookmarkEnd w:id="138"/>
      <w:bookmarkEnd w:id="140"/>
    </w:p>
    <w:p>
      <w:pPr>
        <w:pStyle w:val="Style36"/>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43"/>
        <w:keepNext/>
        <w:keepLines/>
        <w:widowControl w:val="0"/>
        <w:shd w:val="clear" w:color="auto" w:fill="auto"/>
        <w:tabs>
          <w:tab w:pos="378" w:val="left"/>
        </w:tabs>
        <w:bidi w:val="0"/>
        <w:spacing w:before="0" w:after="380" w:line="240" w:lineRule="auto"/>
        <w:ind w:left="0" w:right="0" w:firstLine="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2</w:t>
      </w:r>
      <w:bookmarkEnd w:id="143"/>
      <w:r>
        <w:rPr>
          <w:color w:val="000000"/>
          <w:spacing w:val="0"/>
          <w:w w:val="100"/>
          <w:position w:val="0"/>
        </w:rPr>
        <w:t>、</w:t>
        <w:tab/>
        <w:t>收入与成本</w:t>
      </w:r>
      <w:bookmarkEnd w:id="141"/>
      <w:bookmarkEnd w:id="142"/>
      <w:bookmarkEnd w:id="144"/>
    </w:p>
    <w:p>
      <w:pPr>
        <w:pStyle w:val="Style43"/>
        <w:keepNext/>
        <w:keepLines/>
        <w:widowControl w:val="0"/>
        <w:shd w:val="clear" w:color="auto" w:fill="auto"/>
        <w:bidi w:val="0"/>
        <w:spacing w:before="0" w:after="380" w:line="240" w:lineRule="auto"/>
        <w:ind w:left="0" w:right="0" w:firstLine="0"/>
        <w:jc w:val="both"/>
      </w:pPr>
      <w:bookmarkStart w:id="141" w:name="bookmark141"/>
      <w:bookmarkStart w:id="142" w:name="bookmark142"/>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41"/>
      <w:bookmarkEnd w:id="142"/>
      <w:bookmarkEnd w:id="1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88"/>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730,475,517.25</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727,322,833.38</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702,712,224.02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722,108,166.60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园区开发与运营行业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27,763,293.23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5,214,666.78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432.41%</w:t>
            </w:r>
          </w:p>
        </w:tc>
      </w:tr>
      <w:tr>
        <w:trPr>
          <w:trHeight w:val="398"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378,187,630.99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51.77%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372,422,962.14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软件产品及服务收入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324,524,593.03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44.43%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349,685,204.46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48.08%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园区开发与运营收入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27,763,293.23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5,214,666.78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432.41%</w:t>
            </w:r>
          </w:p>
        </w:tc>
      </w:tr>
      <w:tr>
        <w:trPr>
          <w:trHeight w:val="403"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59,655,775.37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84,763,384.06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w:t>
            </w:r>
          </w:p>
        </w:tc>
      </w:tr>
    </w:tbl>
    <w:p>
      <w:pPr>
        <w:spacing w:lineRule="exact" w:line="1"/>
        <w:rPr>
          <w:sz w:val="2"/>
          <w:szCs w:val="2"/>
        </w:rPr>
      </w:pPr>
      <w:r>
        <w:br w:type="page"/>
      </w:r>
    </w:p>
    <w:tbl>
      <w:tblPr>
        <w:tblOverlap w:val="never"/>
        <w:jc w:val="center"/>
        <w:tblLayout w:type="fixed"/>
      </w:tblPr>
      <w:tblGrid>
        <w:gridCol w:w="1709"/>
        <w:gridCol w:w="1488"/>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150,126,788.28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211,357,321.51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303,182,842.49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314,057,250.79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141,614,692.54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90,079,940.80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75,895,418.57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27,064,936.22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4"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78,016,294.6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175,093,677.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163,413,038.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313,952,506.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142,487,194.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176,542,703.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123,298,561.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284,994,374.</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44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19,164,310.5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14,475,452.1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23,857,164.9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14,574,616.4</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4,977,120.74</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4,344,170.21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25,920,114.4</w:t>
            </w:r>
          </w:p>
        </w:tc>
      </w:tr>
      <w:tr>
        <w:trPr>
          <w:trHeight w:val="27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7,898,297.65</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说明经营季节性（或周期性）发生的原因及波动风险</w:t>
      </w:r>
    </w:p>
    <w:p>
      <w:pPr>
        <w:pStyle w:val="Style3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3"/>
        <w:keepNext/>
        <w:keepLines/>
        <w:widowControl w:val="0"/>
        <w:shd w:val="clear" w:color="auto" w:fill="auto"/>
        <w:bidi w:val="0"/>
        <w:spacing w:before="0" w:after="40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7"/>
      <w:bookmarkEnd w:id="148"/>
      <w:bookmarkEnd w:id="150"/>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702,712,224.02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443,641,943.79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378,187,630.99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323,813,679.43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软件产品及服务 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324,524,593.03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119,828,264.36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59,655,775.37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21,101,746.78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150,126,788.28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91,970,039.33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303,182,842.49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193,938,662.56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141,614,692.54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95,581,806.91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75,895,418.57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59,269,119.06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w:t>
            </w:r>
          </w:p>
        </w:tc>
      </w:tr>
    </w:tbl>
    <w:p>
      <w:pPr>
        <w:pStyle w:val="Style36"/>
        <w:keepNext w:val="0"/>
        <w:keepLines w:val="0"/>
        <w:widowControl w:val="0"/>
        <w:shd w:val="clear" w:color="auto" w:fill="auto"/>
        <w:bidi w:val="0"/>
        <w:spacing w:before="0" w:after="14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43"/>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w:t>
      </w:r>
      <w:bookmarkEnd w:id="153"/>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51"/>
      <w:bookmarkEnd w:id="152"/>
      <w:bookmarkEnd w:id="154"/>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378,187,630.99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372,422,962.14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154,296,605.9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117,866,473.85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库存较上年期末增加，主要是报告期未完工集成项目增加导致。</w:t>
      </w:r>
    </w:p>
    <w:p>
      <w:pPr>
        <w:pStyle w:val="Style43"/>
        <w:keepNext/>
        <w:keepLines/>
        <w:widowControl w:val="0"/>
        <w:shd w:val="clear" w:color="auto" w:fill="auto"/>
        <w:tabs>
          <w:tab w:pos="493" w:val="left"/>
        </w:tabs>
        <w:bidi w:val="0"/>
        <w:spacing w:before="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55"/>
      <w:bookmarkEnd w:id="156"/>
      <w:bookmarkEnd w:id="158"/>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9"/>
      <w:bookmarkEnd w:id="160"/>
      <w:bookmarkEnd w:id="162"/>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外购设备及外购 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303,813,679.43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294,262,961.39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外包服务及其他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139,828,264.36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157,382,240.68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园区开发与运营 行业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折旧、开发成本 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18,219,430.85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4,667,103.96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290.38%</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323,813,679.43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316,947,303.07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软件产品及服务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119,828,264.36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25.94%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134,697,899.00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园区开发与运营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18,219,430.85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4,667,103.96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290.38%</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w:t>
      </w:r>
      <w:bookmarkEnd w:id="16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63"/>
      <w:bookmarkEnd w:id="164"/>
      <w:bookmarkEnd w:id="166"/>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43"/>
        <w:keepNext/>
        <w:keepLines/>
        <w:widowControl w:val="0"/>
        <w:shd w:val="clear" w:color="auto" w:fill="auto"/>
        <w:tabs>
          <w:tab w:pos="493" w:val="left"/>
        </w:tabs>
        <w:bidi w:val="0"/>
        <w:spacing w:before="0" w:after="38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w:t>
      </w:r>
      <w:bookmarkEnd w:id="16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7"/>
      <w:bookmarkEnd w:id="168"/>
      <w:bookmarkEnd w:id="170"/>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38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w:t>
      </w:r>
      <w:bookmarkEnd w:id="17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71"/>
      <w:bookmarkEnd w:id="172"/>
      <w:bookmarkEnd w:id="174"/>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190,294,439.49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w:t>
            </w: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298"/>
        <w:gridCol w:w="2323"/>
        <w:gridCol w:w="315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66,013,274.34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9.04%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43,946,902.65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6.02%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36,206,467.04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22,491,795.46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21,636,000.00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2.96%</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190,294,439.49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126,395,292.19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48,896,283.19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25,244,652.29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4.05%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18,348,623.85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17,290,249.06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16,615,483.81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126,395,292.19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3"/>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、费用</w:t>
      </w:r>
      <w:bookmarkEnd w:id="175"/>
      <w:bookmarkEnd w:id="176"/>
      <w:bookmarkEnd w:id="17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41,165,489.88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40,293,457.57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83,413,266.70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93,726,915.81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主要是职工薪酬、差旅费等较上年 同期减少较多所致</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24,852,330.08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20,682,671.66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主要是短期借款利息支出增加所 致。</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104,947,275.12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102,917,280.05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28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4</w:t>
      </w:r>
      <w:bookmarkEnd w:id="181"/>
      <w:r>
        <w:rPr>
          <w:color w:val="000000"/>
          <w:spacing w:val="0"/>
          <w:w w:val="100"/>
          <w:position w:val="0"/>
        </w:rPr>
        <w:t>、研发投入</w:t>
      </w:r>
      <w:bookmarkEnd w:id="179"/>
      <w:bookmarkEnd w:id="180"/>
      <w:bookmarkEnd w:id="182"/>
    </w:p>
    <w:p>
      <w:pPr>
        <w:pStyle w:val="Style3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20" w:line="310" w:lineRule="exact"/>
        <w:ind w:left="0" w:right="0"/>
        <w:jc w:val="left"/>
      </w:pPr>
      <w:r>
        <w:rPr>
          <w:color w:val="000000"/>
          <w:spacing w:val="0"/>
          <w:w w:val="100"/>
          <w:position w:val="0"/>
        </w:rPr>
        <w:t>报告期内研发支出主要用于政务内部事项联合审批系统、便民服务大数据研判系统、移动会议智能一体化平台、榕基 微商城销售平台、外贸智能证单自助打印平台、大数据</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驾驶舱平台、智慧法院智能审判业务系统、离退休老干部服务 管理系统、榕基电子公文归档一体化平台、榕基政务数据共享利用平台、就业促进服务管理平台、繁简分流和速裁办案平 台、榕基多元化协同纠纷综合治理平台、榕基安全可靠分布式全文检索系统、榕基政务信息查询平台软件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、榕基数据 交换与共享中心系统软件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、榕基基于业务中台的最多跑一次事项联合审批系统软件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、榕基电子归档章公共技术服 务组件软件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等项目的研发，研发进展等情况详见开发支出。</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125"/>
        <w:gridCol w:w="2126"/>
        <w:gridCol w:w="2126"/>
        <w:gridCol w:w="220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43.44%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43.48%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107,835,471.49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99,227,066.98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43,011,068.80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28,244,048.90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39.89%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275"/>
        <w:gridCol w:w="1421"/>
        <w:gridCol w:w="4958"/>
        <w:gridCol w:w="931"/>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实施进度</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政务内部事项联合审批系统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4,652,467.05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本系统实现行政机关内部的跨单位联合事项办理的全业务流程 一体化，提供事项登记、事项办理、事项审批、办件跟踪等功 能，提供统一用户管理、流程引擎、自定义表单管理等支撑平 台服务，提供事项的转入、分发、反馈等接口服务。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68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便民服务大数据研判系统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4,631,850.95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通过便民服务大数据研判系统的建设，对各省直、各设区市</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12345</w:t>
            </w:r>
            <w:r>
              <w:rPr>
                <w:color w:val="000000"/>
                <w:spacing w:val="0"/>
                <w:w w:val="100"/>
                <w:position w:val="0"/>
              </w:rPr>
              <w:t>便民服务平台数据进行分析，对市民、企业的诉求进行</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bl>
    <w:p>
      <w:pPr>
        <w:spacing w:lineRule="exact" w:line="1"/>
        <w:rPr>
          <w:sz w:val="2"/>
          <w:szCs w:val="2"/>
        </w:rPr>
      </w:pPr>
      <w:r>
        <w:br w:type="page"/>
      </w:r>
    </w:p>
    <w:tbl>
      <w:tblPr>
        <w:tblOverlap w:val="never"/>
        <w:jc w:val="center"/>
        <w:tblLayout w:type="fixed"/>
      </w:tblPr>
      <w:tblGrid>
        <w:gridCol w:w="2275"/>
        <w:gridCol w:w="1421"/>
        <w:gridCol w:w="4958"/>
        <w:gridCol w:w="931"/>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更深层次的分析和挖掘，运用大数据分析技术主动整理汇聚市 民、企业关心的热点、社会舆情的焦点，深度挖掘分析事件之 间关联关系，形成辅助分析报告，为政府了解民生民意、科学 决策提供支撑。</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移动会议智能一体化平台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3,255,832.47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基于国产基础软硬件平台设计运行。该产品遵循国家规范标 准，是一个基于</w:t>
            </w:r>
            <w:r>
              <w:rPr>
                <w:rFonts w:ascii="Times New Roman" w:eastAsia="Times New Roman" w:hAnsi="Times New Roman" w:cs="Times New Roman"/>
                <w:color w:val="000000"/>
                <w:spacing w:val="0"/>
                <w:w w:val="100"/>
                <w:position w:val="0"/>
                <w:sz w:val="18"/>
                <w:szCs w:val="18"/>
              </w:rPr>
              <w:t>J2EE</w:t>
            </w:r>
            <w:r>
              <w:rPr>
                <w:color w:val="000000"/>
                <w:spacing w:val="0"/>
                <w:w w:val="100"/>
                <w:position w:val="0"/>
              </w:rPr>
              <w:t>的混合架构的智能一体化平台，由移动 端会议审批、文件同屏、移动文件安全等组件服务构成，将多 种信息化、智能化技术融入会议的各个环节，为与会各方提供 极为便捷实用的会议平台，同时也带来全新的会议体验。解决 传统的会议模式因为效率低、应变能力差、表现形式单一、设 备操作复杂、资源浪费严重以及安全保密隐患等诸多问题。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榕基微商城销售平台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3,206,238.66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榕基微商城销售平台开发完成后可实现基于互联网模式的微商 城销售平台，平台实现公众号、小程序、</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数据云中台的 互联互通和信息共享，以及实现开启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消费新 模式，通过</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化模式集中化管理运营，降低企业电商入门 门槛，助力政府、企业、商户、个体户打开新的销售渠道及走 上互联网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社群电商模式。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外贸智能证单自助打印平台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3,130,979.78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通过建立专门的外贸智能证单自助打印平台，为进出口企业、 全国消费者提供检验检疫证书自助查询与打印服务，将前检验 检疫进出口货物的纸质检验检疫证书变革为电子证书，简化检 验检疫证书制证、签发一系列流程，加快货物进出境通关效 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22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驾驶舱平台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2,996,656.32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本项目是以成型的指标体系及管理方法促进科技与业务的融 合，精准高效落地可视化展示，提供多维度的数据分析，为管 理者决策提供数据支撑。通过配置化的形式直连或采集企业内 外多种数据源，包括各类数据库、大数据平台、网络爬虫、 </w:t>
            </w:r>
            <w:r>
              <w:rPr>
                <w:rFonts w:ascii="Times New Roman" w:eastAsia="Times New Roman" w:hAnsi="Times New Roman" w:cs="Times New Roman"/>
                <w:color w:val="000000"/>
                <w:spacing w:val="0"/>
                <w:w w:val="100"/>
                <w:position w:val="0"/>
                <w:sz w:val="18"/>
                <w:szCs w:val="18"/>
              </w:rPr>
              <w:t>FTP</w:t>
            </w:r>
            <w:r>
              <w:rPr>
                <w:color w:val="000000"/>
                <w:spacing w:val="0"/>
                <w:w w:val="100"/>
                <w:position w:val="0"/>
              </w:rPr>
              <w:t>文件等资源，全方位满足</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基于全面数据的个性化业 务场景定制及管理需求，满足</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对企业指标的管控、查 询、分析等多样化场景。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352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智慧法院智能审判业务系统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2,804,178.17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系统基于人民法院信息化</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版规划而建设，采用以文书驱动 为中心设定业务模块和工作流程，从根本上改变了传统数据录 入和立案审案的工作模式。系统通过</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图文识别、语义分 析等技术实现收案、当事人自助登记、立案、分案、开庭、合 议、结案、生效、上诉和归档的整个案件审理周期全过程、全 流程辅助法官办案。系统以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信息共享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业务协同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为目标， 构建了智能、灵活的数据交换平台，支撑上下级法院、跨辖区 法院，以及法院与公安、检察院、司法行政机关等政法相关单 位之间的业务协作，实现以省为单位司法数据的汇聚、共享， 并最终实现全省法院案件数据向最高院数据平台集中汇聚，使 法院审判工作形成一个规范的、有序的、共享的整体。</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68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离退休老干部服务管理系统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2,542,110.51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为进一步落实中组部提出的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离休干部是个特殊群体，始终是 我们工作的重点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要求，坚持以人为本、服务至上的理念，结</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bl>
    <w:p>
      <w:pPr>
        <w:spacing w:lineRule="exact" w:line="1"/>
        <w:rPr>
          <w:sz w:val="2"/>
          <w:szCs w:val="2"/>
        </w:rPr>
      </w:pPr>
      <w:r>
        <w:br w:type="page"/>
      </w:r>
    </w:p>
    <w:tbl>
      <w:tblPr>
        <w:tblOverlap w:val="never"/>
        <w:jc w:val="center"/>
        <w:tblLayout w:type="fixed"/>
      </w:tblPr>
      <w:tblGrid>
        <w:gridCol w:w="2275"/>
        <w:gridCol w:w="1421"/>
        <w:gridCol w:w="4958"/>
        <w:gridCol w:w="931"/>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合现阶段离退休干部管理工作需求及发展趋势，各地老干部局 迫切需要建设一套涵盖全省离退休干部管理工作的信息化系 统，实现离退休干部管理工作的信息化应用，全面提高各级部 门的离退休干部管理工作水平及效率，通过信息化手段保障工 作的顺利开展。建设内容包括：基础档案管理、老干部慰问管 理、健康档案管理、组织生活管理、政治学习管理、困难补助 管理、养老服务管理、信访管理、政策业务管理等。</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榕基电子公文归档一体化平 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2,334,803.29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本产品提供以公文流转、归档为核心，实现了公文的收发、处 理、归档和管理的一体化电子管理平台。该一体化平台主要包 括电子公文的起草或登记，审核、会签、签发、批阅、归档等 工作以及过程的催办、反馈、查询与统计等，实现对归档电子 公文的统一收集、归档、保管、利用、移交等功能，提供用户 管理、日志管理等服务。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榕基政务数据共享利用平台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2,222,848.65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本平台将基于国产基础软硬件平台设计运行，采集原始业务数 据，并根据相关规范和业务规则对原始数据进行清洗比对，形 成标准化的整合数据库，基于整合数据库进行目录编制，提供 政务数据共享利用，将会极大推动政府部门所有横向和纵向的 政务信息资源整合共享建设。</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19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就业促进服务管理平台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2,153,183.04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本项目通过建设就业促进服务管理平台，加强部门协同事务处 理，构件高效考核体系，实现管理功能融合化，业务工作项目 化，达到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职能整合、业务磨合、工作融合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的工作效果。包括 就业补贴子系统、创业服务子系统、职业培训子系统、资金上 会子系统、失业保险子系统、统计分析子系统、调查摸底子系 统、系统管理、公共服务以及门户。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繁简分流和速裁办案平台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2,084,725.51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通过繁简分流和调解平台的建设，推进案件繁简分流机制改 革，探索案件繁简分流新机制，科学调配和高效运用审判资 源，有效实现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简案快审、繁案精审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的分流目标。通过诉讼环 节、案件类型以及涉案要素三个方面细化案件分流标准，形成 多维度的分流处理机制。</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榕基多元化协同纠纷综合治 理平台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818,791.35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本项目是基于大数据技术的司法信息汇聚、分析、展示平台。 本平台对接了法院各类业务系统，以及公安、政法委等外部单 位数据，结合文书生成技术、文字识别等技术，为用户提供全 方位的司法信息展示，也充分体现了法院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分调裁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机制改革的 建设成效。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榕基安全可靠分布式全文检 索系统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873,276.86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本项目为满足海量数据高效、精确检索和全文检索需要，基于 全国产基础软硬件平台实现安全可靠分布式全文检索系统，为 安全可靠电子政务系统提供配套服务，也可以单独与其他应用 系统集成使用。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榕基政务信息查询平台软件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1,813,371.83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榕基政务信息查询平台软件主要针对政府部门，对个人、企业 信息进行统一的管理，并实现对多个系统进行数据共享互联。</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榕基数据交换与共享中心系</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1,522,831.87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建设一套包括支持实时、全量数据归集，支持通过数据接口传 输数据交换共享系统。支持针对不同网络环境下的业务系统及</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bl>
    <w:p>
      <w:pPr>
        <w:spacing w:lineRule="exact" w:line="1"/>
        <w:rPr>
          <w:sz w:val="2"/>
          <w:szCs w:val="2"/>
        </w:rPr>
      </w:pPr>
      <w:r>
        <w:br w:type="page"/>
      </w:r>
    </w:p>
    <w:tbl>
      <w:tblPr>
        <w:tblOverlap w:val="never"/>
        <w:jc w:val="center"/>
        <w:tblLayout w:type="fixed"/>
      </w:tblPr>
      <w:tblGrid>
        <w:gridCol w:w="2275"/>
        <w:gridCol w:w="1421"/>
        <w:gridCol w:w="4958"/>
        <w:gridCol w:w="931"/>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数据系统进行数据的抽取监控，并能够在复杂网络情况下对异 构的数据源进行数据同步与集成，提供对关系型数据库、 </w:t>
            </w:r>
            <w:r>
              <w:rPr>
                <w:rFonts w:ascii="Times New Roman" w:eastAsia="Times New Roman" w:hAnsi="Times New Roman" w:cs="Times New Roman"/>
                <w:color w:val="000000"/>
                <w:spacing w:val="0"/>
                <w:w w:val="100"/>
                <w:position w:val="0"/>
                <w:sz w:val="18"/>
                <w:szCs w:val="18"/>
              </w:rPr>
              <w:t>NoSQL</w:t>
            </w:r>
            <w:r>
              <w:rPr>
                <w:color w:val="000000"/>
                <w:spacing w:val="0"/>
                <w:w w:val="100"/>
                <w:position w:val="0"/>
              </w:rPr>
              <w:t>数据库、大数据数据库等不同数据库类型的支持，支 持离线、批量、全量、增量同步。对于同步时间，可支持分 钟、小时、天、周、月、自定义的多种同步时间类型。</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榕基基于业务中台的最多跑 一次事项联合审批系统软件</w:t>
            </w:r>
          </w:p>
          <w:p>
            <w:pPr>
              <w:pStyle w:val="Style29"/>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1,373,040.87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榕基开发了基于业务中台的最多跑一次事项联合审批系统，凡 需征求业务主管单位审查意见的社会组织办事事项，均可通过 本平台进行部门间联网办理，平台目前已接入省建设厅、省卫 计委、省经信委三个业务主管部门，平台通过钉钉实现全过程 的消息自动推送，保证了联办的时效性。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r>
        <w:trPr>
          <w:trHeight w:val="134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榕基电子归档章公共技术服</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务组件软件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593,881.62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榕基电子归档章公共技术服务组件软件主要针对政府部门和企 事业单位，对政务服务网及自建审批系统办结的电子文件，进 行统一接收、整理、组件、检测，并实现前后端业务系统进行 数据交换</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bl>
    <w:p>
      <w:pPr>
        <w:pStyle w:val="Style34"/>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)公司目前资本化的研发支出项目中，项目均在研发测试阶段，公司完成该无形资产以使其能够使用或者出售在技 术上具有可行性；</w:t>
      </w:r>
    </w:p>
    <w:p>
      <w:pPr>
        <w:pStyle w:val="Style36"/>
        <w:keepNext w:val="0"/>
        <w:keepLines w:val="0"/>
        <w:widowControl w:val="0"/>
        <w:numPr>
          <w:ilvl w:val="0"/>
          <w:numId w:val="3"/>
        </w:numPr>
        <w:shd w:val="clear" w:color="auto" w:fill="auto"/>
        <w:tabs>
          <w:tab w:pos="865" w:val="left"/>
        </w:tabs>
        <w:bidi w:val="0"/>
        <w:spacing w:before="0" w:after="0" w:line="326" w:lineRule="exact"/>
        <w:ind w:left="0" w:right="0"/>
        <w:jc w:val="left"/>
      </w:pPr>
      <w:bookmarkStart w:id="183" w:name="bookmark183"/>
      <w:bookmarkEnd w:id="183"/>
      <w:r>
        <w:rPr>
          <w:color w:val="000000"/>
          <w:spacing w:val="0"/>
          <w:w w:val="100"/>
          <w:position w:val="0"/>
        </w:rPr>
        <w:t>公司所有研发支出项目均是针对特定市场需求进行相关开发，以备将来出售，具有完成该无形资产并使用或出售 的意图；</w:t>
      </w:r>
    </w:p>
    <w:p>
      <w:pPr>
        <w:pStyle w:val="Style36"/>
        <w:keepNext w:val="0"/>
        <w:keepLines w:val="0"/>
        <w:widowControl w:val="0"/>
        <w:numPr>
          <w:ilvl w:val="0"/>
          <w:numId w:val="3"/>
        </w:numPr>
        <w:shd w:val="clear" w:color="auto" w:fill="auto"/>
        <w:tabs>
          <w:tab w:pos="874" w:val="left"/>
        </w:tabs>
        <w:bidi w:val="0"/>
        <w:spacing w:before="0" w:after="0" w:line="326" w:lineRule="exact"/>
        <w:ind w:left="0" w:right="0"/>
        <w:jc w:val="left"/>
      </w:pPr>
      <w:bookmarkStart w:id="184" w:name="bookmark184"/>
      <w:bookmarkEnd w:id="184"/>
      <w:r>
        <w:rPr>
          <w:color w:val="000000"/>
          <w:spacing w:val="0"/>
          <w:w w:val="100"/>
          <w:position w:val="0"/>
        </w:rPr>
        <w:t>公司所有研发支出资本化项目均会形成测试版软件，表明公司运用该无形资产生产的产品存在市场或无形资产自 身存在市场；</w:t>
      </w:r>
    </w:p>
    <w:p>
      <w:pPr>
        <w:pStyle w:val="Style36"/>
        <w:keepNext w:val="0"/>
        <w:keepLines w:val="0"/>
        <w:widowControl w:val="0"/>
        <w:numPr>
          <w:ilvl w:val="0"/>
          <w:numId w:val="3"/>
        </w:numPr>
        <w:shd w:val="clear" w:color="auto" w:fill="auto"/>
        <w:tabs>
          <w:tab w:pos="879" w:val="left"/>
        </w:tabs>
        <w:bidi w:val="0"/>
        <w:spacing w:before="0" w:after="100" w:line="326" w:lineRule="exact"/>
        <w:ind w:left="0" w:right="0"/>
        <w:jc w:val="left"/>
      </w:pPr>
      <w:bookmarkStart w:id="185" w:name="bookmark185"/>
      <w:bookmarkEnd w:id="185"/>
      <w:r>
        <w:rPr>
          <w:color w:val="000000"/>
          <w:spacing w:val="0"/>
          <w:w w:val="100"/>
          <w:position w:val="0"/>
        </w:rPr>
        <w:t>公司掌握研发支出资本化项目的核心技术，有能力完成相关无形资产的研发，表明公司有足够的技术、财务资源 和其他资源支持，以完成该无形资产的开发，并有能力出售该无形资产；</w:t>
      </w:r>
    </w:p>
    <w:p>
      <w:pPr>
        <w:pStyle w:val="Style36"/>
        <w:keepNext w:val="0"/>
        <w:keepLines w:val="0"/>
        <w:widowControl w:val="0"/>
        <w:numPr>
          <w:ilvl w:val="0"/>
          <w:numId w:val="3"/>
        </w:numPr>
        <w:shd w:val="clear" w:color="auto" w:fill="auto"/>
        <w:tabs>
          <w:tab w:pos="803" w:val="left"/>
        </w:tabs>
        <w:bidi w:val="0"/>
        <w:spacing w:before="0" w:after="0" w:line="240" w:lineRule="auto"/>
        <w:ind w:left="0" w:right="0"/>
        <w:jc w:val="left"/>
      </w:pPr>
      <w:bookmarkStart w:id="186" w:name="bookmark186"/>
      <w:bookmarkEnd w:id="186"/>
      <w:r>
        <w:rPr>
          <w:color w:val="000000"/>
          <w:spacing w:val="0"/>
          <w:w w:val="100"/>
          <w:position w:val="0"/>
        </w:rPr>
        <w:t>公司资本化研发支出分部门按项目统计相关支出，归属于该无形资产开发阶段的支出能够可靠地计量。</w:t>
      </w:r>
    </w:p>
    <w:p>
      <w:pPr>
        <w:pStyle w:val="Style3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在电子政务领域，公司有</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多家党政机关客户，预计未来三年，公司在党政与行业信创，智慧海关与外贸企业信息 化等领域营收会保持快速增长。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年公司在信创工程、互联网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党建、司法行政以及大数据、物联网等领 域增加了研发投入，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年部分研发成果已经产生效益。</w:t>
      </w:r>
    </w:p>
    <w:p>
      <w:pPr>
        <w:pStyle w:val="Style43"/>
        <w:keepNext/>
        <w:keepLines/>
        <w:widowControl w:val="0"/>
        <w:shd w:val="clear" w:color="auto" w:fill="auto"/>
        <w:bidi w:val="0"/>
        <w:spacing w:before="0" w:after="38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5</w:t>
      </w:r>
      <w:bookmarkEnd w:id="189"/>
      <w:r>
        <w:rPr>
          <w:color w:val="000000"/>
          <w:spacing w:val="0"/>
          <w:w w:val="100"/>
          <w:position w:val="0"/>
        </w:rPr>
        <w:t>、现金流</w:t>
      </w:r>
      <w:bookmarkEnd w:id="187"/>
      <w:bookmarkEnd w:id="188"/>
      <w:bookmarkEnd w:id="19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825,747,644.46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853,149,183.94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753,523,065.83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744,905,217.61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72,224,578.63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108,243,966.33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1,270,662,439.67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1,763,802,837.22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1,269,973,567.51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1,813,513,289.50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688,872.16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-49,710,452.28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101.39%</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1,061,021,000.00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1,077,092,827.79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1,017,788,561.62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1,036,074,104.57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43,232,438.38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41,018,723.22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109,567,160.95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101,161,017.72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tabs>
          <w:tab w:pos="334" w:val="left"/>
        </w:tabs>
        <w:bidi w:val="0"/>
        <w:spacing w:before="0" w:after="120" w:line="240" w:lineRule="auto"/>
        <w:ind w:left="0" w:right="0" w:firstLine="0"/>
        <w:jc w:val="left"/>
      </w:pPr>
      <w:bookmarkStart w:id="191" w:name="bookmark191"/>
      <w:r>
        <w:rPr>
          <w:rFonts w:ascii="Times New Roman" w:eastAsia="Times New Roman" w:hAnsi="Times New Roman" w:cs="Times New Roman"/>
          <w:color w:val="000000"/>
          <w:spacing w:val="0"/>
          <w:w w:val="100"/>
          <w:position w:val="0"/>
          <w:sz w:val="18"/>
          <w:szCs w:val="18"/>
        </w:rPr>
        <w:t>1</w:t>
      </w:r>
      <w:bookmarkEnd w:id="191"/>
      <w:r>
        <w:rPr>
          <w:color w:val="000000"/>
          <w:spacing w:val="0"/>
          <w:w w:val="100"/>
          <w:position w:val="0"/>
        </w:rPr>
        <w:t>、</w:t>
        <w:tab/>
        <w:t>经营活动产生的现金流量净额较上年同期减少</w:t>
      </w:r>
      <w:r>
        <w:rPr>
          <w:rFonts w:ascii="Times New Roman" w:eastAsia="Times New Roman" w:hAnsi="Times New Roman" w:cs="Times New Roman"/>
          <w:color w:val="000000"/>
          <w:spacing w:val="0"/>
          <w:w w:val="100"/>
          <w:position w:val="0"/>
          <w:sz w:val="18"/>
          <w:szCs w:val="18"/>
        </w:rPr>
        <w:t>33.28%</w:t>
      </w:r>
      <w:r>
        <w:rPr>
          <w:color w:val="000000"/>
          <w:spacing w:val="0"/>
          <w:w w:val="100"/>
          <w:position w:val="0"/>
        </w:rPr>
        <w:t>，主要是报告期支付其他与经营活动有关的现金增加所致。</w:t>
      </w:r>
    </w:p>
    <w:p>
      <w:pPr>
        <w:pStyle w:val="Style36"/>
        <w:keepNext w:val="0"/>
        <w:keepLines w:val="0"/>
        <w:widowControl w:val="0"/>
        <w:shd w:val="clear" w:color="auto" w:fill="auto"/>
        <w:tabs>
          <w:tab w:pos="354" w:val="left"/>
        </w:tabs>
        <w:bidi w:val="0"/>
        <w:spacing w:before="0" w:after="120" w:line="240" w:lineRule="auto"/>
        <w:ind w:left="0" w:right="0" w:firstLine="0"/>
        <w:jc w:val="left"/>
      </w:pPr>
      <w:bookmarkStart w:id="192" w:name="bookmark192"/>
      <w:r>
        <w:rPr>
          <w:rFonts w:ascii="Times New Roman" w:eastAsia="Times New Roman" w:hAnsi="Times New Roman" w:cs="Times New Roman"/>
          <w:color w:val="000000"/>
          <w:spacing w:val="0"/>
          <w:w w:val="100"/>
          <w:position w:val="0"/>
          <w:sz w:val="18"/>
          <w:szCs w:val="18"/>
        </w:rPr>
        <w:t>2</w:t>
      </w:r>
      <w:bookmarkEnd w:id="192"/>
      <w:r>
        <w:rPr>
          <w:color w:val="000000"/>
          <w:spacing w:val="0"/>
          <w:w w:val="100"/>
          <w:position w:val="0"/>
        </w:rPr>
        <w:t>、</w:t>
        <w:tab/>
        <w:t>投资活动产生的现金流量净额较上年同期增加</w:t>
      </w:r>
      <w:r>
        <w:rPr>
          <w:rFonts w:ascii="Times New Roman" w:eastAsia="Times New Roman" w:hAnsi="Times New Roman" w:cs="Times New Roman"/>
          <w:color w:val="000000"/>
          <w:spacing w:val="0"/>
          <w:w w:val="100"/>
          <w:position w:val="0"/>
          <w:sz w:val="18"/>
          <w:szCs w:val="18"/>
        </w:rPr>
        <w:t>101.39%</w:t>
      </w:r>
      <w:r>
        <w:rPr>
          <w:color w:val="000000"/>
          <w:spacing w:val="0"/>
          <w:w w:val="100"/>
          <w:position w:val="0"/>
        </w:rPr>
        <w:t>，主要是报告期理财产品到期赎回金额增加所致。</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因本报告期无形资产摊销、利息支出金额较大导致经营活动产生的现金净流量与净利润存在重大差异</w:t>
      </w:r>
    </w:p>
    <w:p>
      <w:pPr>
        <w:pStyle w:val="Style32"/>
        <w:keepNext/>
        <w:keepLines/>
        <w:widowControl w:val="0"/>
        <w:shd w:val="clear" w:color="auto" w:fill="auto"/>
        <w:bidi w:val="0"/>
        <w:spacing w:before="0" w:after="36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三</w:t>
      </w:r>
      <w:bookmarkEnd w:id="195"/>
      <w:r>
        <w:rPr>
          <w:color w:val="000000"/>
          <w:spacing w:val="0"/>
          <w:w w:val="100"/>
          <w:position w:val="0"/>
        </w:rPr>
        <w:t>、非主营业务分析</w:t>
      </w:r>
      <w:bookmarkEnd w:id="193"/>
      <w:bookmarkEnd w:id="194"/>
      <w:bookmarkEnd w:id="196"/>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21,404,317.57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理财收益、对联营企业的投 资收益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对联营企业的投资收益可持 续，理财收益不具有可持续 性</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-1,778,704.31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主要是存货跌价及合同资产 减值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35,309.36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主要是违约金收入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218,666.66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主要是对外捐赠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四</w:t>
      </w:r>
      <w:bookmarkEnd w:id="199"/>
      <w:r>
        <w:rPr>
          <w:color w:val="000000"/>
          <w:spacing w:val="0"/>
          <w:w w:val="100"/>
          <w:position w:val="0"/>
        </w:rPr>
        <w:t>、资产及负债状况分析</w:t>
      </w:r>
      <w:bookmarkEnd w:id="197"/>
      <w:bookmarkEnd w:id="198"/>
      <w:bookmarkEnd w:id="200"/>
    </w:p>
    <w:p>
      <w:pPr>
        <w:pStyle w:val="Style43"/>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1</w:t>
      </w:r>
      <w:bookmarkEnd w:id="203"/>
      <w:r>
        <w:rPr>
          <w:color w:val="000000"/>
          <w:spacing w:val="0"/>
          <w:w w:val="100"/>
          <w:position w:val="0"/>
        </w:rPr>
        <w:t>、资产构成重大变动情况</w:t>
      </w:r>
      <w:bookmarkEnd w:id="201"/>
      <w:bookmarkEnd w:id="202"/>
      <w:bookmarkEnd w:id="204"/>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378"/>
        <w:gridCol w:w="1325"/>
        <w:gridCol w:w="902"/>
        <w:gridCol w:w="1363"/>
        <w:gridCol w:w="893"/>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469,539,892.27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364,482,457.37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158,692,075.03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153,649,304.65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1,078,137,671.78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917,363,784.29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主要是未完工项目及园区投入增加</w:t>
            </w:r>
          </w:p>
        </w:tc>
      </w:tr>
    </w:tbl>
    <w:p>
      <w:pPr>
        <w:spacing w:lineRule="exact" w:line="1"/>
        <w:rPr>
          <w:sz w:val="2"/>
          <w:szCs w:val="2"/>
        </w:rPr>
      </w:pPr>
      <w:r>
        <w:br w:type="page"/>
      </w:r>
    </w:p>
    <w:tbl>
      <w:tblPr>
        <w:tblOverlap w:val="never"/>
        <w:jc w:val="center"/>
        <w:tblLayout w:type="fixed"/>
      </w:tblPr>
      <w:tblGrid>
        <w:gridCol w:w="1378"/>
        <w:gridCol w:w="1325"/>
        <w:gridCol w:w="902"/>
        <w:gridCol w:w="1363"/>
        <w:gridCol w:w="893"/>
        <w:gridCol w:w="797"/>
        <w:gridCol w:w="292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73,957,479.16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75,814,987.47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124,234,000.60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117,527,819.80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19,527,745.16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21,666,791.10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393,812,377.40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326,713,347.82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570,509,887.50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501,557,343.75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2</w:t>
      </w:r>
      <w:bookmarkEnd w:id="207"/>
      <w:r>
        <w:rPr>
          <w:color w:val="000000"/>
          <w:spacing w:val="0"/>
          <w:w w:val="100"/>
          <w:position w:val="0"/>
        </w:rPr>
        <w:t>、以公允价值计量的资产和负债</w:t>
      </w:r>
      <w:bookmarkEnd w:id="205"/>
      <w:bookmarkEnd w:id="206"/>
      <w:bookmarkEnd w:id="208"/>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0"/>
        <w:gridCol w:w="1094"/>
        <w:gridCol w:w="1090"/>
        <w:gridCol w:w="1090"/>
        <w:gridCol w:w="965"/>
        <w:gridCol w:w="974"/>
      </w:tblGrid>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 衍生金融资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320,820,000.0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1,021,690,000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1,255,860,000</w:t>
            </w:r>
          </w:p>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95,906,363.50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2,383,395.11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98,289,758.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416,726,363.5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2,383,395.11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1,021,690,000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1,255,860,000</w:t>
            </w:r>
          </w:p>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184,939,758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416,726,363.5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2,383,395.11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1,021,690,000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1,255,860,000</w:t>
            </w:r>
          </w:p>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184,939,758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其他变动的内容</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keepLines/>
        <w:widowControl w:val="0"/>
        <w:shd w:val="clear" w:color="auto" w:fill="auto"/>
        <w:bidi w:val="0"/>
        <w:spacing w:before="0" w:after="38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3</w:t>
      </w:r>
      <w:bookmarkEnd w:id="211"/>
      <w:r>
        <w:rPr>
          <w:color w:val="000000"/>
          <w:spacing w:val="0"/>
          <w:w w:val="100"/>
          <w:position w:val="0"/>
        </w:rPr>
        <w:t>、截至报告期末的资产权利受限情况</w:t>
      </w:r>
      <w:bookmarkEnd w:id="209"/>
      <w:bookmarkEnd w:id="210"/>
      <w:bookmarkEnd w:id="212"/>
    </w:p>
    <w:p>
      <w:pPr>
        <w:pStyle w:val="Style3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722"/>
        <w:gridCol w:w="3082"/>
        <w:gridCol w:w="3336"/>
      </w:tblGrid>
      <w:tr>
        <w:trPr>
          <w:trHeight w:val="36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118,518.75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应计利息</w:t>
            </w:r>
          </w:p>
        </w:tc>
      </w:tr>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12,508,792.14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保函保证金、履约保证金</w:t>
            </w:r>
          </w:p>
        </w:tc>
      </w:tr>
      <w:tr>
        <w:trPr>
          <w:trHeight w:val="43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2,075,121.52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银行承兑汇票保证金</w:t>
            </w: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14,702,432.41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keepLines/>
        <w:widowControl w:val="0"/>
        <w:shd w:val="clear" w:color="auto" w:fill="auto"/>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五</w:t>
      </w:r>
      <w:bookmarkEnd w:id="215"/>
      <w:r>
        <w:rPr>
          <w:color w:val="000000"/>
          <w:spacing w:val="0"/>
          <w:w w:val="100"/>
          <w:position w:val="0"/>
        </w:rPr>
        <w:t>、投资状况分析</w:t>
      </w:r>
      <w:bookmarkEnd w:id="213"/>
      <w:bookmarkEnd w:id="214"/>
      <w:bookmarkEnd w:id="216"/>
    </w:p>
    <w:p>
      <w:pPr>
        <w:pStyle w:val="Style43"/>
        <w:keepNext/>
        <w:keepLines/>
        <w:widowControl w:val="0"/>
        <w:shd w:val="clear" w:color="auto" w:fill="auto"/>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、总体情况</w:t>
      </w:r>
      <w:bookmarkEnd w:id="217"/>
      <w:bookmarkEnd w:id="218"/>
      <w:bookmarkEnd w:id="220"/>
    </w:p>
    <w:p>
      <w:pPr>
        <w:pStyle w:val="Style3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417,676.74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59" w:line="1" w:lineRule="exact"/>
      </w:pPr>
    </w:p>
    <w:p>
      <w:pPr>
        <w:pStyle w:val="Style43"/>
        <w:keepNext/>
        <w:keepLines/>
        <w:widowControl w:val="0"/>
        <w:shd w:val="clear" w:color="auto" w:fill="auto"/>
        <w:tabs>
          <w:tab w:pos="378"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w:t>
        <w:tab/>
        <w:t>报告期内获取的重大的股权投资情况</w:t>
      </w:r>
      <w:bookmarkEnd w:id="221"/>
      <w:bookmarkEnd w:id="222"/>
      <w:bookmarkEnd w:id="224"/>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378"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3</w:t>
      </w:r>
      <w:bookmarkEnd w:id="227"/>
      <w:r>
        <w:rPr>
          <w:color w:val="000000"/>
          <w:spacing w:val="0"/>
          <w:w w:val="100"/>
          <w:position w:val="0"/>
        </w:rPr>
        <w:t>、</w:t>
        <w:tab/>
        <w:t>报告期内正在进行的重大的非股权投资情况</w:t>
      </w:r>
      <w:bookmarkEnd w:id="225"/>
      <w:bookmarkEnd w:id="226"/>
      <w:bookmarkEnd w:id="228"/>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378" w:val="left"/>
        </w:tabs>
        <w:bidi w:val="0"/>
        <w:spacing w:before="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4</w:t>
      </w:r>
      <w:bookmarkEnd w:id="231"/>
      <w:r>
        <w:rPr>
          <w:color w:val="000000"/>
          <w:spacing w:val="0"/>
          <w:w w:val="100"/>
          <w:position w:val="0"/>
        </w:rPr>
        <w:t>、</w:t>
        <w:tab/>
        <w:t>金融资产投资</w:t>
      </w:r>
      <w:bookmarkEnd w:id="229"/>
      <w:bookmarkEnd w:id="230"/>
      <w:bookmarkEnd w:id="232"/>
    </w:p>
    <w:p>
      <w:pPr>
        <w:pStyle w:val="Style43"/>
        <w:keepNext/>
        <w:keepLines/>
        <w:widowControl w:val="0"/>
        <w:shd w:val="clear" w:color="auto" w:fill="auto"/>
        <w:tabs>
          <w:tab w:pos="493" w:val="left"/>
        </w:tabs>
        <w:bidi w:val="0"/>
        <w:spacing w:before="0" w:line="240" w:lineRule="auto"/>
        <w:ind w:left="0" w:right="0" w:firstLine="0"/>
        <w:jc w:val="left"/>
      </w:pPr>
      <w:bookmarkStart w:id="229" w:name="bookmark229"/>
      <w:bookmarkStart w:id="230" w:name="bookmark230"/>
      <w:bookmarkStart w:id="233" w:name="bookmark233"/>
      <w:bookmarkStart w:id="234" w:name="bookmark234"/>
      <w:r>
        <w:rPr>
          <w:color w:val="000000"/>
          <w:spacing w:val="0"/>
          <w:w w:val="100"/>
          <w:position w:val="0"/>
        </w:rPr>
        <w:t>（</w:t>
      </w:r>
      <w:bookmarkEnd w:id="233"/>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29"/>
      <w:bookmarkEnd w:id="230"/>
      <w:bookmarkEnd w:id="234"/>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3"/>
        <w:keepNext/>
        <w:keepLines/>
        <w:widowControl w:val="0"/>
        <w:shd w:val="clear" w:color="auto" w:fill="auto"/>
        <w:tabs>
          <w:tab w:pos="493" w:val="left"/>
        </w:tabs>
        <w:bidi w:val="0"/>
        <w:spacing w:before="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w:t>
      </w:r>
      <w:bookmarkEnd w:id="237"/>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35"/>
      <w:bookmarkEnd w:id="236"/>
      <w:bookmarkEnd w:id="238"/>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43"/>
        <w:keepNext/>
        <w:keepLines/>
        <w:widowControl w:val="0"/>
        <w:shd w:val="clear" w:color="auto" w:fill="auto"/>
        <w:tabs>
          <w:tab w:pos="378" w:val="left"/>
        </w:tabs>
        <w:bidi w:val="0"/>
        <w:spacing w:before="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5</w:t>
      </w:r>
      <w:bookmarkEnd w:id="241"/>
      <w:r>
        <w:rPr>
          <w:color w:val="000000"/>
          <w:spacing w:val="0"/>
          <w:w w:val="100"/>
          <w:position w:val="0"/>
        </w:rPr>
        <w:t>、</w:t>
        <w:tab/>
        <w:t>募集资金使用情况</w:t>
      </w:r>
      <w:bookmarkEnd w:id="239"/>
      <w:bookmarkEnd w:id="240"/>
      <w:bookmarkEnd w:id="242"/>
    </w:p>
    <w:p>
      <w:pPr>
        <w:pStyle w:val="Style3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both"/>
      </w:pPr>
      <w:bookmarkStart w:id="243" w:name="bookmark243"/>
      <w:bookmarkStart w:id="244" w:name="bookmark244"/>
      <w:bookmarkStart w:id="245" w:name="bookmark245"/>
      <w:bookmarkStart w:id="246" w:name="bookmark246"/>
      <w:r>
        <w:rPr>
          <w:color w:val="000000"/>
          <w:spacing w:val="0"/>
          <w:w w:val="100"/>
          <w:position w:val="0"/>
        </w:rPr>
        <w:t>（</w:t>
      </w:r>
      <w:bookmarkEnd w:id="24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43"/>
      <w:bookmarkEnd w:id="244"/>
      <w:bookmarkEnd w:id="246"/>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9"/>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尚未使用 募集资金 用途及去</w:t>
            </w:r>
          </w:p>
          <w:p>
            <w:pPr>
              <w:pStyle w:val="Style29"/>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向社会公 开发行股 份</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90,566.32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7,114.65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91,705.69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90,566.32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7,114.65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91,705.69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13,172.2</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4"/>
        <w:keepNext w:val="0"/>
        <w:keepLines w:val="0"/>
        <w:widowControl w:val="0"/>
        <w:shd w:val="clear" w:color="auto" w:fill="auto"/>
        <w:bidi w:val="0"/>
        <w:spacing w:before="0" w:after="0" w:line="240" w:lineRule="auto"/>
        <w:ind w:left="3691" w:right="0" w:firstLine="0"/>
        <w:jc w:val="left"/>
      </w:pPr>
      <w:r>
        <w:rPr>
          <w:color w:val="000000"/>
          <w:spacing w:val="0"/>
          <w:w w:val="100"/>
          <w:position w:val="0"/>
        </w:rPr>
        <w:t>募集资金总体使用情况说明</w:t>
      </w:r>
    </w:p>
    <w:p>
      <w:pPr>
        <w:widowControl w:val="0"/>
        <w:spacing w:after="59" w:line="1" w:lineRule="exact"/>
      </w:pPr>
    </w:p>
    <w:p>
      <w:pPr>
        <w:pStyle w:val="Style3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0"/>
        <w:jc w:val="left"/>
      </w:pPr>
      <w:r>
        <w:rPr>
          <w:color w:val="000000"/>
          <w:spacing w:val="0"/>
          <w:w w:val="100"/>
          <w:position w:val="0"/>
        </w:rPr>
        <w:t>公司实际募集资金净额</w:t>
      </w:r>
      <w:r>
        <w:rPr>
          <w:rFonts w:ascii="Times New Roman" w:eastAsia="Times New Roman" w:hAnsi="Times New Roman" w:cs="Times New Roman"/>
          <w:color w:val="000000"/>
          <w:spacing w:val="0"/>
          <w:w w:val="100"/>
          <w:position w:val="0"/>
          <w:sz w:val="18"/>
          <w:szCs w:val="18"/>
        </w:rPr>
        <w:t>90,566.32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sz w:val="18"/>
          <w:szCs w:val="18"/>
        </w:rPr>
        <w:t>3,885.65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年度使用募集资金总额为 </w:t>
      </w:r>
      <w:r>
        <w:rPr>
          <w:rFonts w:ascii="Times New Roman" w:eastAsia="Times New Roman" w:hAnsi="Times New Roman" w:cs="Times New Roman"/>
          <w:color w:val="000000"/>
          <w:spacing w:val="0"/>
          <w:w w:val="100"/>
          <w:position w:val="0"/>
          <w:sz w:val="18"/>
          <w:szCs w:val="18"/>
        </w:rPr>
        <w:t>9,734.67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sz w:val="18"/>
          <w:szCs w:val="18"/>
        </w:rPr>
        <w:t>15,939.63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sz w:val="18"/>
          <w:szCs w:val="18"/>
        </w:rPr>
        <w:t>7,976.94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 使用募集资金总额为</w:t>
      </w:r>
      <w:r>
        <w:rPr>
          <w:rFonts w:ascii="Times New Roman" w:eastAsia="Times New Roman" w:hAnsi="Times New Roman" w:cs="Times New Roman"/>
          <w:color w:val="000000"/>
          <w:spacing w:val="0"/>
          <w:w w:val="100"/>
          <w:position w:val="0"/>
          <w:sz w:val="18"/>
          <w:szCs w:val="18"/>
        </w:rPr>
        <w:t>9,698.53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sz w:val="18"/>
          <w:szCs w:val="18"/>
        </w:rPr>
        <w:t>6,958.79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年度使用募集资金总额为 </w:t>
      </w:r>
      <w:r>
        <w:rPr>
          <w:rFonts w:ascii="Times New Roman" w:eastAsia="Times New Roman" w:hAnsi="Times New Roman" w:cs="Times New Roman"/>
          <w:color w:val="000000"/>
          <w:spacing w:val="0"/>
          <w:w w:val="100"/>
          <w:position w:val="0"/>
          <w:sz w:val="18"/>
          <w:szCs w:val="18"/>
        </w:rPr>
        <w:t>1,485.82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sz w:val="18"/>
          <w:szCs w:val="18"/>
        </w:rPr>
        <w:t>16,309.17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sz w:val="18"/>
          <w:szCs w:val="18"/>
        </w:rPr>
        <w:t>2,891.77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 使用募集资金</w:t>
      </w:r>
      <w:r>
        <w:rPr>
          <w:rFonts w:ascii="Times New Roman" w:eastAsia="Times New Roman" w:hAnsi="Times New Roman" w:cs="Times New Roman"/>
          <w:color w:val="000000"/>
          <w:spacing w:val="0"/>
          <w:w w:val="100"/>
          <w:position w:val="0"/>
          <w:sz w:val="18"/>
          <w:szCs w:val="18"/>
        </w:rPr>
        <w:t>9,710.07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年度使用募集资金</w:t>
      </w:r>
      <w:r>
        <w:rPr>
          <w:rFonts w:ascii="Times New Roman" w:eastAsia="Times New Roman" w:hAnsi="Times New Roman" w:cs="Times New Roman"/>
          <w:color w:val="000000"/>
          <w:spacing w:val="0"/>
          <w:w w:val="100"/>
          <w:position w:val="0"/>
          <w:sz w:val="18"/>
          <w:szCs w:val="18"/>
        </w:rPr>
        <w:t>7,114.65</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日募集资金累计投入 </w:t>
      </w:r>
      <w:r>
        <w:rPr>
          <w:rFonts w:ascii="Times New Roman" w:eastAsia="Times New Roman" w:hAnsi="Times New Roman" w:cs="Times New Roman"/>
          <w:color w:val="000000"/>
          <w:spacing w:val="0"/>
          <w:w w:val="100"/>
          <w:position w:val="0"/>
          <w:sz w:val="18"/>
          <w:szCs w:val="18"/>
        </w:rPr>
        <w:t>91,705.69</w:t>
      </w:r>
      <w:r>
        <w:rPr>
          <w:color w:val="000000"/>
          <w:spacing w:val="0"/>
          <w:w w:val="100"/>
          <w:position w:val="0"/>
        </w:rPr>
        <w:t>万元，尚未使用的金额为</w:t>
      </w:r>
      <w:r>
        <w:rPr>
          <w:rFonts w:ascii="Times New Roman" w:eastAsia="Times New Roman" w:hAnsi="Times New Roman" w:cs="Times New Roman"/>
          <w:color w:val="000000"/>
          <w:spacing w:val="0"/>
          <w:w w:val="100"/>
          <w:position w:val="0"/>
          <w:sz w:val="18"/>
          <w:szCs w:val="18"/>
        </w:rPr>
        <w:t>13,172.20</w:t>
      </w:r>
      <w:r>
        <w:rPr>
          <w:color w:val="000000"/>
          <w:spacing w:val="0"/>
          <w:w w:val="100"/>
          <w:position w:val="0"/>
        </w:rPr>
        <w:t>万元。</w:t>
      </w:r>
    </w:p>
    <w:p>
      <w:pPr>
        <w:pStyle w:val="Style43"/>
        <w:keepNext/>
        <w:keepLines/>
        <w:widowControl w:val="0"/>
        <w:numPr>
          <w:ilvl w:val="0"/>
          <w:numId w:val="5"/>
        </w:numPr>
        <w:shd w:val="clear" w:color="auto" w:fill="auto"/>
        <w:bidi w:val="0"/>
        <w:spacing w:before="0" w:after="380" w:line="240" w:lineRule="auto"/>
        <w:ind w:left="0" w:right="0" w:firstLine="0"/>
        <w:jc w:val="left"/>
      </w:pPr>
      <w:bookmarkStart w:id="247" w:name="bookmark247"/>
      <w:bookmarkStart w:id="248" w:name="bookmark248"/>
      <w:bookmarkStart w:id="249" w:name="bookmark249"/>
      <w:bookmarkStart w:id="250" w:name="bookmark250"/>
      <w:bookmarkEnd w:id="249"/>
      <w:r>
        <w:rPr>
          <w:color w:val="000000"/>
          <w:spacing w:val="0"/>
          <w:w w:val="100"/>
          <w:position w:val="0"/>
        </w:rPr>
        <w:t>募集资金承诺项目情况</w:t>
      </w:r>
      <w:bookmarkEnd w:id="247"/>
      <w:bookmarkEnd w:id="248"/>
      <w:bookmarkEnd w:id="250"/>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82"/>
        <w:gridCol w:w="778"/>
        <w:gridCol w:w="782"/>
        <w:gridCol w:w="778"/>
        <w:gridCol w:w="778"/>
        <w:gridCol w:w="782"/>
        <w:gridCol w:w="778"/>
        <w:gridCol w:w="782"/>
        <w:gridCol w:w="778"/>
        <w:gridCol w:w="792"/>
      </w:tblGrid>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截至期末 投资进度</w:t>
            </w:r>
          </w:p>
          <w:p>
            <w:pPr>
              <w:pStyle w:val="Style2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项目可行 性是否发 生重大变</w:t>
            </w:r>
          </w:p>
          <w:p>
            <w:pPr>
              <w:pStyle w:val="Style29"/>
              <w:keepNext w:val="0"/>
              <w:keepLines w:val="0"/>
              <w:widowControl w:val="0"/>
              <w:shd w:val="clear" w:color="auto" w:fill="auto"/>
              <w:bidi w:val="0"/>
              <w:spacing w:before="0" w:after="0" w:line="307"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、新一代电子政务应 用平台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8,224.43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8,224.43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8,935.61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、信息安全风险综合 管理系统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7,799.08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7,799.08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7,980.17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、质检三电工程企业 端软件运维服务平台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10,903.06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10,903.06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11,957.53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、协同管理软件平台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8,938.89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8,938.89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、技术研发与创新中 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4,288.62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4,288.62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4,357.22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40,154.08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40,154.08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42,266.81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4,056.14</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、投资设立子公司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12,647.97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、永久性补充流动资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、榕基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商务平</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6"/>
        <w:gridCol w:w="782"/>
        <w:gridCol w:w="7027"/>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体验馆项目</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1673" w:val="left"/>
                <w:tab w:pos="3233" w:val="left"/>
                <w:tab w:pos="4001" w:val="left"/>
              </w:tabs>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1,689.23</w:t>
              <w:tab/>
              <w:t>1,689.23</w:t>
              <w:tab/>
              <w:t>1,689.23</w:t>
              <w:tab/>
            </w: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tabs>
                <w:tab w:pos="805" w:val="left"/>
                <w:tab w:pos="2451" w:val="left"/>
                <w:tab w:pos="4218" w:val="left"/>
                <w:tab w:pos="5000" w:val="left"/>
                <w:tab w:pos="6560" w:val="left"/>
                <w:tab w:pos="7338" w:val="left"/>
              </w:tabs>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tab/>
              <w:t>51,689.23 55,789.23</w:t>
              <w:tab/>
              <w:t>4,114.65 49,438.88</w:t>
              <w:tab/>
              <w:t>--</w:t>
              <w:tab/>
              <w:t>--</w:t>
              <w:tab/>
              <w:t>--</w:t>
              <w:tab/>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tabs>
                <w:tab w:pos="805" w:val="left"/>
                <w:tab w:pos="2456" w:val="left"/>
                <w:tab w:pos="4218" w:val="left"/>
                <w:tab w:pos="5000" w:val="left"/>
                <w:tab w:pos="5566" w:val="left"/>
                <w:tab w:pos="6560" w:val="left"/>
                <w:tab w:pos="7338" w:val="left"/>
              </w:tabs>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tab/>
              <w:t>91,843.31 95,943.31</w:t>
              <w:tab/>
              <w:t>7,114.65 91,705.69</w:t>
              <w:tab/>
              <w:t>--</w:t>
              <w:tab/>
              <w:t>--</w:t>
              <w:tab/>
              <w:t>4,056.14</w:t>
              <w:tab/>
              <w:t>--</w:t>
              <w:tab/>
              <w:t>--</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为了应对市场需求发生变化和技术发展需要，满足客户需求，公司继续加大研发投入促进产品升级 换代，适当延长研发期间；同时募集资金投资项目尚未整体达产，其规模效应还未充分发挥，虽然 销售出现了一定程度增长，却未完全达到预期。基于上述原因，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年度募集资金投资项目形成 的现有效益未能完全达到招股说明书承诺的项目整体完成后的预期收益。</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tc>
        <w:tc>
          <w:tcPr>
            <w:tcBorders>
              <w:top w:val="single" w:sz="4"/>
              <w:righ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北京中榕基信息技术有限公司使用超募资金支付榕基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易贸</w:t>
            </w:r>
            <w:r>
              <w:rPr>
                <w:color w:val="000000"/>
                <w:spacing w:val="0"/>
                <w:w w:val="100"/>
                <w:position w:val="0"/>
              </w:rPr>
              <w:t>''</w:t>
            </w:r>
            <w:r>
              <w:rPr>
                <w:color w:val="000000"/>
                <w:spacing w:val="0"/>
                <w:w w:val="100"/>
                <w:position w:val="0"/>
              </w:rPr>
              <w:t>商务平台项目支出</w:t>
            </w:r>
            <w:r>
              <w:rPr>
                <w:rFonts w:ascii="Times New Roman" w:eastAsia="Times New Roman" w:hAnsi="Times New Roman" w:cs="Times New Roman"/>
                <w:color w:val="000000"/>
                <w:spacing w:val="0"/>
                <w:w w:val="100"/>
                <w:position w:val="0"/>
                <w:sz w:val="18"/>
                <w:szCs w:val="18"/>
              </w:rPr>
              <w:t>14.65</w:t>
            </w:r>
            <w:r>
              <w:rPr>
                <w:color w:val="000000"/>
                <w:spacing w:val="0"/>
                <w:w w:val="100"/>
                <w:position w:val="0"/>
              </w:rPr>
              <w:t>万</w:t>
            </w: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期投入及置换情况</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57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年，福建榕基软件股份有限公司与全资子公司福建榕基软件工程有限公司合作建房。福 建榕基软件股份有限公司根据募集资金专户结存情况，统一调配，从两个募集资金账户动用 </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万元，分别投入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个募集资金投资项目中，具体如下：（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）中国农业银行福州冶山支行动 用</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万元投入新一代电子政务应用平台；（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）中国民生银行福州东街支行动用</w:t>
            </w:r>
            <w:r>
              <w:rPr>
                <w:rFonts w:ascii="Times New Roman" w:eastAsia="Times New Roman" w:hAnsi="Times New Roman" w:cs="Times New Roman"/>
                <w:color w:val="000000"/>
                <w:spacing w:val="0"/>
                <w:w w:val="100"/>
                <w:position w:val="0"/>
                <w:sz w:val="18"/>
                <w:szCs w:val="18"/>
              </w:rPr>
              <w:t>2,300.00</w:t>
            </w:r>
            <w:r>
              <w:rPr>
                <w:color w:val="000000"/>
                <w:spacing w:val="0"/>
                <w:w w:val="100"/>
                <w:position w:val="0"/>
              </w:rPr>
              <w:t>万 元，其中</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万元投入新一代电子政务应用平台，</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万元投入信息安全风险综合管理系 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1,100.00</w:t>
            </w:r>
            <w:r>
              <w:rPr>
                <w:color w:val="000000"/>
                <w:spacing w:val="0"/>
                <w:w w:val="100"/>
                <w:position w:val="0"/>
              </w:rPr>
              <w:t>万元投入质检三电工程企业端软件运维服务平台，</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万元投入协同管理软件平 台，</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万元投入技术研发与创新中心。</w:t>
            </w:r>
          </w:p>
          <w:p>
            <w:pPr>
              <w:pStyle w:val="Style29"/>
              <w:keepNext w:val="0"/>
              <w:keepLines w:val="0"/>
              <w:widowControl w:val="0"/>
              <w:shd w:val="clear" w:color="auto" w:fill="auto"/>
              <w:bidi w:val="0"/>
              <w:spacing w:before="0" w:after="0" w:line="310" w:lineRule="exact"/>
              <w:ind w:left="0" w:right="0"/>
              <w:jc w:val="left"/>
            </w:pPr>
            <w:r>
              <w:rPr>
                <w:color w:val="000000"/>
                <w:spacing w:val="0"/>
                <w:w w:val="100"/>
                <w:position w:val="0"/>
              </w:rPr>
              <w:t>鉴于公司募投项目已基本执行完毕，为满足公司对营运资金的需求，提高募集资金使用效率， 降低财务费用，公司第五届董事会第二次会议以及公司第五届监事会第二次会议于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 xml:space="preserve">日审议通过了《关于使用部分超募资金永久补充流动资金的议案》，同意公司将使用部分超募资金 </w:t>
            </w:r>
            <w:r>
              <w:rPr>
                <w:rFonts w:ascii="Times New Roman" w:eastAsia="Times New Roman" w:hAnsi="Times New Roman" w:cs="Times New Roman"/>
                <w:color w:val="000000"/>
                <w:spacing w:val="0"/>
                <w:w w:val="100"/>
                <w:position w:val="0"/>
                <w:sz w:val="18"/>
                <w:szCs w:val="18"/>
              </w:rPr>
              <w:t>4,100</w:t>
            </w:r>
            <w:r>
              <w:rPr>
                <w:color w:val="000000"/>
                <w:spacing w:val="0"/>
                <w:w w:val="100"/>
                <w:position w:val="0"/>
              </w:rPr>
              <w:t>万元人民币永久补充流动资金，并于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w:t>
            </w:r>
          </w:p>
        </w:tc>
      </w:tr>
    </w:tbl>
    <w:p>
      <w:pPr>
        <w:pStyle w:val="Style43"/>
        <w:keepNext/>
        <w:keepLines/>
        <w:widowControl w:val="0"/>
        <w:shd w:val="clear" w:color="auto" w:fill="auto"/>
        <w:bidi w:val="0"/>
        <w:spacing w:before="0" w:after="38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51"/>
      <w:bookmarkEnd w:id="252"/>
      <w:bookmarkEnd w:id="254"/>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32"/>
        <w:keepNext/>
        <w:keepLines/>
        <w:widowControl w:val="0"/>
        <w:shd w:val="clear" w:color="auto" w:fill="auto"/>
        <w:tabs>
          <w:tab w:pos="517" w:val="left"/>
        </w:tabs>
        <w:bidi w:val="0"/>
        <w:spacing w:before="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六</w:t>
      </w:r>
      <w:bookmarkEnd w:id="257"/>
      <w:r>
        <w:rPr>
          <w:color w:val="000000"/>
          <w:spacing w:val="0"/>
          <w:w w:val="100"/>
          <w:position w:val="0"/>
        </w:rPr>
        <w:t>、</w:t>
        <w:tab/>
        <w:t>重大资产和股权出售</w:t>
      </w:r>
      <w:bookmarkEnd w:id="255"/>
      <w:bookmarkEnd w:id="256"/>
      <w:bookmarkEnd w:id="258"/>
    </w:p>
    <w:p>
      <w:pPr>
        <w:pStyle w:val="Style43"/>
        <w:keepNext/>
        <w:keepLines/>
        <w:widowControl w:val="0"/>
        <w:shd w:val="clear" w:color="auto" w:fill="auto"/>
        <w:tabs>
          <w:tab w:pos="402" w:val="left"/>
        </w:tabs>
        <w:bidi w:val="0"/>
        <w:spacing w:before="0" w:after="38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1</w:t>
      </w:r>
      <w:bookmarkEnd w:id="261"/>
      <w:r>
        <w:rPr>
          <w:color w:val="000000"/>
          <w:spacing w:val="0"/>
          <w:w w:val="100"/>
          <w:position w:val="0"/>
        </w:rPr>
        <w:t>、</w:t>
        <w:tab/>
        <w:t>出售重大资产情况</w:t>
      </w:r>
      <w:bookmarkEnd w:id="259"/>
      <w:bookmarkEnd w:id="260"/>
      <w:bookmarkEnd w:id="262"/>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43"/>
        <w:keepNext/>
        <w:keepLines/>
        <w:widowControl w:val="0"/>
        <w:shd w:val="clear" w:color="auto" w:fill="auto"/>
        <w:tabs>
          <w:tab w:pos="402" w:val="left"/>
        </w:tabs>
        <w:bidi w:val="0"/>
        <w:spacing w:before="0" w:after="38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2</w:t>
      </w:r>
      <w:bookmarkEnd w:id="265"/>
      <w:r>
        <w:rPr>
          <w:color w:val="000000"/>
          <w:spacing w:val="0"/>
          <w:w w:val="100"/>
          <w:position w:val="0"/>
        </w:rPr>
        <w:t>、</w:t>
        <w:tab/>
        <w:t>出售重大股权情况</w:t>
      </w:r>
      <w:bookmarkEnd w:id="263"/>
      <w:bookmarkEnd w:id="264"/>
      <w:bookmarkEnd w:id="266"/>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522" w:val="left"/>
        </w:tabs>
        <w:bidi w:val="0"/>
        <w:spacing w:before="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七</w:t>
      </w:r>
      <w:bookmarkEnd w:id="269"/>
      <w:r>
        <w:rPr>
          <w:color w:val="000000"/>
          <w:spacing w:val="0"/>
          <w:w w:val="100"/>
          <w:position w:val="0"/>
        </w:rPr>
        <w:t>、</w:t>
        <w:tab/>
        <w:t>主要控股参股公司分析</w:t>
      </w:r>
      <w:bookmarkEnd w:id="267"/>
      <w:bookmarkEnd w:id="268"/>
      <w:bookmarkEnd w:id="270"/>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6"/>
        <w:gridCol w:w="1046"/>
        <w:gridCol w:w="1042"/>
        <w:gridCol w:w="1046"/>
        <w:gridCol w:w="1046"/>
        <w:gridCol w:w="1056"/>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9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福州创华电 气自动化系 统有限公司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电气自动化 控制系统服 务、计算机 软件销售， 计算机网络 安装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119,792,162.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118,645,240.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1,734,245.99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5,281,094.02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5,113,875.72</w:t>
            </w:r>
          </w:p>
        </w:tc>
      </w:tr>
      <w:tr>
        <w:trPr>
          <w:trHeight w:val="44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北京中榕基 信息技术有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 技术服务、 技术推广， 计算机维 修，计算机 系统服务， 销售计算 机、软件及 辅助设备、 机械设备， 技术进出 口、货物进 出口、代理 进出口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103,619,264.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33,718,416.2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39,733,773.4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13,772,352.5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13,587,836.9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计算机网络</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463,013,247.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227,075,551.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267,180,423.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15,742,546.8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15,737,432.2</w:t>
            </w:r>
          </w:p>
        </w:tc>
      </w:tr>
    </w:tbl>
    <w:p>
      <w:pPr>
        <w:spacing w:lineRule="exact" w:line="1"/>
        <w:rPr>
          <w:sz w:val="2"/>
          <w:szCs w:val="2"/>
        </w:rPr>
      </w:pPr>
      <w:r>
        <w:br w:type="page"/>
      </w:r>
    </w:p>
    <w:tbl>
      <w:tblPr>
        <w:tblOverlap w:val="never"/>
        <w:jc w:val="center"/>
        <w:tblLayout w:type="fixed"/>
      </w:tblPr>
      <w:tblGrid>
        <w:gridCol w:w="1061"/>
        <w:gridCol w:w="1195"/>
        <w:gridCol w:w="1046"/>
        <w:gridCol w:w="1046"/>
        <w:gridCol w:w="1046"/>
        <w:gridCol w:w="1042"/>
        <w:gridCol w:w="1046"/>
        <w:gridCol w:w="1046"/>
        <w:gridCol w:w="1056"/>
      </w:tblGrid>
      <w:tr>
        <w:trPr>
          <w:trHeight w:val="691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件工程有限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软件研发与 设计服务， 计算机硬件 技术服务， 信息系统集 成服务，电 子计算机及 配件的批发 零售，建筑 智能化的设 计与施工服 务，安防工 程的设计与 施工服务， 自营和代理 各类商品和 技术的进出 口，国家限 定公司经营 或禁止进出 口的商品和 技术除外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259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福建亿榕信 息技术有限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电力行业协 同办公系 统、电力仪 器仪表、电 能计量设备 和电力信息 化建设咨询 服务等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801,411,391.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215,061,551.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227,295,979.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8,352,593.25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11,919,976.5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主要控股参股公司情况说明</w:t>
      </w:r>
    </w:p>
    <w:p>
      <w:pPr>
        <w:pStyle w:val="Style32"/>
        <w:keepNext/>
        <w:keepLines/>
        <w:widowControl w:val="0"/>
        <w:shd w:val="clear" w:color="auto" w:fill="auto"/>
        <w:tabs>
          <w:tab w:pos="517" w:val="left"/>
        </w:tabs>
        <w:bidi w:val="0"/>
        <w:spacing w:before="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八</w:t>
      </w:r>
      <w:bookmarkEnd w:id="273"/>
      <w:r>
        <w:rPr>
          <w:color w:val="000000"/>
          <w:spacing w:val="0"/>
          <w:w w:val="100"/>
          <w:position w:val="0"/>
        </w:rPr>
        <w:t>、</w:t>
        <w:tab/>
        <w:t>公司控制的结构化主体情况</w:t>
      </w:r>
      <w:bookmarkEnd w:id="271"/>
      <w:bookmarkEnd w:id="272"/>
      <w:bookmarkEnd w:id="274"/>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517" w:val="left"/>
        </w:tabs>
        <w:bidi w:val="0"/>
        <w:spacing w:before="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九</w:t>
      </w:r>
      <w:bookmarkEnd w:id="277"/>
      <w:r>
        <w:rPr>
          <w:color w:val="000000"/>
          <w:spacing w:val="0"/>
          <w:w w:val="100"/>
          <w:position w:val="0"/>
        </w:rPr>
        <w:t>、</w:t>
        <w:tab/>
        <w:t>公司未来发展的展望</w:t>
      </w:r>
      <w:bookmarkEnd w:id="275"/>
      <w:bookmarkEnd w:id="276"/>
      <w:bookmarkEnd w:id="278"/>
    </w:p>
    <w:p>
      <w:pPr>
        <w:pStyle w:val="Style36"/>
        <w:keepNext w:val="0"/>
        <w:keepLines w:val="0"/>
        <w:widowControl w:val="0"/>
        <w:shd w:val="clear" w:color="auto" w:fill="auto"/>
        <w:bidi w:val="0"/>
        <w:spacing w:before="0" w:after="140" w:line="240" w:lineRule="auto"/>
        <w:ind w:left="0" w:right="0"/>
        <w:jc w:val="left"/>
      </w:pPr>
      <w:bookmarkStart w:id="279" w:name="bookmark279"/>
      <w:r>
        <w:rPr>
          <w:rFonts w:ascii="Times New Roman" w:eastAsia="Times New Roman" w:hAnsi="Times New Roman" w:cs="Times New Roman"/>
          <w:color w:val="000000"/>
          <w:spacing w:val="0"/>
          <w:w w:val="100"/>
          <w:position w:val="0"/>
          <w:sz w:val="18"/>
          <w:szCs w:val="18"/>
        </w:rPr>
        <w:t>1</w:t>
      </w:r>
      <w:bookmarkEnd w:id="279"/>
      <w:r>
        <w:rPr>
          <w:color w:val="000000"/>
          <w:spacing w:val="0"/>
          <w:w w:val="100"/>
          <w:position w:val="0"/>
        </w:rPr>
        <w:t>、行业竞争格局和发展趋势</w:t>
      </w:r>
    </w:p>
    <w:p>
      <w:pPr>
        <w:pStyle w:val="Style36"/>
        <w:keepNext w:val="0"/>
        <w:keepLines w:val="0"/>
        <w:widowControl w:val="0"/>
        <w:shd w:val="clear" w:color="auto" w:fill="auto"/>
        <w:bidi w:val="0"/>
        <w:spacing w:before="0" w:after="140" w:line="240" w:lineRule="auto"/>
        <w:ind w:left="0" w:right="0"/>
        <w:jc w:val="left"/>
      </w:pPr>
      <w:r>
        <w:rPr>
          <w:color w:val="000000"/>
          <w:spacing w:val="0"/>
          <w:w w:val="100"/>
          <w:position w:val="0"/>
        </w:rPr>
        <w:t>公司所属行业为信息产业中的软件和信息技术服务业。</w:t>
      </w:r>
    </w:p>
    <w:p>
      <w:pPr>
        <w:pStyle w:val="Style36"/>
        <w:keepNext w:val="0"/>
        <w:keepLines w:val="0"/>
        <w:widowControl w:val="0"/>
        <w:shd w:val="clear" w:color="auto" w:fill="auto"/>
        <w:bidi w:val="0"/>
        <w:spacing w:before="0" w:line="240" w:lineRule="auto"/>
        <w:ind w:left="0" w:right="0"/>
        <w:jc w:val="left"/>
      </w:pPr>
      <w:r>
        <w:rPr>
          <w:color w:val="000000"/>
          <w:spacing w:val="0"/>
          <w:w w:val="100"/>
          <w:position w:val="0"/>
        </w:rPr>
        <w:t>国内软件和信息技术服务业作为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战略性新兴产业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，受益于国家对新一代信息技术产业持续的政策和资金扶持，市场规 </w:t>
      </w:r>
      <w:r>
        <w:rPr>
          <w:color w:val="000000"/>
          <w:spacing w:val="0"/>
          <w:w w:val="100"/>
          <w:position w:val="0"/>
        </w:rPr>
        <w:t>模持续扩大。同时，国民经济的发展和社会信息化的建设，引导社会各方面力量向软件产业领域持续投入，也将为软件产业 的发展提供巨大的需求。未来，国家将继续加大对信息技术应用创新的支持力度，汇聚产业资源，促进技术创新，推动信息 技术新产品和技术在更多领域应用推广，信息领域新产品、新服务、新业态将大量涌现，在云计算、大数据、物联网、移动 互联网等新一代信息技术驱动下，将进一步加快软件业向服务化转型的步伐，使社会各领域信息化水平持续提升。围绕着智 慧城市建设、信息惠民工程建设，民生服务应用、政府信息化、信息基础设施建设等新的市场需求将不断被激发，为中国软 件企业带来新的市场机遇和发展活力。</w:t>
      </w:r>
    </w:p>
    <w:p>
      <w:pPr>
        <w:pStyle w:val="Style36"/>
        <w:keepNext w:val="0"/>
        <w:keepLines w:val="0"/>
        <w:widowControl w:val="0"/>
        <w:shd w:val="clear" w:color="auto" w:fill="auto"/>
        <w:bidi w:val="0"/>
        <w:spacing w:before="0" w:after="14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日，国务院发布《新时期促进集成电路产业和软件产业高质量发展的若干政策》，明确对集成电路、基础 软件、工业软件、应用软件等领军企业实施更大力度的税收减免、融资便利、财政支持、人才培养、权益保护政策，是十 年维度一期的重磅产业政策红利。</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月，《中共中央关于制定国民经济和社会发展第十四个五年规划和二</w:t>
      </w:r>
      <w:r>
        <w:rPr>
          <w:color w:val="000000"/>
          <w:spacing w:val="0"/>
          <w:w w:val="100"/>
          <w:position w:val="0"/>
          <w:sz w:val="18"/>
          <w:szCs w:val="18"/>
        </w:rPr>
        <w:t>O</w:t>
      </w:r>
      <w:r>
        <w:rPr>
          <w:color w:val="000000"/>
          <w:spacing w:val="0"/>
          <w:w w:val="100"/>
          <w:position w:val="0"/>
        </w:rPr>
        <w:t>三五年 远景目标的建议》获审议通过，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日十九届五中全会公报指出，坚持创新在我国现代化建设全局中的核心地位，把科 技自立自强作为国家发展的战略支撑。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规划开局之年，计算机产业的政策支持力度将有望得到加强。</w:t>
      </w:r>
    </w:p>
    <w:p>
      <w:pPr>
        <w:pStyle w:val="Style36"/>
        <w:keepNext w:val="0"/>
        <w:keepLines w:val="0"/>
        <w:widowControl w:val="0"/>
        <w:shd w:val="clear" w:color="auto" w:fill="auto"/>
        <w:tabs>
          <w:tab w:pos="780" w:val="left"/>
        </w:tabs>
        <w:bidi w:val="0"/>
        <w:spacing w:before="0" w:after="0" w:line="360" w:lineRule="auto"/>
        <w:ind w:left="0" w:right="0"/>
        <w:jc w:val="both"/>
      </w:pPr>
      <w:bookmarkStart w:id="280" w:name="bookmark280"/>
      <w:r>
        <w:rPr>
          <w:rFonts w:ascii="Times New Roman" w:eastAsia="Times New Roman" w:hAnsi="Times New Roman" w:cs="Times New Roman"/>
          <w:color w:val="000000"/>
          <w:spacing w:val="0"/>
          <w:w w:val="100"/>
          <w:position w:val="0"/>
          <w:sz w:val="18"/>
          <w:szCs w:val="18"/>
        </w:rPr>
        <w:t>2</w:t>
      </w:r>
      <w:bookmarkEnd w:id="280"/>
      <w:r>
        <w:rPr>
          <w:color w:val="000000"/>
          <w:spacing w:val="0"/>
          <w:w w:val="100"/>
          <w:position w:val="0"/>
        </w:rPr>
        <w:t>、</w:t>
        <w:tab/>
        <w:t>公司发展战略</w:t>
      </w:r>
    </w:p>
    <w:p>
      <w:pPr>
        <w:pStyle w:val="Style36"/>
        <w:keepNext w:val="0"/>
        <w:keepLines w:val="0"/>
        <w:widowControl w:val="0"/>
        <w:shd w:val="clear" w:color="auto" w:fill="auto"/>
        <w:bidi w:val="0"/>
        <w:spacing w:before="0" w:after="140" w:line="312" w:lineRule="exact"/>
        <w:ind w:left="0" w:right="0"/>
        <w:jc w:val="both"/>
      </w:pPr>
      <w:r>
        <w:rPr>
          <w:color w:val="000000"/>
          <w:spacing w:val="0"/>
          <w:w w:val="100"/>
          <w:position w:val="0"/>
        </w:rPr>
        <w:t>公司将紧抓软件服务行业云计算、物联网、移动互联网、大数据、智慧城市等新一代信息技术对传统行业信息化的升级 改造和迁移的发展趋势，继续推动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行业化、产品化、服务化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发展战略，坚持技术创新，带动软件平台化和服务化商业模式 创新，培育新的利润增长点，推动公司持续成长，实现规模化、跨越式发展。</w:t>
      </w:r>
    </w:p>
    <w:p>
      <w:pPr>
        <w:pStyle w:val="Style36"/>
        <w:keepNext w:val="0"/>
        <w:keepLines w:val="0"/>
        <w:widowControl w:val="0"/>
        <w:shd w:val="clear" w:color="auto" w:fill="auto"/>
        <w:tabs>
          <w:tab w:pos="780" w:val="left"/>
        </w:tabs>
        <w:bidi w:val="0"/>
        <w:spacing w:before="0" w:after="0" w:line="360" w:lineRule="auto"/>
        <w:ind w:left="0" w:right="0"/>
        <w:jc w:val="both"/>
      </w:pPr>
      <w:bookmarkStart w:id="281" w:name="bookmark281"/>
      <w:r>
        <w:rPr>
          <w:rFonts w:ascii="Times New Roman" w:eastAsia="Times New Roman" w:hAnsi="Times New Roman" w:cs="Times New Roman"/>
          <w:color w:val="000000"/>
          <w:spacing w:val="0"/>
          <w:w w:val="100"/>
          <w:position w:val="0"/>
          <w:sz w:val="18"/>
          <w:szCs w:val="18"/>
        </w:rPr>
        <w:t>3</w:t>
      </w:r>
      <w:bookmarkEnd w:id="28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年经营计划</w:t>
      </w:r>
    </w:p>
    <w:p>
      <w:pPr>
        <w:pStyle w:val="Style36"/>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年，公司将努力扩大收入规模，提升细分业务领域的盈利水平。同时公司选择和公司当前业务、技术背景较为接近 且市场潜力较大的信创工程、互联网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政务、金关工程、互联网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党建、物联网平台、大数据平台等作为重点业务方向，优化 产业链布局，保持对关键业务和技术的投入力度，为未来发展奠定坚实基础。</w:t>
      </w:r>
    </w:p>
    <w:p>
      <w:pPr>
        <w:pStyle w:val="Style36"/>
        <w:keepNext w:val="0"/>
        <w:keepLines w:val="0"/>
        <w:widowControl w:val="0"/>
        <w:numPr>
          <w:ilvl w:val="0"/>
          <w:numId w:val="7"/>
        </w:numPr>
        <w:shd w:val="clear" w:color="auto" w:fill="auto"/>
        <w:tabs>
          <w:tab w:pos="836" w:val="left"/>
        </w:tabs>
        <w:bidi w:val="0"/>
        <w:spacing w:before="0" w:line="312" w:lineRule="exact"/>
        <w:ind w:left="0" w:right="0"/>
        <w:jc w:val="both"/>
      </w:pPr>
      <w:bookmarkStart w:id="282" w:name="bookmark282"/>
      <w:bookmarkEnd w:id="282"/>
      <w:r>
        <w:rPr>
          <w:color w:val="000000"/>
          <w:spacing w:val="0"/>
          <w:w w:val="100"/>
          <w:position w:val="0"/>
        </w:rPr>
        <w:t>继续在重点发展行业巩固现有优势，加强顶层设计，以产品化和行业化思路强化行业布局；在持续跟进行业，以 持续创新的思路规划解决方案、产品和服务，逐步扩大核心业务比例。</w:t>
      </w:r>
    </w:p>
    <w:p>
      <w:pPr>
        <w:pStyle w:val="Style36"/>
        <w:keepNext w:val="0"/>
        <w:keepLines w:val="0"/>
        <w:widowControl w:val="0"/>
        <w:numPr>
          <w:ilvl w:val="0"/>
          <w:numId w:val="7"/>
        </w:numPr>
        <w:shd w:val="clear" w:color="auto" w:fill="auto"/>
        <w:tabs>
          <w:tab w:pos="841" w:val="left"/>
        </w:tabs>
        <w:bidi w:val="0"/>
        <w:spacing w:before="0" w:line="317" w:lineRule="exact"/>
        <w:ind w:left="0" w:right="0"/>
        <w:jc w:val="both"/>
      </w:pPr>
      <w:bookmarkStart w:id="283" w:name="bookmark283"/>
      <w:bookmarkEnd w:id="283"/>
      <w:r>
        <w:rPr>
          <w:color w:val="000000"/>
          <w:spacing w:val="0"/>
          <w:w w:val="100"/>
          <w:position w:val="0"/>
        </w:rPr>
        <w:t>公司将进一步贯彻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行业化、产品化、服务化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的经营战略创新，继续坚持以市场为导向、以企业技术中心为核心 的自主创新体系，健全创新机制，加强人才队伍培养和引进，提升优势领域软件产品的研发和产业化速度，推动商业模式创 新，推动逐步发展新的利润增长点。</w:t>
      </w:r>
    </w:p>
    <w:p>
      <w:pPr>
        <w:pStyle w:val="Style36"/>
        <w:keepNext w:val="0"/>
        <w:keepLines w:val="0"/>
        <w:widowControl w:val="0"/>
        <w:numPr>
          <w:ilvl w:val="0"/>
          <w:numId w:val="7"/>
        </w:numPr>
        <w:shd w:val="clear" w:color="auto" w:fill="auto"/>
        <w:tabs>
          <w:tab w:pos="846" w:val="left"/>
        </w:tabs>
        <w:bidi w:val="0"/>
        <w:spacing w:before="0" w:line="317" w:lineRule="exact"/>
        <w:ind w:left="0" w:right="0"/>
        <w:jc w:val="both"/>
      </w:pPr>
      <w:bookmarkStart w:id="284" w:name="bookmark284"/>
      <w:bookmarkEnd w:id="284"/>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的基本管理思想，建立科学、快速的利益响应机制，稳定公司核心骨干，引进中高层次人才， 优化人才结构，建立适合公司的激励机制。</w:t>
      </w:r>
    </w:p>
    <w:p>
      <w:pPr>
        <w:pStyle w:val="Style36"/>
        <w:keepNext w:val="0"/>
        <w:keepLines w:val="0"/>
        <w:widowControl w:val="0"/>
        <w:numPr>
          <w:ilvl w:val="0"/>
          <w:numId w:val="7"/>
        </w:numPr>
        <w:shd w:val="clear" w:color="auto" w:fill="auto"/>
        <w:tabs>
          <w:tab w:pos="841" w:val="left"/>
        </w:tabs>
        <w:bidi w:val="0"/>
        <w:spacing w:before="0" w:line="326" w:lineRule="exact"/>
        <w:ind w:left="0" w:right="0"/>
        <w:jc w:val="both"/>
      </w:pPr>
      <w:bookmarkStart w:id="285" w:name="bookmark285"/>
      <w:bookmarkEnd w:id="285"/>
      <w:r>
        <w:rPr>
          <w:color w:val="000000"/>
          <w:spacing w:val="0"/>
          <w:w w:val="100"/>
          <w:position w:val="0"/>
        </w:rPr>
        <w:t>在技术创新方面，公司将加大在所处领域的核心产品和技术研发及产业化投入，不断增强技术实力，保持行业技 术领先水平，增强企业的核心竞争能力，为公司的成长提供产品和技术优势。</w:t>
      </w:r>
    </w:p>
    <w:p>
      <w:pPr>
        <w:pStyle w:val="Style36"/>
        <w:keepNext w:val="0"/>
        <w:keepLines w:val="0"/>
        <w:widowControl w:val="0"/>
        <w:numPr>
          <w:ilvl w:val="0"/>
          <w:numId w:val="7"/>
        </w:numPr>
        <w:shd w:val="clear" w:color="auto" w:fill="auto"/>
        <w:tabs>
          <w:tab w:pos="841" w:val="left"/>
        </w:tabs>
        <w:bidi w:val="0"/>
        <w:spacing w:before="0" w:after="140" w:line="319" w:lineRule="exact"/>
        <w:ind w:left="0" w:right="0"/>
        <w:jc w:val="both"/>
      </w:pPr>
      <w:bookmarkStart w:id="286" w:name="bookmark286"/>
      <w:bookmarkEnd w:id="286"/>
      <w:r>
        <w:rPr>
          <w:color w:val="000000"/>
          <w:spacing w:val="0"/>
          <w:w w:val="100"/>
          <w:position w:val="0"/>
        </w:rPr>
        <w:t>在市场营销与服务体系建设方面，公司已初步建立以北京为指挥中心、遍布全国的营销和服务网络体系，公司将 继续完善北京、上海、河南、浙江等区域中心体系建设，增强运维服务网点营销服务能力，继续完善产品代理体系，加大品 牌宣传力度，促进公司规模化发展。</w:t>
      </w:r>
    </w:p>
    <w:p>
      <w:pPr>
        <w:pStyle w:val="Style36"/>
        <w:keepNext w:val="0"/>
        <w:keepLines w:val="0"/>
        <w:widowControl w:val="0"/>
        <w:shd w:val="clear" w:color="auto" w:fill="auto"/>
        <w:tabs>
          <w:tab w:pos="780" w:val="left"/>
        </w:tabs>
        <w:bidi w:val="0"/>
        <w:spacing w:before="0" w:after="0" w:line="360" w:lineRule="auto"/>
        <w:ind w:left="0" w:right="0"/>
        <w:jc w:val="both"/>
      </w:pPr>
      <w:bookmarkStart w:id="287" w:name="bookmark287"/>
      <w:r>
        <w:rPr>
          <w:rFonts w:ascii="Times New Roman" w:eastAsia="Times New Roman" w:hAnsi="Times New Roman" w:cs="Times New Roman"/>
          <w:color w:val="000000"/>
          <w:spacing w:val="0"/>
          <w:w w:val="100"/>
          <w:position w:val="0"/>
          <w:sz w:val="18"/>
          <w:szCs w:val="18"/>
        </w:rPr>
        <w:t>4</w:t>
      </w:r>
      <w:bookmarkEnd w:id="287"/>
      <w:r>
        <w:rPr>
          <w:color w:val="000000"/>
          <w:spacing w:val="0"/>
          <w:w w:val="100"/>
          <w:position w:val="0"/>
        </w:rPr>
        <w:t>、</w:t>
        <w:tab/>
        <w:t>未来面对的风险及应对措施</w:t>
      </w:r>
    </w:p>
    <w:p>
      <w:pPr>
        <w:pStyle w:val="Style36"/>
        <w:keepNext w:val="0"/>
        <w:keepLines w:val="0"/>
        <w:widowControl w:val="0"/>
        <w:numPr>
          <w:ilvl w:val="0"/>
          <w:numId w:val="9"/>
        </w:numPr>
        <w:shd w:val="clear" w:color="auto" w:fill="auto"/>
        <w:tabs>
          <w:tab w:pos="780" w:val="left"/>
        </w:tabs>
        <w:bidi w:val="0"/>
        <w:spacing w:before="0" w:line="312" w:lineRule="exact"/>
        <w:ind w:left="0" w:right="0"/>
        <w:jc w:val="both"/>
      </w:pPr>
      <w:bookmarkStart w:id="288" w:name="bookmark288"/>
      <w:bookmarkEnd w:id="288"/>
      <w:r>
        <w:rPr>
          <w:color w:val="000000"/>
          <w:spacing w:val="0"/>
          <w:w w:val="100"/>
          <w:position w:val="0"/>
        </w:rPr>
        <w:t>宏观经济波动的风险</w:t>
      </w:r>
    </w:p>
    <w:p>
      <w:pPr>
        <w:pStyle w:val="Style36"/>
        <w:keepNext w:val="0"/>
        <w:keepLines w:val="0"/>
        <w:widowControl w:val="0"/>
        <w:shd w:val="clear" w:color="auto" w:fill="auto"/>
        <w:bidi w:val="0"/>
        <w:spacing w:before="0" w:line="312" w:lineRule="exact"/>
        <w:ind w:left="0" w:right="0"/>
        <w:jc w:val="both"/>
      </w:pPr>
      <w:r>
        <w:rPr>
          <w:color w:val="000000"/>
          <w:spacing w:val="0"/>
          <w:w w:val="100"/>
          <w:position w:val="0"/>
        </w:rPr>
        <w:t>公司坚持致力于成为中国民族软件产业的旗帜性企业之一，实现持续经营的理念，加快研发和应用技术创新，持续巩固 电子政务、协同管理等领域的综合竞争优势，不断在信创工程、大数据、物联网技术为基础的新业务上打造出有竞争力的综 合解决方案，通过增强内生创新能力与更广泛的市场拓展，增强企业抵御外部风险的能力。</w:t>
      </w:r>
    </w:p>
    <w:p>
      <w:pPr>
        <w:pStyle w:val="Style36"/>
        <w:keepNext w:val="0"/>
        <w:keepLines w:val="0"/>
        <w:widowControl w:val="0"/>
        <w:numPr>
          <w:ilvl w:val="0"/>
          <w:numId w:val="9"/>
        </w:numPr>
        <w:shd w:val="clear" w:color="auto" w:fill="auto"/>
        <w:tabs>
          <w:tab w:pos="780" w:val="left"/>
        </w:tabs>
        <w:bidi w:val="0"/>
        <w:spacing w:before="0" w:line="312" w:lineRule="exact"/>
        <w:ind w:left="0" w:right="0"/>
        <w:jc w:val="both"/>
      </w:pPr>
      <w:bookmarkStart w:id="289" w:name="bookmark289"/>
      <w:bookmarkEnd w:id="289"/>
      <w:r>
        <w:rPr>
          <w:color w:val="000000"/>
          <w:spacing w:val="0"/>
          <w:w w:val="100"/>
          <w:position w:val="0"/>
        </w:rPr>
        <w:t>行业技术风险</w:t>
      </w:r>
    </w:p>
    <w:p>
      <w:pPr>
        <w:pStyle w:val="Style36"/>
        <w:keepNext w:val="0"/>
        <w:keepLines w:val="0"/>
        <w:widowControl w:val="0"/>
        <w:shd w:val="clear" w:color="auto" w:fill="auto"/>
        <w:bidi w:val="0"/>
        <w:spacing w:before="0" w:line="312" w:lineRule="exact"/>
        <w:ind w:left="0" w:right="0"/>
        <w:jc w:val="both"/>
      </w:pPr>
      <w:r>
        <w:rPr>
          <w:color w:val="000000"/>
          <w:spacing w:val="0"/>
          <w:w w:val="100"/>
          <w:position w:val="0"/>
        </w:rPr>
        <w:t>伴随云计算、大数据、人工智能、物联网、区块链等各种创新技术的发展融合，客户对产品融合性要求趋于专业化和个 性化以及公司规模化扩张对公司保持持续的技术领先提出了更高的要求。公司将继续跟踪、学习和应用新的技术，准确把握 国际信息技术发展趋势，继续积极开发具有自有知识产权的新产品，开发出功能和性能更加完善的新产品，以满足客户更加 多样化、个性化的需求。</w:t>
      </w:r>
    </w:p>
    <w:p>
      <w:pPr>
        <w:pStyle w:val="Style36"/>
        <w:keepNext w:val="0"/>
        <w:keepLines w:val="0"/>
        <w:widowControl w:val="0"/>
        <w:numPr>
          <w:ilvl w:val="0"/>
          <w:numId w:val="9"/>
        </w:numPr>
        <w:shd w:val="clear" w:color="auto" w:fill="auto"/>
        <w:tabs>
          <w:tab w:pos="780" w:val="left"/>
        </w:tabs>
        <w:bidi w:val="0"/>
        <w:spacing w:before="0" w:line="312" w:lineRule="exact"/>
        <w:ind w:left="0" w:right="0"/>
        <w:jc w:val="both"/>
      </w:pPr>
      <w:bookmarkStart w:id="290" w:name="bookmark290"/>
      <w:bookmarkEnd w:id="290"/>
      <w:r>
        <w:rPr>
          <w:color w:val="000000"/>
          <w:spacing w:val="0"/>
          <w:w w:val="100"/>
          <w:position w:val="0"/>
        </w:rPr>
        <w:t>公司管理能力风险</w:t>
      </w:r>
    </w:p>
    <w:p>
      <w:pPr>
        <w:pStyle w:val="Style36"/>
        <w:keepNext w:val="0"/>
        <w:keepLines w:val="0"/>
        <w:widowControl w:val="0"/>
        <w:shd w:val="clear" w:color="auto" w:fill="auto"/>
        <w:bidi w:val="0"/>
        <w:spacing w:before="0" w:line="312" w:lineRule="exact"/>
        <w:ind w:left="0" w:right="0" w:firstLine="360"/>
        <w:jc w:val="both"/>
      </w:pPr>
      <w:r>
        <w:rPr>
          <w:color w:val="000000"/>
          <w:spacing w:val="0"/>
          <w:w w:val="100"/>
          <w:position w:val="0"/>
        </w:rPr>
        <w:t>随着公司业务规模的扩大，人员的增长，对运营管控能力提出更高的要求。如果公司管理能力不能跟上规模和人员发展 的要求，将会对公司业绩产生影响。</w:t>
      </w:r>
    </w:p>
    <w:p>
      <w:pPr>
        <w:pStyle w:val="Style36"/>
        <w:keepNext w:val="0"/>
        <w:keepLines w:val="0"/>
        <w:widowControl w:val="0"/>
        <w:shd w:val="clear" w:color="auto" w:fill="auto"/>
        <w:bidi w:val="0"/>
        <w:spacing w:before="0" w:line="317" w:lineRule="exact"/>
        <w:ind w:left="0" w:right="0" w:firstLine="360"/>
        <w:jc w:val="both"/>
      </w:pPr>
      <w:r>
        <w:rPr>
          <w:color w:val="000000"/>
          <w:spacing w:val="0"/>
          <w:w w:val="100"/>
          <w:position w:val="0"/>
        </w:rPr>
        <w:t>公司将通过进一步完善法人治理结构，建立健全的内部组织结构，细化内控的具体执行办法，完成对相关人员的业务和 风险防范培训、考核、监督与评价工作等方式从而避免在公司管理能力出现的风险，积极应对公司规模扩张带来的挑战。</w:t>
      </w:r>
    </w:p>
    <w:p>
      <w:pPr>
        <w:pStyle w:val="Style36"/>
        <w:keepNext w:val="0"/>
        <w:keepLines w:val="0"/>
        <w:widowControl w:val="0"/>
        <w:numPr>
          <w:ilvl w:val="0"/>
          <w:numId w:val="11"/>
        </w:numPr>
        <w:shd w:val="clear" w:color="auto" w:fill="auto"/>
        <w:tabs>
          <w:tab w:pos="788" w:val="left"/>
        </w:tabs>
        <w:bidi w:val="0"/>
        <w:spacing w:before="0" w:line="312" w:lineRule="exact"/>
        <w:ind w:left="0" w:right="0" w:firstLine="360"/>
        <w:jc w:val="both"/>
      </w:pPr>
      <w:bookmarkStart w:id="291" w:name="bookmark291"/>
      <w:bookmarkEnd w:id="291"/>
      <w:r>
        <w:rPr>
          <w:color w:val="000000"/>
          <w:spacing w:val="0"/>
          <w:w w:val="100"/>
          <w:position w:val="0"/>
        </w:rPr>
        <w:t>新业务投入风险</w:t>
      </w:r>
    </w:p>
    <w:p>
      <w:pPr>
        <w:pStyle w:val="Style36"/>
        <w:keepNext w:val="0"/>
        <w:keepLines w:val="0"/>
        <w:widowControl w:val="0"/>
        <w:shd w:val="clear" w:color="auto" w:fill="auto"/>
        <w:bidi w:val="0"/>
        <w:spacing w:before="0" w:line="317" w:lineRule="exact"/>
        <w:ind w:left="0" w:right="0" w:firstLine="360"/>
        <w:jc w:val="both"/>
      </w:pPr>
      <w:r>
        <w:rPr>
          <w:color w:val="000000"/>
          <w:spacing w:val="0"/>
          <w:w w:val="100"/>
          <w:position w:val="0"/>
        </w:rPr>
        <w:t>公司依照发展战略及面临的市场形势，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年将继续保持新业务的投入力度。新业务的投入会相应增加公司经营成本, 如遭遇重大市场环境变化，有可能达不到预期的投资目标。</w:t>
      </w:r>
    </w:p>
    <w:p>
      <w:pPr>
        <w:pStyle w:val="Style36"/>
        <w:keepNext w:val="0"/>
        <w:keepLines w:val="0"/>
        <w:widowControl w:val="0"/>
        <w:shd w:val="clear" w:color="auto" w:fill="auto"/>
        <w:bidi w:val="0"/>
        <w:spacing w:before="0" w:line="312" w:lineRule="exact"/>
        <w:ind w:left="0" w:right="0" w:firstLine="360"/>
        <w:jc w:val="both"/>
      </w:pPr>
      <w:r>
        <w:rPr>
          <w:color w:val="000000"/>
          <w:spacing w:val="0"/>
          <w:w w:val="100"/>
          <w:position w:val="0"/>
        </w:rPr>
        <w:t>公司将通过跟踪新业务市场发展趋势，定期进行新业务研讨、严格审核大额新业务投入等措施提高新业务开展的预见性, 降低由此带来的经营风险。</w:t>
      </w:r>
    </w:p>
    <w:p>
      <w:pPr>
        <w:pStyle w:val="Style36"/>
        <w:keepNext w:val="0"/>
        <w:keepLines w:val="0"/>
        <w:widowControl w:val="0"/>
        <w:numPr>
          <w:ilvl w:val="0"/>
          <w:numId w:val="11"/>
        </w:numPr>
        <w:shd w:val="clear" w:color="auto" w:fill="auto"/>
        <w:tabs>
          <w:tab w:pos="748" w:val="left"/>
        </w:tabs>
        <w:bidi w:val="0"/>
        <w:spacing w:before="0" w:line="312" w:lineRule="exact"/>
        <w:ind w:left="0" w:right="0" w:firstLine="320"/>
        <w:jc w:val="both"/>
      </w:pPr>
      <w:bookmarkStart w:id="292" w:name="bookmark292"/>
      <w:bookmarkEnd w:id="292"/>
      <w:r>
        <w:rPr>
          <w:color w:val="000000"/>
          <w:spacing w:val="0"/>
          <w:w w:val="100"/>
          <w:position w:val="0"/>
        </w:rPr>
        <w:t>人力资源风险</w:t>
      </w:r>
    </w:p>
    <w:p>
      <w:pPr>
        <w:pStyle w:val="Style36"/>
        <w:keepNext w:val="0"/>
        <w:keepLines w:val="0"/>
        <w:widowControl w:val="0"/>
        <w:shd w:val="clear" w:color="auto" w:fill="auto"/>
        <w:bidi w:val="0"/>
        <w:spacing w:before="0" w:line="312" w:lineRule="exact"/>
        <w:ind w:left="0" w:right="0" w:firstLine="360"/>
        <w:jc w:val="both"/>
      </w:pPr>
      <w:r>
        <w:rPr>
          <w:color w:val="000000"/>
          <w:spacing w:val="0"/>
          <w:w w:val="100"/>
          <w:position w:val="0"/>
        </w:rPr>
        <w:t>公司规模的迅速扩张带来人才上的瓶颈，高端人才比较紧缺仍然是公司目前存在的主要困难，特别是研发人员扩张速度 跟不上公司业务规模的扩张，导致公司潜在的新用户的需求得不到很好的满足，这可能会使公司失去一些市场机会。</w:t>
      </w:r>
    </w:p>
    <w:p>
      <w:pPr>
        <w:pStyle w:val="Style36"/>
        <w:keepNext w:val="0"/>
        <w:keepLines w:val="0"/>
        <w:widowControl w:val="0"/>
        <w:shd w:val="clear" w:color="auto" w:fill="auto"/>
        <w:bidi w:val="0"/>
        <w:spacing w:before="0" w:after="380" w:line="312"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年度公司将继续从人才培养和激励机制两方面来完善公司人才建设，建立多层次培训体系、薪酬体系和有效的激励 措施，满足研发技术类的人才需求；加强企业文化建设，把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服务于社会以促进企业发展，贡献于企业以追求个人进步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 核心价值观，努力培育团结、创新、开拓、务实的企业文化精神，争取广大员工的认可；将投入更多资源改善工作环境和工 作条件，增强公司对高素质人才的吸引力和归属感。公司将在河南、上海设立区域研发中心，未来还将根据发展需要在其他 地区设立区域研发中心。</w:t>
      </w:r>
    </w:p>
    <w:p>
      <w:pPr>
        <w:pStyle w:val="Style32"/>
        <w:keepNext/>
        <w:keepLines/>
        <w:widowControl w:val="0"/>
        <w:shd w:val="clear" w:color="auto" w:fill="auto"/>
        <w:bidi w:val="0"/>
        <w:spacing w:before="0" w:line="240" w:lineRule="auto"/>
        <w:ind w:left="0" w:right="0" w:firstLine="0"/>
        <w:jc w:val="left"/>
      </w:pPr>
      <w:bookmarkStart w:id="293" w:name="bookmark293"/>
      <w:bookmarkStart w:id="294" w:name="bookmark294"/>
      <w:bookmarkStart w:id="295" w:name="bookmark295"/>
      <w:r>
        <w:rPr>
          <w:color w:val="000000"/>
          <w:spacing w:val="0"/>
          <w:w w:val="100"/>
          <w:position w:val="0"/>
        </w:rPr>
        <w:t>十、接待调研、沟通、采访等活动</w:t>
      </w:r>
      <w:bookmarkEnd w:id="293"/>
      <w:bookmarkEnd w:id="294"/>
      <w:bookmarkEnd w:id="295"/>
    </w:p>
    <w:p>
      <w:pPr>
        <w:pStyle w:val="Style43"/>
        <w:keepNext/>
        <w:keepLines/>
        <w:widowControl w:val="0"/>
        <w:shd w:val="clear" w:color="auto" w:fill="auto"/>
        <w:bidi w:val="0"/>
        <w:spacing w:before="0" w:after="22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、报告期内接待调研、沟通、采访等活动登记表</w:t>
      </w:r>
      <w:bookmarkEnd w:id="296"/>
      <w:bookmarkEnd w:id="297"/>
      <w:bookmarkEnd w:id="299"/>
    </w:p>
    <w:p>
      <w:pPr>
        <w:pStyle w:val="Style36"/>
        <w:keepNext w:val="0"/>
        <w:keepLines w:val="0"/>
        <w:widowControl w:val="0"/>
        <w:shd w:val="clear" w:color="auto" w:fill="auto"/>
        <w:bidi w:val="0"/>
        <w:spacing w:before="0" w:line="360" w:lineRule="exact"/>
        <w:ind w:left="0" w:right="0" w:firstLine="0"/>
        <w:jc w:val="left"/>
        <w:sectPr>
          <w:footnotePr>
            <w:pos w:val="pageBottom"/>
            <w:numFmt w:val="decimal"/>
            <w:numRestart w:val="continuous"/>
          </w:footnotePr>
          <w:pgSz w:w="11900" w:h="16840"/>
          <w:pgMar w:top="1364" w:right="1062" w:bottom="1498" w:left="106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公司报告期内未发生接待调研、沟通、采访等活动。</w:t>
      </w:r>
    </w:p>
    <w:p>
      <w:pPr>
        <w:pStyle w:val="Style10"/>
        <w:keepNext/>
        <w:keepLines/>
        <w:widowControl w:val="0"/>
        <w:shd w:val="clear" w:color="auto" w:fill="auto"/>
        <w:bidi w:val="0"/>
        <w:spacing w:before="560" w:after="560" w:line="240" w:lineRule="auto"/>
        <w:ind w:left="0" w:right="0" w:firstLine="0"/>
        <w:jc w:val="center"/>
      </w:pPr>
      <w:bookmarkStart w:id="300" w:name="bookmark300"/>
      <w:bookmarkStart w:id="301" w:name="bookmark301"/>
      <w:bookmarkStart w:id="302" w:name="bookmark302"/>
      <w:r>
        <w:rPr>
          <w:color w:val="000000"/>
          <w:spacing w:val="0"/>
          <w:w w:val="100"/>
          <w:position w:val="0"/>
        </w:rPr>
        <w:t>第五节重要事项</w:t>
      </w:r>
      <w:bookmarkEnd w:id="300"/>
      <w:bookmarkEnd w:id="301"/>
      <w:bookmarkEnd w:id="302"/>
    </w:p>
    <w:p>
      <w:pPr>
        <w:pStyle w:val="Style32"/>
        <w:keepNext/>
        <w:keepLines/>
        <w:widowControl w:val="0"/>
        <w:shd w:val="clear" w:color="auto" w:fill="auto"/>
        <w:bidi w:val="0"/>
        <w:spacing w:before="0" w:after="260" w:line="240" w:lineRule="auto"/>
        <w:ind w:left="0" w:right="0" w:firstLine="0"/>
        <w:jc w:val="both"/>
      </w:pPr>
      <w:bookmarkStart w:id="303" w:name="bookmark303"/>
      <w:bookmarkStart w:id="304" w:name="bookmark304"/>
      <w:bookmarkStart w:id="305" w:name="bookmark305"/>
      <w:bookmarkStart w:id="306" w:name="bookmark306"/>
      <w:bookmarkStart w:id="307" w:name="bookmark307"/>
      <w:r>
        <w:rPr>
          <w:color w:val="000000"/>
          <w:spacing w:val="0"/>
          <w:w w:val="100"/>
          <w:position w:val="0"/>
        </w:rPr>
        <w:t>一</w:t>
      </w:r>
      <w:bookmarkEnd w:id="306"/>
      <w:r>
        <w:rPr>
          <w:color w:val="000000"/>
          <w:spacing w:val="0"/>
          <w:w w:val="100"/>
          <w:position w:val="0"/>
        </w:rPr>
        <w:t>、公司普通股利润分配及资本公积金转增股本情况</w:t>
      </w:r>
      <w:bookmarkEnd w:id="304"/>
      <w:bookmarkEnd w:id="305"/>
      <w:bookmarkEnd w:id="307"/>
      <w:bookmarkEnd w:id="303"/>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3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6"/>
        <w:keepNext w:val="0"/>
        <w:keepLines w:val="0"/>
        <w:widowControl w:val="0"/>
        <w:shd w:val="clear" w:color="auto" w:fill="auto"/>
        <w:tabs>
          <w:tab w:pos="334" w:val="left"/>
        </w:tabs>
        <w:bidi w:val="0"/>
        <w:spacing w:before="0" w:after="0" w:line="360" w:lineRule="auto"/>
        <w:ind w:left="0" w:right="0" w:firstLine="0"/>
        <w:jc w:val="both"/>
      </w:pPr>
      <w:bookmarkStart w:id="308" w:name="bookmark308"/>
      <w:r>
        <w:rPr>
          <w:rFonts w:ascii="Times New Roman" w:eastAsia="Times New Roman" w:hAnsi="Times New Roman" w:cs="Times New Roman"/>
          <w:color w:val="000000"/>
          <w:spacing w:val="0"/>
          <w:w w:val="100"/>
          <w:position w:val="0"/>
          <w:sz w:val="18"/>
          <w:szCs w:val="18"/>
        </w:rPr>
        <w:t>1</w:t>
      </w:r>
      <w:bookmarkEnd w:id="308"/>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年度权益分派方案：</w:t>
      </w:r>
    </w:p>
    <w:p>
      <w:pPr>
        <w:pStyle w:val="Style36"/>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年年末总股本</w:t>
      </w:r>
      <w:r>
        <w:rPr>
          <w:rFonts w:ascii="Times New Roman" w:eastAsia="Times New Roman" w:hAnsi="Times New Roman" w:cs="Times New Roman"/>
          <w:color w:val="000000"/>
          <w:spacing w:val="0"/>
          <w:w w:val="100"/>
          <w:position w:val="0"/>
          <w:sz w:val="18"/>
          <w:szCs w:val="18"/>
        </w:rPr>
        <w:t>622,200,000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元（含税），共派发股利</w:t>
      </w:r>
      <w:r>
        <w:rPr>
          <w:rFonts w:ascii="Times New Roman" w:eastAsia="Times New Roman" w:hAnsi="Times New Roman" w:cs="Times New Roman"/>
          <w:color w:val="000000"/>
          <w:spacing w:val="0"/>
          <w:w w:val="100"/>
          <w:position w:val="0"/>
          <w:sz w:val="18"/>
          <w:szCs w:val="18"/>
        </w:rPr>
        <w:t>6,222,000</w:t>
      </w:r>
      <w:r>
        <w:rPr>
          <w:color w:val="000000"/>
          <w:spacing w:val="0"/>
          <w:w w:val="100"/>
          <w:position w:val="0"/>
        </w:rPr>
        <w:t>元，剩余未 分配利润</w:t>
      </w:r>
      <w:r>
        <w:rPr>
          <w:rFonts w:ascii="Times New Roman" w:eastAsia="Times New Roman" w:hAnsi="Times New Roman" w:cs="Times New Roman"/>
          <w:color w:val="000000"/>
          <w:spacing w:val="0"/>
          <w:w w:val="100"/>
          <w:position w:val="0"/>
          <w:sz w:val="18"/>
          <w:szCs w:val="18"/>
        </w:rPr>
        <w:t>441,615,996.47</w:t>
      </w:r>
      <w:r>
        <w:rPr>
          <w:color w:val="000000"/>
          <w:spacing w:val="0"/>
          <w:w w:val="100"/>
          <w:position w:val="0"/>
        </w:rPr>
        <w:t>元结转下一年度，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年度公司不进行资本公积金转增股本。</w:t>
      </w:r>
    </w:p>
    <w:p>
      <w:pPr>
        <w:pStyle w:val="Style36"/>
        <w:keepNext w:val="0"/>
        <w:keepLines w:val="0"/>
        <w:widowControl w:val="0"/>
        <w:shd w:val="clear" w:color="auto" w:fill="auto"/>
        <w:tabs>
          <w:tab w:pos="354" w:val="left"/>
        </w:tabs>
        <w:bidi w:val="0"/>
        <w:spacing w:before="0" w:after="0" w:line="360" w:lineRule="auto"/>
        <w:ind w:left="0" w:right="0" w:firstLine="0"/>
        <w:jc w:val="both"/>
      </w:pPr>
      <w:bookmarkStart w:id="309" w:name="bookmark309"/>
      <w:r>
        <w:rPr>
          <w:rFonts w:ascii="Times New Roman" w:eastAsia="Times New Roman" w:hAnsi="Times New Roman" w:cs="Times New Roman"/>
          <w:color w:val="000000"/>
          <w:spacing w:val="0"/>
          <w:w w:val="100"/>
          <w:position w:val="0"/>
          <w:sz w:val="18"/>
          <w:szCs w:val="18"/>
        </w:rPr>
        <w:t>2</w:t>
      </w:r>
      <w:bookmarkEnd w:id="309"/>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年度权益分派方案：</w:t>
      </w:r>
    </w:p>
    <w:p>
      <w:pPr>
        <w:pStyle w:val="Style36"/>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公司计划不派发现金红利，不送红股，不以公积金转增股本。</w:t>
      </w:r>
    </w:p>
    <w:p>
      <w:pPr>
        <w:pStyle w:val="Style36"/>
        <w:keepNext w:val="0"/>
        <w:keepLines w:val="0"/>
        <w:widowControl w:val="0"/>
        <w:shd w:val="clear" w:color="auto" w:fill="auto"/>
        <w:tabs>
          <w:tab w:pos="354" w:val="left"/>
        </w:tabs>
        <w:bidi w:val="0"/>
        <w:spacing w:before="0" w:after="0" w:line="360" w:lineRule="auto"/>
        <w:ind w:left="0" w:right="0" w:firstLine="0"/>
        <w:jc w:val="both"/>
      </w:pPr>
      <w:bookmarkStart w:id="310" w:name="bookmark310"/>
      <w:r>
        <w:rPr>
          <w:rFonts w:ascii="Times New Roman" w:eastAsia="Times New Roman" w:hAnsi="Times New Roman" w:cs="Times New Roman"/>
          <w:color w:val="000000"/>
          <w:spacing w:val="0"/>
          <w:w w:val="100"/>
          <w:position w:val="0"/>
          <w:sz w:val="18"/>
          <w:szCs w:val="18"/>
        </w:rPr>
        <w:t>3</w:t>
      </w:r>
      <w:bookmarkEnd w:id="310"/>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年度权益分派预案：</w:t>
      </w:r>
    </w:p>
    <w:p>
      <w:pPr>
        <w:pStyle w:val="Style36"/>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年年末总股本</w:t>
      </w:r>
      <w:r>
        <w:rPr>
          <w:rFonts w:ascii="Times New Roman" w:eastAsia="Times New Roman" w:hAnsi="Times New Roman" w:cs="Times New Roman"/>
          <w:color w:val="000000"/>
          <w:spacing w:val="0"/>
          <w:w w:val="100"/>
          <w:position w:val="0"/>
          <w:sz w:val="18"/>
          <w:szCs w:val="18"/>
        </w:rPr>
        <w:t>622,200,000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元（含税），共派发股利</w:t>
      </w:r>
      <w:r>
        <w:rPr>
          <w:rFonts w:ascii="Times New Roman" w:eastAsia="Times New Roman" w:hAnsi="Times New Roman" w:cs="Times New Roman"/>
          <w:color w:val="000000"/>
          <w:spacing w:val="0"/>
          <w:w w:val="100"/>
          <w:position w:val="0"/>
          <w:sz w:val="18"/>
          <w:szCs w:val="18"/>
        </w:rPr>
        <w:t>9,333,000</w:t>
      </w:r>
      <w:r>
        <w:rPr>
          <w:color w:val="000000"/>
          <w:spacing w:val="0"/>
          <w:w w:val="100"/>
          <w:position w:val="0"/>
        </w:rPr>
        <w:t>元，剩余未 分配利润</w:t>
      </w:r>
      <w:r>
        <w:rPr>
          <w:rFonts w:ascii="Times New Roman" w:eastAsia="Times New Roman" w:hAnsi="Times New Roman" w:cs="Times New Roman"/>
          <w:color w:val="000000"/>
          <w:spacing w:val="0"/>
          <w:w w:val="100"/>
          <w:position w:val="0"/>
          <w:sz w:val="18"/>
          <w:szCs w:val="18"/>
        </w:rPr>
        <w:t>492,042,162.77</w:t>
      </w:r>
      <w:r>
        <w:rPr>
          <w:color w:val="000000"/>
          <w:spacing w:val="0"/>
          <w:w w:val="100"/>
          <w:position w:val="0"/>
        </w:rPr>
        <w:t>元结转下一年度，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年度公司不进行资本公积金转增股本。</w:t>
      </w:r>
    </w:p>
    <w:p>
      <w:pPr>
        <w:pStyle w:val="Style3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公司近三年（包括本报告期）普通股现金分红情况表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200"/>
        <w:gridCol w:w="1195"/>
        <w:gridCol w:w="1205"/>
      </w:tblGrid>
      <w:tr>
        <w:trPr>
          <w:trHeight w:val="228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（含税）</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9,333,000.00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49,598,630.03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49,816,021.80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6,222,000.00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33,287,713.07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w:t>
            </w:r>
          </w:p>
        </w:tc>
      </w:tr>
    </w:tbl>
    <w:p>
      <w:pPr>
        <w:pStyle w:val="Style3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二</w:t>
      </w:r>
      <w:bookmarkEnd w:id="313"/>
      <w:r>
        <w:rPr>
          <w:color w:val="000000"/>
          <w:spacing w:val="0"/>
          <w:w w:val="100"/>
          <w:position w:val="0"/>
        </w:rPr>
        <w:t>、本报告期利润分配及资本公积金转增股本情况</w:t>
      </w:r>
      <w:bookmarkEnd w:id="311"/>
      <w:bookmarkEnd w:id="312"/>
      <w:bookmarkEnd w:id="314"/>
    </w:p>
    <w:p>
      <w:pPr>
        <w:pStyle w:val="Style36"/>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9,333,000.00</w:t>
            </w:r>
          </w:p>
        </w:tc>
      </w:tr>
    </w:tbl>
    <w:p>
      <w:pPr>
        <w:spacing w:lineRule="exact" w:line="1"/>
        <w:rPr>
          <w:sz w:val="2"/>
          <w:szCs w:val="2"/>
        </w:rPr>
      </w:pPr>
      <w:r>
        <w:br w:type="page"/>
      </w:r>
    </w:p>
    <w:tbl>
      <w:tblPr>
        <w:tblOverlap w:val="never"/>
        <w:jc w:val="center"/>
        <w:tblLayout w:type="fixed"/>
      </w:tblPr>
      <w:tblGrid>
        <w:gridCol w:w="3802"/>
        <w:gridCol w:w="5784"/>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以其他方式（如回购股份）现金分红金额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501,375,162.77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日召开的第五届董事会第八次会议审议通过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年年末总股本 </w:t>
            </w:r>
            <w:r>
              <w:rPr>
                <w:rFonts w:ascii="Times New Roman" w:eastAsia="Times New Roman" w:hAnsi="Times New Roman" w:cs="Times New Roman"/>
                <w:color w:val="000000"/>
                <w:spacing w:val="0"/>
                <w:w w:val="100"/>
                <w:position w:val="0"/>
                <w:sz w:val="18"/>
                <w:szCs w:val="18"/>
              </w:rPr>
              <w:t>622,200,000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元（含税），共派发现金股利</w:t>
            </w:r>
            <w:r>
              <w:rPr>
                <w:rFonts w:ascii="Times New Roman" w:eastAsia="Times New Roman" w:hAnsi="Times New Roman" w:cs="Times New Roman"/>
                <w:color w:val="000000"/>
                <w:spacing w:val="0"/>
                <w:w w:val="100"/>
                <w:position w:val="0"/>
                <w:sz w:val="18"/>
                <w:szCs w:val="18"/>
              </w:rPr>
              <w:t>9,333,000.00</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股，不以公积金转增股本。</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三</w:t>
      </w:r>
      <w:bookmarkEnd w:id="317"/>
      <w:r>
        <w:rPr>
          <w:color w:val="000000"/>
          <w:spacing w:val="0"/>
          <w:w w:val="100"/>
          <w:position w:val="0"/>
        </w:rPr>
        <w:t>、承诺事项履行情况</w:t>
      </w:r>
      <w:bookmarkEnd w:id="315"/>
      <w:bookmarkEnd w:id="316"/>
      <w:bookmarkEnd w:id="318"/>
    </w:p>
    <w:p>
      <w:pPr>
        <w:pStyle w:val="Style43"/>
        <w:keepNext/>
        <w:keepLines/>
        <w:widowControl w:val="0"/>
        <w:shd w:val="clear" w:color="auto" w:fill="auto"/>
        <w:bidi w:val="0"/>
        <w:spacing w:before="0" w:after="340" w:line="317" w:lineRule="exact"/>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1</w:t>
      </w:r>
      <w:bookmarkEnd w:id="321"/>
      <w:r>
        <w:rPr>
          <w:color w:val="000000"/>
          <w:spacing w:val="0"/>
          <w:w w:val="100"/>
          <w:position w:val="0"/>
        </w:rPr>
        <w:t>、公司实际控制人、股东、关联方、收购人以及公司等承诺相关方在报告期内履行完毕及截至报告期末 尚未履行完毕的承诺事项</w:t>
      </w:r>
      <w:bookmarkEnd w:id="319"/>
      <w:bookmarkEnd w:id="320"/>
      <w:bookmarkEnd w:id="322"/>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58"/>
        <w:gridCol w:w="883"/>
        <w:gridCol w:w="854"/>
        <w:gridCol w:w="3398"/>
        <w:gridCol w:w="850"/>
        <w:gridCol w:w="854"/>
        <w:gridCol w:w="78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鲁峰、侯 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在本公司任董事、高级管理人员的股东鲁 峰、侯伟承诺：在其任职期间每年转让的 股份不得超过其所持有本公司股份总数的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；离职后半年内，不转让其所持有的 本公司股份；申报离职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内通过证券交易所挂牌交易出售的发行人 股票数量占其所持有发行人股票总数的比 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在职期间 以及申报 离职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月后的</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在承诺期 限内，按 承诺持续 履行中</w:t>
            </w:r>
          </w:p>
        </w:tc>
      </w:tr>
      <w:tr>
        <w:trPr>
          <w:trHeight w:val="255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鲁峰、侯 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为了避免将来发生同业竞争，公司控股股 东鲁峰和股东侯伟出具了《放弃竞争与利 益冲突承诺函》，承诺不生产、开发任何与 股份公司及其下属子公司生产的产品构成 竞争或可能构成竞争的产品，不直接或间 接经营任何与股份公司及其下属子公司经 营的业务构成竞争或可能构成竞争的业 务，也不参与投资任何与股份公司及其下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在承诺期 限内，按 承诺持续 履行中</w:t>
            </w:r>
          </w:p>
        </w:tc>
      </w:tr>
    </w:tbl>
    <w:p>
      <w:pPr>
        <w:spacing w:lineRule="exact" w:line="1"/>
        <w:rPr>
          <w:sz w:val="2"/>
          <w:szCs w:val="2"/>
        </w:rPr>
      </w:pPr>
      <w:r>
        <w:br w:type="page"/>
      </w:r>
    </w:p>
    <w:tbl>
      <w:tblPr>
        <w:tblOverlap w:val="never"/>
        <w:jc w:val="center"/>
        <w:tblLayout w:type="fixed"/>
      </w:tblPr>
      <w:tblGrid>
        <w:gridCol w:w="1958"/>
        <w:gridCol w:w="883"/>
        <w:gridCol w:w="854"/>
        <w:gridCol w:w="3398"/>
        <w:gridCol w:w="850"/>
        <w:gridCol w:w="854"/>
        <w:gridCol w:w="787"/>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属子公司生产的产品或经营的业务构成竞 争或可能构成竞争的其他企业；从第三方 获得的商业机会如果属于股份公司主营业 务范围之内的，将尽可能地协助股份公司 取得该等商业机会。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公司属于高新技术企业，行业内技术人员 流动性较大，为了保护公司的知识产权和 保持核心人员的稳定，公司已与高级管理 人员和核心技术人员签订劳动合同，上述 人员同时对公司出具了《保密义务、技术 成果归属承诺书》。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在承诺期 限内，按 承诺持续 履行中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 使用承诺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公司所有募集资金将存放于专户管理，并 用于公司新一代电子政务应用平台、信息 安全风险综合管理系统、质检三电工程企 业端软件运维服务平台、协同管理软件平 台、技术研发与创新中心等主营业务。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在承诺期 限内，按 承诺持续 履行中</w:t>
            </w:r>
          </w:p>
        </w:tc>
      </w:tr>
      <w:tr>
        <w:trPr>
          <w:trHeight w:val="84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公司章程第一百六十五条规定：（一）公司 董事会负责制定公司的股利分配预案，股 东大会负责审批。在公司当年度盈利且提 取法定公积金及弥补以前年度亏损后仍有 剩余时，董事会应当作出现金分红预案。 公司董事会未做出现金利润分配预案的， 应当在定期报告中披露原因，公司独立董 事应当对此发表独立意见。（二）公司每年 以现金方式分配的利润应当不少于当年可 分配利润的</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；公司上市后连续三年以 现金方式累计分配的利润应不少于该连续 三年实现的年均可分配利润的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；在进 行现金分配的同时，公司可以进行股票股 利的分配。（三）公司的利润分配应重视对 投资者的合理投资回报；在有条件的情况 下，公司可以进行中期分配。（四）存在股 东违规占用公司资金情况的，公司应当扣 减该股东所分配的现金红利，以偿还其占 用的资金。（五）公司根据生产经营情况、 投资规划和长期发展的需要，确需调整利 润分配政策的，调整后的利润分配政策不 得违反中国证监会和证券交易所的有关规 定。在对有关调整利润分配政策的议案进 行表决时，由全体独立董事同意及监事会 审议并经公司董事会审议后方可提交公司 股东大会审议，公司控股股东应回避表 决，公司可以采取提供网络投票等方式以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在承诺期 限内，按 承诺持续 履行中</w:t>
            </w:r>
          </w:p>
        </w:tc>
      </w:tr>
    </w:tbl>
    <w:tbl>
      <w:tblPr>
        <w:tblOverlap w:val="never"/>
        <w:jc w:val="center"/>
        <w:tblLayout w:type="fixed"/>
      </w:tblPr>
      <w:tblGrid>
        <w:gridCol w:w="1958"/>
        <w:gridCol w:w="883"/>
        <w:gridCol w:w="854"/>
        <w:gridCol w:w="3398"/>
        <w:gridCol w:w="850"/>
        <w:gridCol w:w="854"/>
        <w:gridCol w:w="787"/>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方便股东参与股东大会表决。（六）公司应 以每三年为一个周期，制订周期内股东分 红回报规划。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公司部分 董事、高 级管理人 员和核心 骨干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在法定期限内不减持其所持有的本公司股 份；严格遵守有关规定，不进行内幕交易 及敏感期买卖股份、短线交易。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在承诺期 限内，按 承诺持续 履行中</w:t>
            </w:r>
          </w:p>
        </w:tc>
      </w:tr>
      <w:tr>
        <w:trPr>
          <w:trHeight w:val="258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鲁峰先生 承诺自本 次减持之 日起连续 六个月内 通过证券 交易系统 出售的股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自本次减持之日起连续六个月内通过证券 交易系统出售的股份低于公司股份总数的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日履行完 毕</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43"/>
        <w:keepNext/>
        <w:keepLines/>
        <w:widowControl w:val="0"/>
        <w:shd w:val="clear" w:color="auto" w:fill="auto"/>
        <w:bidi w:val="0"/>
        <w:spacing w:before="0" w:after="260" w:line="322" w:lineRule="exact"/>
        <w:ind w:left="0" w:right="0" w:firstLine="0"/>
        <w:jc w:val="both"/>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2</w:t>
      </w:r>
      <w:bookmarkEnd w:id="325"/>
      <w:r>
        <w:rPr>
          <w:color w:val="000000"/>
          <w:spacing w:val="0"/>
          <w:w w:val="100"/>
          <w:position w:val="0"/>
        </w:rPr>
        <w:t>、公司资产或项目存在盈利预测，且报告期仍处在盈利预测期间，公司就资产或项目达到原盈利预测及 其原因做出说明</w:t>
      </w:r>
      <w:bookmarkEnd w:id="323"/>
      <w:bookmarkEnd w:id="324"/>
      <w:bookmarkEnd w:id="326"/>
    </w:p>
    <w:p>
      <w:pPr>
        <w:pStyle w:val="Style36"/>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8" w:val="left"/>
        </w:tabs>
        <w:bidi w:val="0"/>
        <w:spacing w:before="0" w:after="26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四</w:t>
      </w:r>
      <w:bookmarkEnd w:id="329"/>
      <w:r>
        <w:rPr>
          <w:color w:val="000000"/>
          <w:spacing w:val="0"/>
          <w:w w:val="100"/>
          <w:position w:val="0"/>
        </w:rPr>
        <w:t>、</w:t>
        <w:tab/>
        <w:t>控股股东及其关联方对上市公司的非经营性占用资金情况</w:t>
      </w:r>
      <w:bookmarkEnd w:id="327"/>
      <w:bookmarkEnd w:id="328"/>
      <w:bookmarkEnd w:id="330"/>
    </w:p>
    <w:p>
      <w:pPr>
        <w:pStyle w:val="Style3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公司报告期不存在控股股东及其关联方对上市公司的非经营性占用资金。</w:t>
      </w:r>
    </w:p>
    <w:p>
      <w:pPr>
        <w:pStyle w:val="Style32"/>
        <w:keepNext/>
        <w:keepLines/>
        <w:widowControl w:val="0"/>
        <w:shd w:val="clear" w:color="auto" w:fill="auto"/>
        <w:tabs>
          <w:tab w:pos="517" w:val="left"/>
        </w:tabs>
        <w:bidi w:val="0"/>
        <w:spacing w:before="0" w:after="26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五</w:t>
      </w:r>
      <w:bookmarkEnd w:id="33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31"/>
      <w:bookmarkEnd w:id="332"/>
      <w:bookmarkEnd w:id="334"/>
    </w:p>
    <w:p>
      <w:pPr>
        <w:pStyle w:val="Style36"/>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517" w:val="left"/>
        </w:tabs>
        <w:bidi w:val="0"/>
        <w:spacing w:before="0" w:after="26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六</w:t>
      </w:r>
      <w:bookmarkEnd w:id="337"/>
      <w:r>
        <w:rPr>
          <w:color w:val="000000"/>
          <w:spacing w:val="0"/>
          <w:w w:val="100"/>
          <w:position w:val="0"/>
        </w:rPr>
        <w:t>、</w:t>
        <w:tab/>
        <w:t>与上年度财务报告相比，会计政策、会计估计和核算方法发生变化的情况说明</w:t>
      </w:r>
      <w:bookmarkEnd w:id="335"/>
      <w:bookmarkEnd w:id="336"/>
      <w:bookmarkEnd w:id="338"/>
    </w:p>
    <w:p>
      <w:pPr>
        <w:pStyle w:val="Style3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314" w:lineRule="exact"/>
        <w:ind w:left="0" w:right="0" w:firstLine="0"/>
        <w:jc w:val="left"/>
      </w:pPr>
      <w:bookmarkStart w:id="339" w:name="bookmark339"/>
      <w:r>
        <w:rPr>
          <w:rFonts w:ascii="Times New Roman" w:eastAsia="Times New Roman" w:hAnsi="Times New Roman" w:cs="Times New Roman"/>
          <w:color w:val="000000"/>
          <w:spacing w:val="0"/>
          <w:w w:val="100"/>
          <w:position w:val="0"/>
          <w:sz w:val="18"/>
          <w:szCs w:val="18"/>
        </w:rPr>
        <w:t>1</w:t>
      </w:r>
      <w:bookmarkEnd w:id="339"/>
      <w:r>
        <w:rPr>
          <w:color w:val="000000"/>
          <w:spacing w:val="0"/>
          <w:w w:val="100"/>
          <w:position w:val="0"/>
        </w:rPr>
        <w:t>、重要会计政策变更</w:t>
      </w:r>
    </w:p>
    <w:p>
      <w:pPr>
        <w:pStyle w:val="Style36"/>
        <w:keepNext w:val="0"/>
        <w:keepLines w:val="0"/>
        <w:widowControl w:val="0"/>
        <w:numPr>
          <w:ilvl w:val="0"/>
          <w:numId w:val="13"/>
        </w:numPr>
        <w:shd w:val="clear" w:color="auto" w:fill="auto"/>
        <w:bidi w:val="0"/>
        <w:spacing w:before="0" w:after="0" w:line="314" w:lineRule="exact"/>
        <w:ind w:left="0" w:right="0" w:firstLine="0"/>
        <w:jc w:val="left"/>
      </w:pPr>
      <w:bookmarkStart w:id="340" w:name="bookmark340"/>
      <w:bookmarkEnd w:id="340"/>
      <w:r>
        <w:rPr>
          <w:color w:val="000000"/>
          <w:spacing w:val="0"/>
          <w:w w:val="100"/>
          <w:position w:val="0"/>
        </w:rPr>
        <w:t>新收入准则</w:t>
      </w:r>
    </w:p>
    <w:p>
      <w:pPr>
        <w:pStyle w:val="Style3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），本公司经第五届董事会 第二次会议决议自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日起执行该准则，对会计政策相关内容进行了调整。</w:t>
      </w:r>
    </w:p>
    <w:p>
      <w:pPr>
        <w:pStyle w:val="Style3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 xml:space="preserve">本集团在履行了合同中的履约义务，即在客户取得相关商品或服务的控制权时，确认收入。在满足一定条件时，本集团 属于在某一时段内履行履约义务，否则，属于在某一时点履行履约义务。合同中包含两项或多项履约义务的，本集团在合同 开始日，按照各单项履约义务所承诺商品或服务的单独售价的相对比例，将交易价格分摊至各单项履约义务，按照分摊至各 </w:t>
      </w:r>
      <w:r>
        <w:rPr>
          <w:color w:val="000000"/>
          <w:spacing w:val="0"/>
          <w:w w:val="100"/>
          <w:position w:val="0"/>
        </w:rPr>
        <w:t>单项履约义务的交易价格计量收入。</w:t>
      </w:r>
    </w:p>
    <w:p>
      <w:pPr>
        <w:pStyle w:val="Style36"/>
        <w:keepNext w:val="0"/>
        <w:keepLines w:val="0"/>
        <w:widowControl w:val="0"/>
        <w:shd w:val="clear" w:color="auto" w:fill="auto"/>
        <w:bidi w:val="0"/>
        <w:spacing w:before="0" w:after="0" w:line="312" w:lineRule="exact"/>
        <w:ind w:left="0" w:right="0"/>
        <w:jc w:val="both"/>
      </w:pPr>
      <w:r>
        <w:rPr>
          <w:color w:val="000000"/>
          <w:spacing w:val="0"/>
          <w:w w:val="100"/>
          <w:position w:val="0"/>
        </w:rPr>
        <w:t>本集团依据新收入准则有关特定事项或交易的具体规定调整了相关会计政策。例如：合同成本、质量保证、主要责任人 和代理人的区分、附有销售退回条款的销售、额外购买选择权、知识产权许可、回购安排、预收款项、无需退回的初始费的 处理等。</w:t>
      </w:r>
    </w:p>
    <w:p>
      <w:pPr>
        <w:pStyle w:val="Style36"/>
        <w:keepNext w:val="0"/>
        <w:keepLines w:val="0"/>
        <w:widowControl w:val="0"/>
        <w:shd w:val="clear" w:color="auto" w:fill="auto"/>
        <w:bidi w:val="0"/>
        <w:spacing w:before="0" w:after="0" w:line="312" w:lineRule="exact"/>
        <w:ind w:left="0" w:right="0"/>
        <w:jc w:val="both"/>
      </w:pPr>
      <w:r>
        <w:rPr>
          <w:color w:val="000000"/>
          <w:spacing w:val="0"/>
          <w:w w:val="100"/>
          <w:position w:val="0"/>
        </w:rPr>
        <w:t>本集团已向客户转让商品而有权收取对价的权利，且该权利取决于时间流逝之外的其他因素作为合同资产列示。本集团 已收或应收客户对价而应向客户转让商品的义务作为合同负债列示。</w:t>
      </w:r>
    </w:p>
    <w:p>
      <w:pPr>
        <w:pStyle w:val="Style36"/>
        <w:keepNext w:val="0"/>
        <w:keepLines w:val="0"/>
        <w:widowControl w:val="0"/>
        <w:shd w:val="clear" w:color="auto" w:fill="auto"/>
        <w:bidi w:val="0"/>
        <w:spacing w:before="0" w:after="140" w:line="317" w:lineRule="exact"/>
        <w:ind w:left="0" w:right="0"/>
        <w:jc w:val="both"/>
      </w:pPr>
      <w:r>
        <w:rPr>
          <w:color w:val="000000"/>
          <w:spacing w:val="0"/>
          <w:w w:val="100"/>
          <w:position w:val="0"/>
        </w:rPr>
        <w:t>本集团根据首次执行新收入准则的累积影响数，调整本集团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年年初留存收益及财务报表其他相关项目金额，未对比 较财务报表数据进行调整。本集团仅对在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日尚未完成的合同的累积影响数调整本集团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年年初留存收益及财 务报表其他相关项目金额。</w:t>
      </w:r>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1704"/>
        <w:gridCol w:w="2707"/>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受影响的报表项目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影响金额（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因执行新收入准则，本集团将与销售商品及提供劳务相关、 不满足无条件收款权的收取对价的权利计入合同资产；将与 基建建设、部分制造与安装业务及提供劳务相关、不满足无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-23,056,370.97</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8,355,411.02</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14,700,959.95</w:t>
            </w:r>
          </w:p>
        </w:tc>
      </w:tr>
      <w:tr>
        <w:trPr>
          <w:trHeight w:val="350"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条件收款权的已完工未结算、长期应收款计入合同资产和其 他非流动资产；将与基建建设、部分制造与安装业务相关的 已结算未完工、销售商品及与提供劳务相关的预收款项重分 类至合同负债。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-163,640,989.43</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154,637,948.86</w:t>
            </w:r>
          </w:p>
        </w:tc>
      </w:tr>
      <w:tr>
        <w:trPr>
          <w:trHeight w:val="48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9,003,040.57</w:t>
            </w:r>
          </w:p>
        </w:tc>
      </w:tr>
    </w:tbl>
    <w:p>
      <w:pPr>
        <w:pStyle w:val="Style34"/>
        <w:keepNext w:val="0"/>
        <w:keepLines w:val="0"/>
        <w:widowControl w:val="0"/>
        <w:shd w:val="clear" w:color="auto" w:fill="auto"/>
        <w:bidi w:val="0"/>
        <w:spacing w:before="0" w:after="0" w:line="240" w:lineRule="auto"/>
        <w:ind w:left="72"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w:t>
      </w:r>
    </w:p>
    <w:p>
      <w:pPr>
        <w:widowControl w:val="0"/>
        <w:spacing w:after="99" w:line="1" w:lineRule="exact"/>
      </w:pPr>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464"/>
        <w:gridCol w:w="4632"/>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受影响的资产负债表项目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-26,342,899.59</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8,566,251.22</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17,776,648.37</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-150,464,343.29</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142,494,386.44</w:t>
            </w:r>
          </w:p>
        </w:tc>
      </w:tr>
      <w:tr>
        <w:trPr>
          <w:trHeight w:val="37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7,969,956.85</w:t>
            </w:r>
          </w:p>
        </w:tc>
      </w:tr>
    </w:tbl>
    <w:p>
      <w:pPr>
        <w:widowControl w:val="0"/>
        <w:spacing w:after="319" w:line="1" w:lineRule="exact"/>
      </w:pPr>
    </w:p>
    <w:p>
      <w:pPr>
        <w:pStyle w:val="Style36"/>
        <w:keepNext w:val="0"/>
        <w:keepLines w:val="0"/>
        <w:widowControl w:val="0"/>
        <w:numPr>
          <w:ilvl w:val="0"/>
          <w:numId w:val="13"/>
        </w:numPr>
        <w:shd w:val="clear" w:color="auto" w:fill="auto"/>
        <w:tabs>
          <w:tab w:pos="373" w:val="left"/>
        </w:tabs>
        <w:bidi w:val="0"/>
        <w:spacing w:before="0" w:after="0" w:line="325" w:lineRule="exact"/>
        <w:ind w:left="0" w:right="0" w:firstLine="0"/>
        <w:jc w:val="both"/>
      </w:pPr>
      <w:bookmarkStart w:id="341" w:name="bookmark341"/>
      <w:bookmarkEnd w:id="341"/>
      <w:r>
        <w:rPr>
          <w:color w:val="000000"/>
          <w:spacing w:val="0"/>
          <w:w w:val="100"/>
          <w:position w:val="0"/>
        </w:rPr>
        <w:t>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36"/>
        <w:keepNext w:val="0"/>
        <w:keepLines w:val="0"/>
        <w:widowControl w:val="0"/>
        <w:shd w:val="clear" w:color="auto" w:fill="auto"/>
        <w:bidi w:val="0"/>
        <w:spacing w:before="0" w:after="0" w:line="325"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36"/>
        <w:keepNext w:val="0"/>
        <w:keepLines w:val="0"/>
        <w:widowControl w:val="0"/>
        <w:shd w:val="clear" w:color="auto" w:fill="auto"/>
        <w:bidi w:val="0"/>
        <w:spacing w:before="0" w:after="0" w:line="324" w:lineRule="exact"/>
        <w:ind w:left="0" w:right="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号修订了构成业务的三个要素，细化了业务的判断条件，对非同一控制下企业合并的购买方在判断取得的经营 活动或资产的组合是否构成一项业务时，引入了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集中度测试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的方法。</w:t>
      </w:r>
    </w:p>
    <w:p>
      <w:pPr>
        <w:pStyle w:val="Style36"/>
        <w:keepNext w:val="0"/>
        <w:keepLines w:val="0"/>
        <w:widowControl w:val="0"/>
        <w:shd w:val="clear" w:color="auto" w:fill="auto"/>
        <w:bidi w:val="0"/>
        <w:spacing w:before="0" w:after="0" w:line="324" w:lineRule="exact"/>
        <w:ind w:left="0" w:right="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号明确了企业的关联方包括企业所属企业集团的其他共同成员单位（包括母公司和子公司）的合营企业或联营 企业，以及对企业实施共同控制的投资方的企业合营企业或联营企业等。</w:t>
      </w:r>
    </w:p>
    <w:p>
      <w:pPr>
        <w:pStyle w:val="Style36"/>
        <w:keepNext w:val="0"/>
        <w:keepLines w:val="0"/>
        <w:widowControl w:val="0"/>
        <w:shd w:val="clear" w:color="auto" w:fill="auto"/>
        <w:bidi w:val="0"/>
        <w:spacing w:before="0" w:after="0" w:line="325" w:lineRule="exact"/>
        <w:ind w:left="0" w:right="0"/>
        <w:jc w:val="both"/>
      </w:pP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日起实施，本集团采用未来适用法对上述会计政策变更进行会计处理。</w:t>
      </w:r>
    </w:p>
    <w:p>
      <w:pPr>
        <w:pStyle w:val="Style36"/>
        <w:keepNext w:val="0"/>
        <w:keepLines w:val="0"/>
        <w:widowControl w:val="0"/>
        <w:shd w:val="clear" w:color="auto" w:fill="auto"/>
        <w:bidi w:val="0"/>
        <w:spacing w:before="0" w:after="0" w:line="326" w:lineRule="exact"/>
        <w:ind w:left="0" w:right="0"/>
        <w:jc w:val="both"/>
      </w:pPr>
      <w:r>
        <w:rPr>
          <w:color w:val="000000"/>
          <w:spacing w:val="0"/>
          <w:w w:val="100"/>
          <w:position w:val="0"/>
        </w:rPr>
        <w:t>采用解释第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号未对本集团财务状况、经营成果和关联方披露产生重大影响。</w:t>
      </w:r>
    </w:p>
    <w:p>
      <w:pPr>
        <w:pStyle w:val="Style36"/>
        <w:keepNext w:val="0"/>
        <w:keepLines w:val="0"/>
        <w:widowControl w:val="0"/>
        <w:numPr>
          <w:ilvl w:val="0"/>
          <w:numId w:val="13"/>
        </w:numPr>
        <w:shd w:val="clear" w:color="auto" w:fill="auto"/>
        <w:tabs>
          <w:tab w:pos="373" w:val="left"/>
        </w:tabs>
        <w:bidi w:val="0"/>
        <w:spacing w:before="0" w:after="0" w:line="326" w:lineRule="exact"/>
        <w:ind w:left="0" w:right="0" w:firstLine="0"/>
        <w:jc w:val="both"/>
      </w:pPr>
      <w:bookmarkStart w:id="342" w:name="bookmark342"/>
      <w:bookmarkEnd w:id="342"/>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月发布了《关于印发</w:t>
      </w:r>
      <w:r>
        <w:rPr>
          <w:color w:val="000000"/>
          <w:spacing w:val="0"/>
          <w:w w:val="100"/>
          <w:position w:val="0"/>
          <w:sz w:val="18"/>
          <w:szCs w:val="18"/>
        </w:rPr>
        <w:t>〈</w:t>
      </w:r>
      <w:r>
        <w:rPr>
          <w:color w:val="000000"/>
          <w:spacing w:val="0"/>
          <w:w w:val="100"/>
          <w:position w:val="0"/>
        </w:rPr>
        <w:t>新冠肺炎疫情相关租金减让会计处理规定</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2020]10</w:t>
      </w:r>
      <w:r>
        <w:rPr>
          <w:color w:val="000000"/>
          <w:spacing w:val="0"/>
          <w:w w:val="100"/>
          <w:position w:val="0"/>
        </w:rPr>
        <w:t>号），可对新冠 肺炎疫情相关租金减让根据该会计处理规定选择采用简化方法。</w:t>
      </w:r>
    </w:p>
    <w:p>
      <w:pPr>
        <w:pStyle w:val="Style36"/>
        <w:keepNext w:val="0"/>
        <w:keepLines w:val="0"/>
        <w:widowControl w:val="0"/>
        <w:shd w:val="clear" w:color="auto" w:fill="auto"/>
        <w:bidi w:val="0"/>
        <w:spacing w:before="0" w:after="0" w:line="326" w:lineRule="exact"/>
        <w:ind w:left="0" w:right="0"/>
        <w:jc w:val="both"/>
      </w:pPr>
      <w:r>
        <w:rPr>
          <w:color w:val="000000"/>
          <w:spacing w:val="0"/>
          <w:w w:val="100"/>
          <w:position w:val="0"/>
        </w:rPr>
        <w:t>本集团对于自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日起发生的租赁的相关租金减让，采用了该会计处理规定中的简化方法（参见附注三、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）），在减免期间或在达成减让协议等解除并放弃相关权利义务时，将相关租金减让计入损益。上述简化方法对本期利 润的影响金额为</w:t>
      </w:r>
      <w:r>
        <w:rPr>
          <w:rFonts w:ascii="Times New Roman" w:eastAsia="Times New Roman" w:hAnsi="Times New Roman" w:cs="Times New Roman"/>
          <w:color w:val="000000"/>
          <w:spacing w:val="0"/>
          <w:w w:val="100"/>
          <w:position w:val="0"/>
          <w:sz w:val="18"/>
          <w:szCs w:val="18"/>
        </w:rPr>
        <w:t>192,350.56</w:t>
      </w:r>
      <w:r>
        <w:rPr>
          <w:color w:val="000000"/>
          <w:spacing w:val="0"/>
          <w:w w:val="100"/>
          <w:position w:val="0"/>
        </w:rPr>
        <w:t>元。</w:t>
      </w:r>
      <w:r>
        <w:br w:type="page"/>
      </w:r>
    </w:p>
    <w:p>
      <w:pPr>
        <w:pStyle w:val="Style36"/>
        <w:keepNext w:val="0"/>
        <w:keepLines w:val="0"/>
        <w:widowControl w:val="0"/>
        <w:shd w:val="clear" w:color="auto" w:fill="auto"/>
        <w:bidi w:val="0"/>
        <w:spacing w:before="0" w:after="140" w:line="240" w:lineRule="auto"/>
        <w:ind w:left="0" w:right="0"/>
        <w:jc w:val="left"/>
      </w:pPr>
      <w:r>
        <w:rPr>
          <w:color w:val="000000"/>
          <w:spacing w:val="0"/>
          <w:w w:val="100"/>
          <w:position w:val="0"/>
        </w:rPr>
        <w:t>本集团对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日之前发生的租金减让不适用上述简化处理方法。</w:t>
      </w:r>
    </w:p>
    <w:p>
      <w:pPr>
        <w:pStyle w:val="Style36"/>
        <w:keepNext w:val="0"/>
        <w:keepLines w:val="0"/>
        <w:widowControl w:val="0"/>
        <w:shd w:val="clear" w:color="auto" w:fill="auto"/>
        <w:tabs>
          <w:tab w:pos="354" w:val="left"/>
        </w:tabs>
        <w:bidi w:val="0"/>
        <w:spacing w:before="0" w:after="140" w:line="240" w:lineRule="auto"/>
        <w:ind w:left="0" w:right="0" w:firstLine="0"/>
        <w:jc w:val="left"/>
      </w:pPr>
      <w:bookmarkStart w:id="343" w:name="bookmark343"/>
      <w:r>
        <w:rPr>
          <w:rFonts w:ascii="Times New Roman" w:eastAsia="Times New Roman" w:hAnsi="Times New Roman" w:cs="Times New Roman"/>
          <w:color w:val="000000"/>
          <w:spacing w:val="0"/>
          <w:w w:val="100"/>
          <w:position w:val="0"/>
          <w:sz w:val="18"/>
          <w:szCs w:val="18"/>
        </w:rPr>
        <w:t>2</w:t>
      </w:r>
      <w:bookmarkEnd w:id="343"/>
      <w:r>
        <w:rPr>
          <w:color w:val="000000"/>
          <w:spacing w:val="0"/>
          <w:w w:val="100"/>
          <w:position w:val="0"/>
        </w:rPr>
        <w:t>、</w:t>
        <w:tab/>
        <w:t>重要会计估计变更</w:t>
      </w:r>
    </w:p>
    <w:p>
      <w:pPr>
        <w:pStyle w:val="Style36"/>
        <w:keepNext w:val="0"/>
        <w:keepLines w:val="0"/>
        <w:widowControl w:val="0"/>
        <w:shd w:val="clear" w:color="auto" w:fill="auto"/>
        <w:bidi w:val="0"/>
        <w:spacing w:before="0" w:after="140" w:line="240" w:lineRule="auto"/>
        <w:ind w:left="0" w:right="0"/>
        <w:jc w:val="left"/>
      </w:pPr>
      <w:r>
        <w:rPr>
          <w:color w:val="000000"/>
          <w:spacing w:val="0"/>
          <w:w w:val="100"/>
          <w:position w:val="0"/>
        </w:rPr>
        <w:t>本报告期无重要会计估计变更。</w:t>
      </w:r>
    </w:p>
    <w:p>
      <w:pPr>
        <w:pStyle w:val="Style36"/>
        <w:keepNext w:val="0"/>
        <w:keepLines w:val="0"/>
        <w:widowControl w:val="0"/>
        <w:shd w:val="clear" w:color="auto" w:fill="auto"/>
        <w:tabs>
          <w:tab w:pos="354" w:val="left"/>
        </w:tabs>
        <w:bidi w:val="0"/>
        <w:spacing w:before="0" w:after="140" w:line="240" w:lineRule="auto"/>
        <w:ind w:left="0" w:right="0" w:firstLine="0"/>
        <w:jc w:val="left"/>
      </w:pPr>
      <w:bookmarkStart w:id="344" w:name="bookmark344"/>
      <w:r>
        <w:rPr>
          <w:rFonts w:ascii="Times New Roman" w:eastAsia="Times New Roman" w:hAnsi="Times New Roman" w:cs="Times New Roman"/>
          <w:color w:val="000000"/>
          <w:spacing w:val="0"/>
          <w:w w:val="100"/>
          <w:position w:val="0"/>
          <w:sz w:val="18"/>
          <w:szCs w:val="18"/>
        </w:rPr>
        <w:t>3</w:t>
      </w:r>
      <w:bookmarkEnd w:id="344"/>
      <w:r>
        <w:rPr>
          <w:color w:val="000000"/>
          <w:spacing w:val="0"/>
          <w:w w:val="100"/>
          <w:position w:val="0"/>
        </w:rPr>
        <w:t>、</w:t>
        <w:tab/>
        <w:t>首次执行新收入准则调整首次执行当年年初财务报表相关项目情况</w:t>
      </w:r>
    </w:p>
    <w:p>
      <w:pPr>
        <w:pStyle w:val="Style3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合并资产负债表</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1838"/>
        <w:gridCol w:w="1843"/>
        <w:gridCol w:w="1858"/>
      </w:tblGrid>
      <w:tr>
        <w:trPr>
          <w:trHeight w:val="36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2019.12.31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2020.01.01</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调整数</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364,482,457.37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364,482,457.37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320,820,000.00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320,820,000.00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10,367,217.87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10,367,217.87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176,705,675.62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153,649,304.65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-23,056,370.97</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13,728,731.03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13,728,731.03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48,013,203.35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48,013,203.35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917,363,784.29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917,363,784.29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8,355,411.02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8,355,411.02</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60,402,163.70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60,402,163.70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1,911,883,233.23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1,897,182,273.28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-14,700,959.95</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设定受益计划净资产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117,527,819.80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117,527,819.80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95,906,363.50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95,906,363.50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75,814,987.47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75,814,987.47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21,666,791.10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21,666,791.10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326,713,347.82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326,713,347.82</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169,936,434.19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169,936,434.19</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开发支出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12,798,193.41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12,798,193.41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57"/>
        <w:gridCol w:w="1838"/>
        <w:gridCol w:w="1843"/>
        <w:gridCol w:w="1858"/>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3,449,561.86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3,449,561.86</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22,757,653.08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22,757,653.08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227,559.63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14,928,519.58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14,700,959.95</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846,798,711.86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861,499,671.81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14,700,959.95</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2,758,681,945.09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2,758,681,945.09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501,557,343.75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501,557,343.75</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55,490,588.10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55,490,588.10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219,055,618.78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219,055,618.78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164,196,135.11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555,145.68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-163,640,989.43</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154,637,948.86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154,637,948.86</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22,797,684.07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22,797,684.07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14,193,325.48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14,193,325.48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135,893,708.19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135,893,708.19</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16,291,464.35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25,294,504.92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9,003,040.57</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1,129,475,867.83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1,129,475,867.83</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77,042,789.83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77,042,789.83</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4,050,636.35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4,050,636.35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81,093,426.18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81,093,426.18</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1,210,569,294.01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1,210,569,294.01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57"/>
        <w:gridCol w:w="1838"/>
        <w:gridCol w:w="1843"/>
        <w:gridCol w:w="1858"/>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369,358,612.29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369,358,612.29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45,952,224.52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45,952,224.52</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71,463,402.20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71,463,402.20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428,572,874.09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428,572,874.09</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1,537,547,113.10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1,537,547,113.10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10,565,537.98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10,565,537.98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1,548,112,651.08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1,548,112,651.08</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2,758,681,945.09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2,758,681,945.09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3989" w:right="0" w:firstLine="0"/>
        <w:jc w:val="left"/>
      </w:pPr>
      <w:r>
        <w:rPr>
          <w:color w:val="000000"/>
          <w:spacing w:val="0"/>
          <w:w w:val="100"/>
          <w:position w:val="0"/>
        </w:rPr>
        <w:t>母公司资产负债表</w:t>
      </w:r>
    </w:p>
    <w:p>
      <w:pPr>
        <w:widowControl w:val="0"/>
        <w:spacing w:after="119" w:line="1" w:lineRule="exact"/>
      </w:pP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1838"/>
        <w:gridCol w:w="1843"/>
        <w:gridCol w:w="1858"/>
      </w:tblGrid>
      <w:tr>
        <w:trPr>
          <w:trHeight w:val="36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2019.12.31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2020.01.01</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调整数</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136,113,602.94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136,113,602.94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9,567,217.87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9,567,217.87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141,750,093.41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123,627,784.50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-18,122,308.91</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96,324,158.44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96,324,158.44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1,190,692,299.51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1,190,692,299.51</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112,415,649.66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112,415,649.66</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7,571,421.02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7,571,421.02</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12,842,094.24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12,842,094.24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1,977,705,116.07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1,967,154,228.18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-10,550,887.89</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设定受益计划净资产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692,074,115.51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692,074,115.51</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83,906,363.50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83,906,363.50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57"/>
        <w:gridCol w:w="1838"/>
        <w:gridCol w:w="1843"/>
        <w:gridCol w:w="1858"/>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9,662,490.64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9,662,490.64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28,523,955.08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28,523,955.08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12,798,193.41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12,798,193.41</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3,105,906.01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3,105,906.01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3,341,464.61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3,341,464.61</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10,550,887.89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10,550,887.89</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833,412,488.76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843,963,376.65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10,550,887.89</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2,811,117,604.83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2,811,117,604.83</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501,557,343.75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501,557,343.75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3,613,752.00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3,613,752.00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214,304,056.42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214,304,056.42</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120,361,644.95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-120,361,644.95</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114,175,736.62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114,175,736.62</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10,222,816.34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10,222,816.34</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4,083,884.74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4,083,884.74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371,014,088.83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371,014,088.83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10,407,469.96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16,593,378.29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6,185,908.33</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1,235,565,056.99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1,235,565,056.99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57"/>
        <w:gridCol w:w="1838"/>
        <w:gridCol w:w="1843"/>
        <w:gridCol w:w="1858"/>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548,333.33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548,333.33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4,050,636.35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4,050,636.35</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4,598,969.68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4,598,969.68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1,240,164,026.67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1,240,164,026.67</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364,193,237.65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364,193,237.65</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36,455,727.15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36,455,727.15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71,463,402.20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71,463,402.20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476,641,211.16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476,641,211.16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1,570,953,578.16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1,570,953,578.16</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2,811,117,604.83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2,811,117,604.83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522" w:val="left"/>
        </w:tabs>
        <w:bidi w:val="0"/>
        <w:spacing w:before="0" w:after="36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七</w:t>
      </w:r>
      <w:bookmarkEnd w:id="347"/>
      <w:r>
        <w:rPr>
          <w:color w:val="000000"/>
          <w:spacing w:val="0"/>
          <w:w w:val="100"/>
          <w:position w:val="0"/>
        </w:rPr>
        <w:t>、</w:t>
        <w:tab/>
        <w:t>报告期内发生重大会计差错更正需追溯重述的情况说明</w:t>
      </w:r>
      <w:bookmarkEnd w:id="345"/>
      <w:bookmarkEnd w:id="346"/>
      <w:bookmarkEnd w:id="348"/>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32"/>
        <w:keepNext/>
        <w:keepLines/>
        <w:widowControl w:val="0"/>
        <w:shd w:val="clear" w:color="auto" w:fill="auto"/>
        <w:tabs>
          <w:tab w:pos="522" w:val="left"/>
        </w:tabs>
        <w:bidi w:val="0"/>
        <w:spacing w:before="0" w:after="36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八</w:t>
      </w:r>
      <w:bookmarkEnd w:id="351"/>
      <w:r>
        <w:rPr>
          <w:color w:val="000000"/>
          <w:spacing w:val="0"/>
          <w:w w:val="100"/>
          <w:position w:val="0"/>
        </w:rPr>
        <w:t>、</w:t>
        <w:tab/>
        <w:t>与上年度财务报告相比，合并报表范围发生变化的情况说明</w:t>
      </w:r>
      <w:bookmarkEnd w:id="349"/>
      <w:bookmarkEnd w:id="350"/>
      <w:bookmarkEnd w:id="352"/>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32"/>
        <w:keepNext/>
        <w:keepLines/>
        <w:widowControl w:val="0"/>
        <w:shd w:val="clear" w:color="auto" w:fill="auto"/>
        <w:tabs>
          <w:tab w:pos="522" w:val="left"/>
        </w:tabs>
        <w:bidi w:val="0"/>
        <w:spacing w:before="0" w:after="36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九</w:t>
      </w:r>
      <w:bookmarkEnd w:id="355"/>
      <w:r>
        <w:rPr>
          <w:color w:val="000000"/>
          <w:spacing w:val="0"/>
          <w:w w:val="100"/>
          <w:position w:val="0"/>
        </w:rPr>
        <w:t>、</w:t>
        <w:tab/>
        <w:t>聘任、解聘会计师事务所情况</w:t>
      </w:r>
      <w:bookmarkEnd w:id="353"/>
      <w:bookmarkEnd w:id="354"/>
      <w:bookmarkEnd w:id="356"/>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林新田、杨莹</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聘请内部控制审计会计师事务所、财务顾问或保荐人情况</w:t>
      </w:r>
    </w:p>
    <w:p>
      <w:pPr>
        <w:pStyle w:val="Style36"/>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0"/>
        <w:jc w:val="left"/>
      </w:pPr>
      <w:bookmarkStart w:id="357" w:name="bookmark357"/>
      <w:bookmarkStart w:id="358" w:name="bookmark358"/>
      <w:bookmarkStart w:id="359" w:name="bookmark359"/>
      <w:r>
        <w:rPr>
          <w:color w:val="000000"/>
          <w:spacing w:val="0"/>
          <w:w w:val="100"/>
          <w:position w:val="0"/>
        </w:rPr>
        <w:t>十、年度报告披露后面临退市情况</w:t>
      </w:r>
      <w:bookmarkEnd w:id="357"/>
      <w:bookmarkEnd w:id="358"/>
      <w:bookmarkEnd w:id="359"/>
    </w:p>
    <w:p>
      <w:pPr>
        <w:pStyle w:val="Style36"/>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0"/>
        <w:jc w:val="left"/>
      </w:pPr>
      <w:bookmarkStart w:id="360" w:name="bookmark360"/>
      <w:bookmarkStart w:id="361" w:name="bookmark361"/>
      <w:bookmarkStart w:id="362" w:name="bookmark362"/>
      <w:r>
        <w:rPr>
          <w:color w:val="000000"/>
          <w:spacing w:val="0"/>
          <w:w w:val="100"/>
          <w:position w:val="0"/>
        </w:rPr>
        <w:t>十一、破产重整相关事项</w:t>
      </w:r>
      <w:bookmarkEnd w:id="360"/>
      <w:bookmarkEnd w:id="361"/>
      <w:bookmarkEnd w:id="362"/>
    </w:p>
    <w:p>
      <w:pPr>
        <w:pStyle w:val="Style36"/>
        <w:keepNext w:val="0"/>
        <w:keepLines w:val="0"/>
        <w:widowControl w:val="0"/>
        <w:shd w:val="clear" w:color="auto" w:fill="auto"/>
        <w:bidi w:val="0"/>
        <w:spacing w:before="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公司报告期未发生破产重整相关事项。</w:t>
      </w:r>
    </w:p>
    <w:p>
      <w:pPr>
        <w:pStyle w:val="Style32"/>
        <w:keepNext/>
        <w:keepLines/>
        <w:widowControl w:val="0"/>
        <w:shd w:val="clear" w:color="auto" w:fill="auto"/>
        <w:bidi w:val="0"/>
        <w:spacing w:before="0" w:after="280" w:line="240" w:lineRule="auto"/>
        <w:ind w:left="0" w:right="0" w:firstLine="0"/>
        <w:jc w:val="left"/>
      </w:pPr>
      <w:bookmarkStart w:id="363" w:name="bookmark363"/>
      <w:bookmarkStart w:id="364" w:name="bookmark364"/>
      <w:bookmarkStart w:id="365" w:name="bookmark365"/>
      <w:r>
        <w:rPr>
          <w:color w:val="000000"/>
          <w:spacing w:val="0"/>
          <w:w w:val="100"/>
          <w:position w:val="0"/>
        </w:rPr>
        <w:t>十二、重大诉讼、仲裁事项</w:t>
      </w:r>
      <w:bookmarkEnd w:id="363"/>
      <w:bookmarkEnd w:id="364"/>
      <w:bookmarkEnd w:id="365"/>
    </w:p>
    <w:p>
      <w:pPr>
        <w:pStyle w:val="Style36"/>
        <w:keepNext w:val="0"/>
        <w:keepLines w:val="0"/>
        <w:widowControl w:val="0"/>
        <w:shd w:val="clear" w:color="auto" w:fill="auto"/>
        <w:bidi w:val="0"/>
        <w:spacing w:before="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本报告期公司无重大诉讼、仲裁事项。</w:t>
      </w:r>
    </w:p>
    <w:p>
      <w:pPr>
        <w:pStyle w:val="Style32"/>
        <w:keepNext/>
        <w:keepLines/>
        <w:widowControl w:val="0"/>
        <w:shd w:val="clear" w:color="auto" w:fill="auto"/>
        <w:bidi w:val="0"/>
        <w:spacing w:before="0" w:after="280" w:line="240" w:lineRule="auto"/>
        <w:ind w:left="0" w:right="0" w:firstLine="0"/>
        <w:jc w:val="left"/>
      </w:pPr>
      <w:bookmarkStart w:id="366" w:name="bookmark366"/>
      <w:bookmarkStart w:id="367" w:name="bookmark367"/>
      <w:bookmarkStart w:id="368" w:name="bookmark368"/>
      <w:r>
        <w:rPr>
          <w:color w:val="000000"/>
          <w:spacing w:val="0"/>
          <w:w w:val="100"/>
          <w:position w:val="0"/>
        </w:rPr>
        <w:t>十三、处罚及整改情况</w:t>
      </w:r>
      <w:bookmarkEnd w:id="366"/>
      <w:bookmarkEnd w:id="367"/>
      <w:bookmarkEnd w:id="368"/>
    </w:p>
    <w:p>
      <w:pPr>
        <w:pStyle w:val="Style36"/>
        <w:keepNext w:val="0"/>
        <w:keepLines w:val="0"/>
        <w:widowControl w:val="0"/>
        <w:shd w:val="clear" w:color="auto" w:fill="auto"/>
        <w:bidi w:val="0"/>
        <w:spacing w:before="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公司报告期不存在处罚及整改情况。</w:t>
      </w:r>
    </w:p>
    <w:p>
      <w:pPr>
        <w:pStyle w:val="Style32"/>
        <w:keepNext/>
        <w:keepLines/>
        <w:widowControl w:val="0"/>
        <w:shd w:val="clear" w:color="auto" w:fill="auto"/>
        <w:bidi w:val="0"/>
        <w:spacing w:before="0" w:after="280" w:line="240" w:lineRule="auto"/>
        <w:ind w:left="0" w:right="0" w:firstLine="0"/>
        <w:jc w:val="left"/>
      </w:pPr>
      <w:bookmarkStart w:id="369" w:name="bookmark369"/>
      <w:bookmarkStart w:id="370" w:name="bookmark370"/>
      <w:bookmarkStart w:id="371" w:name="bookmark371"/>
      <w:r>
        <w:rPr>
          <w:color w:val="000000"/>
          <w:spacing w:val="0"/>
          <w:w w:val="100"/>
          <w:position w:val="0"/>
        </w:rPr>
        <w:t>十四、公司及其控股股东、实际控制人的诚信状况</w:t>
      </w:r>
      <w:bookmarkEnd w:id="369"/>
      <w:bookmarkEnd w:id="370"/>
      <w:bookmarkEnd w:id="371"/>
    </w:p>
    <w:p>
      <w:pPr>
        <w:pStyle w:val="Style36"/>
        <w:keepNext w:val="0"/>
        <w:keepLines w:val="0"/>
        <w:widowControl w:val="0"/>
        <w:shd w:val="clear" w:color="auto" w:fill="auto"/>
        <w:bidi w:val="0"/>
        <w:spacing w:before="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报告期内公司及其控股股东、实际控制人不存在未履行法院生效判决、所负数额较大的债务到期未清偿等情况。</w:t>
      </w:r>
    </w:p>
    <w:p>
      <w:pPr>
        <w:pStyle w:val="Style32"/>
        <w:keepNext/>
        <w:keepLines/>
        <w:widowControl w:val="0"/>
        <w:shd w:val="clear" w:color="auto" w:fill="auto"/>
        <w:bidi w:val="0"/>
        <w:spacing w:before="0" w:after="280" w:line="240" w:lineRule="auto"/>
        <w:ind w:left="0" w:right="0" w:firstLine="0"/>
        <w:jc w:val="left"/>
      </w:pPr>
      <w:bookmarkStart w:id="372" w:name="bookmark372"/>
      <w:bookmarkStart w:id="373" w:name="bookmark373"/>
      <w:bookmarkStart w:id="374" w:name="bookmark374"/>
      <w:r>
        <w:rPr>
          <w:color w:val="000000"/>
          <w:spacing w:val="0"/>
          <w:w w:val="100"/>
          <w:position w:val="0"/>
        </w:rPr>
        <w:t>十五、公司股权激励计划、员工持股计划或其他员工激励措施的实施情况</w:t>
      </w:r>
      <w:bookmarkEnd w:id="372"/>
      <w:bookmarkEnd w:id="373"/>
      <w:bookmarkEnd w:id="374"/>
    </w:p>
    <w:p>
      <w:pPr>
        <w:pStyle w:val="Style36"/>
        <w:keepNext w:val="0"/>
        <w:keepLines w:val="0"/>
        <w:widowControl w:val="0"/>
        <w:shd w:val="clear" w:color="auto" w:fill="auto"/>
        <w:bidi w:val="0"/>
        <w:spacing w:before="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line="313" w:lineRule="exact"/>
        <w:ind w:left="0" w:right="0" w:firstLine="480"/>
        <w:jc w:val="left"/>
      </w:pPr>
      <w:r>
        <w:rPr>
          <w:color w:val="000000"/>
          <w:spacing w:val="0"/>
          <w:w w:val="100"/>
          <w:position w:val="0"/>
        </w:rPr>
        <w:t>截至本报告披露日，公司共有三期员工持股计划已全部完成购买，具体情况如下：</w:t>
      </w:r>
    </w:p>
    <w:p>
      <w:pPr>
        <w:pStyle w:val="Style36"/>
        <w:keepNext w:val="0"/>
        <w:keepLines w:val="0"/>
        <w:widowControl w:val="0"/>
        <w:shd w:val="clear" w:color="auto" w:fill="auto"/>
        <w:bidi w:val="0"/>
        <w:spacing w:before="0" w:line="314" w:lineRule="exact"/>
        <w:ind w:left="0" w:right="0" w:firstLine="4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华融榕基软件员工持股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号定向资产管理计划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通过二级市场购入的方式累计购买公司股票</w:t>
      </w:r>
      <w:r>
        <w:rPr>
          <w:rFonts w:ascii="Times New Roman" w:eastAsia="Times New Roman" w:hAnsi="Times New Roman" w:cs="Times New Roman"/>
          <w:color w:val="000000"/>
          <w:spacing w:val="0"/>
          <w:w w:val="100"/>
          <w:position w:val="0"/>
          <w:sz w:val="18"/>
          <w:szCs w:val="18"/>
        </w:rPr>
        <w:t xml:space="preserve">1,867,900 </w:t>
      </w:r>
      <w:r>
        <w:rPr>
          <w:color w:val="000000"/>
          <w:spacing w:val="0"/>
          <w:w w:val="100"/>
          <w:position w:val="0"/>
        </w:rPr>
        <w:t>股，占公司总股本约为</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日召开了公司第五届董事会第七次会议，审议通过了《关于公司第一期 员工持股计划存续期展期的议案》，同意公司第一期员工持股计划存续期展期至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36"/>
        <w:keepNext w:val="0"/>
        <w:keepLines w:val="0"/>
        <w:widowControl w:val="0"/>
        <w:shd w:val="clear" w:color="auto" w:fill="auto"/>
        <w:bidi w:val="0"/>
        <w:spacing w:before="0" w:line="312" w:lineRule="exact"/>
        <w:ind w:left="0" w:right="0" w:firstLine="4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日，华融榕基软件员工持股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号定向资产管理计划（第二期）已通过二级市场购入的方式累计购买公司股 票</w:t>
      </w:r>
      <w:r>
        <w:rPr>
          <w:rFonts w:ascii="Times New Roman" w:eastAsia="Times New Roman" w:hAnsi="Times New Roman" w:cs="Times New Roman"/>
          <w:color w:val="000000"/>
          <w:spacing w:val="0"/>
          <w:w w:val="100"/>
          <w:position w:val="0"/>
          <w:sz w:val="18"/>
          <w:szCs w:val="18"/>
        </w:rPr>
        <w:t>2,629,101</w:t>
      </w:r>
      <w:r>
        <w:rPr>
          <w:color w:val="000000"/>
          <w:spacing w:val="0"/>
          <w:w w:val="100"/>
          <w:position w:val="0"/>
        </w:rPr>
        <w:t>股，占公司总股本约为</w:t>
      </w:r>
      <w:r>
        <w:rPr>
          <w:rFonts w:ascii="Times New Roman" w:eastAsia="Times New Roman" w:hAnsi="Times New Roman" w:cs="Times New Roman"/>
          <w:color w:val="000000"/>
          <w:spacing w:val="0"/>
          <w:w w:val="100"/>
          <w:position w:val="0"/>
          <w:sz w:val="18"/>
          <w:szCs w:val="18"/>
        </w:rPr>
        <w:t>0.42%</w:t>
      </w:r>
      <w:r>
        <w:rPr>
          <w:color w:val="000000"/>
          <w:spacing w:val="0"/>
          <w:w w:val="100"/>
          <w:position w:val="0"/>
        </w:rPr>
        <w:t>。</w:t>
      </w:r>
    </w:p>
    <w:p>
      <w:pPr>
        <w:pStyle w:val="Style36"/>
        <w:keepNext w:val="0"/>
        <w:keepLines w:val="0"/>
        <w:widowControl w:val="0"/>
        <w:shd w:val="clear" w:color="auto" w:fill="auto"/>
        <w:bidi w:val="0"/>
        <w:spacing w:before="0" w:line="312" w:lineRule="exact"/>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日，华融榕基软件员工持股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号定向资产管理计划（第三期）已通过二级市场购入的方式累计购买公司股 票</w:t>
      </w:r>
      <w:r>
        <w:rPr>
          <w:rFonts w:ascii="Times New Roman" w:eastAsia="Times New Roman" w:hAnsi="Times New Roman" w:cs="Times New Roman"/>
          <w:color w:val="000000"/>
          <w:spacing w:val="0"/>
          <w:w w:val="100"/>
          <w:position w:val="0"/>
          <w:sz w:val="18"/>
          <w:szCs w:val="18"/>
        </w:rPr>
        <w:t>7,856,200</w:t>
      </w:r>
      <w:r>
        <w:rPr>
          <w:color w:val="000000"/>
          <w:spacing w:val="0"/>
          <w:w w:val="100"/>
          <w:position w:val="0"/>
        </w:rPr>
        <w:t>股，占公司总股本约为</w:t>
      </w:r>
      <w:r>
        <w:rPr>
          <w:rFonts w:ascii="Times New Roman" w:eastAsia="Times New Roman" w:hAnsi="Times New Roman" w:cs="Times New Roman"/>
          <w:color w:val="000000"/>
          <w:spacing w:val="0"/>
          <w:w w:val="100"/>
          <w:position w:val="0"/>
          <w:sz w:val="18"/>
          <w:szCs w:val="18"/>
        </w:rPr>
        <w:t>1.26%</w:t>
      </w:r>
      <w:r>
        <w:rPr>
          <w:color w:val="000000"/>
          <w:spacing w:val="0"/>
          <w:w w:val="100"/>
          <w:position w:val="0"/>
        </w:rPr>
        <w:t>。</w:t>
      </w:r>
    </w:p>
    <w:p>
      <w:pPr>
        <w:pStyle w:val="Style36"/>
        <w:keepNext w:val="0"/>
        <w:keepLines w:val="0"/>
        <w:widowControl w:val="0"/>
        <w:shd w:val="clear" w:color="auto" w:fill="auto"/>
        <w:bidi w:val="0"/>
        <w:spacing w:before="0" w:line="313" w:lineRule="exact"/>
        <w:ind w:left="0" w:right="0" w:firstLine="480"/>
        <w:jc w:val="left"/>
      </w:pPr>
      <w:r>
        <w:rPr>
          <w:color w:val="000000"/>
          <w:spacing w:val="0"/>
          <w:w w:val="100"/>
          <w:position w:val="0"/>
        </w:rPr>
        <w:t>榕基软件员工持股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期共计购买</w:t>
      </w:r>
      <w:r>
        <w:rPr>
          <w:rFonts w:ascii="Times New Roman" w:eastAsia="Times New Roman" w:hAnsi="Times New Roman" w:cs="Times New Roman"/>
          <w:color w:val="000000"/>
          <w:spacing w:val="0"/>
          <w:w w:val="100"/>
          <w:position w:val="0"/>
          <w:sz w:val="18"/>
          <w:szCs w:val="18"/>
        </w:rPr>
        <w:t>12,353,201</w:t>
      </w:r>
      <w:r>
        <w:rPr>
          <w:color w:val="000000"/>
          <w:spacing w:val="0"/>
          <w:w w:val="100"/>
          <w:position w:val="0"/>
        </w:rPr>
        <w:t>股，占公司总股本约为</w:t>
      </w:r>
      <w:r>
        <w:rPr>
          <w:rFonts w:ascii="Times New Roman" w:eastAsia="Times New Roman" w:hAnsi="Times New Roman" w:cs="Times New Roman"/>
          <w:color w:val="000000"/>
          <w:spacing w:val="0"/>
          <w:w w:val="100"/>
          <w:position w:val="0"/>
          <w:sz w:val="18"/>
          <w:szCs w:val="18"/>
        </w:rPr>
        <w:t>1.99%</w:t>
      </w:r>
      <w:r>
        <w:rPr>
          <w:color w:val="000000"/>
          <w:spacing w:val="0"/>
          <w:w w:val="100"/>
          <w:position w:val="0"/>
        </w:rPr>
        <w:t>。</w:t>
      </w:r>
    </w:p>
    <w:p>
      <w:pPr>
        <w:pStyle w:val="Style36"/>
        <w:keepNext w:val="0"/>
        <w:keepLines w:val="0"/>
        <w:widowControl w:val="0"/>
        <w:shd w:val="clear" w:color="auto" w:fill="auto"/>
        <w:bidi w:val="0"/>
        <w:spacing w:before="0" w:after="80" w:line="313" w:lineRule="exact"/>
        <w:ind w:left="0" w:right="0" w:firstLine="480"/>
        <w:jc w:val="left"/>
      </w:pPr>
      <w:r>
        <w:rPr>
          <w:color w:val="000000"/>
          <w:spacing w:val="0"/>
          <w:w w:val="100"/>
          <w:position w:val="0"/>
        </w:rPr>
        <w:t>具体的审批程序及其相关实施情况已刊登在中国证监会指定信息披露媒体巨潮资讯网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，公告情</w:t>
      </w:r>
    </w:p>
    <w:p>
      <w:pPr>
        <w:pStyle w:val="Style34"/>
        <w:keepNext w:val="0"/>
        <w:keepLines w:val="0"/>
        <w:widowControl w:val="0"/>
        <w:shd w:val="clear" w:color="auto" w:fill="auto"/>
        <w:bidi w:val="0"/>
        <w:spacing w:before="0" w:after="0" w:line="240" w:lineRule="auto"/>
        <w:ind w:left="101" w:right="0" w:firstLine="0"/>
        <w:jc w:val="left"/>
      </w:pPr>
      <w:r>
        <w:rPr>
          <w:color w:val="000000"/>
          <w:spacing w:val="0"/>
          <w:w w:val="100"/>
          <w:position w:val="0"/>
        </w:rPr>
        <w:t>况如下:</w:t>
      </w:r>
    </w:p>
    <w:tbl>
      <w:tblPr>
        <w:tblOverlap w:val="never"/>
        <w:jc w:val="center"/>
        <w:tblLayout w:type="fixed"/>
      </w:tblPr>
      <w:tblGrid>
        <w:gridCol w:w="2674"/>
        <w:gridCol w:w="1310"/>
        <w:gridCol w:w="5894"/>
      </w:tblGrid>
      <w:tr>
        <w:trPr>
          <w:trHeight w:val="355" w:hRule="exact"/>
        </w:trPr>
        <w:tc>
          <w:tcPr>
            <w:tcBorders>
              <w:top w:val="single" w:sz="4"/>
              <w:left w:val="single" w:sz="4"/>
            </w:tcBorders>
            <w:shd w:val="clear" w:color="auto" w:fill="BFBFB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公告名称</w:t>
            </w:r>
          </w:p>
        </w:tc>
        <w:tc>
          <w:tcPr>
            <w:tcBorders>
              <w:top w:val="single" w:sz="4"/>
              <w:left w:val="single" w:sz="4"/>
            </w:tcBorders>
            <w:shd w:val="clear" w:color="auto" w:fill="BFBFB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公告日期</w:t>
            </w:r>
          </w:p>
        </w:tc>
        <w:tc>
          <w:tcPr>
            <w:tcBorders>
              <w:top w:val="single" w:sz="4"/>
              <w:left w:val="single" w:sz="4"/>
              <w:right w:val="single" w:sz="4"/>
            </w:tcBorders>
            <w:shd w:val="clear" w:color="auto" w:fill="BFBFB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公告索引</w:t>
            </w:r>
          </w:p>
        </w:tc>
      </w:tr>
      <w:tr>
        <w:trPr>
          <w:trHeight w:val="67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榕基软件：关于公司第一期员工 持股计划的进展公告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2017-05-13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fldChar w:fldCharType="begin"/>
            </w:r>
            <w:r>
              <w:rPr/>
              <w:instrText> HYPERLINK "http://www.cninfo.com.cn/cninfo-" </w:instrText>
            </w:r>
            <w:r>
              <w:fldChar w:fldCharType="separate"/>
            </w:r>
            <w:r>
              <w:rPr>
                <w:rFonts w:ascii="Times New Roman" w:eastAsia="Times New Roman" w:hAnsi="Times New Roman" w:cs="Times New Roman"/>
                <w:color w:val="000000"/>
                <w:spacing w:val="0"/>
                <w:w w:val="100"/>
                <w:position w:val="0"/>
                <w:sz w:val="18"/>
                <w:szCs w:val="18"/>
              </w:rPr>
              <w:t>http://www.cninfo.com.cn/cninfo-</w:t>
            </w:r>
            <w:r>
              <w:fldChar w:fldCharType="end"/>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new/disclo sure/sz se_sme/bulletin_detail/true/1203514217?announceTime=2017</w:t>
            </w: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2674"/>
        <w:gridCol w:w="1310"/>
        <w:gridCol w:w="5894"/>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05-13</w:t>
            </w:r>
          </w:p>
        </w:tc>
      </w:tr>
      <w:tr>
        <w:trPr>
          <w:trHeight w:val="9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榕基软件：关于公司第二期员工 持股计划完成股票购买的公告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2017-11-22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http: //www. cninfo. c om. cn/cninfo </w:t>
            </w:r>
            <w:r>
              <w:rPr>
                <w:rFonts w:ascii="Times New Roman" w:eastAsia="Times New Roman" w:hAnsi="Times New Roman" w:cs="Times New Roman"/>
                <w:color w:val="000000"/>
                <w:spacing w:val="0"/>
                <w:w w:val="100"/>
                <w:position w:val="0"/>
                <w:sz w:val="18"/>
                <w:szCs w:val="18"/>
              </w:rPr>
              <w:t>-</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new/disclosure/szse_sme/bulletin_detail/true/1204155139?announceTime=2017</w:t>
            </w:r>
            <w:r>
              <w:rPr>
                <w:rFonts w:ascii="Times New Roman" w:eastAsia="Times New Roman" w:hAnsi="Times New Roman" w:cs="Times New Roman"/>
                <w:color w:val="000000"/>
                <w:spacing w:val="0"/>
                <w:w w:val="100"/>
                <w:position w:val="0"/>
                <w:sz w:val="18"/>
                <w:szCs w:val="18"/>
              </w:rPr>
              <w:t>-</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11-22</w:t>
            </w:r>
          </w:p>
        </w:tc>
      </w:tr>
      <w:tr>
        <w:trPr>
          <w:trHeight w:val="9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榕基软件：关于公司第三期员工 持股计划完成股票购买的公告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2018-02-13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center"/>
              <w:rPr>
                <w:sz w:val="18"/>
                <w:szCs w:val="18"/>
              </w:rPr>
            </w:pPr>
            <w:r>
              <w:fldChar w:fldCharType="begin"/>
            </w:r>
            <w:r>
              <w:rPr/>
              <w:instrText> HYPERLINK "http://www.cninfo.com.cn/cninfo-" </w:instrText>
            </w:r>
            <w:r>
              <w:fldChar w:fldCharType="separate"/>
            </w:r>
            <w:r>
              <w:rPr>
                <w:rFonts w:ascii="Times New Roman" w:eastAsia="Times New Roman" w:hAnsi="Times New Roman" w:cs="Times New Roman"/>
                <w:color w:val="000000"/>
                <w:spacing w:val="0"/>
                <w:w w:val="100"/>
                <w:position w:val="0"/>
                <w:sz w:val="18"/>
                <w:szCs w:val="18"/>
              </w:rPr>
              <w:t>http://www.cninfo.com.cn/cninfo-</w:t>
            </w:r>
            <w:r>
              <w:fldChar w:fldCharType="end"/>
            </w:r>
          </w:p>
          <w:p>
            <w:pPr>
              <w:pStyle w:val="Style2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new/disclosure/szse_sme/bulletin_detail/true/1204417137?announceTime=2018</w:t>
            </w:r>
            <w:r>
              <w:rPr>
                <w:rFonts w:ascii="Times New Roman" w:eastAsia="Times New Roman" w:hAnsi="Times New Roman" w:cs="Times New Roman"/>
                <w:color w:val="000000"/>
                <w:spacing w:val="0"/>
                <w:w w:val="100"/>
                <w:position w:val="0"/>
                <w:sz w:val="18"/>
                <w:szCs w:val="18"/>
              </w:rPr>
              <w:t>- 02-13</w:t>
            </w:r>
          </w:p>
        </w:tc>
      </w:tr>
      <w:tr>
        <w:trPr>
          <w:trHeight w:val="97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榕基软件：关于公司第一期员工</w:t>
            </w:r>
            <w:r>
              <w:rPr>
                <w:color w:val="000000"/>
                <w:spacing w:val="0"/>
                <w:w w:val="100"/>
                <w:position w:val="0"/>
              </w:rPr>
              <w:t xml:space="preserve"> </w:t>
            </w:r>
            <w:r>
              <w:rPr>
                <w:color w:val="000000"/>
                <w:spacing w:val="0"/>
                <w:w w:val="100"/>
                <w:position w:val="0"/>
              </w:rPr>
              <w:t>持股计划存续期展期的公告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2020-12-08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center"/>
              <w:rPr>
                <w:sz w:val="18"/>
                <w:szCs w:val="18"/>
              </w:rPr>
            </w:pPr>
            <w:r>
              <w:fldChar w:fldCharType="begin"/>
            </w:r>
            <w:r>
              <w:rPr/>
              <w:instrText> HYPERLINK "http://www.cninfb.com.cn/new/disclosure/detailfplate=szse&amp;orgld=9900014447" </w:instrText>
            </w:r>
            <w:r>
              <w:fldChar w:fldCharType="separate"/>
            </w:r>
            <w:r>
              <w:rPr>
                <w:rFonts w:ascii="Times New Roman" w:eastAsia="Times New Roman" w:hAnsi="Times New Roman" w:cs="Times New Roman"/>
                <w:color w:val="000000"/>
                <w:spacing w:val="0"/>
                <w:w w:val="100"/>
                <w:position w:val="0"/>
                <w:sz w:val="18"/>
                <w:szCs w:val="18"/>
              </w:rPr>
              <w:t>http://www.cninfb.com.cn/new/disclosure/detailfplate</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szse&amp;orgld=9900014447</w:t>
            </w:r>
            <w:r>
              <w:fldChar w:fldCharType="end"/>
            </w:r>
          </w:p>
          <w:p>
            <w:pPr>
              <w:pStyle w:val="Style2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&amp;stockCode=002474&amp;announcementId=1208863088&amp;announcementTime=202 0-12-08</w:t>
            </w:r>
          </w:p>
        </w:tc>
      </w:tr>
    </w:tbl>
    <w:p>
      <w:pPr>
        <w:pStyle w:val="Style34"/>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375" w:name="bookmark375"/>
      <w:bookmarkStart w:id="376" w:name="bookmark376"/>
      <w:bookmarkStart w:id="377" w:name="bookmark377"/>
      <w:r>
        <w:rPr>
          <w:color w:val="000000"/>
          <w:spacing w:val="0"/>
          <w:w w:val="100"/>
          <w:position w:val="0"/>
        </w:rPr>
        <w:t>十六、重大关联交易</w:t>
      </w:r>
      <w:bookmarkEnd w:id="375"/>
      <w:bookmarkEnd w:id="376"/>
      <w:bookmarkEnd w:id="377"/>
    </w:p>
    <w:p>
      <w:pPr>
        <w:pStyle w:val="Style43"/>
        <w:keepNext/>
        <w:keepLines/>
        <w:widowControl w:val="0"/>
        <w:shd w:val="clear" w:color="auto" w:fill="auto"/>
        <w:tabs>
          <w:tab w:pos="368" w:val="left"/>
        </w:tabs>
        <w:bidi w:val="0"/>
        <w:spacing w:before="0" w:after="38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w:t>
        <w:tab/>
        <w:t>与日常经营相关的关联交易</w:t>
      </w:r>
      <w:bookmarkEnd w:id="378"/>
      <w:bookmarkEnd w:id="379"/>
      <w:bookmarkEnd w:id="381"/>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43"/>
        <w:keepNext/>
        <w:keepLines/>
        <w:widowControl w:val="0"/>
        <w:shd w:val="clear" w:color="auto" w:fill="auto"/>
        <w:tabs>
          <w:tab w:pos="378" w:val="left"/>
        </w:tabs>
        <w:bidi w:val="0"/>
        <w:spacing w:before="0" w:after="38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w:t>
        <w:tab/>
        <w:t>资产或股权收购、出售发生的关联交易</w:t>
      </w:r>
      <w:bookmarkEnd w:id="382"/>
      <w:bookmarkEnd w:id="383"/>
      <w:bookmarkEnd w:id="385"/>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43"/>
        <w:keepNext/>
        <w:keepLines/>
        <w:widowControl w:val="0"/>
        <w:shd w:val="clear" w:color="auto" w:fill="auto"/>
        <w:tabs>
          <w:tab w:pos="378" w:val="left"/>
        </w:tabs>
        <w:bidi w:val="0"/>
        <w:spacing w:before="0" w:after="38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3</w:t>
      </w:r>
      <w:bookmarkEnd w:id="388"/>
      <w:r>
        <w:rPr>
          <w:color w:val="000000"/>
          <w:spacing w:val="0"/>
          <w:w w:val="100"/>
          <w:position w:val="0"/>
        </w:rPr>
        <w:t>、</w:t>
        <w:tab/>
        <w:t>共同对外投资的关联交易</w:t>
      </w:r>
      <w:bookmarkEnd w:id="386"/>
      <w:bookmarkEnd w:id="387"/>
      <w:bookmarkEnd w:id="389"/>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43"/>
        <w:keepNext/>
        <w:keepLines/>
        <w:widowControl w:val="0"/>
        <w:shd w:val="clear" w:color="auto" w:fill="auto"/>
        <w:tabs>
          <w:tab w:pos="378" w:val="left"/>
        </w:tabs>
        <w:bidi w:val="0"/>
        <w:spacing w:before="0" w:after="38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4</w:t>
      </w:r>
      <w:bookmarkEnd w:id="392"/>
      <w:r>
        <w:rPr>
          <w:color w:val="000000"/>
          <w:spacing w:val="0"/>
          <w:w w:val="100"/>
          <w:position w:val="0"/>
        </w:rPr>
        <w:t>、</w:t>
        <w:tab/>
        <w:t>关联债权债务往来</w:t>
      </w:r>
      <w:bookmarkEnd w:id="390"/>
      <w:bookmarkEnd w:id="391"/>
      <w:bookmarkEnd w:id="393"/>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43"/>
        <w:keepNext/>
        <w:keepLines/>
        <w:widowControl w:val="0"/>
        <w:shd w:val="clear" w:color="auto" w:fill="auto"/>
        <w:tabs>
          <w:tab w:pos="378" w:val="left"/>
        </w:tabs>
        <w:bidi w:val="0"/>
        <w:spacing w:before="0" w:after="38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5</w:t>
      </w:r>
      <w:bookmarkEnd w:id="396"/>
      <w:r>
        <w:rPr>
          <w:color w:val="000000"/>
          <w:spacing w:val="0"/>
          <w:w w:val="100"/>
          <w:position w:val="0"/>
        </w:rPr>
        <w:t>、</w:t>
        <w:tab/>
        <w:t>其他重大关联交易</w:t>
      </w:r>
      <w:bookmarkEnd w:id="394"/>
      <w:bookmarkEnd w:id="395"/>
      <w:bookmarkEnd w:id="397"/>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32"/>
        <w:keepNext/>
        <w:keepLines/>
        <w:widowControl w:val="0"/>
        <w:shd w:val="clear" w:color="auto" w:fill="auto"/>
        <w:bidi w:val="0"/>
        <w:spacing w:before="0" w:line="240" w:lineRule="auto"/>
        <w:ind w:left="0" w:right="0" w:firstLine="0"/>
        <w:jc w:val="left"/>
      </w:pPr>
      <w:bookmarkStart w:id="398" w:name="bookmark398"/>
      <w:bookmarkStart w:id="399" w:name="bookmark399"/>
      <w:bookmarkStart w:id="400" w:name="bookmark400"/>
      <w:r>
        <w:rPr>
          <w:color w:val="000000"/>
          <w:spacing w:val="0"/>
          <w:w w:val="100"/>
          <w:position w:val="0"/>
        </w:rPr>
        <w:t>十七、重大合同及其履行情况</w:t>
      </w:r>
      <w:bookmarkEnd w:id="398"/>
      <w:bookmarkEnd w:id="399"/>
      <w:bookmarkEnd w:id="400"/>
    </w:p>
    <w:p>
      <w:pPr>
        <w:pStyle w:val="Style43"/>
        <w:keepNext/>
        <w:keepLines/>
        <w:widowControl w:val="0"/>
        <w:shd w:val="clear" w:color="auto" w:fill="auto"/>
        <w:tabs>
          <w:tab w:pos="368" w:val="left"/>
        </w:tabs>
        <w:bidi w:val="0"/>
        <w:spacing w:before="0" w:after="38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w:t>
        <w:tab/>
        <w:t>托管、承包、租赁事项情况</w:t>
      </w:r>
      <w:bookmarkEnd w:id="401"/>
      <w:bookmarkEnd w:id="402"/>
      <w:bookmarkEnd w:id="404"/>
    </w:p>
    <w:p>
      <w:pPr>
        <w:pStyle w:val="Style43"/>
        <w:keepNext/>
        <w:keepLines/>
        <w:widowControl w:val="0"/>
        <w:shd w:val="clear" w:color="auto" w:fill="auto"/>
        <w:tabs>
          <w:tab w:pos="493" w:val="left"/>
        </w:tabs>
        <w:bidi w:val="0"/>
        <w:spacing w:before="0" w:after="380" w:line="240" w:lineRule="auto"/>
        <w:ind w:left="0" w:right="0" w:firstLine="0"/>
        <w:jc w:val="left"/>
      </w:pPr>
      <w:bookmarkStart w:id="401" w:name="bookmark401"/>
      <w:bookmarkStart w:id="402" w:name="bookmark402"/>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1"/>
      <w:bookmarkEnd w:id="402"/>
      <w:bookmarkEnd w:id="406"/>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3"/>
        <w:keepNext/>
        <w:keepLines/>
        <w:widowControl w:val="0"/>
        <w:shd w:val="clear" w:color="auto" w:fill="auto"/>
        <w:tabs>
          <w:tab w:pos="493" w:val="left"/>
        </w:tabs>
        <w:bidi w:val="0"/>
        <w:spacing w:before="0" w:after="38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7"/>
      <w:bookmarkEnd w:id="408"/>
      <w:bookmarkEnd w:id="410"/>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3"/>
        <w:keepNext/>
        <w:keepLines/>
        <w:widowControl w:val="0"/>
        <w:shd w:val="clear" w:color="auto" w:fill="auto"/>
        <w:tabs>
          <w:tab w:pos="493" w:val="left"/>
        </w:tabs>
        <w:bidi w:val="0"/>
        <w:spacing w:before="0" w:after="38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11"/>
      <w:bookmarkEnd w:id="412"/>
      <w:bookmarkEnd w:id="414"/>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43"/>
        <w:keepNext/>
        <w:keepLines/>
        <w:widowControl w:val="0"/>
        <w:shd w:val="clear" w:color="auto" w:fill="auto"/>
        <w:tabs>
          <w:tab w:pos="378" w:val="left"/>
        </w:tabs>
        <w:bidi w:val="0"/>
        <w:spacing w:before="0" w:after="38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2</w:t>
      </w:r>
      <w:bookmarkEnd w:id="417"/>
      <w:r>
        <w:rPr>
          <w:color w:val="000000"/>
          <w:spacing w:val="0"/>
          <w:w w:val="100"/>
          <w:position w:val="0"/>
        </w:rPr>
        <w:t>、</w:t>
        <w:tab/>
        <w:t>重大担保</w:t>
      </w:r>
      <w:bookmarkEnd w:id="415"/>
      <w:bookmarkEnd w:id="416"/>
      <w:bookmarkEnd w:id="418"/>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43"/>
        <w:keepNext/>
        <w:keepLines/>
        <w:widowControl w:val="0"/>
        <w:shd w:val="clear" w:color="auto" w:fill="auto"/>
        <w:tabs>
          <w:tab w:pos="378" w:val="left"/>
        </w:tabs>
        <w:bidi w:val="0"/>
        <w:spacing w:before="0" w:after="38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3</w:t>
      </w:r>
      <w:bookmarkEnd w:id="421"/>
      <w:r>
        <w:rPr>
          <w:color w:val="000000"/>
          <w:spacing w:val="0"/>
          <w:w w:val="100"/>
          <w:position w:val="0"/>
        </w:rPr>
        <w:t>、</w:t>
        <w:tab/>
        <w:t>委托他人进行现金资产管理情况</w:t>
      </w:r>
      <w:bookmarkEnd w:id="419"/>
      <w:bookmarkEnd w:id="420"/>
      <w:bookmarkEnd w:id="422"/>
    </w:p>
    <w:p>
      <w:pPr>
        <w:pStyle w:val="Style43"/>
        <w:keepNext/>
        <w:keepLines/>
        <w:widowControl w:val="0"/>
        <w:shd w:val="clear" w:color="auto" w:fill="auto"/>
        <w:bidi w:val="0"/>
        <w:spacing w:before="0" w:after="380" w:line="240" w:lineRule="auto"/>
        <w:ind w:left="0" w:right="0" w:firstLine="0"/>
        <w:jc w:val="left"/>
      </w:pPr>
      <w:bookmarkStart w:id="419" w:name="bookmark419"/>
      <w:bookmarkStart w:id="420" w:name="bookmark420"/>
      <w:bookmarkStart w:id="423" w:name="bookmark423"/>
      <w:bookmarkStart w:id="424" w:name="bookmark424"/>
      <w:r>
        <w:rPr>
          <w:color w:val="000000"/>
          <w:spacing w:val="0"/>
          <w:w w:val="100"/>
          <w:position w:val="0"/>
        </w:rPr>
        <w:t>（</w:t>
      </w:r>
      <w:bookmarkEnd w:id="42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19"/>
      <w:bookmarkEnd w:id="420"/>
      <w:bookmarkEnd w:id="424"/>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18,830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6,550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26,543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2,115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45,373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8,665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备注：以上委托理财发生额为报告期内该类委托理财单日最高余额，即在报告期内单日该类委托理财未到期余额合计数的 最大值。</w:t>
      </w:r>
    </w:p>
    <w:p>
      <w:pPr>
        <w:pStyle w:val="Style3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单项金额重大或安全性较低、流动性较差、不保本的高风险委托理财具体情况（单笔金额超过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万元的委托理财）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8702" w:right="0" w:firstLine="0"/>
        <w:jc w:val="left"/>
      </w:pPr>
      <w:r>
        <w:rPr>
          <w:color w:val="000000"/>
          <w:spacing w:val="0"/>
          <w:w w:val="100"/>
          <w:position w:val="0"/>
        </w:rPr>
        <w:t>单位：万元</w:t>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37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事项</w:t>
            </w:r>
          </w:p>
        </w:tc>
      </w:tr>
      <w:tr>
        <w:trPr>
          <w:trHeight w:val="350" w:hRule="exact"/>
        </w:trPr>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投向</w:t>
            </w:r>
          </w:p>
        </w:tc>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w:t>
            </w:r>
          </w:p>
        </w:tc>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年化</w:t>
            </w:r>
          </w:p>
        </w:tc>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期实</w:t>
            </w:r>
          </w:p>
        </w:tc>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期损</w:t>
            </w:r>
          </w:p>
        </w:tc>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w:t>
            </w:r>
          </w:p>
        </w:tc>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经过</w:t>
            </w:r>
          </w:p>
        </w:tc>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w:t>
            </w:r>
          </w:p>
        </w:tc>
        <w:tc>
          <w:tcPr>
            <w:tcBorders>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概述</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1925"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名称</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 受托 人姓 名）</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（或 受托 人） 类型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收益 率</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（如 有</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际损 益金 额</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益实 际收 回情 况</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准备 金额</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 有）</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程序</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还有 委托 理财 计划</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及相 关查 询索 引</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 有）</w:t>
            </w:r>
          </w:p>
        </w:tc>
      </w:tr>
      <w:tr>
        <w:trPr>
          <w:trHeight w:val="59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农业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1,800</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冶山</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农业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冶山</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 资金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三山 支行</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三山 支行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东街 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116.36</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116.36</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116.36</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东街 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收回 本息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97.83</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97.83</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97.83</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东街 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收回 本息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91.65</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91.65</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91.65</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收回 本息</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67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 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75.17</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75.17</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收回 本息</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4,500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 分行</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7,000</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收回 本息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国际</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村支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国际</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 北京</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收回 本息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7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67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村支</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 国际 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4,300</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村支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国际</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村支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1,400</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61.58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福州</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1,400</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三山</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三山</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3"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交通 银行 福州 三山 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银行理</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到期 收回 本息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三山</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三山</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 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收回 本息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三山</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收回 本息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三山</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三山</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38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25"/>
      <w:bookmarkEnd w:id="426"/>
      <w:bookmarkEnd w:id="428"/>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公司报告期不存在委托贷款。</w:t>
      </w:r>
      <w:r>
        <w:br w:type="page"/>
      </w:r>
    </w:p>
    <w:p>
      <w:pPr>
        <w:pStyle w:val="Style43"/>
        <w:keepNext/>
        <w:keepLines/>
        <w:widowControl w:val="0"/>
        <w:shd w:val="clear" w:color="auto" w:fill="auto"/>
        <w:tabs>
          <w:tab w:pos="378" w:val="left"/>
        </w:tabs>
        <w:bidi w:val="0"/>
        <w:spacing w:before="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4</w:t>
      </w:r>
      <w:bookmarkEnd w:id="431"/>
      <w:r>
        <w:rPr>
          <w:color w:val="000000"/>
          <w:spacing w:val="0"/>
          <w:w w:val="100"/>
          <w:position w:val="0"/>
        </w:rPr>
        <w:t>、</w:t>
        <w:tab/>
        <w:t>日常经营重大合同</w:t>
      </w:r>
      <w:bookmarkEnd w:id="429"/>
      <w:bookmarkEnd w:id="430"/>
      <w:bookmarkEnd w:id="432"/>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378" w:val="left"/>
        </w:tabs>
        <w:bidi w:val="0"/>
        <w:spacing w:before="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5</w:t>
      </w:r>
      <w:bookmarkEnd w:id="435"/>
      <w:r>
        <w:rPr>
          <w:color w:val="000000"/>
          <w:spacing w:val="0"/>
          <w:w w:val="100"/>
          <w:position w:val="0"/>
        </w:rPr>
        <w:t>、</w:t>
        <w:tab/>
        <w:t>其他重大合同</w:t>
      </w:r>
      <w:bookmarkEnd w:id="433"/>
      <w:bookmarkEnd w:id="434"/>
      <w:bookmarkEnd w:id="436"/>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3"/>
        <w:gridCol w:w="638"/>
        <w:gridCol w:w="638"/>
        <w:gridCol w:w="643"/>
        <w:gridCol w:w="638"/>
        <w:gridCol w:w="638"/>
        <w:gridCol w:w="638"/>
        <w:gridCol w:w="638"/>
        <w:gridCol w:w="638"/>
        <w:gridCol w:w="638"/>
        <w:gridCol w:w="638"/>
        <w:gridCol w:w="638"/>
        <w:gridCol w:w="638"/>
        <w:gridCol w:w="638"/>
        <w:gridCol w:w="643"/>
      </w:tblGrid>
      <w:tr>
        <w:trPr>
          <w:trHeight w:val="259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合同订 立公司 方名称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合同订 立对方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合同签</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合同涉 及资产 的账面 价值</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（万 元）</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合同涉 及资产 的评估 价值</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（万 元）</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评估机 构名称</w:t>
            </w:r>
          </w:p>
          <w:p>
            <w:pPr>
              <w:pStyle w:val="Style29"/>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评估基 准日</w:t>
            </w:r>
          </w:p>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 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的执行 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539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上海榕 基软件 开发有 限公司</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（甲 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314" w:lineRule="exact"/>
              <w:ind w:left="0" w:right="0" w:firstLine="0"/>
              <w:jc w:val="both"/>
            </w:pPr>
            <w:r>
              <w:rPr>
                <w:color w:val="000000"/>
                <w:spacing w:val="0"/>
                <w:w w:val="100"/>
                <w:position w:val="0"/>
              </w:rPr>
              <w:t>上海金 洹工程 建设有 限公司</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（乙</w:t>
            </w:r>
          </w:p>
          <w:p>
            <w:pPr>
              <w:pStyle w:val="Style29"/>
              <w:keepNext w:val="0"/>
              <w:keepLines w:val="0"/>
              <w:widowControl w:val="0"/>
              <w:shd w:val="clear" w:color="auto" w:fill="auto"/>
              <w:bidi w:val="0"/>
              <w:spacing w:before="0" w:after="60" w:line="314" w:lineRule="exact"/>
              <w:ind w:left="0" w:right="0" w:firstLine="0"/>
              <w:jc w:val="both"/>
            </w:pPr>
            <w:r>
              <w:rPr>
                <w:color w:val="000000"/>
                <w:spacing w:val="0"/>
                <w:w w:val="100"/>
                <w:position w:val="0"/>
              </w:rPr>
              <w:t>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甲方委 托乙方 在上海 松江建 设上海 榕基软 件研发 及人才 培训基 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合同履</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m.cn/cn</w:t>
            </w:r>
            <w:r>
              <w:rPr>
                <w:rFonts w:ascii="Times New Roman" w:eastAsia="Times New Roman" w:hAnsi="Times New Roman" w:cs="Times New Roman"/>
                <w:color w:val="000000"/>
                <w:spacing w:val="0"/>
                <w:w w:val="100"/>
                <w:position w:val="0"/>
                <w:sz w:val="18"/>
                <w:szCs w:val="18"/>
              </w:rPr>
              <w:t xml:space="preserve"> infO- new/dis closure/ szse_s me/bull etin_det ail/true/ 120385 4496?a nnounc eTime= 2017</w:t>
              <w:softHyphen/>
              <w:t>08-24</w:t>
            </w:r>
          </w:p>
        </w:tc>
      </w:tr>
      <w:tr>
        <w:trPr>
          <w:trHeight w:val="3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信阳榕 基信息 技术有 限公司</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（甲 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中铁建 设集团 有限公 司（乙 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甲方委 托乙方 在信阳 建设信 阳榕基 软件园 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已验收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m.cn/cn</w:t>
            </w:r>
            <w:r>
              <w:rPr>
                <w:rFonts w:ascii="Times New Roman" w:eastAsia="Times New Roman" w:hAnsi="Times New Roman" w:cs="Times New Roman"/>
                <w:color w:val="000000"/>
                <w:spacing w:val="0"/>
                <w:w w:val="100"/>
                <w:position w:val="0"/>
                <w:sz w:val="18"/>
                <w:szCs w:val="18"/>
              </w:rPr>
              <w:t xml:space="preserve"> infO- new/dis closure/ szse_s me/bull etin_det ail/true/</w:t>
            </w:r>
          </w:p>
        </w:tc>
      </w:tr>
    </w:tbl>
    <w:p>
      <w:pPr>
        <w:spacing w:lineRule="exact" w:line="1"/>
        <w:rPr>
          <w:sz w:val="2"/>
          <w:szCs w:val="2"/>
        </w:rPr>
      </w:pPr>
      <w:r>
        <w:br w:type="page"/>
      </w:r>
    </w:p>
    <w:tbl>
      <w:tblPr>
        <w:tblOverlap w:val="never"/>
        <w:jc w:val="center"/>
        <w:tblLayout w:type="fixed"/>
      </w:tblPr>
      <w:tblGrid>
        <w:gridCol w:w="643"/>
        <w:gridCol w:w="638"/>
        <w:gridCol w:w="638"/>
        <w:gridCol w:w="643"/>
        <w:gridCol w:w="638"/>
        <w:gridCol w:w="638"/>
        <w:gridCol w:w="638"/>
        <w:gridCol w:w="638"/>
        <w:gridCol w:w="638"/>
        <w:gridCol w:w="638"/>
        <w:gridCol w:w="638"/>
        <w:gridCol w:w="638"/>
        <w:gridCol w:w="638"/>
        <w:gridCol w:w="638"/>
        <w:gridCol w:w="643"/>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120270</w:t>
            </w:r>
          </w:p>
          <w:p>
            <w:pPr>
              <w:pStyle w:val="Style2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7659?a nnounc eTime</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2016</w:t>
              <w:softHyphen/>
            </w:r>
          </w:p>
          <w:p>
            <w:pPr>
              <w:pStyle w:val="Style2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09-20</w:t>
            </w:r>
          </w:p>
        </w:tc>
      </w:tr>
      <w:tr>
        <w:trPr>
          <w:trHeight w:val="634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福建榕 基软件 工程有 限公司</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（甲 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312" w:lineRule="exact"/>
              <w:ind w:left="0" w:right="0" w:firstLine="0"/>
              <w:jc w:val="both"/>
            </w:pPr>
            <w:r>
              <w:rPr>
                <w:color w:val="000000"/>
                <w:spacing w:val="0"/>
                <w:w w:val="100"/>
                <w:position w:val="0"/>
              </w:rPr>
              <w:t>福建天 和建设 工程有 限公司</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（乙</w:t>
            </w:r>
          </w:p>
          <w:p>
            <w:pPr>
              <w:pStyle w:val="Style29"/>
              <w:keepNext w:val="0"/>
              <w:keepLines w:val="0"/>
              <w:widowControl w:val="0"/>
              <w:shd w:val="clear" w:color="auto" w:fill="auto"/>
              <w:bidi w:val="0"/>
              <w:spacing w:before="0" w:after="60" w:line="312" w:lineRule="exact"/>
              <w:ind w:left="0" w:right="0" w:firstLine="0"/>
              <w:jc w:val="both"/>
            </w:pPr>
            <w:r>
              <w:rPr>
                <w:color w:val="000000"/>
                <w:spacing w:val="0"/>
                <w:w w:val="100"/>
                <w:position w:val="0"/>
              </w:rPr>
              <w:t>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甲方委 托乙方 在福州 闽侯建 设福建 榕基软 件工程 有限公 司软件 及服务 外包产 业基地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合同履 行中。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w/discl osure/d etail?pl ate=szs e&amp;stoc kCode= 002474 &amp;annou ncemen tId=120 569873 5&amp;anno unceme ntTime =2018- 12-29</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437" w:name="bookmark437"/>
      <w:bookmarkStart w:id="438" w:name="bookmark438"/>
      <w:bookmarkStart w:id="439" w:name="bookmark439"/>
      <w:r>
        <w:rPr>
          <w:color w:val="000000"/>
          <w:spacing w:val="0"/>
          <w:w w:val="100"/>
          <w:position w:val="0"/>
        </w:rPr>
        <w:t>十八、社会责任情况</w:t>
      </w:r>
      <w:bookmarkEnd w:id="437"/>
      <w:bookmarkEnd w:id="438"/>
      <w:bookmarkEnd w:id="439"/>
    </w:p>
    <w:p>
      <w:pPr>
        <w:pStyle w:val="Style43"/>
        <w:keepNext/>
        <w:keepLines/>
        <w:widowControl w:val="0"/>
        <w:shd w:val="clear" w:color="auto" w:fill="auto"/>
        <w:bidi w:val="0"/>
        <w:spacing w:before="0" w:after="26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、履行社会责任情况</w:t>
      </w:r>
      <w:bookmarkEnd w:id="440"/>
      <w:bookmarkEnd w:id="441"/>
      <w:bookmarkEnd w:id="443"/>
    </w:p>
    <w:p>
      <w:pPr>
        <w:pStyle w:val="Style36"/>
        <w:keepNext w:val="0"/>
        <w:keepLines w:val="0"/>
        <w:widowControl w:val="0"/>
        <w:shd w:val="clear" w:color="auto" w:fill="auto"/>
        <w:bidi w:val="0"/>
        <w:spacing w:before="0" w:after="0" w:line="314" w:lineRule="exact"/>
        <w:ind w:left="0" w:right="0" w:firstLine="360"/>
        <w:jc w:val="both"/>
      </w:pPr>
      <w:bookmarkStart w:id="444" w:name="bookmark444"/>
      <w:r>
        <w:rPr>
          <w:color w:val="000000"/>
          <w:spacing w:val="0"/>
          <w:w w:val="100"/>
          <w:position w:val="0"/>
        </w:rPr>
        <w:t>（</w:t>
      </w:r>
      <w:bookmarkEnd w:id="4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）股东和债权人权益保护</w:t>
      </w:r>
    </w:p>
    <w:p>
      <w:pPr>
        <w:pStyle w:val="Style3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投资者是公司最重要的利益相关方之一，为公司提供重要资源，也激励公司优化管理流程、提高运营效率。公司通过 充分的信息披露与交流，加强与股东、债权人及潜在投资者之间的沟通，促进投资者对公司的了解和认同，不断提升公司 治理水平，全力保障包括中小股民在内的所有投资人的合法权益。</w:t>
      </w:r>
    </w:p>
    <w:p>
      <w:pPr>
        <w:pStyle w:val="Style3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报告期内，公司进一步完善治理结构，公平对待所有股东和债权人，确保股东能够充分享有并行使法律、法规、规章 所规定的各项合法权益。</w:t>
      </w:r>
    </w:p>
    <w:p>
      <w:pPr>
        <w:pStyle w:val="Style36"/>
        <w:keepNext w:val="0"/>
        <w:keepLines w:val="0"/>
        <w:widowControl w:val="0"/>
        <w:shd w:val="clear" w:color="auto" w:fill="auto"/>
        <w:bidi w:val="0"/>
        <w:spacing w:before="0" w:after="0" w:line="314" w:lineRule="exact"/>
        <w:ind w:left="0" w:right="0" w:firstLine="360"/>
        <w:jc w:val="both"/>
      </w:pPr>
      <w:bookmarkStart w:id="445" w:name="bookmark445"/>
      <w:r>
        <w:rPr>
          <w:color w:val="000000"/>
          <w:spacing w:val="0"/>
          <w:w w:val="100"/>
          <w:position w:val="0"/>
        </w:rPr>
        <w:t>（</w:t>
      </w:r>
      <w:bookmarkEnd w:id="445"/>
      <w:r>
        <w:rPr>
          <w:color w:val="000000"/>
          <w:spacing w:val="0"/>
          <w:w w:val="100"/>
          <w:position w:val="0"/>
        </w:rPr>
        <w:t>一）公司相关制度日益完善，法人治理水平不断提高</w:t>
      </w:r>
    </w:p>
    <w:p>
      <w:pPr>
        <w:pStyle w:val="Style3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公司根据《公司法》、《证券法》、《上市公司治理准则》等法律法规，牢固树立遵章守法、规范运作的理念，不断 完善公司法人治理结构。公司建立了以《公司章程》为基础，以《股东大会议事规则》、《董事会议事规则》、《监事会 议事规则》、《总裁工作细则》等为主要构架的规章体系，形成了股东大会、董事会、监事会、董事会专门委员会以及高 级管理层为主体结构的决策与经营体系，切实保障全体股东及债权人的权益。</w:t>
      </w:r>
    </w:p>
    <w:p>
      <w:pPr>
        <w:pStyle w:val="Style36"/>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年，公司不断加强董事、监事、高级管理人员及相关人员对资本市场的法律法规政策学习，增强规范运作意识， 督促其积极参加福建证监局、深交所的培训，加强董事、监事、高级管理人员对资本市场法律法规的认识及自身应履行的 </w:t>
      </w:r>
      <w:r>
        <w:rPr>
          <w:color w:val="000000"/>
          <w:spacing w:val="0"/>
          <w:w w:val="100"/>
          <w:position w:val="0"/>
        </w:rPr>
        <w:t>职责。</w:t>
      </w:r>
    </w:p>
    <w:p>
      <w:pPr>
        <w:pStyle w:val="Style36"/>
        <w:keepNext w:val="0"/>
        <w:keepLines w:val="0"/>
        <w:widowControl w:val="0"/>
        <w:shd w:val="clear" w:color="auto" w:fill="auto"/>
        <w:tabs>
          <w:tab w:pos="897" w:val="left"/>
        </w:tabs>
        <w:bidi w:val="0"/>
        <w:spacing w:before="0" w:after="0" w:line="313" w:lineRule="exact"/>
        <w:ind w:left="0" w:right="0"/>
        <w:jc w:val="both"/>
      </w:pPr>
      <w:bookmarkStart w:id="446" w:name="bookmark446"/>
      <w:r>
        <w:rPr>
          <w:color w:val="000000"/>
          <w:spacing w:val="0"/>
          <w:w w:val="100"/>
          <w:position w:val="0"/>
        </w:rPr>
        <w:t>（</w:t>
      </w:r>
      <w:bookmarkEnd w:id="446"/>
      <w:r>
        <w:rPr>
          <w:color w:val="000000"/>
          <w:spacing w:val="0"/>
          <w:w w:val="100"/>
          <w:position w:val="0"/>
        </w:rPr>
        <w:t>二）</w:t>
        <w:tab/>
        <w:t>公司运作合法合规，维护股东利益</w:t>
      </w:r>
    </w:p>
    <w:p>
      <w:pPr>
        <w:pStyle w:val="Style36"/>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年公司共召开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次股东大会，会议的召集、召开、表决等程序均符合《公司法》、《上市公司股东大会规则》法 律、法规、规范性文件以及《公司章程》、《股东大会议事规则》的相关规定，并提供了网络投票表决方式，保护中小股 东权益，进一步保障了所有股东特别是中小股东对于公司决策事项的知情权、参与权和表决权。</w:t>
      </w:r>
    </w:p>
    <w:p>
      <w:pPr>
        <w:pStyle w:val="Style36"/>
        <w:keepNext w:val="0"/>
        <w:keepLines w:val="0"/>
        <w:widowControl w:val="0"/>
        <w:shd w:val="clear" w:color="auto" w:fill="auto"/>
        <w:tabs>
          <w:tab w:pos="897" w:val="left"/>
        </w:tabs>
        <w:bidi w:val="0"/>
        <w:spacing w:before="0" w:after="0" w:line="313" w:lineRule="exact"/>
        <w:ind w:left="0" w:right="0"/>
        <w:jc w:val="both"/>
      </w:pPr>
      <w:bookmarkStart w:id="447" w:name="bookmark447"/>
      <w:r>
        <w:rPr>
          <w:color w:val="000000"/>
          <w:spacing w:val="0"/>
          <w:w w:val="100"/>
          <w:position w:val="0"/>
        </w:rPr>
        <w:t>（</w:t>
      </w:r>
      <w:bookmarkEnd w:id="447"/>
      <w:r>
        <w:rPr>
          <w:color w:val="000000"/>
          <w:spacing w:val="0"/>
          <w:w w:val="100"/>
          <w:position w:val="0"/>
        </w:rPr>
        <w:t>三）</w:t>
        <w:tab/>
        <w:t>积极履行信息披露义务，公平对待股东，保障股东知情权。</w:t>
      </w:r>
    </w:p>
    <w:p>
      <w:pPr>
        <w:pStyle w:val="Style36"/>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公司严格按照法律规范、公司《内幕信息知情人登记管理制度》、《信息披露管理制度》、《重大信息内部报告制 度》等制度进行信息披露，以巨潮资讯网为信息披露指定网站，《证券时报》、《中国证券报》和《证券日报》为信息披 露指定报刊，及时、准确、完整、公平地进行信息披露，保证所有股东及投资者有公平的机会获得公司信息，特别加强内 幕信息披露登记管理工作，有效防范内幕交易行为的发生，确保了公司股东的知情权和参与权。</w:t>
      </w:r>
    </w:p>
    <w:p>
      <w:pPr>
        <w:pStyle w:val="Style36"/>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年度，公司在深圳证券交易所披露临时公告</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个、定期报告及其摘要</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个。召开</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年度业绩及现金分红说明会。 同时，通过网络、电话、邮件等多种方式加强与投资者的沟通、交流，及时回复上证</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互动提问；为投资者营造了一个良好 的内外沟通运行环境，保证公司与投资者及利益相关者关系的健康、融洽发展。</w:t>
      </w:r>
    </w:p>
    <w:p>
      <w:pPr>
        <w:pStyle w:val="Style36"/>
        <w:keepNext w:val="0"/>
        <w:keepLines w:val="0"/>
        <w:widowControl w:val="0"/>
        <w:shd w:val="clear" w:color="auto" w:fill="auto"/>
        <w:tabs>
          <w:tab w:pos="897" w:val="left"/>
        </w:tabs>
        <w:bidi w:val="0"/>
        <w:spacing w:before="0" w:after="0" w:line="313" w:lineRule="exact"/>
        <w:ind w:left="0" w:right="0"/>
        <w:jc w:val="both"/>
      </w:pPr>
      <w:bookmarkStart w:id="448" w:name="bookmark448"/>
      <w:r>
        <w:rPr>
          <w:color w:val="000000"/>
          <w:spacing w:val="0"/>
          <w:w w:val="100"/>
          <w:position w:val="0"/>
        </w:rPr>
        <w:t>（</w:t>
      </w:r>
      <w:bookmarkEnd w:id="448"/>
      <w:r>
        <w:rPr>
          <w:color w:val="000000"/>
          <w:spacing w:val="0"/>
          <w:w w:val="100"/>
          <w:position w:val="0"/>
        </w:rPr>
        <w:t>四）</w:t>
        <w:tab/>
        <w:t>建立内幕交易防控机制</w:t>
      </w:r>
    </w:p>
    <w:p>
      <w:pPr>
        <w:pStyle w:val="Style36"/>
        <w:keepNext w:val="0"/>
        <w:keepLines w:val="0"/>
        <w:widowControl w:val="0"/>
        <w:shd w:val="clear" w:color="auto" w:fill="auto"/>
        <w:bidi w:val="0"/>
        <w:spacing w:before="0" w:after="0" w:line="313" w:lineRule="exact"/>
        <w:ind w:left="0" w:right="0"/>
        <w:jc w:val="both"/>
      </w:pPr>
      <w:r>
        <w:rPr>
          <w:color w:val="000000"/>
          <w:spacing w:val="0"/>
          <w:w w:val="100"/>
          <w:position w:val="0"/>
        </w:rPr>
        <w:t>为完善公司内幕信息管理制度，做好内幕信息保密工作，有效防范和打击内幕交易等证券违法违规行为，公司严格遵 守《信息披露管理制度》、《内幕信息知情人报备制度》、《内幕信息知情人登记管理制度》，有效落实了内幕信息事务 及知情人登记管理流程，防范了内幕信息知情人和非法获取内幕信息的人员利用内幕信息从事证券交易活动，坚决杜绝了 内幕交易行为。</w:t>
      </w:r>
    </w:p>
    <w:p>
      <w:pPr>
        <w:pStyle w:val="Style36"/>
        <w:keepNext w:val="0"/>
        <w:keepLines w:val="0"/>
        <w:widowControl w:val="0"/>
        <w:shd w:val="clear" w:color="auto" w:fill="auto"/>
        <w:tabs>
          <w:tab w:pos="897" w:val="left"/>
        </w:tabs>
        <w:bidi w:val="0"/>
        <w:spacing w:before="0" w:after="0" w:line="313" w:lineRule="exact"/>
        <w:ind w:left="0" w:right="0"/>
        <w:jc w:val="both"/>
      </w:pPr>
      <w:bookmarkStart w:id="449" w:name="bookmark449"/>
      <w:r>
        <w:rPr>
          <w:color w:val="000000"/>
          <w:spacing w:val="0"/>
          <w:w w:val="100"/>
          <w:position w:val="0"/>
        </w:rPr>
        <w:t>（</w:t>
      </w:r>
      <w:bookmarkEnd w:id="449"/>
      <w:r>
        <w:rPr>
          <w:color w:val="000000"/>
          <w:spacing w:val="0"/>
          <w:w w:val="100"/>
          <w:position w:val="0"/>
        </w:rPr>
        <w:t>五）</w:t>
        <w:tab/>
        <w:t>积极回报股东</w:t>
      </w:r>
    </w:p>
    <w:p>
      <w:pPr>
        <w:pStyle w:val="Style36"/>
        <w:keepNext w:val="0"/>
        <w:keepLines w:val="0"/>
        <w:widowControl w:val="0"/>
        <w:shd w:val="clear" w:color="auto" w:fill="auto"/>
        <w:bidi w:val="0"/>
        <w:spacing w:before="0" w:after="0" w:line="313" w:lineRule="exact"/>
        <w:ind w:left="0" w:right="0"/>
        <w:jc w:val="both"/>
      </w:pPr>
      <w:r>
        <w:rPr>
          <w:color w:val="000000"/>
          <w:spacing w:val="0"/>
          <w:w w:val="100"/>
          <w:position w:val="0"/>
        </w:rPr>
        <w:t>公司在自身成长与发展的同时，积极为股东创造价值，注重对股东的回报，坚持与投资者共享成长收益。公司实行连 续、稳定的利润分配政策，公司的利润分配应当重视对投资者的合理投资回报并兼顾公司的可持续发展，《公司章程》中 确定了公司的利润分配方案的论证程序、决策机制及分配政策，并制订了《未来三年股东回报规划（</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采取国家法律法规许可的方式分配股利、分红，确保可执行度高、科学合理的股东回报制度，积极构建与股东的和谐关 系。</w:t>
      </w:r>
    </w:p>
    <w:p>
      <w:pPr>
        <w:pStyle w:val="Style36"/>
        <w:keepNext w:val="0"/>
        <w:keepLines w:val="0"/>
        <w:widowControl w:val="0"/>
        <w:shd w:val="clear" w:color="auto" w:fill="auto"/>
        <w:tabs>
          <w:tab w:pos="973" w:val="left"/>
        </w:tabs>
        <w:bidi w:val="0"/>
        <w:spacing w:before="0" w:after="0" w:line="313" w:lineRule="exact"/>
        <w:ind w:left="0" w:right="0"/>
        <w:jc w:val="both"/>
      </w:pPr>
      <w:bookmarkStart w:id="450" w:name="bookmark450"/>
      <w:r>
        <w:rPr>
          <w:color w:val="000000"/>
          <w:spacing w:val="0"/>
          <w:w w:val="100"/>
          <w:position w:val="0"/>
        </w:rPr>
        <w:t>（</w:t>
      </w:r>
      <w:bookmarkEnd w:id="450"/>
      <w:r>
        <w:rPr>
          <w:color w:val="000000"/>
          <w:spacing w:val="0"/>
          <w:w w:val="100"/>
          <w:position w:val="0"/>
        </w:rPr>
        <w:t>六）</w:t>
        <w:tab/>
        <w:t>公司一贯奉行稳健诚信的经营策略，控制自身的经营风险，确保公司财务稳健，保障公司资产、资金安全，在 追求股东利益最大化的同时兼顾债权人的利益。在经营决策过程中，充分考虑债权人的合法权益，及时向债权人通报与其 债权权益相关的重大信息，全方位地保护了债权人利益，并根据债权人的实际需要，给予积极配合。公司严格按照与债权 人签订的合同履行债务，与利益相关方分享发展机遇，共同应对挑战，实现股东利益与债权人利益相一致，与之合作共 赢。</w:t>
      </w:r>
    </w:p>
    <w:p>
      <w:pPr>
        <w:pStyle w:val="Style36"/>
        <w:keepNext w:val="0"/>
        <w:keepLines w:val="0"/>
        <w:widowControl w:val="0"/>
        <w:shd w:val="clear" w:color="auto" w:fill="auto"/>
        <w:tabs>
          <w:tab w:pos="814" w:val="left"/>
        </w:tabs>
        <w:bidi w:val="0"/>
        <w:spacing w:before="0" w:after="0" w:line="313" w:lineRule="exact"/>
        <w:ind w:left="0" w:right="0"/>
        <w:jc w:val="both"/>
      </w:pPr>
      <w:bookmarkStart w:id="451" w:name="bookmark451"/>
      <w:r>
        <w:rPr>
          <w:color w:val="000000"/>
          <w:spacing w:val="0"/>
          <w:w w:val="100"/>
          <w:position w:val="0"/>
        </w:rPr>
        <w:t>（</w:t>
      </w:r>
      <w:bookmarkEnd w:id="4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职工权益保护</w:t>
      </w:r>
    </w:p>
    <w:p>
      <w:pPr>
        <w:pStyle w:val="Style36"/>
        <w:keepNext w:val="0"/>
        <w:keepLines w:val="0"/>
        <w:widowControl w:val="0"/>
        <w:shd w:val="clear" w:color="auto" w:fill="auto"/>
        <w:bidi w:val="0"/>
        <w:spacing w:before="0" w:after="0" w:line="313" w:lineRule="exact"/>
        <w:ind w:left="0" w:right="0"/>
        <w:jc w:val="both"/>
      </w:pPr>
      <w:r>
        <w:rPr>
          <w:color w:val="000000"/>
          <w:spacing w:val="0"/>
          <w:w w:val="100"/>
          <w:position w:val="0"/>
        </w:rPr>
        <w:t>公司多年来始终执行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的人才战略，维护和保障员工的利益。为此，公司建立了规范的人力资源管理体系， 并不断完善薪酬及激励机制，实现公司与员工的共同发展。</w:t>
      </w:r>
    </w:p>
    <w:p>
      <w:pPr>
        <w:pStyle w:val="Style36"/>
        <w:keepNext w:val="0"/>
        <w:keepLines w:val="0"/>
        <w:widowControl w:val="0"/>
        <w:shd w:val="clear" w:color="auto" w:fill="auto"/>
        <w:tabs>
          <w:tab w:pos="897" w:val="left"/>
        </w:tabs>
        <w:bidi w:val="0"/>
        <w:spacing w:before="0" w:after="0" w:line="313" w:lineRule="exact"/>
        <w:ind w:left="0" w:right="0"/>
        <w:jc w:val="both"/>
      </w:pPr>
      <w:bookmarkStart w:id="452" w:name="bookmark452"/>
      <w:r>
        <w:rPr>
          <w:color w:val="000000"/>
          <w:spacing w:val="0"/>
          <w:w w:val="100"/>
          <w:position w:val="0"/>
        </w:rPr>
        <w:t>（</w:t>
      </w:r>
      <w:bookmarkEnd w:id="452"/>
      <w:r>
        <w:rPr>
          <w:color w:val="000000"/>
          <w:spacing w:val="0"/>
          <w:w w:val="100"/>
          <w:position w:val="0"/>
        </w:rPr>
        <w:t>一）</w:t>
        <w:tab/>
        <w:t>实施员工持股计划；</w:t>
      </w:r>
    </w:p>
    <w:p>
      <w:pPr>
        <w:pStyle w:val="Style36"/>
        <w:keepNext w:val="0"/>
        <w:keepLines w:val="0"/>
        <w:widowControl w:val="0"/>
        <w:shd w:val="clear" w:color="auto" w:fill="auto"/>
        <w:tabs>
          <w:tab w:pos="897" w:val="left"/>
        </w:tabs>
        <w:bidi w:val="0"/>
        <w:spacing w:before="0" w:after="0" w:line="313" w:lineRule="exact"/>
        <w:ind w:left="0" w:right="0"/>
        <w:jc w:val="both"/>
      </w:pPr>
      <w:bookmarkStart w:id="453" w:name="bookmark453"/>
      <w:r>
        <w:rPr>
          <w:color w:val="000000"/>
          <w:spacing w:val="0"/>
          <w:w w:val="100"/>
          <w:position w:val="0"/>
        </w:rPr>
        <w:t>（</w:t>
      </w:r>
      <w:bookmarkEnd w:id="453"/>
      <w:r>
        <w:rPr>
          <w:color w:val="000000"/>
          <w:spacing w:val="0"/>
          <w:w w:val="100"/>
          <w:position w:val="0"/>
        </w:rPr>
        <w:t>二）</w:t>
        <w:tab/>
        <w:t>健全劳动制度和薪酬考核体系；</w:t>
      </w:r>
    </w:p>
    <w:p>
      <w:pPr>
        <w:pStyle w:val="Style36"/>
        <w:keepNext w:val="0"/>
        <w:keepLines w:val="0"/>
        <w:widowControl w:val="0"/>
        <w:shd w:val="clear" w:color="auto" w:fill="auto"/>
        <w:tabs>
          <w:tab w:pos="897" w:val="left"/>
        </w:tabs>
        <w:bidi w:val="0"/>
        <w:spacing w:before="0" w:after="0" w:line="313" w:lineRule="exact"/>
        <w:ind w:left="0" w:right="0"/>
        <w:jc w:val="both"/>
      </w:pPr>
      <w:bookmarkStart w:id="454" w:name="bookmark454"/>
      <w:r>
        <w:rPr>
          <w:color w:val="000000"/>
          <w:spacing w:val="0"/>
          <w:w w:val="100"/>
          <w:position w:val="0"/>
        </w:rPr>
        <w:t>（</w:t>
      </w:r>
      <w:bookmarkEnd w:id="454"/>
      <w:r>
        <w:rPr>
          <w:color w:val="000000"/>
          <w:spacing w:val="0"/>
          <w:w w:val="100"/>
          <w:position w:val="0"/>
        </w:rPr>
        <w:t>三）</w:t>
        <w:tab/>
        <w:t>注重职工的生产安全和劳动保护；</w:t>
      </w:r>
    </w:p>
    <w:p>
      <w:pPr>
        <w:pStyle w:val="Style36"/>
        <w:keepNext w:val="0"/>
        <w:keepLines w:val="0"/>
        <w:widowControl w:val="0"/>
        <w:shd w:val="clear" w:color="auto" w:fill="auto"/>
        <w:tabs>
          <w:tab w:pos="897" w:val="left"/>
        </w:tabs>
        <w:bidi w:val="0"/>
        <w:spacing w:before="0" w:after="0" w:line="313" w:lineRule="exact"/>
        <w:ind w:left="0" w:right="0"/>
        <w:jc w:val="both"/>
      </w:pPr>
      <w:bookmarkStart w:id="455" w:name="bookmark455"/>
      <w:r>
        <w:rPr>
          <w:color w:val="000000"/>
          <w:spacing w:val="0"/>
          <w:w w:val="100"/>
          <w:position w:val="0"/>
        </w:rPr>
        <w:t>（</w:t>
      </w:r>
      <w:bookmarkEnd w:id="455"/>
      <w:r>
        <w:rPr>
          <w:color w:val="000000"/>
          <w:spacing w:val="0"/>
          <w:w w:val="100"/>
          <w:position w:val="0"/>
        </w:rPr>
        <w:t>四）</w:t>
        <w:tab/>
        <w:t>持续完善培训管理；</w:t>
      </w:r>
    </w:p>
    <w:p>
      <w:pPr>
        <w:pStyle w:val="Style36"/>
        <w:keepNext w:val="0"/>
        <w:keepLines w:val="0"/>
        <w:widowControl w:val="0"/>
        <w:shd w:val="clear" w:color="auto" w:fill="auto"/>
        <w:tabs>
          <w:tab w:pos="897" w:val="left"/>
        </w:tabs>
        <w:bidi w:val="0"/>
        <w:spacing w:before="0" w:after="0" w:line="313" w:lineRule="exact"/>
        <w:ind w:left="0" w:right="0"/>
        <w:jc w:val="both"/>
      </w:pPr>
      <w:bookmarkStart w:id="456" w:name="bookmark456"/>
      <w:r>
        <w:rPr>
          <w:color w:val="000000"/>
          <w:spacing w:val="0"/>
          <w:w w:val="100"/>
          <w:position w:val="0"/>
        </w:rPr>
        <w:t>（</w:t>
      </w:r>
      <w:bookmarkEnd w:id="456"/>
      <w:r>
        <w:rPr>
          <w:color w:val="000000"/>
          <w:spacing w:val="0"/>
          <w:w w:val="100"/>
          <w:position w:val="0"/>
        </w:rPr>
        <w:t>五）</w:t>
        <w:tab/>
        <w:t>关心职工的生活与健康；</w:t>
      </w:r>
    </w:p>
    <w:p>
      <w:pPr>
        <w:pStyle w:val="Style36"/>
        <w:keepNext w:val="0"/>
        <w:keepLines w:val="0"/>
        <w:widowControl w:val="0"/>
        <w:shd w:val="clear" w:color="auto" w:fill="auto"/>
        <w:tabs>
          <w:tab w:pos="897" w:val="left"/>
        </w:tabs>
        <w:bidi w:val="0"/>
        <w:spacing w:before="0" w:after="0" w:line="313" w:lineRule="exact"/>
        <w:ind w:left="0" w:right="0"/>
        <w:jc w:val="both"/>
      </w:pPr>
      <w:bookmarkStart w:id="457" w:name="bookmark457"/>
      <w:r>
        <w:rPr>
          <w:color w:val="000000"/>
          <w:spacing w:val="0"/>
          <w:w w:val="100"/>
          <w:position w:val="0"/>
        </w:rPr>
        <w:t>（</w:t>
      </w:r>
      <w:bookmarkEnd w:id="457"/>
      <w:r>
        <w:rPr>
          <w:color w:val="000000"/>
          <w:spacing w:val="0"/>
          <w:w w:val="100"/>
          <w:position w:val="0"/>
        </w:rPr>
        <w:t>六）</w:t>
        <w:tab/>
        <w:t>鼓励员工创意和发明创造。</w:t>
      </w:r>
    </w:p>
    <w:p>
      <w:pPr>
        <w:pStyle w:val="Style36"/>
        <w:keepNext w:val="0"/>
        <w:keepLines w:val="0"/>
        <w:widowControl w:val="0"/>
        <w:shd w:val="clear" w:color="auto" w:fill="auto"/>
        <w:tabs>
          <w:tab w:pos="814" w:val="left"/>
        </w:tabs>
        <w:bidi w:val="0"/>
        <w:spacing w:before="0" w:after="0" w:line="313" w:lineRule="exact"/>
        <w:ind w:left="0" w:right="0"/>
        <w:jc w:val="both"/>
      </w:pPr>
      <w:bookmarkStart w:id="458" w:name="bookmark458"/>
      <w:r>
        <w:rPr>
          <w:color w:val="000000"/>
          <w:spacing w:val="0"/>
          <w:w w:val="100"/>
          <w:position w:val="0"/>
        </w:rPr>
        <w:t>（</w:t>
      </w:r>
      <w:bookmarkEnd w:id="4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供应商、客户和消费者权益保护</w:t>
      </w:r>
    </w:p>
    <w:p>
      <w:pPr>
        <w:pStyle w:val="Style36"/>
        <w:keepNext w:val="0"/>
        <w:keepLines w:val="0"/>
        <w:widowControl w:val="0"/>
        <w:shd w:val="clear" w:color="auto" w:fill="auto"/>
        <w:tabs>
          <w:tab w:pos="897" w:val="left"/>
        </w:tabs>
        <w:bidi w:val="0"/>
        <w:spacing w:before="0" w:after="0" w:line="313" w:lineRule="exact"/>
        <w:ind w:left="0" w:right="0"/>
        <w:jc w:val="both"/>
      </w:pPr>
      <w:bookmarkStart w:id="459" w:name="bookmark459"/>
      <w:r>
        <w:rPr>
          <w:color w:val="000000"/>
          <w:spacing w:val="0"/>
          <w:w w:val="100"/>
          <w:position w:val="0"/>
        </w:rPr>
        <w:t>（</w:t>
      </w:r>
      <w:bookmarkEnd w:id="459"/>
      <w:r>
        <w:rPr>
          <w:color w:val="000000"/>
          <w:spacing w:val="0"/>
          <w:w w:val="100"/>
          <w:position w:val="0"/>
        </w:rPr>
        <w:t>一）</w:t>
        <w:tab/>
        <w:t>保证产品质量，与供应商、客户和消费者互利共赢；</w:t>
      </w:r>
    </w:p>
    <w:p>
      <w:pPr>
        <w:pStyle w:val="Style36"/>
        <w:keepNext w:val="0"/>
        <w:keepLines w:val="0"/>
        <w:widowControl w:val="0"/>
        <w:shd w:val="clear" w:color="auto" w:fill="auto"/>
        <w:tabs>
          <w:tab w:pos="897" w:val="left"/>
        </w:tabs>
        <w:bidi w:val="0"/>
        <w:spacing w:before="0" w:after="0" w:line="313" w:lineRule="exact"/>
        <w:ind w:left="0" w:right="0"/>
        <w:jc w:val="both"/>
      </w:pPr>
      <w:bookmarkStart w:id="460" w:name="bookmark460"/>
      <w:r>
        <w:rPr>
          <w:color w:val="000000"/>
          <w:spacing w:val="0"/>
          <w:w w:val="100"/>
          <w:position w:val="0"/>
        </w:rPr>
        <w:t>（</w:t>
      </w:r>
      <w:bookmarkEnd w:id="460"/>
      <w:r>
        <w:rPr>
          <w:color w:val="000000"/>
          <w:spacing w:val="0"/>
          <w:w w:val="100"/>
          <w:position w:val="0"/>
        </w:rPr>
        <w:t>二）</w:t>
        <w:tab/>
        <w:t>反对各类商业贿赂活动。</w:t>
      </w:r>
    </w:p>
    <w:p>
      <w:pPr>
        <w:pStyle w:val="Style36"/>
        <w:keepNext w:val="0"/>
        <w:keepLines w:val="0"/>
        <w:widowControl w:val="0"/>
        <w:shd w:val="clear" w:color="auto" w:fill="auto"/>
        <w:tabs>
          <w:tab w:pos="814" w:val="left"/>
        </w:tabs>
        <w:bidi w:val="0"/>
        <w:spacing w:before="0" w:after="0" w:line="313" w:lineRule="exact"/>
        <w:ind w:left="0" w:right="0"/>
        <w:jc w:val="both"/>
      </w:pPr>
      <w:bookmarkStart w:id="461" w:name="bookmark461"/>
      <w:r>
        <w:rPr>
          <w:color w:val="000000"/>
          <w:spacing w:val="0"/>
          <w:w w:val="100"/>
          <w:position w:val="0"/>
        </w:rPr>
        <w:t>（</w:t>
      </w:r>
      <w:bookmarkEnd w:id="46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环境保护与可持续发展</w:t>
      </w:r>
    </w:p>
    <w:p>
      <w:pPr>
        <w:pStyle w:val="Style36"/>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公司深知保护环境对于创建可持续发展社会的重要意义。根据国家环境保护法规和政策的相关规定，坚持技术革新， </w:t>
      </w:r>
      <w:r>
        <w:rPr>
          <w:color w:val="000000"/>
          <w:spacing w:val="0"/>
          <w:w w:val="100"/>
          <w:position w:val="0"/>
        </w:rPr>
        <w:t xml:space="preserve">节能减排，从源头降低资源能源的消耗，减少三废的产生，同时公司通过了 </w:t>
      </w:r>
      <w:r>
        <w:rPr>
          <w:rFonts w:ascii="Times New Roman" w:eastAsia="Times New Roman" w:hAnsi="Times New Roman" w:cs="Times New Roman"/>
          <w:color w:val="000000"/>
          <w:spacing w:val="0"/>
          <w:w w:val="100"/>
          <w:position w:val="0"/>
          <w:sz w:val="18"/>
          <w:szCs w:val="18"/>
        </w:rPr>
        <w:t xml:space="preserve">ISO </w:t>
      </w:r>
      <w:r>
        <w:rPr>
          <w:rFonts w:ascii="Times New Roman" w:eastAsia="Times New Roman" w:hAnsi="Times New Roman" w:cs="Times New Roman"/>
          <w:color w:val="000000"/>
          <w:spacing w:val="0"/>
          <w:w w:val="100"/>
          <w:position w:val="0"/>
          <w:sz w:val="18"/>
          <w:szCs w:val="18"/>
        </w:rPr>
        <w:t>14001</w:t>
      </w:r>
      <w:r>
        <w:rPr>
          <w:color w:val="000000"/>
          <w:spacing w:val="0"/>
          <w:w w:val="100"/>
          <w:position w:val="0"/>
        </w:rPr>
        <w:t>环境管理体系认证，力争把公司发展 对环境的影响降到最小程度。公司属于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系统集成、软件开发类高新技术企业，在实际研发、生产、销售、服务过程中不 产生污染物，实现了零污染、零排放。</w:t>
      </w:r>
    </w:p>
    <w:p>
      <w:pPr>
        <w:pStyle w:val="Style36"/>
        <w:keepNext w:val="0"/>
        <w:keepLines w:val="0"/>
        <w:widowControl w:val="0"/>
        <w:shd w:val="clear" w:color="auto" w:fill="auto"/>
        <w:tabs>
          <w:tab w:pos="825" w:val="left"/>
        </w:tabs>
        <w:bidi w:val="0"/>
        <w:spacing w:before="0" w:after="0" w:line="315" w:lineRule="exact"/>
        <w:ind w:left="0" w:right="0"/>
        <w:jc w:val="left"/>
      </w:pPr>
      <w:bookmarkStart w:id="462" w:name="bookmark462"/>
      <w:r>
        <w:rPr>
          <w:color w:val="000000"/>
          <w:spacing w:val="0"/>
          <w:w w:val="100"/>
          <w:position w:val="0"/>
        </w:rPr>
        <w:t>（</w:t>
      </w:r>
      <w:bookmarkEnd w:id="46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公共关系和社会公益事业</w:t>
      </w:r>
    </w:p>
    <w:p>
      <w:pPr>
        <w:pStyle w:val="Style36"/>
        <w:keepNext w:val="0"/>
        <w:keepLines w:val="0"/>
        <w:widowControl w:val="0"/>
        <w:shd w:val="clear" w:color="auto" w:fill="auto"/>
        <w:bidi w:val="0"/>
        <w:spacing w:before="0" w:after="0" w:line="315" w:lineRule="exact"/>
        <w:ind w:left="0" w:right="0"/>
        <w:jc w:val="left"/>
      </w:pPr>
      <w:r>
        <w:rPr>
          <w:color w:val="000000"/>
          <w:spacing w:val="0"/>
          <w:w w:val="100"/>
          <w:position w:val="0"/>
        </w:rPr>
        <w:t>公共关系是企业内求团结、外求发展的沟通桥梁，社会公益事业是企业回报社会应尽的责任。多年来，公司牢记企业 的社会责任和使命，一直以积极的态度力所能及地服务社会，热心公益回报社会，全力推动社区、企业和当地经济的进 步，做到全面、和谐发展。</w:t>
      </w:r>
    </w:p>
    <w:p>
      <w:pPr>
        <w:pStyle w:val="Style36"/>
        <w:keepNext w:val="0"/>
        <w:keepLines w:val="0"/>
        <w:widowControl w:val="0"/>
        <w:shd w:val="clear" w:color="auto" w:fill="auto"/>
        <w:tabs>
          <w:tab w:pos="911" w:val="left"/>
        </w:tabs>
        <w:bidi w:val="0"/>
        <w:spacing w:before="0" w:after="0" w:line="315" w:lineRule="exact"/>
        <w:ind w:left="0" w:right="0"/>
        <w:jc w:val="left"/>
      </w:pPr>
      <w:bookmarkStart w:id="463" w:name="bookmark463"/>
      <w:r>
        <w:rPr>
          <w:color w:val="000000"/>
          <w:spacing w:val="0"/>
          <w:w w:val="100"/>
          <w:position w:val="0"/>
        </w:rPr>
        <w:t>（</w:t>
      </w:r>
      <w:bookmarkEnd w:id="463"/>
      <w:r>
        <w:rPr>
          <w:color w:val="000000"/>
          <w:spacing w:val="0"/>
          <w:w w:val="100"/>
          <w:position w:val="0"/>
        </w:rPr>
        <w:t>一）</w:t>
        <w:tab/>
        <w:t>守法经营，依法履行纳税；</w:t>
      </w:r>
    </w:p>
    <w:p>
      <w:pPr>
        <w:pStyle w:val="Style36"/>
        <w:keepNext w:val="0"/>
        <w:keepLines w:val="0"/>
        <w:widowControl w:val="0"/>
        <w:shd w:val="clear" w:color="auto" w:fill="auto"/>
        <w:tabs>
          <w:tab w:pos="911" w:val="left"/>
        </w:tabs>
        <w:bidi w:val="0"/>
        <w:spacing w:before="0" w:after="0" w:line="315" w:lineRule="exact"/>
        <w:ind w:left="0" w:right="0"/>
        <w:jc w:val="left"/>
      </w:pPr>
      <w:bookmarkStart w:id="464" w:name="bookmark464"/>
      <w:r>
        <w:rPr>
          <w:color w:val="000000"/>
          <w:spacing w:val="0"/>
          <w:w w:val="100"/>
          <w:position w:val="0"/>
        </w:rPr>
        <w:t>（</w:t>
      </w:r>
      <w:bookmarkEnd w:id="464"/>
      <w:r>
        <w:rPr>
          <w:color w:val="000000"/>
          <w:spacing w:val="0"/>
          <w:w w:val="100"/>
          <w:position w:val="0"/>
        </w:rPr>
        <w:t>二）</w:t>
        <w:tab/>
        <w:t>精准扶贫，促进和谐发展；</w:t>
      </w:r>
    </w:p>
    <w:p>
      <w:pPr>
        <w:pStyle w:val="Style36"/>
        <w:keepNext w:val="0"/>
        <w:keepLines w:val="0"/>
        <w:widowControl w:val="0"/>
        <w:shd w:val="clear" w:color="auto" w:fill="auto"/>
        <w:tabs>
          <w:tab w:pos="825" w:val="left"/>
        </w:tabs>
        <w:bidi w:val="0"/>
        <w:spacing w:before="0" w:after="0" w:line="315" w:lineRule="exact"/>
        <w:ind w:left="0" w:right="0"/>
        <w:jc w:val="left"/>
      </w:pPr>
      <w:bookmarkStart w:id="465" w:name="bookmark465"/>
      <w:r>
        <w:rPr>
          <w:color w:val="000000"/>
          <w:spacing w:val="0"/>
          <w:w w:val="100"/>
          <w:position w:val="0"/>
        </w:rPr>
        <w:t>（</w:t>
      </w:r>
      <w:bookmarkEnd w:id="46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党建工作</w:t>
      </w:r>
    </w:p>
    <w:p>
      <w:pPr>
        <w:pStyle w:val="Style36"/>
        <w:keepNext w:val="0"/>
        <w:keepLines w:val="0"/>
        <w:widowControl w:val="0"/>
        <w:shd w:val="clear" w:color="auto" w:fill="auto"/>
        <w:bidi w:val="0"/>
        <w:spacing w:before="0" w:after="0" w:line="315" w:lineRule="exact"/>
        <w:ind w:left="0" w:right="0"/>
        <w:jc w:val="left"/>
      </w:pPr>
      <w:r>
        <w:rPr>
          <w:color w:val="000000"/>
          <w:spacing w:val="0"/>
          <w:w w:val="100"/>
          <w:position w:val="0"/>
        </w:rPr>
        <w:t>公司党委以促进企业发展、丰富企业文化、建设员工家园、稳定员工队伍、提升全员素质、弘扬正能量为重点，开展 各项工作，助推企业各项任务的完成。上级领导多次到公司调研党建工作，对公司党建工作给予了肯定和好评。</w:t>
      </w:r>
    </w:p>
    <w:p>
      <w:pPr>
        <w:pStyle w:val="Style36"/>
        <w:keepNext w:val="0"/>
        <w:keepLines w:val="0"/>
        <w:widowControl w:val="0"/>
        <w:shd w:val="clear" w:color="auto" w:fill="auto"/>
        <w:tabs>
          <w:tab w:pos="987" w:val="left"/>
        </w:tabs>
        <w:bidi w:val="0"/>
        <w:spacing w:before="0" w:after="0" w:line="315" w:lineRule="exact"/>
        <w:ind w:left="0" w:right="0"/>
        <w:jc w:val="left"/>
      </w:pPr>
      <w:bookmarkStart w:id="466" w:name="bookmark466"/>
      <w:r>
        <w:rPr>
          <w:color w:val="000000"/>
          <w:spacing w:val="0"/>
          <w:w w:val="100"/>
          <w:position w:val="0"/>
        </w:rPr>
        <w:t>（</w:t>
      </w:r>
      <w:bookmarkEnd w:id="466"/>
      <w:r>
        <w:rPr>
          <w:color w:val="000000"/>
          <w:spacing w:val="0"/>
          <w:w w:val="100"/>
          <w:position w:val="0"/>
        </w:rPr>
        <w:t>一）</w:t>
        <w:tab/>
        <w:t>积极推广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学习强国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学习平台活动。为进一步加强党员的教育管理，建立健全党员党性定期分析制度，榕基党 委于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月完善《党员积分管理制度》，并将</w:t>
      </w:r>
      <w:r>
        <w:rPr>
          <w:rFonts w:ascii="Times New Roman" w:eastAsia="Times New Roman" w:hAnsi="Times New Roman" w:cs="Times New Roman"/>
          <w:color w:val="000000"/>
          <w:spacing w:val="0"/>
          <w:w w:val="100"/>
          <w:position w:val="0"/>
          <w:sz w:val="18"/>
          <w:szCs w:val="18"/>
        </w:rPr>
        <w:t>2019-2020</w:t>
      </w:r>
      <w:r>
        <w:rPr>
          <w:color w:val="000000"/>
          <w:spacing w:val="0"/>
          <w:w w:val="100"/>
          <w:position w:val="0"/>
        </w:rPr>
        <w:t>年度党员积分情况进行通报，逐步形成科学完善的党员考核评 价体系；</w:t>
      </w:r>
    </w:p>
    <w:p>
      <w:pPr>
        <w:pStyle w:val="Style36"/>
        <w:keepNext w:val="0"/>
        <w:keepLines w:val="0"/>
        <w:widowControl w:val="0"/>
        <w:shd w:val="clear" w:color="auto" w:fill="auto"/>
        <w:tabs>
          <w:tab w:pos="992" w:val="left"/>
        </w:tabs>
        <w:bidi w:val="0"/>
        <w:spacing w:before="0" w:after="0" w:line="315" w:lineRule="exact"/>
        <w:ind w:left="0" w:right="0"/>
        <w:jc w:val="left"/>
      </w:pPr>
      <w:bookmarkStart w:id="467" w:name="bookmark467"/>
      <w:r>
        <w:rPr>
          <w:color w:val="000000"/>
          <w:spacing w:val="0"/>
          <w:w w:val="100"/>
          <w:position w:val="0"/>
        </w:rPr>
        <w:t>（</w:t>
      </w:r>
      <w:bookmarkEnd w:id="467"/>
      <w:r>
        <w:rPr>
          <w:color w:val="000000"/>
          <w:spacing w:val="0"/>
          <w:w w:val="100"/>
          <w:position w:val="0"/>
        </w:rPr>
        <w:t>二）</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年，榕基党委榕获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向党一福州市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党建典型范例巡礼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最佳案例，荣登《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两新党建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创新实践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例》，并被吸纳为福州市互联网行业党委成员单位；</w:t>
      </w:r>
    </w:p>
    <w:p>
      <w:pPr>
        <w:pStyle w:val="Style36"/>
        <w:keepNext w:val="0"/>
        <w:keepLines w:val="0"/>
        <w:widowControl w:val="0"/>
        <w:shd w:val="clear" w:color="auto" w:fill="auto"/>
        <w:tabs>
          <w:tab w:pos="992" w:val="left"/>
        </w:tabs>
        <w:bidi w:val="0"/>
        <w:spacing w:before="0" w:after="0" w:line="315" w:lineRule="exact"/>
        <w:ind w:left="0" w:right="0"/>
        <w:jc w:val="left"/>
      </w:pPr>
      <w:bookmarkStart w:id="468" w:name="bookmark468"/>
      <w:r>
        <w:rPr>
          <w:color w:val="000000"/>
          <w:spacing w:val="0"/>
          <w:w w:val="100"/>
          <w:position w:val="0"/>
        </w:rPr>
        <w:t>（</w:t>
      </w:r>
      <w:bookmarkEnd w:id="468"/>
      <w:r>
        <w:rPr>
          <w:color w:val="000000"/>
          <w:spacing w:val="0"/>
          <w:w w:val="100"/>
          <w:position w:val="0"/>
        </w:rPr>
        <w:t>三）</w:t>
        <w:tab/>
        <w:t>榕基党委积极开展爱心结对帮扶活动。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月榕基党委两次至闽清东桥中学转送助学金，看望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爱心结 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的学生，并对孩子们进行心理辅导；</w:t>
      </w:r>
    </w:p>
    <w:p>
      <w:pPr>
        <w:pStyle w:val="Style36"/>
        <w:keepNext w:val="0"/>
        <w:keepLines w:val="0"/>
        <w:widowControl w:val="0"/>
        <w:shd w:val="clear" w:color="auto" w:fill="auto"/>
        <w:tabs>
          <w:tab w:pos="911" w:val="left"/>
        </w:tabs>
        <w:bidi w:val="0"/>
        <w:spacing w:before="0" w:after="0" w:line="315" w:lineRule="exact"/>
        <w:ind w:left="0" w:right="0"/>
        <w:jc w:val="both"/>
      </w:pPr>
      <w:bookmarkStart w:id="469" w:name="bookmark469"/>
      <w:r>
        <w:rPr>
          <w:color w:val="000000"/>
          <w:spacing w:val="0"/>
          <w:w w:val="100"/>
          <w:position w:val="0"/>
        </w:rPr>
        <w:t>（</w:t>
      </w:r>
      <w:bookmarkEnd w:id="469"/>
      <w:r>
        <w:rPr>
          <w:color w:val="000000"/>
          <w:spacing w:val="0"/>
          <w:w w:val="100"/>
          <w:position w:val="0"/>
        </w:rPr>
        <w:t>四）</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年，榕基党委通过多种形式开展员工政治思想工作，积极组织开展《不忘初心抓党建、牢记使命促发</w:t>
      </w:r>
    </w:p>
    <w:p>
      <w:pPr>
        <w:pStyle w:val="Style36"/>
        <w:keepNext w:val="0"/>
        <w:keepLines w:val="0"/>
        <w:widowControl w:val="0"/>
        <w:shd w:val="clear" w:color="auto" w:fill="auto"/>
        <w:bidi w:val="0"/>
        <w:spacing w:before="0" w:after="0" w:line="315" w:lineRule="exact"/>
        <w:ind w:left="0" w:right="0" w:firstLine="0"/>
        <w:jc w:val="left"/>
      </w:pPr>
      <w:r>
        <w:rPr>
          <w:color w:val="000000"/>
          <w:spacing w:val="0"/>
          <w:w w:val="100"/>
          <w:position w:val="0"/>
        </w:rPr>
        <w:t>展》、《让党徽在奋斗的青春中闪光一庆祝中国共产党成立</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周年》、《学习民法典——助推万众创业》、《社会主义 核心价值观若干问题研究》等一系列教育活动工作。</w:t>
      </w:r>
    </w:p>
    <w:p>
      <w:pPr>
        <w:pStyle w:val="Style36"/>
        <w:keepNext w:val="0"/>
        <w:keepLines w:val="0"/>
        <w:widowControl w:val="0"/>
        <w:shd w:val="clear" w:color="auto" w:fill="auto"/>
        <w:tabs>
          <w:tab w:pos="825" w:val="left"/>
        </w:tabs>
        <w:bidi w:val="0"/>
        <w:spacing w:before="0" w:after="0" w:line="315" w:lineRule="exact"/>
        <w:ind w:left="0" w:right="0"/>
        <w:jc w:val="left"/>
      </w:pPr>
      <w:bookmarkStart w:id="470" w:name="bookmark470"/>
      <w:r>
        <w:rPr>
          <w:color w:val="000000"/>
          <w:spacing w:val="0"/>
          <w:w w:val="100"/>
          <w:position w:val="0"/>
        </w:rPr>
        <w:t>（</w:t>
      </w:r>
      <w:bookmarkEnd w:id="47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抗击新型冠状病毒肺炎疫情</w:t>
      </w:r>
    </w:p>
    <w:p>
      <w:pPr>
        <w:pStyle w:val="Style36"/>
        <w:keepNext w:val="0"/>
        <w:keepLines w:val="0"/>
        <w:widowControl w:val="0"/>
        <w:shd w:val="clear" w:color="auto" w:fill="auto"/>
        <w:bidi w:val="0"/>
        <w:spacing w:before="0" w:after="140" w:line="315"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月新型冠状病毒肺炎疫情爆发，公司积极履行社会责任，支持抗击新型冠状病毒肺炎疫情，公司及其下属子公 司快速行动，积极主动与所在地政府对接，支撑疫情防控工作开展。</w:t>
      </w:r>
    </w:p>
    <w:p>
      <w:pPr>
        <w:pStyle w:val="Style29"/>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年年度社会责任报告》已经披露于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p>
      <w:pPr>
        <w:pStyle w:val="Style43"/>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2</w:t>
      </w:r>
      <w:bookmarkEnd w:id="473"/>
      <w:r>
        <w:rPr>
          <w:color w:val="000000"/>
          <w:spacing w:val="0"/>
          <w:w w:val="100"/>
          <w:position w:val="0"/>
        </w:rPr>
        <w:t>、履行精准扶贫社会责任情况</w:t>
      </w:r>
      <w:bookmarkEnd w:id="471"/>
      <w:bookmarkEnd w:id="472"/>
      <w:bookmarkEnd w:id="474"/>
    </w:p>
    <w:p>
      <w:pPr>
        <w:pStyle w:val="Style43"/>
        <w:keepNext/>
        <w:keepLines/>
        <w:widowControl w:val="0"/>
        <w:shd w:val="clear" w:color="auto" w:fill="auto"/>
        <w:tabs>
          <w:tab w:pos="493" w:val="left"/>
        </w:tabs>
        <w:bidi w:val="0"/>
        <w:spacing w:before="0" w:after="260" w:line="240" w:lineRule="auto"/>
        <w:ind w:left="0" w:right="0" w:firstLine="0"/>
        <w:jc w:val="left"/>
      </w:pPr>
      <w:bookmarkStart w:id="471" w:name="bookmark471"/>
      <w:bookmarkStart w:id="472" w:name="bookmark472"/>
      <w:bookmarkStart w:id="475" w:name="bookmark475"/>
      <w:bookmarkStart w:id="476" w:name="bookmark476"/>
      <w:r>
        <w:rPr>
          <w:color w:val="000000"/>
          <w:spacing w:val="0"/>
          <w:w w:val="100"/>
          <w:position w:val="0"/>
        </w:rPr>
        <w:t>（</w:t>
      </w:r>
      <w:bookmarkEnd w:id="475"/>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71"/>
      <w:bookmarkEnd w:id="472"/>
      <w:bookmarkEnd w:id="476"/>
    </w:p>
    <w:p>
      <w:pPr>
        <w:pStyle w:val="Style36"/>
        <w:keepNext w:val="0"/>
        <w:keepLines w:val="0"/>
        <w:widowControl w:val="0"/>
        <w:shd w:val="clear" w:color="auto" w:fill="auto"/>
        <w:bidi w:val="0"/>
        <w:spacing w:before="0" w:after="380" w:line="312" w:lineRule="exact"/>
        <w:ind w:left="0" w:right="0"/>
        <w:jc w:val="both"/>
      </w:pPr>
      <w:r>
        <w:rPr>
          <w:color w:val="000000"/>
          <w:spacing w:val="0"/>
          <w:w w:val="100"/>
          <w:position w:val="0"/>
        </w:rPr>
        <w:t>公司积极响应国家及地方政府号召，充分发挥软件公司信息化技术优势，积极履行社会责任，开展精准扶贫工作，建 立健全内部职能机构工作联系机制，在人员就业、教育行业等多方面开展精准扶贫工作，维护各相关方利益，更好地与社 会共享企业经营成果，全面推进企业和社会的和谐发展。</w:t>
      </w:r>
    </w:p>
    <w:p>
      <w:pPr>
        <w:pStyle w:val="Style43"/>
        <w:keepNext/>
        <w:keepLines/>
        <w:widowControl w:val="0"/>
        <w:shd w:val="clear" w:color="auto" w:fill="auto"/>
        <w:tabs>
          <w:tab w:pos="493" w:val="left"/>
        </w:tabs>
        <w:bidi w:val="0"/>
        <w:spacing w:before="0" w:after="26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w:t>
      </w:r>
      <w:bookmarkEnd w:id="479"/>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77"/>
      <w:bookmarkEnd w:id="478"/>
      <w:bookmarkEnd w:id="480"/>
    </w:p>
    <w:p>
      <w:pPr>
        <w:pStyle w:val="Style36"/>
        <w:keepNext w:val="0"/>
        <w:keepLines w:val="0"/>
        <w:widowControl w:val="0"/>
        <w:shd w:val="clear" w:color="auto" w:fill="auto"/>
        <w:tabs>
          <w:tab w:pos="911" w:val="left"/>
        </w:tabs>
        <w:bidi w:val="0"/>
        <w:spacing w:before="0" w:after="0" w:line="322" w:lineRule="exact"/>
        <w:ind w:left="0" w:right="0"/>
        <w:jc w:val="left"/>
      </w:pPr>
      <w:bookmarkStart w:id="481" w:name="bookmark481"/>
      <w:r>
        <w:rPr>
          <w:color w:val="000000"/>
          <w:spacing w:val="0"/>
          <w:w w:val="100"/>
          <w:position w:val="0"/>
        </w:rPr>
        <w:t>（</w:t>
      </w:r>
      <w:bookmarkEnd w:id="481"/>
      <w:r>
        <w:rPr>
          <w:color w:val="000000"/>
          <w:spacing w:val="0"/>
          <w:w w:val="100"/>
          <w:position w:val="0"/>
        </w:rPr>
        <w:t>一）</w:t>
        <w:tab/>
        <w:t>就业扶贫</w:t>
      </w:r>
    </w:p>
    <w:p>
      <w:pPr>
        <w:pStyle w:val="Style36"/>
        <w:keepNext w:val="0"/>
        <w:keepLines w:val="0"/>
        <w:widowControl w:val="0"/>
        <w:shd w:val="clear" w:color="auto" w:fill="auto"/>
        <w:bidi w:val="0"/>
        <w:spacing w:before="0" w:after="0" w:line="322" w:lineRule="exact"/>
        <w:ind w:left="0" w:right="0"/>
        <w:jc w:val="left"/>
      </w:pPr>
      <w:r>
        <w:rPr>
          <w:color w:val="000000"/>
          <w:spacing w:val="0"/>
          <w:w w:val="100"/>
          <w:position w:val="0"/>
        </w:rPr>
        <w:t>做强公司产业，带动劳务用工规模，加强劳务用工人员职业技能培训，提高劳务用工人员劳动职业技能，为社会人员提 供了就业机会。</w:t>
      </w:r>
    </w:p>
    <w:p>
      <w:pPr>
        <w:pStyle w:val="Style36"/>
        <w:keepNext w:val="0"/>
        <w:keepLines w:val="0"/>
        <w:widowControl w:val="0"/>
        <w:shd w:val="clear" w:color="auto" w:fill="auto"/>
        <w:tabs>
          <w:tab w:pos="911" w:val="left"/>
        </w:tabs>
        <w:bidi w:val="0"/>
        <w:spacing w:before="0" w:after="0" w:line="322" w:lineRule="exact"/>
        <w:ind w:left="0" w:right="0"/>
        <w:jc w:val="left"/>
      </w:pPr>
      <w:bookmarkStart w:id="482" w:name="bookmark482"/>
      <w:r>
        <w:rPr>
          <w:color w:val="000000"/>
          <w:spacing w:val="0"/>
          <w:w w:val="100"/>
          <w:position w:val="0"/>
        </w:rPr>
        <w:t>（</w:t>
      </w:r>
      <w:bookmarkEnd w:id="482"/>
      <w:r>
        <w:rPr>
          <w:color w:val="000000"/>
          <w:spacing w:val="0"/>
          <w:w w:val="100"/>
          <w:position w:val="0"/>
        </w:rPr>
        <w:t>二）</w:t>
        <w:tab/>
        <w:t>社会扶贫</w:t>
      </w:r>
    </w:p>
    <w:p>
      <w:pPr>
        <w:pStyle w:val="Style36"/>
        <w:keepNext w:val="0"/>
        <w:keepLines w:val="0"/>
        <w:widowControl w:val="0"/>
        <w:shd w:val="clear" w:color="auto" w:fill="auto"/>
        <w:tabs>
          <w:tab w:pos="825" w:val="left"/>
        </w:tabs>
        <w:bidi w:val="0"/>
        <w:spacing w:before="0" w:after="0" w:line="322" w:lineRule="exact"/>
        <w:ind w:left="0" w:right="0"/>
        <w:jc w:val="left"/>
      </w:pPr>
      <w:bookmarkStart w:id="483" w:name="bookmark483"/>
      <w:r>
        <w:rPr>
          <w:color w:val="000000"/>
          <w:spacing w:val="0"/>
          <w:w w:val="100"/>
          <w:position w:val="0"/>
        </w:rPr>
        <w:t>（</w:t>
      </w:r>
      <w:bookmarkEnd w:id="4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公司积极参加福州市软件园组织的消费扶贫工作。</w:t>
      </w:r>
    </w:p>
    <w:p>
      <w:pPr>
        <w:pStyle w:val="Style36"/>
        <w:keepNext w:val="0"/>
        <w:keepLines w:val="0"/>
        <w:widowControl w:val="0"/>
        <w:shd w:val="clear" w:color="auto" w:fill="auto"/>
        <w:bidi w:val="0"/>
        <w:spacing w:before="0" w:after="260" w:line="322" w:lineRule="exact"/>
        <w:ind w:left="0" w:right="0"/>
        <w:jc w:val="left"/>
      </w:pPr>
      <w:bookmarkStart w:id="484" w:name="bookmark484"/>
      <w:r>
        <w:rPr>
          <w:color w:val="000000"/>
          <w:spacing w:val="0"/>
          <w:w w:val="100"/>
          <w:position w:val="0"/>
        </w:rPr>
        <w:t>（</w:t>
      </w:r>
      <w:bookmarkEnd w:id="4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公司搭建电商平台，与中央电视台、中共福建省委宣传部、福建广播影视集团等共同合作运营</w:t>
      </w:r>
      <w:r>
        <w:rPr>
          <w:rFonts w:ascii="Times New Roman" w:eastAsia="Times New Roman" w:hAnsi="Times New Roman" w:cs="Times New Roman"/>
          <w:color w:val="000000"/>
          <w:spacing w:val="0"/>
          <w:w w:val="100"/>
          <w:position w:val="0"/>
          <w:sz w:val="18"/>
          <w:szCs w:val="18"/>
        </w:rPr>
        <w:t>CCTV</w:t>
      </w:r>
      <w:r>
        <w:rPr>
          <w:color w:val="000000"/>
          <w:spacing w:val="0"/>
          <w:w w:val="100"/>
          <w:position w:val="0"/>
        </w:rPr>
        <w:t xml:space="preserve">国家品牌计划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广告精准扶贫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福建项目，利用主流媒体的宣传资源，为福建具有地方特色的优质农产品打开市场，提升知名度。</w:t>
      </w:r>
    </w:p>
    <w:p>
      <w:pPr>
        <w:pStyle w:val="Style36"/>
        <w:keepNext w:val="0"/>
        <w:keepLines w:val="0"/>
        <w:widowControl w:val="0"/>
        <w:shd w:val="clear" w:color="auto" w:fill="auto"/>
        <w:bidi w:val="0"/>
        <w:spacing w:before="0" w:after="0" w:line="310" w:lineRule="exact"/>
        <w:ind w:left="0" w:right="0"/>
        <w:jc w:val="both"/>
      </w:pPr>
      <w:r>
        <w:rPr>
          <w:color w:val="000000"/>
          <w:spacing w:val="0"/>
          <w:w w:val="100"/>
          <w:position w:val="0"/>
        </w:rPr>
        <w:t>截至目前，该平台已对接了福建泰宁乌凤鸡，寿宁高山茶，三状元茶油，闽清三溪茶油，建阳桔柚，云霄下河杨桃，武 平百香果，柘荣太子参，屏南茶树菇，松溪绿茶，政和白茶，浦城大米，古田银耳，南平竹笋，建宁莲子、黄花梨，平和蜜 柚，云霄杨桃等地方优质农产品。</w:t>
      </w:r>
    </w:p>
    <w:p>
      <w:pPr>
        <w:pStyle w:val="Style36"/>
        <w:keepNext w:val="0"/>
        <w:keepLines w:val="0"/>
        <w:widowControl w:val="0"/>
        <w:shd w:val="clear" w:color="auto" w:fill="auto"/>
        <w:bidi w:val="0"/>
        <w:spacing w:before="0" w:after="0" w:line="310" w:lineRule="exact"/>
        <w:ind w:left="0" w:right="0"/>
        <w:jc w:val="both"/>
      </w:pPr>
      <w:bookmarkStart w:id="485" w:name="bookmark485"/>
      <w:r>
        <w:rPr>
          <w:color w:val="000000"/>
          <w:spacing w:val="0"/>
          <w:w w:val="100"/>
          <w:position w:val="0"/>
        </w:rPr>
        <w:t>（</w:t>
      </w:r>
      <w:bookmarkEnd w:id="485"/>
      <w:r>
        <w:rPr>
          <w:color w:val="000000"/>
          <w:spacing w:val="0"/>
          <w:w w:val="100"/>
          <w:position w:val="0"/>
        </w:rPr>
        <w:t>三）困难家庭扶贫</w:t>
      </w:r>
    </w:p>
    <w:p>
      <w:pPr>
        <w:pStyle w:val="Style36"/>
        <w:keepNext w:val="0"/>
        <w:keepLines w:val="0"/>
        <w:widowControl w:val="0"/>
        <w:shd w:val="clear" w:color="auto" w:fill="auto"/>
        <w:bidi w:val="0"/>
        <w:spacing w:before="0" w:after="380" w:line="310" w:lineRule="exact"/>
        <w:ind w:left="0" w:right="0"/>
        <w:jc w:val="both"/>
      </w:pPr>
      <w:r>
        <w:rPr>
          <w:color w:val="000000"/>
          <w:spacing w:val="0"/>
          <w:w w:val="100"/>
          <w:position w:val="0"/>
        </w:rPr>
        <w:t>坚持开展送温暖活动。加强困难职工动态管理，通过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金秋助学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重大疾病医疗互助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特困职工慰问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五必访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 多渠道、多形式对他们进行帮扶慰问。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年度公司进行慰问送温暖</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次；互助会补助</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人，互助基金额累计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多万元。</w:t>
      </w:r>
    </w:p>
    <w:p>
      <w:pPr>
        <w:pStyle w:val="Style43"/>
        <w:keepNext/>
        <w:keepLines/>
        <w:widowControl w:val="0"/>
        <w:shd w:val="clear" w:color="auto" w:fill="auto"/>
        <w:bidi w:val="0"/>
        <w:spacing w:before="0" w:after="320" w:line="240" w:lineRule="auto"/>
        <w:ind w:left="0" w:right="0" w:firstLine="14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w:t>
      </w:r>
      <w:bookmarkEnd w:id="488"/>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486"/>
      <w:bookmarkEnd w:id="487"/>
      <w:bookmarkEnd w:id="489"/>
    </w:p>
    <w:tbl>
      <w:tblPr>
        <w:tblOverlap w:val="never"/>
        <w:jc w:val="center"/>
        <w:tblLayout w:type="fixed"/>
      </w:tblPr>
      <w:tblGrid>
        <w:gridCol w:w="3600"/>
        <w:gridCol w:w="1464"/>
        <w:gridCol w:w="452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3"/>
        <w:keepNext/>
        <w:keepLines/>
        <w:widowControl w:val="0"/>
        <w:shd w:val="clear" w:color="auto" w:fill="auto"/>
        <w:bidi w:val="0"/>
        <w:spacing w:before="0" w:after="26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w:t>
      </w:r>
      <w:bookmarkEnd w:id="492"/>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90"/>
      <w:bookmarkEnd w:id="491"/>
      <w:bookmarkEnd w:id="493"/>
    </w:p>
    <w:p>
      <w:pPr>
        <w:pStyle w:val="Style3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不断完善公司社会责任管理体系，积极参与社会公益活动，支持和参与社会公益事业建设，支援贫困地区经济建设和教 育事业，积极开展各项精准扶贫工作。</w:t>
      </w:r>
    </w:p>
    <w:p>
      <w:pPr>
        <w:pStyle w:val="Style36"/>
        <w:keepNext w:val="0"/>
        <w:keepLines w:val="0"/>
        <w:widowControl w:val="0"/>
        <w:shd w:val="clear" w:color="auto" w:fill="auto"/>
        <w:tabs>
          <w:tab w:pos="911" w:val="left"/>
        </w:tabs>
        <w:bidi w:val="0"/>
        <w:spacing w:before="0" w:after="0" w:line="312" w:lineRule="exact"/>
        <w:ind w:left="0" w:right="0"/>
        <w:jc w:val="left"/>
      </w:pPr>
      <w:bookmarkStart w:id="494" w:name="bookmark494"/>
      <w:r>
        <w:rPr>
          <w:color w:val="000000"/>
          <w:spacing w:val="0"/>
          <w:w w:val="100"/>
          <w:position w:val="0"/>
        </w:rPr>
        <w:t>（</w:t>
      </w:r>
      <w:bookmarkEnd w:id="494"/>
      <w:r>
        <w:rPr>
          <w:color w:val="000000"/>
          <w:spacing w:val="0"/>
          <w:w w:val="100"/>
          <w:position w:val="0"/>
        </w:rPr>
        <w:t>一）</w:t>
        <w:tab/>
        <w:t>进一步发挥党工团、专项扶贫小组作用，做好社会扶贫工作。</w:t>
      </w:r>
    </w:p>
    <w:p>
      <w:pPr>
        <w:pStyle w:val="Style36"/>
        <w:keepNext w:val="0"/>
        <w:keepLines w:val="0"/>
        <w:widowControl w:val="0"/>
        <w:shd w:val="clear" w:color="auto" w:fill="auto"/>
        <w:tabs>
          <w:tab w:pos="911" w:val="left"/>
        </w:tabs>
        <w:bidi w:val="0"/>
        <w:spacing w:before="0" w:after="0" w:line="312" w:lineRule="exact"/>
        <w:ind w:left="0" w:right="0"/>
        <w:jc w:val="left"/>
      </w:pPr>
      <w:bookmarkStart w:id="495" w:name="bookmark495"/>
      <w:r>
        <w:rPr>
          <w:color w:val="000000"/>
          <w:spacing w:val="0"/>
          <w:w w:val="100"/>
          <w:position w:val="0"/>
        </w:rPr>
        <w:t>（</w:t>
      </w:r>
      <w:bookmarkEnd w:id="495"/>
      <w:r>
        <w:rPr>
          <w:color w:val="000000"/>
          <w:spacing w:val="0"/>
          <w:w w:val="100"/>
          <w:position w:val="0"/>
        </w:rPr>
        <w:t>二）</w:t>
        <w:tab/>
        <w:t>继续打造以区域为单位的智慧校园群。</w:t>
      </w:r>
    </w:p>
    <w:p>
      <w:pPr>
        <w:pStyle w:val="Style36"/>
        <w:keepNext w:val="0"/>
        <w:keepLines w:val="0"/>
        <w:widowControl w:val="0"/>
        <w:shd w:val="clear" w:color="auto" w:fill="auto"/>
        <w:tabs>
          <w:tab w:pos="911" w:val="left"/>
        </w:tabs>
        <w:bidi w:val="0"/>
        <w:spacing w:before="0" w:after="380" w:line="312" w:lineRule="exact"/>
        <w:ind w:left="0" w:right="0"/>
        <w:jc w:val="left"/>
      </w:pPr>
      <w:bookmarkStart w:id="496" w:name="bookmark496"/>
      <w:r>
        <w:rPr>
          <w:color w:val="000000"/>
          <w:spacing w:val="0"/>
          <w:w w:val="100"/>
          <w:position w:val="0"/>
        </w:rPr>
        <w:t>（</w:t>
      </w:r>
      <w:bookmarkEnd w:id="496"/>
      <w:r>
        <w:rPr>
          <w:color w:val="000000"/>
          <w:spacing w:val="0"/>
          <w:w w:val="100"/>
          <w:position w:val="0"/>
        </w:rPr>
        <w:t>三）</w:t>
        <w:tab/>
        <w:t>积极开展向山区留守儿童捐书、捐款及结对帮扶困难孩子等爱心活动。</w:t>
      </w:r>
    </w:p>
    <w:p>
      <w:pPr>
        <w:pStyle w:val="Style43"/>
        <w:keepNext/>
        <w:keepLines/>
        <w:widowControl w:val="0"/>
        <w:shd w:val="clear" w:color="auto" w:fill="auto"/>
        <w:bidi w:val="0"/>
        <w:spacing w:before="0" w:after="26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3</w:t>
      </w:r>
      <w:bookmarkEnd w:id="499"/>
      <w:r>
        <w:rPr>
          <w:color w:val="000000"/>
          <w:spacing w:val="0"/>
          <w:w w:val="100"/>
          <w:position w:val="0"/>
        </w:rPr>
        <w:t>、环境保护相关的情况</w:t>
      </w:r>
      <w:bookmarkEnd w:id="497"/>
      <w:bookmarkEnd w:id="498"/>
      <w:bookmarkEnd w:id="500"/>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36"/>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公司及子公司不属于环境保护部门公布的重点排污单位。</w:t>
      </w:r>
    </w:p>
    <w:p>
      <w:pPr>
        <w:pStyle w:val="Style32"/>
        <w:keepNext/>
        <w:keepLines/>
        <w:widowControl w:val="0"/>
        <w:shd w:val="clear" w:color="auto" w:fill="auto"/>
        <w:bidi w:val="0"/>
        <w:spacing w:before="0" w:line="240" w:lineRule="auto"/>
        <w:ind w:left="0" w:right="0" w:firstLine="0"/>
        <w:jc w:val="left"/>
      </w:pPr>
      <w:bookmarkStart w:id="501" w:name="bookmark501"/>
      <w:bookmarkStart w:id="502" w:name="bookmark502"/>
      <w:bookmarkStart w:id="503" w:name="bookmark503"/>
      <w:r>
        <w:rPr>
          <w:color w:val="000000"/>
          <w:spacing w:val="0"/>
          <w:w w:val="100"/>
          <w:position w:val="0"/>
        </w:rPr>
        <w:t>十九、其他重大事项的说明</w:t>
      </w:r>
      <w:bookmarkEnd w:id="501"/>
      <w:bookmarkEnd w:id="502"/>
      <w:bookmarkEnd w:id="503"/>
    </w:p>
    <w:p>
      <w:pPr>
        <w:pStyle w:val="Style3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380" w:line="313" w:lineRule="exact"/>
        <w:ind w:left="0" w:right="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个募投项目计划，其中场地投入</w:t>
      </w:r>
      <w:r>
        <w:rPr>
          <w:rFonts w:ascii="Times New Roman" w:eastAsia="Times New Roman" w:hAnsi="Times New Roman" w:cs="Times New Roman"/>
          <w:color w:val="000000"/>
          <w:spacing w:val="0"/>
          <w:w w:val="100"/>
          <w:position w:val="0"/>
          <w:sz w:val="18"/>
          <w:szCs w:val="18"/>
        </w:rPr>
        <w:t>5,828.75</w:t>
      </w:r>
      <w:r>
        <w:rPr>
          <w:color w:val="000000"/>
          <w:spacing w:val="0"/>
          <w:w w:val="100"/>
          <w:position w:val="0"/>
        </w:rPr>
        <w:t>万元，计划需要购置</w:t>
      </w:r>
      <w:r>
        <w:rPr>
          <w:rFonts w:ascii="Times New Roman" w:eastAsia="Times New Roman" w:hAnsi="Times New Roman" w:cs="Times New Roman"/>
          <w:color w:val="000000"/>
          <w:spacing w:val="0"/>
          <w:w w:val="100"/>
          <w:position w:val="0"/>
          <w:sz w:val="18"/>
          <w:szCs w:val="18"/>
        </w:rPr>
        <w:t>7,600</w:t>
      </w:r>
      <w:r>
        <w:rPr>
          <w:color w:val="000000"/>
          <w:spacing w:val="0"/>
          <w:w w:val="100"/>
          <w:position w:val="0"/>
        </w:rPr>
        <w:t>平方米用房，用于项目研发、测试、运 营、办公和机房环境建设。根据公司的发展规划，公司于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日召开第三届董事会第十三次会议，审议通过将变 更募投项目实施地点至福州高新技术产业开发区海西高新技术产业园内，变更募投项目实施方式，并追加投资，拟使用募 集资金不超过</w:t>
      </w:r>
      <w:r>
        <w:rPr>
          <w:rFonts w:ascii="Times New Roman" w:eastAsia="Times New Roman" w:hAnsi="Times New Roman" w:cs="Times New Roman"/>
          <w:color w:val="000000"/>
          <w:spacing w:val="0"/>
          <w:w w:val="100"/>
          <w:position w:val="0"/>
          <w:sz w:val="18"/>
          <w:szCs w:val="18"/>
        </w:rPr>
        <w:t>13,300</w:t>
      </w:r>
      <w:r>
        <w:rPr>
          <w:color w:val="000000"/>
          <w:spacing w:val="0"/>
          <w:w w:val="100"/>
          <w:position w:val="0"/>
        </w:rPr>
        <w:t>万元与榕基工程合作在该地块上建设公司研发大楼，项目建设期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年分批投入，并根据公司募集资金的 投入总额取得相应投入比例的研发大楼产权使用权，用于募投项目目前实际所需研发用房。截至目前，项目正在建设中。 公司将严格按照募集资金管理和使用的监管要求，使得募集资金规划中的场地投入费用发挥效益。截至报告期末，本公司 募集资金累计直接投入募投项目</w:t>
      </w:r>
      <w:r>
        <w:rPr>
          <w:rFonts w:ascii="Times New Roman" w:eastAsia="Times New Roman" w:hAnsi="Times New Roman" w:cs="Times New Roman"/>
          <w:color w:val="000000"/>
          <w:spacing w:val="0"/>
          <w:w w:val="100"/>
          <w:position w:val="0"/>
          <w:sz w:val="18"/>
          <w:szCs w:val="18"/>
        </w:rPr>
        <w:t>42,266.8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万元，募投项目建设基本完成。</w:t>
      </w:r>
    </w:p>
    <w:p>
      <w:pPr>
        <w:pStyle w:val="Style32"/>
        <w:keepNext/>
        <w:keepLines/>
        <w:widowControl w:val="0"/>
        <w:shd w:val="clear" w:color="auto" w:fill="auto"/>
        <w:bidi w:val="0"/>
        <w:spacing w:before="0" w:line="240" w:lineRule="auto"/>
        <w:ind w:left="0" w:right="0" w:firstLine="0"/>
        <w:jc w:val="left"/>
      </w:pPr>
      <w:bookmarkStart w:id="504" w:name="bookmark504"/>
      <w:bookmarkStart w:id="505" w:name="bookmark505"/>
      <w:bookmarkStart w:id="506" w:name="bookmark506"/>
      <w:r>
        <w:rPr>
          <w:color w:val="000000"/>
          <w:spacing w:val="0"/>
          <w:w w:val="100"/>
          <w:position w:val="0"/>
        </w:rPr>
        <w:t>二十、公司子公司重大事项</w:t>
      </w:r>
      <w:bookmarkEnd w:id="504"/>
      <w:bookmarkEnd w:id="505"/>
      <w:bookmarkEnd w:id="506"/>
    </w:p>
    <w:p>
      <w:pPr>
        <w:pStyle w:val="Style36"/>
        <w:keepNext w:val="0"/>
        <w:keepLines w:val="0"/>
        <w:widowControl w:val="0"/>
        <w:shd w:val="clear" w:color="auto" w:fill="auto"/>
        <w:bidi w:val="0"/>
        <w:spacing w:before="0" w:after="3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0"/>
        <w:keepNext/>
        <w:keepLines/>
        <w:widowControl w:val="0"/>
        <w:shd w:val="clear" w:color="auto" w:fill="auto"/>
        <w:bidi w:val="0"/>
        <w:spacing w:before="0" w:after="540" w:line="240" w:lineRule="auto"/>
        <w:ind w:left="0" w:right="0" w:firstLine="0"/>
        <w:jc w:val="center"/>
      </w:pPr>
      <w:bookmarkStart w:id="507" w:name="bookmark507"/>
      <w:bookmarkStart w:id="508" w:name="bookmark508"/>
      <w:bookmarkStart w:id="509" w:name="bookmark509"/>
      <w:r>
        <w:rPr>
          <w:color w:val="000000"/>
          <w:spacing w:val="0"/>
          <w:w w:val="100"/>
          <w:position w:val="0"/>
        </w:rPr>
        <w:t>第六节股份变动及股东情况</w:t>
      </w:r>
      <w:bookmarkEnd w:id="507"/>
      <w:bookmarkEnd w:id="508"/>
      <w:bookmarkEnd w:id="509"/>
    </w:p>
    <w:p>
      <w:pPr>
        <w:pStyle w:val="Style32"/>
        <w:keepNext/>
        <w:keepLines/>
        <w:widowControl w:val="0"/>
        <w:shd w:val="clear" w:color="auto" w:fill="auto"/>
        <w:bidi w:val="0"/>
        <w:spacing w:before="0" w:after="360" w:line="240" w:lineRule="auto"/>
        <w:ind w:left="0" w:right="0" w:firstLine="0"/>
        <w:jc w:val="left"/>
      </w:pPr>
      <w:bookmarkStart w:id="510" w:name="bookmark510"/>
      <w:bookmarkStart w:id="511" w:name="bookmark511"/>
      <w:bookmarkStart w:id="512" w:name="bookmark512"/>
      <w:bookmarkStart w:id="513" w:name="bookmark513"/>
      <w:bookmarkStart w:id="514" w:name="bookmark514"/>
      <w:r>
        <w:rPr>
          <w:color w:val="000000"/>
          <w:spacing w:val="0"/>
          <w:w w:val="100"/>
          <w:position w:val="0"/>
        </w:rPr>
        <w:t>一</w:t>
      </w:r>
      <w:bookmarkEnd w:id="513"/>
      <w:r>
        <w:rPr>
          <w:color w:val="000000"/>
          <w:spacing w:val="0"/>
          <w:w w:val="100"/>
          <w:position w:val="0"/>
        </w:rPr>
        <w:t>、股份变动情况</w:t>
      </w:r>
      <w:bookmarkEnd w:id="511"/>
      <w:bookmarkEnd w:id="512"/>
      <w:bookmarkEnd w:id="514"/>
      <w:bookmarkEnd w:id="510"/>
    </w:p>
    <w:p>
      <w:pPr>
        <w:pStyle w:val="Style43"/>
        <w:keepNext/>
        <w:keepLines/>
        <w:widowControl w:val="0"/>
        <w:shd w:val="clear" w:color="auto" w:fill="auto"/>
        <w:bidi w:val="0"/>
        <w:spacing w:before="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、股份变动情况</w:t>
      </w:r>
      <w:bookmarkEnd w:id="515"/>
      <w:bookmarkEnd w:id="516"/>
      <w:bookmarkEnd w:id="51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6"/>
        <w:gridCol w:w="1099"/>
        <w:gridCol w:w="850"/>
        <w:gridCol w:w="427"/>
        <w:gridCol w:w="566"/>
        <w:gridCol w:w="710"/>
        <w:gridCol w:w="989"/>
        <w:gridCol w:w="994"/>
        <w:gridCol w:w="1166"/>
        <w:gridCol w:w="65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152,976,730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144,064,230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152,976,730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144,064,230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152,976,730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144,064,230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469,223,270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478,135,770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469,223,270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478,135,770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622,200,000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622,200,000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 xml:space="preserve">不适用 </w:t>
      </w: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公司认为必要或证券监管机构要求披露的其他内容</w:t>
      </w:r>
    </w:p>
    <w:p>
      <w:pPr>
        <w:pStyle w:val="Style36"/>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2</w:t>
      </w:r>
      <w:bookmarkEnd w:id="521"/>
      <w:r>
        <w:rPr>
          <w:color w:val="000000"/>
          <w:spacing w:val="0"/>
          <w:w w:val="100"/>
          <w:position w:val="0"/>
        </w:rPr>
        <w:t>、限售股份变动情况</w:t>
      </w:r>
      <w:bookmarkEnd w:id="519"/>
      <w:bookmarkEnd w:id="520"/>
      <w:bookmarkEnd w:id="522"/>
    </w:p>
    <w:p>
      <w:pPr>
        <w:pStyle w:val="Style36"/>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517" w:val="left"/>
        </w:tabs>
        <w:bidi w:val="0"/>
        <w:spacing w:before="0" w:after="36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二</w:t>
      </w:r>
      <w:bookmarkEnd w:id="525"/>
      <w:r>
        <w:rPr>
          <w:color w:val="000000"/>
          <w:spacing w:val="0"/>
          <w:w w:val="100"/>
          <w:position w:val="0"/>
        </w:rPr>
        <w:t>、</w:t>
        <w:tab/>
        <w:t>证券发行与上市情况</w:t>
      </w:r>
      <w:bookmarkEnd w:id="523"/>
      <w:bookmarkEnd w:id="524"/>
      <w:bookmarkEnd w:id="526"/>
    </w:p>
    <w:p>
      <w:pPr>
        <w:pStyle w:val="Style43"/>
        <w:keepNext/>
        <w:keepLines/>
        <w:widowControl w:val="0"/>
        <w:shd w:val="clear" w:color="auto" w:fill="auto"/>
        <w:tabs>
          <w:tab w:pos="380" w:val="left"/>
        </w:tabs>
        <w:bidi w:val="0"/>
        <w:spacing w:before="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color w:val="000000"/>
          <w:spacing w:val="0"/>
          <w:w w:val="100"/>
          <w:position w:val="0"/>
        </w:rPr>
        <w:t>、</w:t>
        <w:tab/>
        <w:t>报告期内证券发行（不含优先股）情况</w:t>
      </w:r>
      <w:bookmarkEnd w:id="527"/>
      <w:bookmarkEnd w:id="528"/>
      <w:bookmarkEnd w:id="530"/>
    </w:p>
    <w:p>
      <w:pPr>
        <w:pStyle w:val="Style36"/>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380" w:val="left"/>
        </w:tabs>
        <w:bidi w:val="0"/>
        <w:spacing w:before="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2</w:t>
      </w:r>
      <w:bookmarkEnd w:id="533"/>
      <w:r>
        <w:rPr>
          <w:color w:val="000000"/>
          <w:spacing w:val="0"/>
          <w:w w:val="100"/>
          <w:position w:val="0"/>
        </w:rPr>
        <w:t>、</w:t>
        <w:tab/>
        <w:t>公司股份总数及股东结构的变动、公司资产和负债结构的变动情况说明</w:t>
      </w:r>
      <w:bookmarkEnd w:id="531"/>
      <w:bookmarkEnd w:id="532"/>
      <w:bookmarkEnd w:id="534"/>
    </w:p>
    <w:p>
      <w:pPr>
        <w:pStyle w:val="Style36"/>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380" w:val="left"/>
        </w:tabs>
        <w:bidi w:val="0"/>
        <w:spacing w:before="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3</w:t>
      </w:r>
      <w:bookmarkEnd w:id="537"/>
      <w:r>
        <w:rPr>
          <w:color w:val="000000"/>
          <w:spacing w:val="0"/>
          <w:w w:val="100"/>
          <w:position w:val="0"/>
        </w:rPr>
        <w:t>、</w:t>
        <w:tab/>
        <w:t>现存的内部职工股情况</w:t>
      </w:r>
      <w:bookmarkEnd w:id="535"/>
      <w:bookmarkEnd w:id="536"/>
      <w:bookmarkEnd w:id="538"/>
    </w:p>
    <w:p>
      <w:pPr>
        <w:pStyle w:val="Style36"/>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522" w:val="left"/>
        </w:tabs>
        <w:bidi w:val="0"/>
        <w:spacing w:before="0" w:after="36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三</w:t>
      </w:r>
      <w:bookmarkEnd w:id="541"/>
      <w:r>
        <w:rPr>
          <w:color w:val="000000"/>
          <w:spacing w:val="0"/>
          <w:w w:val="100"/>
          <w:position w:val="0"/>
        </w:rPr>
        <w:t>、</w:t>
        <w:tab/>
        <w:t>股东和实际控制人情况</w:t>
      </w:r>
      <w:bookmarkEnd w:id="539"/>
      <w:bookmarkEnd w:id="540"/>
      <w:bookmarkEnd w:id="542"/>
    </w:p>
    <w:p>
      <w:pPr>
        <w:pStyle w:val="Style43"/>
        <w:keepNext/>
        <w:keepLines/>
        <w:widowControl w:val="0"/>
        <w:shd w:val="clear" w:color="auto" w:fill="auto"/>
        <w:bidi w:val="0"/>
        <w:spacing w:before="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、公司股东数量及持股情况</w:t>
      </w:r>
      <w:bookmarkEnd w:id="543"/>
      <w:bookmarkEnd w:id="544"/>
      <w:bookmarkEnd w:id="5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298"/>
        <w:gridCol w:w="706"/>
        <w:gridCol w:w="326"/>
        <w:gridCol w:w="730"/>
        <w:gridCol w:w="331"/>
        <w:gridCol w:w="600"/>
        <w:gridCol w:w="864"/>
        <w:gridCol w:w="130"/>
        <w:gridCol w:w="965"/>
        <w:gridCol w:w="874"/>
        <w:gridCol w:w="422"/>
        <w:gridCol w:w="936"/>
      </w:tblGrid>
      <w:tr>
        <w:trPr>
          <w:trHeight w:val="196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65,990</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71,725</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报告期末表决权 恢复的优先股股 东总数（如有）</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年度报告披露日 前上一月末表决 权恢复的优先股 股东总数（如 有）（参见注</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9"/>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19.53%</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121,500,740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-7,515,000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96,761,805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24,738,935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38,400,000</w:t>
            </w:r>
          </w:p>
        </w:tc>
      </w:tr>
      <w:tr>
        <w:trPr>
          <w:trHeight w:val="403"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5.17%</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32,197,766</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32,173,324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24,442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磐厚动量（上 海）资本管理有 限公司一磐厚动</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10,700,000</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10,700,000</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8"/>
        <w:gridCol w:w="1224"/>
        <w:gridCol w:w="187"/>
        <w:gridCol w:w="518"/>
        <w:gridCol w:w="1056"/>
        <w:gridCol w:w="931"/>
        <w:gridCol w:w="994"/>
        <w:gridCol w:w="490"/>
        <w:gridCol w:w="499"/>
        <w:gridCol w:w="850"/>
        <w:gridCol w:w="1358"/>
      </w:tblGrid>
      <w:tr>
        <w:trPr>
          <w:trHeight w:val="67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量一汇鑫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 募证券投资基金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福建榕基软件股 份有限公司一第 三期员工持股计 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7,856,200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7,856,200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上海般胜投资管 理有限公司一般 胜进取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 证券投资基金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5,137,500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5,396,146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4,047,109</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1,349,037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胡燕英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4,004,700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3,640,700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3,640,700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3,640,700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2,994,160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2,994,160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公司前十名股东中，鲁波为鲁峰之胞兄。福建榕基软件股份有限公司一第三期员工持 股计划与其他前十名股东之间不存在关联关系，不属于一致行动人。除上述情况外， 其他前十名股东之间未知是否存在关联关系，也未知是否属于一致行动人。</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 放弃表决权情况的说明</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3"/>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24,738,935</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24,738,935</w:t>
            </w:r>
          </w:p>
        </w:tc>
      </w:tr>
      <w:tr>
        <w:trPr>
          <w:trHeight w:val="1022"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left"/>
            </w:pPr>
            <w:r>
              <w:rPr>
                <w:color w:val="000000"/>
                <w:spacing w:val="0"/>
                <w:w w:val="100"/>
                <w:position w:val="0"/>
              </w:rPr>
              <w:t>磐厚动量（上海）资本管理有限公 司一磐厚动量一汇鑫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 投资基金</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10,700,000</w:t>
            </w:r>
          </w:p>
        </w:tc>
      </w:tr>
      <w:tr>
        <w:trPr>
          <w:trHeight w:val="715"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福建榕基软件股份有限公司一第三 期员工持股计划</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7,856,200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7,856,200</w:t>
            </w:r>
          </w:p>
        </w:tc>
      </w:tr>
      <w:tr>
        <w:trPr>
          <w:trHeight w:val="715"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上海般胜投资管理有限公司一般胜 进取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7,515,000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7,515,000</w:t>
            </w:r>
          </w:p>
        </w:tc>
      </w:tr>
      <w:tr>
        <w:trPr>
          <w:trHeight w:val="403"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胡燕英</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4,004,700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4,004,700</w:t>
            </w:r>
          </w:p>
        </w:tc>
      </w:tr>
      <w:tr>
        <w:trPr>
          <w:trHeight w:val="398"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周立滨</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3,640,700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3,640,700</w:t>
            </w:r>
          </w:p>
        </w:tc>
      </w:tr>
      <w:tr>
        <w:trPr>
          <w:trHeight w:val="408"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鲁波</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2,994,160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2,994,160</w:t>
            </w:r>
          </w:p>
        </w:tc>
      </w:tr>
      <w:tr>
        <w:trPr>
          <w:trHeight w:val="408" w:hRule="exact"/>
        </w:trPr>
        <w:tc>
          <w:tcPr>
            <w:gridSpan w:val="3"/>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福建榕基软件股份有限公司一第二</w:t>
            </w:r>
          </w:p>
        </w:tc>
        <w:tc>
          <w:tcPr>
            <w:gridSpan w:val="5"/>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2,629,101</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2,629,101</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期员工持股计划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福建榕基软件股份有限公司一第一 期员工持股计划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1,867,900</w:t>
            </w:r>
          </w:p>
        </w:tc>
      </w:tr>
      <w:tr>
        <w:trPr>
          <w:trHeight w:val="13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名无限售流通股股东和前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名股东之间关联关系或一致行动 的说明</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公司前十名股东中，鲁波为鲁峰之胞兄。福建榕基软件股份有限公司一第一期、第 二期、第三期员工持股计划与其他前十名股东之间不存在关联关系，不属于一致行 动人。除上述情况外，其他前十名股东之间未知是否存在关联关系，也未知是否属 于一致行动人。</w:t>
            </w:r>
          </w:p>
        </w:tc>
      </w:tr>
      <w:tr>
        <w:trPr>
          <w:trHeight w:val="166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8" w:lineRule="exact"/>
              <w:ind w:left="0" w:right="0" w:firstLine="0"/>
              <w:jc w:val="both"/>
            </w:pPr>
            <w:r>
              <w:rPr>
                <w:color w:val="000000"/>
                <w:spacing w:val="0"/>
                <w:w w:val="100"/>
                <w:position w:val="0"/>
              </w:rPr>
              <w:t>磐厚动量（上海）资本管理有限公司一磐厚动量一汇鑫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号私募证券投资基金参与 融资融券，信用证券账户持有</w:t>
            </w:r>
            <w:r>
              <w:rPr>
                <w:rFonts w:ascii="Times New Roman" w:eastAsia="Times New Roman" w:hAnsi="Times New Roman" w:cs="Times New Roman"/>
                <w:color w:val="000000"/>
                <w:spacing w:val="0"/>
                <w:w w:val="100"/>
                <w:position w:val="0"/>
                <w:sz w:val="18"/>
                <w:szCs w:val="18"/>
              </w:rPr>
              <w:t>10,700,000</w:t>
            </w:r>
            <w:r>
              <w:rPr>
                <w:color w:val="000000"/>
                <w:spacing w:val="0"/>
                <w:w w:val="100"/>
                <w:position w:val="0"/>
              </w:rPr>
              <w:t>股；上海般胜投资管理有限公司一般胜进 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号私募证券投资基金参与融资融券，信用证券账户持有</w:t>
            </w:r>
            <w:r>
              <w:rPr>
                <w:rFonts w:ascii="Times New Roman" w:eastAsia="Times New Roman" w:hAnsi="Times New Roman" w:cs="Times New Roman"/>
                <w:color w:val="000000"/>
                <w:spacing w:val="0"/>
                <w:w w:val="100"/>
                <w:position w:val="0"/>
                <w:sz w:val="18"/>
                <w:szCs w:val="18"/>
              </w:rPr>
              <w:t>7,515,000</w:t>
            </w:r>
            <w:r>
              <w:rPr>
                <w:color w:val="000000"/>
                <w:spacing w:val="0"/>
                <w:w w:val="100"/>
                <w:position w:val="0"/>
              </w:rPr>
              <w:t>股；胡燕英参 与融资融券，信用证券账户持有</w:t>
            </w:r>
            <w:r>
              <w:rPr>
                <w:rFonts w:ascii="Times New Roman" w:eastAsia="Times New Roman" w:hAnsi="Times New Roman" w:cs="Times New Roman"/>
                <w:color w:val="000000"/>
                <w:spacing w:val="0"/>
                <w:w w:val="100"/>
                <w:position w:val="0"/>
                <w:sz w:val="18"/>
                <w:szCs w:val="18"/>
              </w:rPr>
              <w:t>4,004,700</w:t>
            </w:r>
            <w:r>
              <w:rPr>
                <w:color w:val="000000"/>
                <w:spacing w:val="0"/>
                <w:w w:val="100"/>
                <w:position w:val="0"/>
              </w:rPr>
              <w:t xml:space="preserve">股；周立滨参与融资融券，信用证券账户 持有 </w:t>
            </w:r>
            <w:r>
              <w:rPr>
                <w:rFonts w:ascii="Times New Roman" w:eastAsia="Times New Roman" w:hAnsi="Times New Roman" w:cs="Times New Roman"/>
                <w:color w:val="000000"/>
                <w:spacing w:val="0"/>
                <w:w w:val="100"/>
                <w:position w:val="0"/>
                <w:sz w:val="18"/>
                <w:szCs w:val="18"/>
              </w:rPr>
              <w:t xml:space="preserve">3,640,700 </w:t>
            </w:r>
            <w:r>
              <w:rPr>
                <w:color w:val="000000"/>
                <w:spacing w:val="0"/>
                <w:w w:val="100"/>
                <w:position w:val="0"/>
              </w:rPr>
              <w:t>股。</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43"/>
        <w:keepNext/>
        <w:keepLines/>
        <w:widowControl w:val="0"/>
        <w:shd w:val="clear" w:color="auto" w:fill="auto"/>
        <w:bidi w:val="0"/>
        <w:spacing w:before="0" w:after="38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、公司控股股东情况</w:t>
      </w:r>
      <w:bookmarkEnd w:id="547"/>
      <w:bookmarkEnd w:id="548"/>
      <w:bookmarkEnd w:id="550"/>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43"/>
        <w:keepNext/>
        <w:keepLines/>
        <w:widowControl w:val="0"/>
        <w:shd w:val="clear" w:color="auto" w:fill="auto"/>
        <w:bidi w:val="0"/>
        <w:spacing w:before="0" w:after="38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3</w:t>
      </w:r>
      <w:bookmarkEnd w:id="553"/>
      <w:r>
        <w:rPr>
          <w:color w:val="000000"/>
          <w:spacing w:val="0"/>
          <w:w w:val="100"/>
          <w:position w:val="0"/>
        </w:rPr>
        <w:t>、公司实际控制人及其一致行动人</w:t>
      </w:r>
      <w:bookmarkEnd w:id="551"/>
      <w:bookmarkEnd w:id="552"/>
      <w:bookmarkEnd w:id="554"/>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公司董事长、总裁</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2400"/>
        <w:gridCol w:w="7186"/>
      </w:tblGrid>
      <w:tr>
        <w:trPr>
          <w:trHeight w:val="37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21869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4590415" cy="2218690"/>
                    </a:xfrm>
                    <a:prstGeom prst="rect"/>
                  </pic:spPr>
                </pic:pic>
              </a:graphicData>
            </a:graphic>
          </wp:inline>
        </w:drawing>
      </w:r>
    </w:p>
    <w:p>
      <w:pPr>
        <w:widowControl w:val="0"/>
        <w:spacing w:after="3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378" w:val="left"/>
        </w:tabs>
        <w:bidi w:val="0"/>
        <w:spacing w:before="0" w:after="38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4</w:t>
      </w:r>
      <w:bookmarkEnd w:id="55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55"/>
      <w:bookmarkEnd w:id="556"/>
      <w:bookmarkEnd w:id="558"/>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378" w:val="left"/>
        </w:tabs>
        <w:bidi w:val="0"/>
        <w:spacing w:before="0" w:after="38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5</w:t>
      </w:r>
      <w:bookmarkEnd w:id="561"/>
      <w:r>
        <w:rPr>
          <w:color w:val="000000"/>
          <w:spacing w:val="0"/>
          <w:w w:val="100"/>
          <w:position w:val="0"/>
        </w:rPr>
        <w:t>、</w:t>
        <w:tab/>
        <w:t>控股股东、实际控制人、重组方及其他承诺主体股份限制减持情况</w:t>
      </w:r>
      <w:bookmarkEnd w:id="559"/>
      <w:bookmarkEnd w:id="560"/>
      <w:bookmarkEnd w:id="562"/>
    </w:p>
    <w:p>
      <w:pPr>
        <w:pStyle w:val="Style3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59" w:right="1023" w:bottom="1445" w:left="99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3" name="Shape 2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563" w:name="bookmark563"/>
                            <w:bookmarkStart w:id="564" w:name="bookmark564"/>
                            <w:bookmarkStart w:id="565" w:name="bookmark565"/>
                            <w:r>
                              <w:rPr>
                                <w:color w:val="000000"/>
                                <w:spacing w:val="0"/>
                                <w:w w:val="100"/>
                                <w:position w:val="0"/>
                              </w:rPr>
                              <w:t>第七节优先股相关情况</w:t>
                            </w:r>
                            <w:bookmarkEnd w:id="563"/>
                            <w:bookmarkEnd w:id="564"/>
                            <w:bookmarkEnd w:id="565"/>
                          </w:p>
                        </w:txbxContent>
                      </wps:txbx>
                      <wps:bodyPr wrap="none" lIns="0" tIns="0" rIns="0" bIns="0">
                        <a:noAutoFit/>
                      </wps:bodyPr>
                    </wps:wsp>
                  </a:graphicData>
                </a:graphic>
              </wp:anchor>
            </w:drawing>
          </mc:Choice>
          <mc:Fallback>
            <w:pict>
              <v:shape id="_x0000_s1049"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563" w:name="bookmark563"/>
                      <w:bookmarkStart w:id="564" w:name="bookmark564"/>
                      <w:bookmarkStart w:id="565" w:name="bookmark565"/>
                      <w:r>
                        <w:rPr>
                          <w:color w:val="000000"/>
                          <w:spacing w:val="0"/>
                          <w:w w:val="100"/>
                          <w:position w:val="0"/>
                        </w:rPr>
                        <w:t>第七节优先股相关情况</w:t>
                      </w:r>
                      <w:bookmarkEnd w:id="563"/>
                      <w:bookmarkEnd w:id="564"/>
                      <w:bookmarkEnd w:id="565"/>
                    </w:p>
                  </w:txbxContent>
                </v:textbox>
                <w10:wrap type="topAndBottom" anchorx="page"/>
              </v:shape>
            </w:pict>
          </mc:Fallback>
        </mc:AlternateContent>
      </w:r>
    </w:p>
    <w:p>
      <w:pPr>
        <w:pStyle w:val="Style36"/>
        <w:keepNext w:val="0"/>
        <w:keepLines w:val="0"/>
        <w:widowControl w:val="0"/>
        <w:shd w:val="clear" w:color="auto" w:fill="auto"/>
        <w:bidi w:val="0"/>
        <w:spacing w:before="0" w:after="140" w:line="240" w:lineRule="auto"/>
        <w:ind w:left="0" w:right="0" w:firstLine="0"/>
        <w:jc w:val="left"/>
      </w:pPr>
      <w:bookmarkStart w:id="566" w:name="bookmark56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66"/>
    </w:p>
    <w:p>
      <w:pPr>
        <w:pStyle w:val="Style3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66" w:bottom="1930" w:left="1104"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540" w:after="560" w:line="240" w:lineRule="auto"/>
        <w:ind w:left="0" w:right="0" w:firstLine="0"/>
        <w:jc w:val="center"/>
      </w:pPr>
      <w:bookmarkStart w:id="567" w:name="bookmark567"/>
      <w:bookmarkStart w:id="568" w:name="bookmark568"/>
      <w:bookmarkStart w:id="569" w:name="bookmark569"/>
      <w:r>
        <w:rPr>
          <w:color w:val="000000"/>
          <w:spacing w:val="0"/>
          <w:w w:val="100"/>
          <w:position w:val="0"/>
        </w:rPr>
        <w:t>第八节可转换公司债券相关情况</w:t>
      </w:r>
      <w:bookmarkEnd w:id="567"/>
      <w:bookmarkEnd w:id="568"/>
      <w:bookmarkEnd w:id="569"/>
    </w:p>
    <w:p>
      <w:pPr>
        <w:pStyle w:val="Style36"/>
        <w:keepNext w:val="0"/>
        <w:keepLines w:val="0"/>
        <w:widowControl w:val="0"/>
        <w:shd w:val="clear" w:color="auto" w:fill="auto"/>
        <w:bidi w:val="0"/>
        <w:spacing w:before="0" w:after="120" w:line="240" w:lineRule="auto"/>
        <w:ind w:left="0" w:right="0" w:firstLine="0"/>
        <w:jc w:val="left"/>
      </w:pPr>
      <w:bookmarkStart w:id="570" w:name="bookmark57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70"/>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0"/>
        <w:keepNext/>
        <w:keepLines/>
        <w:widowControl w:val="0"/>
        <w:shd w:val="clear" w:color="auto" w:fill="auto"/>
        <w:bidi w:val="0"/>
        <w:spacing w:before="0" w:after="540" w:line="240" w:lineRule="auto"/>
        <w:ind w:left="0" w:right="0" w:firstLine="0"/>
        <w:jc w:val="center"/>
      </w:pPr>
      <w:bookmarkStart w:id="571" w:name="bookmark571"/>
      <w:bookmarkStart w:id="572" w:name="bookmark572"/>
      <w:bookmarkStart w:id="573" w:name="bookmark573"/>
      <w:r>
        <w:rPr>
          <w:color w:val="000000"/>
          <w:spacing w:val="0"/>
          <w:w w:val="100"/>
          <w:position w:val="0"/>
        </w:rPr>
        <w:t>第九节董事、监事、高级管理人员和员工情况</w:t>
      </w:r>
      <w:bookmarkEnd w:id="571"/>
      <w:bookmarkEnd w:id="572"/>
      <w:bookmarkEnd w:id="573"/>
    </w:p>
    <w:p>
      <w:pPr>
        <w:pStyle w:val="Style32"/>
        <w:keepNext/>
        <w:keepLines/>
        <w:widowControl w:val="0"/>
        <w:shd w:val="clear" w:color="auto" w:fill="auto"/>
        <w:bidi w:val="0"/>
        <w:spacing w:before="0" w:after="320" w:line="240" w:lineRule="auto"/>
        <w:ind w:left="0" w:right="0" w:firstLine="0"/>
        <w:jc w:val="left"/>
      </w:pPr>
      <w:bookmarkStart w:id="574" w:name="bookmark574"/>
      <w:bookmarkStart w:id="575" w:name="bookmark575"/>
      <w:bookmarkStart w:id="576" w:name="bookmark576"/>
      <w:bookmarkStart w:id="577" w:name="bookmark577"/>
      <w:bookmarkStart w:id="578" w:name="bookmark578"/>
      <w:r>
        <w:rPr>
          <w:color w:val="000000"/>
          <w:spacing w:val="0"/>
          <w:w w:val="100"/>
          <w:position w:val="0"/>
        </w:rPr>
        <w:t>一</w:t>
      </w:r>
      <w:bookmarkEnd w:id="577"/>
      <w:r>
        <w:rPr>
          <w:color w:val="000000"/>
          <w:spacing w:val="0"/>
          <w:w w:val="100"/>
          <w:position w:val="0"/>
        </w:rPr>
        <w:t>、董事、监事和高级管理人员持股变动</w:t>
      </w:r>
      <w:bookmarkEnd w:id="575"/>
      <w:bookmarkEnd w:id="576"/>
      <w:bookmarkEnd w:id="578"/>
      <w:bookmarkEnd w:id="574"/>
    </w:p>
    <w:tbl>
      <w:tblPr>
        <w:tblOverlap w:val="never"/>
        <w:jc w:val="center"/>
        <w:tblLayout w:type="fixed"/>
      </w:tblPr>
      <w:tblGrid>
        <w:gridCol w:w="806"/>
        <w:gridCol w:w="797"/>
        <w:gridCol w:w="797"/>
        <w:gridCol w:w="797"/>
        <w:gridCol w:w="797"/>
        <w:gridCol w:w="797"/>
        <w:gridCol w:w="802"/>
        <w:gridCol w:w="797"/>
        <w:gridCol w:w="797"/>
        <w:gridCol w:w="797"/>
        <w:gridCol w:w="672"/>
        <w:gridCol w:w="1003"/>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9"/>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9"/>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其他增 减变动</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期末持股数</w:t>
            </w:r>
          </w:p>
          <w:p>
            <w:pPr>
              <w:pStyle w:val="Style2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129,015,7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121,500,740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长、常务</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42,897,76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32,197,766</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5,396,146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5,396,146</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6,850,000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刘景燕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1,740,000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1,305,000</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周仁馄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叶剑波</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672"/>
        <w:gridCol w:w="10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 董事会秘 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1,389,000</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1,141,000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尚大斌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宾壮兴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李惠钦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1,160,990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1,160,990</w:t>
            </w: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192,085,6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18,235,00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173,850,642</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二</w:t>
      </w:r>
      <w:bookmarkEnd w:id="581"/>
      <w:r>
        <w:rPr>
          <w:color w:val="000000"/>
          <w:spacing w:val="0"/>
          <w:w w:val="100"/>
          <w:position w:val="0"/>
        </w:rPr>
        <w:t>、公司董事、监事、高级管理人员变动情况</w:t>
      </w:r>
      <w:bookmarkEnd w:id="579"/>
      <w:bookmarkEnd w:id="580"/>
      <w:bookmarkEnd w:id="582"/>
    </w:p>
    <w:p>
      <w:pPr>
        <w:pStyle w:val="Style36"/>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三</w:t>
      </w:r>
      <w:bookmarkEnd w:id="585"/>
      <w:r>
        <w:rPr>
          <w:color w:val="000000"/>
          <w:spacing w:val="0"/>
          <w:w w:val="100"/>
          <w:position w:val="0"/>
        </w:rPr>
        <w:t>、任职情况</w:t>
      </w:r>
      <w:bookmarkEnd w:id="583"/>
      <w:bookmarkEnd w:id="584"/>
      <w:bookmarkEnd w:id="586"/>
    </w:p>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6"/>
        <w:keepNext w:val="0"/>
        <w:keepLines w:val="0"/>
        <w:widowControl w:val="0"/>
        <w:shd w:val="clear" w:color="auto" w:fill="auto"/>
        <w:bidi w:val="0"/>
        <w:spacing w:before="0" w:after="0" w:line="314" w:lineRule="exact"/>
        <w:ind w:left="0" w:right="0"/>
        <w:jc w:val="left"/>
      </w:pPr>
      <w:r>
        <w:rPr>
          <w:color w:val="000000"/>
          <w:spacing w:val="0"/>
          <w:w w:val="100"/>
          <w:position w:val="0"/>
        </w:rPr>
        <w:t>鲁峰：中国国籍，男，</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年生，毕业于中科院沈阳计算技术研究所，研究生学历，工学硕士学位。长期从事行业应 用软件开发及计算机信息系统集成工作，</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 xml:space="preserve">年参与创建福建榕基软件开发有限公司，主持业务、研发和技术管理工作。 </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年，荣获福建省人事厅、信息产业厅颁发的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首届福建省软件杰出人才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荣誉称号。</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年，荣获福建省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劳动奖 章，获得福建省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新长征突击手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中国信息产业年度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大新锐人物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中国软件行业杰出青年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中国优秀民 营企业家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年获评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海西创业英才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年获评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福建省互联网优秀人才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等荣誉称号。现任公司董事长、总裁、上海 榕基软件开发有限公司执行董事、福建亿榕信息技术有限公司董事。</w:t>
      </w:r>
    </w:p>
    <w:p>
      <w:pPr>
        <w:pStyle w:val="Style36"/>
        <w:keepNext w:val="0"/>
        <w:keepLines w:val="0"/>
        <w:widowControl w:val="0"/>
        <w:shd w:val="clear" w:color="auto" w:fill="auto"/>
        <w:bidi w:val="0"/>
        <w:spacing w:before="0" w:after="0" w:line="314" w:lineRule="exact"/>
        <w:ind w:left="0" w:right="0"/>
        <w:jc w:val="left"/>
      </w:pPr>
      <w:r>
        <w:rPr>
          <w:color w:val="000000"/>
          <w:spacing w:val="0"/>
          <w:w w:val="100"/>
          <w:position w:val="0"/>
        </w:rPr>
        <w:t>侯伟：中国国籍，男，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年生，毕业于郑州大学，本科学历，学士学位。</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年至今在公司工作，长期从事公司内 务管理和市场管理工作，荣获福建省第三批企业高级经营管理人才。现任公司副董事长、常务副总裁、浙江榕基信息技术 有限公司董事长、福建亿榕信息技术有限公司董事、星榕基董事长。</w:t>
      </w:r>
    </w:p>
    <w:p>
      <w:pPr>
        <w:pStyle w:val="Style36"/>
        <w:keepNext w:val="0"/>
        <w:keepLines w:val="0"/>
        <w:widowControl w:val="0"/>
        <w:shd w:val="clear" w:color="auto" w:fill="auto"/>
        <w:bidi w:val="0"/>
        <w:spacing w:before="0" w:after="260" w:line="314" w:lineRule="exact"/>
        <w:ind w:left="0" w:right="0"/>
        <w:jc w:val="left"/>
      </w:pPr>
      <w:r>
        <w:rPr>
          <w:color w:val="000000"/>
          <w:spacing w:val="0"/>
          <w:w w:val="100"/>
          <w:position w:val="0"/>
        </w:rPr>
        <w:t>陈明平：中国国籍，无境外永久居留权，男，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年生，毕业于北京理工大学，本科学历，高级工程师。长期从事行 业应用软件开发及计算机信息系统集成工作，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年加入公司，负责企业技术开发及管理工作。具有较强的技术管理能 力，负责公司技术管理体系的建设和维护，对软件行业具有深入的理解和丰富的实践经验，曾获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首届福建</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行业十大杰出</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第二届福建省软件杰出人才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第二届福州市杰出科技人员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第十二届福建青年科技奖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中国电子学会电子 信息科学技术奖二等奖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福建省职工优秀技术创新成果二等奖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福建省优秀新产品二等奖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年至今获得省、市科 学技术奖共</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项。现任公司董事、副总裁、福建榕基软件工程有限公司执行董事兼总经理。</w:t>
      </w:r>
    </w:p>
    <w:p>
      <w:pPr>
        <w:pStyle w:val="Style36"/>
        <w:keepNext w:val="0"/>
        <w:keepLines w:val="0"/>
        <w:widowControl w:val="0"/>
        <w:shd w:val="clear" w:color="auto" w:fill="auto"/>
        <w:bidi w:val="0"/>
        <w:spacing w:before="0" w:after="0" w:line="312" w:lineRule="exact"/>
        <w:ind w:left="0" w:right="0"/>
        <w:jc w:val="both"/>
      </w:pPr>
      <w:r>
        <w:rPr>
          <w:color w:val="000000"/>
          <w:spacing w:val="0"/>
          <w:w w:val="100"/>
          <w:position w:val="0"/>
        </w:rPr>
        <w:t>刘景燕：中国国籍，女，</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年生，工程硕士。</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年加入公司，先后担任项目管理部经理，运营总监。具有较强的 经营管理能力，负责公司企业运营管理工作。现任公司董事。</w:t>
      </w:r>
    </w:p>
    <w:p>
      <w:pPr>
        <w:pStyle w:val="Style36"/>
        <w:keepNext w:val="0"/>
        <w:keepLines w:val="0"/>
        <w:widowControl w:val="0"/>
        <w:shd w:val="clear" w:color="auto" w:fill="auto"/>
        <w:bidi w:val="0"/>
        <w:spacing w:before="0" w:after="0" w:line="316" w:lineRule="exact"/>
        <w:ind w:left="0" w:right="0"/>
        <w:jc w:val="both"/>
      </w:pPr>
      <w:r>
        <w:rPr>
          <w:color w:val="000000"/>
          <w:spacing w:val="0"/>
          <w:w w:val="100"/>
          <w:position w:val="0"/>
        </w:rPr>
        <w:t>赵坚：中国国籍，男，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年生，毕业于福州大学工业电气自动化专业，本科学历。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年加入公司，先后担任系统 集成工程师、项目经理、系统集成部经理、业务副总监。现负责企业计算机系统集成、音视频系统集成、办公自动化软 件、定制</w:t>
      </w:r>
      <w:r>
        <w:rPr>
          <w:rFonts w:ascii="Times New Roman" w:eastAsia="Times New Roman" w:hAnsi="Times New Roman" w:cs="Times New Roman"/>
          <w:color w:val="000000"/>
          <w:spacing w:val="0"/>
          <w:w w:val="100"/>
          <w:position w:val="0"/>
          <w:sz w:val="18"/>
          <w:szCs w:val="18"/>
        </w:rPr>
        <w:t>MIS</w:t>
      </w:r>
      <w:r>
        <w:rPr>
          <w:color w:val="000000"/>
          <w:spacing w:val="0"/>
          <w:w w:val="100"/>
          <w:position w:val="0"/>
        </w:rPr>
        <w:t>软件等工程项目的实施及服务管理工作。具有较强的技术管理能力，承担公司工程项目管理体系的建设和维 护，对</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行业的工程管理具有深入的理解和丰富的实践经验，具有较强的大型系统集成项目分析和整合规划能力，主持了 公司多个重点项目的规划、实施工作。现任公司董事、工程中心总经理。</w:t>
      </w:r>
    </w:p>
    <w:p>
      <w:pPr>
        <w:pStyle w:val="Style36"/>
        <w:keepNext w:val="0"/>
        <w:keepLines w:val="0"/>
        <w:widowControl w:val="0"/>
        <w:shd w:val="clear" w:color="auto" w:fill="auto"/>
        <w:bidi w:val="0"/>
        <w:spacing w:before="0" w:after="0" w:line="315" w:lineRule="exact"/>
        <w:ind w:left="0" w:right="0"/>
        <w:jc w:val="both"/>
      </w:pPr>
      <w:r>
        <w:rPr>
          <w:color w:val="000000"/>
          <w:spacing w:val="0"/>
          <w:w w:val="100"/>
          <w:position w:val="0"/>
        </w:rPr>
        <w:t>靳谊：中国国籍，男，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年生，毕业于武汉理工大学计算机科学与技术专业。</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年加入公司，先后担任工程师、 项目经理、资深工程师、副主任工程师、主任工程师、协同管理事业部经理。具有较强的研发管理能力与大型企业管理信 息系统分析和整合规划能力，负责协同管理业务技术管理以及企业内部信息系统建设工作，主持设计研发了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榕基电子单证 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w:t>
      </w:r>
      <w:r>
        <w:rPr>
          <w:rFonts w:ascii="Times New Roman" w:eastAsia="Times New Roman" w:hAnsi="Times New Roman" w:cs="Times New Roman"/>
          <w:color w:val="000000"/>
          <w:spacing w:val="0"/>
          <w:w w:val="100"/>
          <w:position w:val="0"/>
          <w:sz w:val="18"/>
          <w:szCs w:val="18"/>
        </w:rPr>
        <w:t>I-TASK</w:t>
      </w:r>
      <w:r>
        <w:rPr>
          <w:color w:val="000000"/>
          <w:spacing w:val="0"/>
          <w:w w:val="100"/>
          <w:position w:val="0"/>
        </w:rPr>
        <w:t>任务管理平台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等公司战略产品以及能源、质检等行业十多项软件产品，曾获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福州市科学技术奖三等 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福建省优秀信息主管</w:t>
      </w:r>
      <w:r>
        <w:rPr>
          <w:rFonts w:ascii="Times New Roman" w:eastAsia="Times New Roman" w:hAnsi="Times New Roman" w:cs="Times New Roman"/>
          <w:color w:val="000000"/>
          <w:spacing w:val="0"/>
          <w:w w:val="100"/>
          <w:position w:val="0"/>
          <w:sz w:val="18"/>
          <w:szCs w:val="18"/>
        </w:rPr>
        <w:t xml:space="preserve">（CIO）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信息化年度贡献人物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。现任公司董事、副总裁、首席信息官、研发总监、北京 中榕基信息技术有限公司总经理。</w:t>
      </w:r>
    </w:p>
    <w:p>
      <w:pPr>
        <w:pStyle w:val="Style36"/>
        <w:keepNext w:val="0"/>
        <w:keepLines w:val="0"/>
        <w:widowControl w:val="0"/>
        <w:shd w:val="clear" w:color="auto" w:fill="auto"/>
        <w:bidi w:val="0"/>
        <w:spacing w:before="0" w:after="0" w:line="317" w:lineRule="exact"/>
        <w:ind w:left="0" w:right="0"/>
        <w:jc w:val="both"/>
      </w:pPr>
      <w:r>
        <w:rPr>
          <w:color w:val="000000"/>
          <w:spacing w:val="0"/>
          <w:w w:val="100"/>
          <w:position w:val="0"/>
        </w:rPr>
        <w:t>孙敏：中国国籍，女，</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年生，毕业于厦门大学法律系。法学学士学位，律师资格。历任福州铁路运输法院书记 员、助理员，天津</w:t>
      </w:r>
      <w:r>
        <w:rPr>
          <w:rFonts w:ascii="Times New Roman" w:eastAsia="Times New Roman" w:hAnsi="Times New Roman" w:cs="Times New Roman"/>
          <w:color w:val="000000"/>
          <w:spacing w:val="0"/>
          <w:w w:val="100"/>
          <w:position w:val="0"/>
          <w:sz w:val="18"/>
          <w:szCs w:val="18"/>
        </w:rPr>
        <w:t>OTIS</w:t>
      </w:r>
      <w:r>
        <w:rPr>
          <w:color w:val="000000"/>
          <w:spacing w:val="0"/>
          <w:w w:val="100"/>
          <w:position w:val="0"/>
        </w:rPr>
        <w:t>电梯有限公司福州分公司法务员，福州众智律师事务所执业律师，福建融成律师事务所任执业律 师，现任福建汇德律师事务所执业律师、合伙人。现任本公司独立董事。</w:t>
      </w:r>
    </w:p>
    <w:p>
      <w:pPr>
        <w:pStyle w:val="Style36"/>
        <w:keepNext w:val="0"/>
        <w:keepLines w:val="0"/>
        <w:widowControl w:val="0"/>
        <w:shd w:val="clear" w:color="auto" w:fill="auto"/>
        <w:bidi w:val="0"/>
        <w:spacing w:before="0" w:after="0" w:line="315" w:lineRule="exact"/>
        <w:ind w:left="0" w:right="0"/>
        <w:jc w:val="both"/>
      </w:pPr>
      <w:r>
        <w:rPr>
          <w:color w:val="000000"/>
          <w:spacing w:val="0"/>
          <w:w w:val="100"/>
          <w:position w:val="0"/>
        </w:rPr>
        <w:t>叶东毅：中国国籍，男，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年生，博士，历任福州大学计算机系讲师、教授、系主任和副院长，现任福州大学数学 与计算机科学学院教授、博士生导师、福建省信息产业专家委员会委员、福建省计算机学会副理事长、福建省人工智能学 会常务理事、福建省软件行业协会理事，福建福昕软件开发股份有限公司独立董事、星网锐捷独立董事、顶点软件独立董 事。现任公司独立董事。</w:t>
      </w:r>
    </w:p>
    <w:p>
      <w:pPr>
        <w:pStyle w:val="Style36"/>
        <w:keepNext w:val="0"/>
        <w:keepLines w:val="0"/>
        <w:widowControl w:val="0"/>
        <w:shd w:val="clear" w:color="auto" w:fill="auto"/>
        <w:bidi w:val="0"/>
        <w:spacing w:before="0" w:after="0" w:line="319" w:lineRule="exact"/>
        <w:ind w:left="0" w:right="0"/>
        <w:jc w:val="both"/>
      </w:pPr>
      <w:r>
        <w:rPr>
          <w:color w:val="000000"/>
          <w:spacing w:val="0"/>
          <w:w w:val="100"/>
          <w:position w:val="0"/>
        </w:rPr>
        <w:t>胡继荣：中国国籍，男，</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年生，工商管理学硕士，教授，注册会计师。曾任扬州大学助教、讲师，福州大学至诚 学院副院长、教授。现任中国绿色食品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有限公司、福建永福电力设计股份有限公司、四川福蓉科技股份有限公司、 福建福光股份有限公司独立董事、福州大学经济与管理学院教授。现任公司独立董事。</w:t>
      </w:r>
    </w:p>
    <w:p>
      <w:pPr>
        <w:pStyle w:val="Style36"/>
        <w:keepNext w:val="0"/>
        <w:keepLines w:val="0"/>
        <w:widowControl w:val="0"/>
        <w:shd w:val="clear" w:color="auto" w:fill="auto"/>
        <w:tabs>
          <w:tab w:pos="3898" w:val="left"/>
        </w:tabs>
        <w:bidi w:val="0"/>
        <w:spacing w:before="0" w:after="0" w:line="312" w:lineRule="exact"/>
        <w:ind w:left="0" w:right="0"/>
        <w:jc w:val="both"/>
      </w:pPr>
      <w:r>
        <w:rPr>
          <w:color w:val="000000"/>
          <w:spacing w:val="0"/>
          <w:w w:val="100"/>
          <w:position w:val="0"/>
        </w:rPr>
        <w:t>周仁锟：中国国籍，男，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年生，毕业于中南工业大学管理信息系统专业，本科学历。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年加入公司，曾任公司 项目经理、资深工程师、副主任工程师。具有较强的项目组织管理和产品研发能力，在管理信息系统、电子政务等领域有 着深入的技术研究和丰富的实践经验，参与研制了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榕基政务信息化系统（</w:t>
      </w:r>
      <w:r>
        <w:rPr>
          <w:rFonts w:ascii="Times New Roman" w:eastAsia="Times New Roman" w:hAnsi="Times New Roman" w:cs="Times New Roman"/>
          <w:color w:val="000000"/>
          <w:spacing w:val="0"/>
          <w:w w:val="100"/>
          <w:position w:val="0"/>
          <w:sz w:val="18"/>
          <w:szCs w:val="18"/>
        </w:rPr>
        <w:t>RJ-eGov</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榕基电子公文传输交换系统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RJ- Exchange</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榕基内容管理系统（</w:t>
      </w:r>
      <w:r>
        <w:rPr>
          <w:rFonts w:ascii="Times New Roman" w:eastAsia="Times New Roman" w:hAnsi="Times New Roman" w:cs="Times New Roman"/>
          <w:color w:val="000000"/>
          <w:spacing w:val="0"/>
          <w:w w:val="100"/>
          <w:position w:val="0"/>
          <w:sz w:val="18"/>
          <w:szCs w:val="18"/>
        </w:rPr>
        <w:t>RJ-CMS</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榕基法院审判业务管理系统（</w:t>
      </w:r>
      <w:r>
        <w:rPr>
          <w:rFonts w:ascii="Times New Roman" w:eastAsia="Times New Roman" w:hAnsi="Times New Roman" w:cs="Times New Roman"/>
          <w:color w:val="000000"/>
          <w:spacing w:val="0"/>
          <w:w w:val="100"/>
          <w:position w:val="0"/>
          <w:sz w:val="18"/>
          <w:szCs w:val="18"/>
        </w:rPr>
        <w:t>RJ-Court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等公司产品，曾获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福建省职</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工优秀技术创新成果二等奖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福建省优秀新产品二等奖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。现任公司监事会主席。</w:t>
      </w:r>
    </w:p>
    <w:p>
      <w:pPr>
        <w:pStyle w:val="Style36"/>
        <w:keepNext w:val="0"/>
        <w:keepLines w:val="0"/>
        <w:widowControl w:val="0"/>
        <w:shd w:val="clear" w:color="auto" w:fill="auto"/>
        <w:bidi w:val="0"/>
        <w:spacing w:before="0" w:after="0" w:line="317" w:lineRule="exact"/>
        <w:ind w:left="0" w:right="0"/>
        <w:jc w:val="both"/>
      </w:pPr>
      <w:r>
        <w:rPr>
          <w:color w:val="000000"/>
          <w:spacing w:val="0"/>
          <w:w w:val="100"/>
          <w:position w:val="0"/>
        </w:rPr>
        <w:t>陈威：中国国籍，女，</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年生，毕业于福州大学国际贸易专业，本科学历、工商管理硕士学位、高级职称。</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月至今就职于公司，负责企业公共发展相关工作。现任公司监事。</w:t>
      </w:r>
    </w:p>
    <w:p>
      <w:pPr>
        <w:pStyle w:val="Style36"/>
        <w:keepNext w:val="0"/>
        <w:keepLines w:val="0"/>
        <w:widowControl w:val="0"/>
        <w:shd w:val="clear" w:color="auto" w:fill="auto"/>
        <w:bidi w:val="0"/>
        <w:spacing w:before="0" w:after="0" w:line="307" w:lineRule="exact"/>
        <w:ind w:left="0" w:right="0"/>
        <w:jc w:val="both"/>
      </w:pPr>
      <w:r>
        <w:rPr>
          <w:color w:val="000000"/>
          <w:spacing w:val="0"/>
          <w:w w:val="100"/>
          <w:position w:val="0"/>
        </w:rPr>
        <w:t>叶剑波：中国国籍，无境外永久居留权，男，</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年生，毕业于福建广播电视大学英语专业，大专学历。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年任职于福建之窗网络有限公司，</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年加入公司，一直从事</w:t>
      </w:r>
      <w:r>
        <w:rPr>
          <w:rFonts w:ascii="Times New Roman" w:eastAsia="Times New Roman" w:hAnsi="Times New Roman" w:cs="Times New Roman"/>
          <w:color w:val="000000"/>
          <w:spacing w:val="0"/>
          <w:w w:val="100"/>
          <w:position w:val="0"/>
          <w:sz w:val="18"/>
          <w:szCs w:val="18"/>
        </w:rPr>
        <w:t>UI</w:t>
      </w:r>
      <w:r>
        <w:rPr>
          <w:color w:val="000000"/>
          <w:spacing w:val="0"/>
          <w:w w:val="100"/>
          <w:position w:val="0"/>
        </w:rPr>
        <w:t>设计工作。现任电子政务部</w:t>
      </w:r>
      <w:r>
        <w:rPr>
          <w:rFonts w:ascii="Times New Roman" w:eastAsia="Times New Roman" w:hAnsi="Times New Roman" w:cs="Times New Roman"/>
          <w:color w:val="000000"/>
          <w:spacing w:val="0"/>
          <w:w w:val="100"/>
          <w:position w:val="0"/>
          <w:sz w:val="18"/>
          <w:szCs w:val="18"/>
        </w:rPr>
        <w:t>UI</w:t>
      </w:r>
      <w:r>
        <w:rPr>
          <w:color w:val="000000"/>
          <w:spacing w:val="0"/>
          <w:w w:val="100"/>
          <w:position w:val="0"/>
        </w:rPr>
        <w:t>设计经理、公司监事。</w:t>
      </w:r>
    </w:p>
    <w:p>
      <w:pPr>
        <w:pStyle w:val="Style36"/>
        <w:keepNext w:val="0"/>
        <w:keepLines w:val="0"/>
        <w:widowControl w:val="0"/>
        <w:shd w:val="clear" w:color="auto" w:fill="auto"/>
        <w:tabs>
          <w:tab w:pos="7027" w:val="left"/>
        </w:tabs>
        <w:bidi w:val="0"/>
        <w:spacing w:before="0" w:after="0" w:line="318" w:lineRule="exact"/>
        <w:ind w:left="0" w:right="0"/>
        <w:jc w:val="both"/>
        <w:rPr>
          <w:sz w:val="18"/>
          <w:szCs w:val="18"/>
        </w:rPr>
      </w:pPr>
      <w:r>
        <w:rPr>
          <w:color w:val="000000"/>
          <w:spacing w:val="0"/>
          <w:w w:val="100"/>
          <w:position w:val="0"/>
          <w:sz w:val="17"/>
          <w:szCs w:val="17"/>
        </w:rPr>
        <w:t>万孝雄：中国国籍，男，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sz w:val="17"/>
          <w:szCs w:val="17"/>
        </w:rPr>
        <w:t>年生，研究生学历，工商管理硕士。</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7"/>
          <w:szCs w:val="17"/>
        </w:rPr>
        <w:t>年加入公司，先后担任研发副总监，营销总 监。具有较强的技术管理能力，负责公司信息安全业务技术管理工作，对信息安全具有深入的理解，具有丰富的安全管 理、安全服务、安全培训等实践经验，主持研发了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榕基网络隐患扫描系统（</w:t>
      </w:r>
      <w:r>
        <w:rPr>
          <w:rFonts w:ascii="Times New Roman" w:eastAsia="Times New Roman" w:hAnsi="Times New Roman" w:cs="Times New Roman"/>
          <w:color w:val="000000"/>
          <w:spacing w:val="0"/>
          <w:w w:val="100"/>
          <w:position w:val="0"/>
          <w:sz w:val="18"/>
          <w:szCs w:val="18"/>
        </w:rPr>
        <w:t>RJ-iTop</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榕基风险管理系统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RJ-</w:t>
      </w:r>
    </w:p>
    <w:p>
      <w:pPr>
        <w:pStyle w:val="Style36"/>
        <w:keepNext w:val="0"/>
        <w:keepLines w:val="0"/>
        <w:widowControl w:val="0"/>
        <w:shd w:val="clear" w:color="auto" w:fill="auto"/>
        <w:bidi w:val="0"/>
        <w:spacing w:before="0" w:after="140" w:line="318" w:lineRule="exact"/>
        <w:ind w:left="0" w:right="0" w:firstLine="0"/>
        <w:jc w:val="left"/>
      </w:pPr>
      <w:r>
        <w:rPr>
          <w:rFonts w:ascii="Times New Roman" w:eastAsia="Times New Roman" w:hAnsi="Times New Roman" w:cs="Times New Roman"/>
          <w:color w:val="000000"/>
          <w:spacing w:val="0"/>
          <w:w w:val="100"/>
          <w:position w:val="0"/>
          <w:sz w:val="18"/>
          <w:szCs w:val="18"/>
        </w:rPr>
        <w:t>RMS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等公司信息安全战略产品，其中：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榕基网络隐患扫描系统（</w:t>
      </w:r>
      <w:r>
        <w:rPr>
          <w:rFonts w:ascii="Times New Roman" w:eastAsia="Times New Roman" w:hAnsi="Times New Roman" w:cs="Times New Roman"/>
          <w:color w:val="000000"/>
          <w:spacing w:val="0"/>
          <w:w w:val="100"/>
          <w:position w:val="0"/>
          <w:sz w:val="18"/>
          <w:szCs w:val="18"/>
        </w:rPr>
        <w:t>RJ-iTop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福州市科学技术二等奖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福建省科学技术三等奖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榕基风险管理系统（</w:t>
      </w:r>
      <w:r>
        <w:rPr>
          <w:rFonts w:ascii="Times New Roman" w:eastAsia="Times New Roman" w:hAnsi="Times New Roman" w:cs="Times New Roman"/>
          <w:color w:val="000000"/>
          <w:spacing w:val="0"/>
          <w:w w:val="100"/>
          <w:position w:val="0"/>
          <w:sz w:val="18"/>
          <w:szCs w:val="18"/>
        </w:rPr>
        <w:t>RJ-RMS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福建省科学技术三等奖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福州市科 学技术二等奖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。现任公司副总裁、董事会秘书、福建榕基投资有限公司总经理、榕基国际控股有限公司董事、福建文鑫莲 业有限责任公司董事。</w:t>
      </w:r>
    </w:p>
    <w:p>
      <w:pPr>
        <w:pStyle w:val="Style36"/>
        <w:keepNext w:val="0"/>
        <w:keepLines w:val="0"/>
        <w:widowControl w:val="0"/>
        <w:shd w:val="clear" w:color="auto" w:fill="auto"/>
        <w:bidi w:val="0"/>
        <w:spacing w:before="0" w:after="0" w:line="240" w:lineRule="auto"/>
        <w:ind w:left="0" w:right="0"/>
        <w:jc w:val="both"/>
      </w:pPr>
      <w:r>
        <w:rPr>
          <w:color w:val="000000"/>
          <w:spacing w:val="0"/>
          <w:w w:val="100"/>
          <w:position w:val="0"/>
        </w:rPr>
        <w:t>镇千金：中国国籍，女，</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年生，毕业于福州大学，研究生学历，工商管理硕士。</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 xml:space="preserve">年加入公司，先后在客服 </w:t>
      </w:r>
      <w:r>
        <w:rPr>
          <w:color w:val="000000"/>
          <w:spacing w:val="0"/>
          <w:w w:val="100"/>
          <w:position w:val="0"/>
        </w:rPr>
        <w:t>部、技术部及财务部工作，</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年获得福建省五一劳动奖章。曾任公司工程师、会计、财务部经理、监事。现任公司财务 总监、榕基国际控股有限公司董事。</w:t>
      </w:r>
    </w:p>
    <w:p>
      <w:pPr>
        <w:pStyle w:val="Style36"/>
        <w:keepNext w:val="0"/>
        <w:keepLines w:val="0"/>
        <w:widowControl w:val="0"/>
        <w:shd w:val="clear" w:color="auto" w:fill="auto"/>
        <w:bidi w:val="0"/>
        <w:spacing w:before="0" w:after="0" w:line="317" w:lineRule="exact"/>
        <w:ind w:left="0" w:right="0"/>
        <w:jc w:val="left"/>
      </w:pPr>
      <w:r>
        <w:rPr>
          <w:color w:val="000000"/>
          <w:spacing w:val="0"/>
          <w:w w:val="100"/>
          <w:position w:val="0"/>
        </w:rPr>
        <w:t>尚大斌：中国国籍，男，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年生，研究生学历，软件工程硕士专业。</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年加入公司，先后担任浙江榕基信息技术 有限公司总经理助理、副总经理，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月至今担任浙江榕基信息技术有限公司总经理。具有较丰富的团队管理经验，负 责浙江榕基信息技术有限公司的管理工作，对政务信息化领域有比较深刻的理解及实践经验。现任公司副总裁、浙江榕基 信息技术有限公司总经理。</w:t>
      </w:r>
    </w:p>
    <w:p>
      <w:pPr>
        <w:pStyle w:val="Style36"/>
        <w:keepNext w:val="0"/>
        <w:keepLines w:val="0"/>
        <w:widowControl w:val="0"/>
        <w:shd w:val="clear" w:color="auto" w:fill="auto"/>
        <w:bidi w:val="0"/>
        <w:spacing w:before="0" w:after="0" w:line="317" w:lineRule="exact"/>
        <w:ind w:left="0" w:right="0"/>
        <w:jc w:val="left"/>
      </w:pPr>
      <w:r>
        <w:rPr>
          <w:color w:val="000000"/>
          <w:spacing w:val="0"/>
          <w:w w:val="100"/>
          <w:position w:val="0"/>
        </w:rPr>
        <w:t>宾壮兴：中国国籍，男，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年生，毕业于深圳大学人事管理专业。</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年加入公司，先后担任榕基软件深圳分公司 办公室主任、副总经理。长期从事质检行业应用软件产品的开发及推广管理工作，对质检行业的信息化建设有一定的了解 和丰富的实验经验。具有较强的的市场开拓及企业管理能力。现任公司副总裁。</w:t>
      </w:r>
    </w:p>
    <w:p>
      <w:pPr>
        <w:pStyle w:val="Style36"/>
        <w:keepNext w:val="0"/>
        <w:keepLines w:val="0"/>
        <w:widowControl w:val="0"/>
        <w:shd w:val="clear" w:color="auto" w:fill="auto"/>
        <w:bidi w:val="0"/>
        <w:spacing w:before="0" w:after="0" w:line="326" w:lineRule="exact"/>
        <w:ind w:left="0" w:right="0"/>
        <w:jc w:val="left"/>
      </w:pPr>
      <w:r>
        <w:rPr>
          <w:color w:val="000000"/>
          <w:spacing w:val="0"/>
          <w:w w:val="100"/>
          <w:position w:val="0"/>
        </w:rPr>
        <w:t>李惠钦：中国国籍，女，</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年生，毕业于闽江学院。</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年加入公司，先后担任行政部经理、总裁助理，长期从事市 场开拓工作。现任公司副总裁。</w:t>
      </w:r>
    </w:p>
    <w:p>
      <w:pPr>
        <w:pStyle w:val="Style36"/>
        <w:keepNext w:val="0"/>
        <w:keepLines w:val="0"/>
        <w:widowControl w:val="0"/>
        <w:shd w:val="clear" w:color="auto" w:fill="auto"/>
        <w:bidi w:val="0"/>
        <w:spacing w:before="0" w:after="80" w:line="349"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在其他单位任职情况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上海榕基软件开发有限公司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福建容大物联网科技有限公司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福建星榕基信息科技有限责任公司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尚大斌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浙江榕基信息技术有限公司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尚大斌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福州榕易付网络科技有限公司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福建星榕基信息科技有限责任公司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榕基国际控股有限公司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福建文鑫莲业有限责任公司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榕基国际控股有限公司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福建容大物联网科技有限公司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福州榕易付网络科技有限公司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福建闽光软件股份有限公司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北京中榕基信息技术有限公司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福建星榕基信息科技有限责任公司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刘景燕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上海榕基软件开发有限公司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福建汇德律师事务所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执业律师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福州大学经济与管理学院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副教授、教 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四川福蓉科技股份有限公司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中国绿色食品（控股）有限公司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福州大学数学与计算机科学学院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教授、博士 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福建顶点软件股份有限公司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福建福昕软件开发股份有限公司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福建星网锐捷通讯股份有限公司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四</w:t>
      </w:r>
      <w:bookmarkEnd w:id="589"/>
      <w:r>
        <w:rPr>
          <w:color w:val="000000"/>
          <w:spacing w:val="0"/>
          <w:w w:val="100"/>
          <w:position w:val="0"/>
        </w:rPr>
        <w:t>、董事、监事、高级管理人员报酬情况</w:t>
      </w:r>
      <w:bookmarkEnd w:id="587"/>
      <w:bookmarkEnd w:id="588"/>
      <w:bookmarkEnd w:id="590"/>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董事、监事、高级管理人员报酬的决策程序、确定依据、实际支付情况</w:t>
      </w:r>
    </w:p>
    <w:p>
      <w:pPr>
        <w:pStyle w:val="Style36"/>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报告期内公司根据《公司章程》及《公司董事会薪酬与考核委员会实施细则》，结合公司经营规模等实际情况并参照 行业薪酬水平，制定《公司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年度董事、高级管理人员薪酬方案》，并由公司第五届董事会第二次会议及公司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 股东大会审议通过后执行。</w:t>
      </w:r>
    </w:p>
    <w:p>
      <w:pPr>
        <w:pStyle w:val="Style3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副董事长、常务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刘景燕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周仁馄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叶剑波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尚大斌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宾壮兴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李惠钦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五</w:t>
      </w:r>
      <w:bookmarkEnd w:id="593"/>
      <w:r>
        <w:rPr>
          <w:color w:val="000000"/>
          <w:spacing w:val="0"/>
          <w:w w:val="100"/>
          <w:position w:val="0"/>
        </w:rPr>
        <w:t>、公司员工情况</w:t>
      </w:r>
      <w:bookmarkEnd w:id="591"/>
      <w:bookmarkEnd w:id="592"/>
      <w:bookmarkEnd w:id="594"/>
    </w:p>
    <w:p>
      <w:pPr>
        <w:pStyle w:val="Style43"/>
        <w:keepNext/>
        <w:keepLines/>
        <w:widowControl w:val="0"/>
        <w:shd w:val="clear" w:color="auto" w:fill="auto"/>
        <w:bidi w:val="0"/>
        <w:spacing w:before="0" w:after="30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、员工数量、专业构成及教育程度</w:t>
      </w:r>
      <w:bookmarkEnd w:id="595"/>
      <w:bookmarkEnd w:id="596"/>
      <w:bookmarkEnd w:id="59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492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468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960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960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417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960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686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960</w:t>
            </w:r>
          </w:p>
        </w:tc>
      </w:tr>
    </w:tbl>
    <w:p>
      <w:pPr>
        <w:widowControl w:val="0"/>
        <w:spacing w:after="319" w:line="1" w:lineRule="exact"/>
      </w:pPr>
    </w:p>
    <w:p>
      <w:pPr>
        <w:pStyle w:val="Style43"/>
        <w:keepNext/>
        <w:keepLines/>
        <w:widowControl w:val="0"/>
        <w:shd w:val="clear" w:color="auto" w:fill="auto"/>
        <w:tabs>
          <w:tab w:pos="378" w:val="left"/>
        </w:tabs>
        <w:bidi w:val="0"/>
        <w:spacing w:before="0" w:after="28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w:t>
        <w:tab/>
        <w:t>薪酬政策</w:t>
      </w:r>
      <w:bookmarkEnd w:id="599"/>
      <w:bookmarkEnd w:id="600"/>
      <w:bookmarkEnd w:id="602"/>
    </w:p>
    <w:p>
      <w:pPr>
        <w:pStyle w:val="Style36"/>
        <w:keepNext w:val="0"/>
        <w:keepLines w:val="0"/>
        <w:widowControl w:val="0"/>
        <w:shd w:val="clear" w:color="auto" w:fill="auto"/>
        <w:bidi w:val="0"/>
        <w:spacing w:before="0" w:after="0" w:line="312" w:lineRule="exact"/>
        <w:ind w:left="0" w:right="0"/>
        <w:jc w:val="left"/>
      </w:pPr>
      <w:r>
        <w:rPr>
          <w:color w:val="000000"/>
          <w:spacing w:val="0"/>
          <w:w w:val="100"/>
          <w:position w:val="0"/>
        </w:rPr>
        <w:t>公司严格按照《中华人民共和国劳动合同法》和有关劳动法律法规的规定，向员工提供稳定而具有竞争力的薪酬，以 充分调动员工的积极性和创造性。</w:t>
      </w:r>
    </w:p>
    <w:p>
      <w:pPr>
        <w:pStyle w:val="Style36"/>
        <w:keepNext w:val="0"/>
        <w:keepLines w:val="0"/>
        <w:widowControl w:val="0"/>
        <w:shd w:val="clear" w:color="auto" w:fill="auto"/>
        <w:bidi w:val="0"/>
        <w:spacing w:before="0" w:after="0" w:line="312" w:lineRule="exact"/>
        <w:ind w:left="0" w:right="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报告期内，职工薪酬总额（计入成本部分）为</w:t>
      </w:r>
      <w:r>
        <w:rPr>
          <w:rFonts w:ascii="Times New Roman" w:eastAsia="Times New Roman" w:hAnsi="Times New Roman" w:cs="Times New Roman"/>
          <w:color w:val="000000"/>
          <w:spacing w:val="0"/>
          <w:w w:val="100"/>
          <w:position w:val="0"/>
          <w:sz w:val="18"/>
          <w:szCs w:val="18"/>
        </w:rPr>
        <w:t>551</w:t>
      </w:r>
      <w:r>
        <w:rPr>
          <w:color w:val="000000"/>
          <w:spacing w:val="0"/>
          <w:w w:val="100"/>
          <w:position w:val="0"/>
        </w:rPr>
        <w:t>万元，占公司营业成本的</w:t>
      </w:r>
      <w:r>
        <w:rPr>
          <w:rFonts w:ascii="Times New Roman" w:eastAsia="Times New Roman" w:hAnsi="Times New Roman" w:cs="Times New Roman"/>
          <w:color w:val="000000"/>
          <w:spacing w:val="0"/>
          <w:w w:val="100"/>
          <w:position w:val="0"/>
          <w:sz w:val="18"/>
          <w:szCs w:val="18"/>
        </w:rPr>
        <w:t>1.19%</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日，公司核心技术人 员为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人，占全体员工人数的</w:t>
      </w:r>
      <w:r>
        <w:rPr>
          <w:rFonts w:ascii="Times New Roman" w:eastAsia="Times New Roman" w:hAnsi="Times New Roman" w:cs="Times New Roman"/>
          <w:color w:val="000000"/>
          <w:spacing w:val="0"/>
          <w:w w:val="100"/>
          <w:position w:val="0"/>
          <w:sz w:val="18"/>
          <w:szCs w:val="18"/>
        </w:rPr>
        <w:t>0.63%</w:t>
      </w:r>
      <w:r>
        <w:rPr>
          <w:color w:val="000000"/>
          <w:spacing w:val="0"/>
          <w:w w:val="100"/>
          <w:position w:val="0"/>
        </w:rPr>
        <w:t>,上年同期核心技术人员为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人，占全体员工人数的</w:t>
      </w:r>
      <w:r>
        <w:rPr>
          <w:rFonts w:ascii="Times New Roman" w:eastAsia="Times New Roman" w:hAnsi="Times New Roman" w:cs="Times New Roman"/>
          <w:color w:val="000000"/>
          <w:spacing w:val="0"/>
          <w:w w:val="100"/>
          <w:position w:val="0"/>
          <w:sz w:val="18"/>
          <w:szCs w:val="18"/>
        </w:rPr>
        <w:t>0.57%</w:t>
      </w:r>
      <w:r>
        <w:rPr>
          <w:color w:val="000000"/>
          <w:spacing w:val="0"/>
          <w:w w:val="100"/>
          <w:position w:val="0"/>
        </w:rPr>
        <w:t>；截至报告期末，核心技术人 员薪酬占全体员工薪酬的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.83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，上年同期为</w:t>
      </w:r>
      <w:r>
        <w:rPr>
          <w:rFonts w:ascii="Times New Roman" w:eastAsia="Times New Roman" w:hAnsi="Times New Roman" w:cs="Times New Roman"/>
          <w:color w:val="000000"/>
          <w:spacing w:val="0"/>
          <w:w w:val="100"/>
          <w:position w:val="0"/>
          <w:sz w:val="18"/>
          <w:szCs w:val="18"/>
        </w:rPr>
        <w:t>1.91%</w:t>
      </w:r>
      <w:r>
        <w:rPr>
          <w:color w:val="000000"/>
          <w:spacing w:val="0"/>
          <w:w w:val="100"/>
          <w:position w:val="0"/>
        </w:rPr>
        <w:t>。</w:t>
      </w:r>
    </w:p>
    <w:p>
      <w:pPr>
        <w:pStyle w:val="Style43"/>
        <w:keepNext/>
        <w:keepLines/>
        <w:widowControl w:val="0"/>
        <w:shd w:val="clear" w:color="auto" w:fill="auto"/>
        <w:tabs>
          <w:tab w:pos="378" w:val="left"/>
        </w:tabs>
        <w:bidi w:val="0"/>
        <w:spacing w:before="0" w:after="28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3</w:t>
      </w:r>
      <w:bookmarkEnd w:id="605"/>
      <w:r>
        <w:rPr>
          <w:color w:val="000000"/>
          <w:spacing w:val="0"/>
          <w:w w:val="100"/>
          <w:position w:val="0"/>
        </w:rPr>
        <w:t>、</w:t>
        <w:tab/>
        <w:t>培训计划</w:t>
      </w:r>
      <w:bookmarkEnd w:id="603"/>
      <w:bookmarkEnd w:id="604"/>
      <w:bookmarkEnd w:id="606"/>
    </w:p>
    <w:p>
      <w:pPr>
        <w:pStyle w:val="Style36"/>
        <w:keepNext w:val="0"/>
        <w:keepLines w:val="0"/>
        <w:widowControl w:val="0"/>
        <w:shd w:val="clear" w:color="auto" w:fill="auto"/>
        <w:bidi w:val="0"/>
        <w:spacing w:before="0" w:after="380" w:line="312" w:lineRule="exact"/>
        <w:ind w:left="0" w:right="0"/>
        <w:jc w:val="left"/>
      </w:pPr>
      <w:r>
        <w:rPr>
          <w:color w:val="000000"/>
          <w:spacing w:val="0"/>
          <w:w w:val="100"/>
          <w:position w:val="0"/>
        </w:rPr>
        <w:t>公司非常注重员工的培训工作，积极寻求各种培训资源和渠道，搭建完善的培训体系，包括新员工入职培训、在职人 员业务培训、管理者提升培训、普法培训、安全培训等。通过培训提高业务能力和管理水平，既能促进公司整体战略目标 的实施，又能满足员工个人能力和职业发展的需求，实现企业和员工的双赢。</w:t>
      </w:r>
    </w:p>
    <w:p>
      <w:pPr>
        <w:pStyle w:val="Style43"/>
        <w:keepNext/>
        <w:keepLines/>
        <w:widowControl w:val="0"/>
        <w:shd w:val="clear" w:color="auto" w:fill="auto"/>
        <w:tabs>
          <w:tab w:pos="378" w:val="left"/>
        </w:tabs>
        <w:bidi w:val="0"/>
        <w:spacing w:before="0" w:after="28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4</w:t>
      </w:r>
      <w:bookmarkEnd w:id="609"/>
      <w:r>
        <w:rPr>
          <w:color w:val="000000"/>
          <w:spacing w:val="0"/>
          <w:w w:val="100"/>
          <w:position w:val="0"/>
        </w:rPr>
        <w:t>、</w:t>
        <w:tab/>
        <w:t>劳务外包情况</w:t>
      </w:r>
      <w:bookmarkEnd w:id="607"/>
      <w:bookmarkEnd w:id="608"/>
      <w:bookmarkEnd w:id="610"/>
    </w:p>
    <w:p>
      <w:pPr>
        <w:pStyle w:val="Style36"/>
        <w:keepNext w:val="0"/>
        <w:keepLines w:val="0"/>
        <w:widowControl w:val="0"/>
        <w:shd w:val="clear" w:color="auto" w:fill="auto"/>
        <w:bidi w:val="0"/>
        <w:spacing w:before="0" w:after="280" w:line="312" w:lineRule="exact"/>
        <w:ind w:left="0" w:right="0" w:firstLine="0"/>
        <w:jc w:val="left"/>
        <w:sectPr>
          <w:footnotePr>
            <w:pos w:val="pageBottom"/>
            <w:numFmt w:val="decimal"/>
            <w:numRestart w:val="continuous"/>
          </w:footnotePr>
          <w:pgSz w:w="11900" w:h="16840"/>
          <w:pgMar w:top="1388" w:right="1115" w:bottom="1450" w:left="109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460" w:after="580" w:line="240" w:lineRule="auto"/>
        <w:ind w:left="0" w:right="0" w:firstLine="0"/>
        <w:jc w:val="center"/>
      </w:pPr>
      <w:bookmarkStart w:id="611" w:name="bookmark611"/>
      <w:bookmarkStart w:id="612" w:name="bookmark612"/>
      <w:bookmarkStart w:id="613" w:name="bookmark613"/>
      <w:r>
        <w:rPr>
          <w:color w:val="000000"/>
          <w:spacing w:val="0"/>
          <w:w w:val="100"/>
          <w:position w:val="0"/>
        </w:rPr>
        <w:t>第十节公司治理</w:t>
      </w:r>
      <w:bookmarkEnd w:id="611"/>
      <w:bookmarkEnd w:id="612"/>
      <w:bookmarkEnd w:id="613"/>
    </w:p>
    <w:p>
      <w:pPr>
        <w:pStyle w:val="Style32"/>
        <w:keepNext/>
        <w:keepLines/>
        <w:widowControl w:val="0"/>
        <w:shd w:val="clear" w:color="auto" w:fill="auto"/>
        <w:tabs>
          <w:tab w:pos="569" w:val="left"/>
        </w:tabs>
        <w:bidi w:val="0"/>
        <w:spacing w:before="0" w:after="260" w:line="240" w:lineRule="auto"/>
        <w:ind w:left="0" w:right="0" w:firstLine="0"/>
        <w:jc w:val="both"/>
      </w:pPr>
      <w:bookmarkStart w:id="614" w:name="bookmark614"/>
      <w:bookmarkStart w:id="615" w:name="bookmark615"/>
      <w:bookmarkStart w:id="616" w:name="bookmark616"/>
      <w:bookmarkStart w:id="617" w:name="bookmark617"/>
      <w:bookmarkStart w:id="618" w:name="bookmark618"/>
      <w:r>
        <w:rPr>
          <w:color w:val="000000"/>
          <w:spacing w:val="0"/>
          <w:w w:val="100"/>
          <w:position w:val="0"/>
        </w:rPr>
        <w:t>一</w:t>
      </w:r>
      <w:bookmarkEnd w:id="617"/>
      <w:r>
        <w:rPr>
          <w:color w:val="000000"/>
          <w:spacing w:val="0"/>
          <w:w w:val="100"/>
          <w:position w:val="0"/>
        </w:rPr>
        <w:t>、</w:t>
        <w:tab/>
        <w:t>公司治理的基本状况</w:t>
      </w:r>
      <w:bookmarkEnd w:id="615"/>
      <w:bookmarkEnd w:id="616"/>
      <w:bookmarkEnd w:id="618"/>
      <w:bookmarkEnd w:id="614"/>
    </w:p>
    <w:p>
      <w:pPr>
        <w:pStyle w:val="Style36"/>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报告期内，公司严格按照《公司法》、《证券法》、《上市公司治理准则》、《深圳证券交易所上市规则》、《深圳证 券交易所上市公司规范运作指引》等法律、行政法规、部门规章、规范性文件的要求，完善公司治理机构，建立健全内部管 理和控制制度，不断提高公司的治理水平。</w:t>
      </w:r>
    </w:p>
    <w:p>
      <w:pPr>
        <w:pStyle w:val="Style36"/>
        <w:keepNext w:val="0"/>
        <w:keepLines w:val="0"/>
        <w:widowControl w:val="0"/>
        <w:shd w:val="clear" w:color="auto" w:fill="auto"/>
        <w:bidi w:val="0"/>
        <w:spacing w:before="0" w:after="0" w:line="322" w:lineRule="exact"/>
        <w:ind w:left="0" w:right="0"/>
        <w:jc w:val="both"/>
      </w:pPr>
      <w:r>
        <w:rPr>
          <w:color w:val="000000"/>
          <w:spacing w:val="0"/>
          <w:w w:val="100"/>
          <w:position w:val="0"/>
        </w:rPr>
        <w:t>公司建立完善了以股东大会为最高权力机构、董事会为决策机构、董事会专业委员会为决策支持机构、监事会为监督机 构、经理层及各子公司为执行机构的治理结构，完善了《公司章程》、《公司股东大会议事规则》、《公司董事会议事规则》、</w:t>
      </w:r>
    </w:p>
    <w:p>
      <w:pPr>
        <w:pStyle w:val="Style3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《公司监事会议事规则》、《公司总裁工作细则》及各专业委员会工作细则等基本管理制度。公司股东大会、董事会、监事 会和经营管理层责权分明、各司其职、有效制衡、科学决策、协调运营，为公司持续、稳定、健康地发展奠定了坚实的基础。 截至报告期末，公司治理的实际状况符合前述法律、行政法规、部门规章、规范性文件关于上市公司治理的相关要求。 公司治理的实际状况与中国证监会发布的有关上市公司治理的规范性文件是否存在重大差异</w:t>
      </w:r>
    </w:p>
    <w:p>
      <w:pPr>
        <w:pStyle w:val="Style36"/>
        <w:keepNext w:val="0"/>
        <w:keepLines w:val="0"/>
        <w:widowControl w:val="0"/>
        <w:shd w:val="clear" w:color="auto" w:fill="auto"/>
        <w:bidi w:val="0"/>
        <w:spacing w:before="0" w:after="380" w:line="36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公司治理的实际状况与中国证监会发布的有关上市公司治理的规范性文件不存在重大差异。</w:t>
      </w:r>
    </w:p>
    <w:p>
      <w:pPr>
        <w:pStyle w:val="Style32"/>
        <w:keepNext/>
        <w:keepLines/>
        <w:widowControl w:val="0"/>
        <w:shd w:val="clear" w:color="auto" w:fill="auto"/>
        <w:tabs>
          <w:tab w:pos="569" w:val="left"/>
        </w:tabs>
        <w:bidi w:val="0"/>
        <w:spacing w:before="0" w:after="260" w:line="240" w:lineRule="auto"/>
        <w:ind w:left="0" w:right="0" w:firstLine="0"/>
        <w:jc w:val="both"/>
      </w:pPr>
      <w:bookmarkStart w:id="619" w:name="bookmark619"/>
      <w:bookmarkStart w:id="620" w:name="bookmark620"/>
      <w:bookmarkStart w:id="621" w:name="bookmark621"/>
      <w:bookmarkStart w:id="622" w:name="bookmark622"/>
      <w:r>
        <w:rPr>
          <w:color w:val="000000"/>
          <w:spacing w:val="0"/>
          <w:w w:val="100"/>
          <w:position w:val="0"/>
        </w:rPr>
        <w:t>二</w:t>
      </w:r>
      <w:bookmarkEnd w:id="621"/>
      <w:r>
        <w:rPr>
          <w:color w:val="000000"/>
          <w:spacing w:val="0"/>
          <w:w w:val="100"/>
          <w:position w:val="0"/>
        </w:rPr>
        <w:t>、</w:t>
        <w:tab/>
        <w:t>公司相对于控股股东在业务、人员、资产、机构、财务等方面的独立情况</w:t>
      </w:r>
      <w:bookmarkEnd w:id="619"/>
      <w:bookmarkEnd w:id="620"/>
      <w:bookmarkEnd w:id="622"/>
    </w:p>
    <w:p>
      <w:pPr>
        <w:pStyle w:val="Style36"/>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公司严格按照《公司法》和《公司章程》规范运作，逐步建立健全公司的法人治理结构，在业务、资产、人员、机 构、财务等方面均具备独立运营能力。</w:t>
      </w:r>
    </w:p>
    <w:p>
      <w:pPr>
        <w:pStyle w:val="Style36"/>
        <w:keepNext w:val="0"/>
        <w:keepLines w:val="0"/>
        <w:widowControl w:val="0"/>
        <w:shd w:val="clear" w:color="auto" w:fill="auto"/>
        <w:tabs>
          <w:tab w:pos="644" w:val="left"/>
        </w:tabs>
        <w:bidi w:val="0"/>
        <w:spacing w:before="0" w:after="0" w:line="311" w:lineRule="exact"/>
        <w:ind w:left="0" w:right="0"/>
        <w:jc w:val="both"/>
      </w:pPr>
      <w:bookmarkStart w:id="623" w:name="bookmark623"/>
      <w:r>
        <w:rPr>
          <w:rFonts w:ascii="Times New Roman" w:eastAsia="Times New Roman" w:hAnsi="Times New Roman" w:cs="Times New Roman"/>
          <w:color w:val="000000"/>
          <w:spacing w:val="0"/>
          <w:w w:val="100"/>
          <w:position w:val="0"/>
          <w:sz w:val="18"/>
          <w:szCs w:val="18"/>
        </w:rPr>
        <w:t>1</w:t>
      </w:r>
      <w:bookmarkEnd w:id="623"/>
      <w:r>
        <w:rPr>
          <w:color w:val="000000"/>
          <w:spacing w:val="0"/>
          <w:w w:val="100"/>
          <w:position w:val="0"/>
        </w:rPr>
        <w:t>、</w:t>
        <w:tab/>
        <w:t>业务独立情况本公司主营业务为软件产品的开发与销售、计算机系统集成及技术支持与服务。公司独立进行产品的 技术研发、生产和销售，具有独立的软件开发技术，拥有具有自主知识产权的软件产品，拥有独立的注册商标，具备相关 业务市场的准入资质。公司已建立了完整的职能部门架构，拥有独立的采购、生产、销售和研发系统，能独立开展业务； 公司生产经营所需技术为公司合法独立拥有，没有产权争议；公司独立对外签订所有合同，具有独立生产经营决策，独立 从事生产经营活动的能力，所有业务环节不存在依赖控股股东及主要股东的情况。</w:t>
      </w:r>
    </w:p>
    <w:p>
      <w:pPr>
        <w:pStyle w:val="Style36"/>
        <w:keepNext w:val="0"/>
        <w:keepLines w:val="0"/>
        <w:widowControl w:val="0"/>
        <w:shd w:val="clear" w:color="auto" w:fill="auto"/>
        <w:bidi w:val="0"/>
        <w:spacing w:before="0" w:after="0" w:line="316" w:lineRule="exact"/>
        <w:ind w:left="0" w:right="0"/>
        <w:jc w:val="both"/>
      </w:pPr>
      <w:bookmarkStart w:id="624" w:name="bookmark624"/>
      <w:r>
        <w:rPr>
          <w:rFonts w:ascii="Times New Roman" w:eastAsia="Times New Roman" w:hAnsi="Times New Roman" w:cs="Times New Roman"/>
          <w:color w:val="000000"/>
          <w:spacing w:val="0"/>
          <w:w w:val="100"/>
          <w:position w:val="0"/>
          <w:sz w:val="18"/>
          <w:szCs w:val="18"/>
        </w:rPr>
        <w:t>2</w:t>
      </w:r>
      <w:bookmarkEnd w:id="624"/>
      <w:r>
        <w:rPr>
          <w:color w:val="000000"/>
          <w:spacing w:val="0"/>
          <w:w w:val="100"/>
          <w:position w:val="0"/>
        </w:rPr>
        <w:t>、 人员独立情况本公司的研发、生产、采购、销售和行政管理人员均完全独立。截至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日，本公司共有正 式员工</w:t>
      </w:r>
      <w:r>
        <w:rPr>
          <w:rFonts w:ascii="Times New Roman" w:eastAsia="Times New Roman" w:hAnsi="Times New Roman" w:cs="Times New Roman"/>
          <w:color w:val="000000"/>
          <w:spacing w:val="0"/>
          <w:w w:val="100"/>
          <w:position w:val="0"/>
          <w:sz w:val="18"/>
          <w:szCs w:val="18"/>
        </w:rPr>
        <w:t>960</w:t>
      </w:r>
      <w:r>
        <w:rPr>
          <w:color w:val="000000"/>
          <w:spacing w:val="0"/>
          <w:w w:val="100"/>
          <w:position w:val="0"/>
        </w:rPr>
        <w:t>人，均与公司签订了劳动聘用合同，公司根据工资管理制度发放工资。公司总裁、副总裁、财务负责人、董事会 秘书及核心技术人员均专职于公司工作，并领取报酬，目前并无在持有公司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以上股份的股东下属企业担任董事、监事以 外的其他职务的情况。公司董事、监事及其他高级管理人员均依《公司法》、《公司章程》等规定的合法程序选举或聘</w:t>
      </w:r>
    </w:p>
    <w:p>
      <w:pPr>
        <w:pStyle w:val="Style36"/>
        <w:keepNext w:val="0"/>
        <w:keepLines w:val="0"/>
        <w:widowControl w:val="0"/>
        <w:shd w:val="clear" w:color="auto" w:fill="auto"/>
        <w:bidi w:val="0"/>
        <w:spacing w:before="0" w:after="0" w:line="316" w:lineRule="exact"/>
        <w:ind w:left="0" w:right="0" w:firstLine="0"/>
        <w:jc w:val="left"/>
      </w:pPr>
      <w:r>
        <w:rPr>
          <w:color w:val="000000"/>
          <w:spacing w:val="0"/>
          <w:w w:val="100"/>
          <w:position w:val="0"/>
        </w:rPr>
        <w:t>任，公司具有独立的人事任免权力，不存在控股股东及主要股东干预公司董事会和股东大会，或是超越董事会和股东大会 做出人事任免决定的情况。</w:t>
      </w:r>
    </w:p>
    <w:p>
      <w:pPr>
        <w:pStyle w:val="Style36"/>
        <w:keepNext w:val="0"/>
        <w:keepLines w:val="0"/>
        <w:widowControl w:val="0"/>
        <w:shd w:val="clear" w:color="auto" w:fill="auto"/>
        <w:tabs>
          <w:tab w:pos="654" w:val="left"/>
        </w:tabs>
        <w:bidi w:val="0"/>
        <w:spacing w:before="0" w:after="0" w:line="317" w:lineRule="exact"/>
        <w:ind w:left="0" w:right="0"/>
        <w:jc w:val="both"/>
      </w:pPr>
      <w:bookmarkStart w:id="625" w:name="bookmark625"/>
      <w:r>
        <w:rPr>
          <w:rFonts w:ascii="Times New Roman" w:eastAsia="Times New Roman" w:hAnsi="Times New Roman" w:cs="Times New Roman"/>
          <w:color w:val="000000"/>
          <w:spacing w:val="0"/>
          <w:w w:val="100"/>
          <w:position w:val="0"/>
          <w:sz w:val="18"/>
          <w:szCs w:val="18"/>
        </w:rPr>
        <w:t>3</w:t>
      </w:r>
      <w:bookmarkEnd w:id="625"/>
      <w:r>
        <w:rPr>
          <w:color w:val="000000"/>
          <w:spacing w:val="0"/>
          <w:w w:val="100"/>
          <w:position w:val="0"/>
        </w:rPr>
        <w:t>、</w:t>
        <w:tab/>
        <w:t>资产独立情况公司资产与股东资产严格分开，权属明确，并完全独立运营，公司目前业务和生产经营必需的机器设 备、房屋、土地使用权、商标、专利及其他资产的权属完全由公司独立享有，不存在与股东共用的情况。公司对所有资产 拥有完全的控制和支配权，不存在资产、资金被股东占用而损害公司利益的情况。公司不存在为股东和其他个人提供担保 的情形。</w:t>
      </w:r>
    </w:p>
    <w:p>
      <w:pPr>
        <w:pStyle w:val="Style36"/>
        <w:keepNext w:val="0"/>
        <w:keepLines w:val="0"/>
        <w:widowControl w:val="0"/>
        <w:shd w:val="clear" w:color="auto" w:fill="auto"/>
        <w:tabs>
          <w:tab w:pos="644" w:val="left"/>
        </w:tabs>
        <w:bidi w:val="0"/>
        <w:spacing w:before="0" w:after="0" w:line="322" w:lineRule="exact"/>
        <w:ind w:left="0" w:right="0"/>
        <w:jc w:val="both"/>
      </w:pPr>
      <w:bookmarkStart w:id="626" w:name="bookmark626"/>
      <w:r>
        <w:rPr>
          <w:rFonts w:ascii="Times New Roman" w:eastAsia="Times New Roman" w:hAnsi="Times New Roman" w:cs="Times New Roman"/>
          <w:color w:val="000000"/>
          <w:spacing w:val="0"/>
          <w:w w:val="100"/>
          <w:position w:val="0"/>
          <w:sz w:val="18"/>
          <w:szCs w:val="18"/>
        </w:rPr>
        <w:t>4</w:t>
      </w:r>
      <w:bookmarkEnd w:id="626"/>
      <w:r>
        <w:rPr>
          <w:color w:val="000000"/>
          <w:spacing w:val="0"/>
          <w:w w:val="100"/>
          <w:position w:val="0"/>
        </w:rPr>
        <w:t>、</w:t>
        <w:tab/>
        <w:t>机构独立情况公司设有独立的职能部门，组织结构健全，独立运作，在机构设置上完全分开，不存在与控股股东混 合经营、合署办公等情况。</w:t>
      </w:r>
    </w:p>
    <w:p>
      <w:pPr>
        <w:pStyle w:val="Style36"/>
        <w:keepNext w:val="0"/>
        <w:keepLines w:val="0"/>
        <w:widowControl w:val="0"/>
        <w:shd w:val="clear" w:color="auto" w:fill="auto"/>
        <w:bidi w:val="0"/>
        <w:spacing w:before="0" w:after="0" w:line="315" w:lineRule="exact"/>
        <w:ind w:left="0" w:right="0"/>
        <w:jc w:val="both"/>
      </w:pPr>
      <w:bookmarkStart w:id="627" w:name="bookmark627"/>
      <w:r>
        <w:rPr>
          <w:rFonts w:ascii="Times New Roman" w:eastAsia="Times New Roman" w:hAnsi="Times New Roman" w:cs="Times New Roman"/>
          <w:color w:val="000000"/>
          <w:spacing w:val="0"/>
          <w:w w:val="100"/>
          <w:position w:val="0"/>
          <w:sz w:val="18"/>
          <w:szCs w:val="18"/>
        </w:rPr>
        <w:t>5</w:t>
      </w:r>
      <w:bookmarkEnd w:id="627"/>
      <w:r>
        <w:rPr>
          <w:color w:val="000000"/>
          <w:spacing w:val="0"/>
          <w:w w:val="100"/>
          <w:position w:val="0"/>
        </w:rPr>
        <w:t>、 财务独立情况公司设立了独立的财务部门，配备了专职财务人员，建立了独立的会计核算体系。公司具有独立作出 财务决策的能力。公司经营活动和重大资产处置行为的财务会计处理，均以股东大会决议、董事会决议及相关合同文本为依 据，未出现股东干预公司财务部门业务开展的情形。公司对所拥有资产有完全控制支配权，不存在股东占用公司资产而损害 公司利益的情况。公司独立纳税，独立开设银行账户。</w:t>
      </w:r>
      <w:r>
        <w:br w:type="page"/>
      </w:r>
    </w:p>
    <w:p>
      <w:pPr>
        <w:pStyle w:val="Style32"/>
        <w:keepNext/>
        <w:keepLines/>
        <w:widowControl w:val="0"/>
        <w:shd w:val="clear" w:color="auto" w:fill="auto"/>
        <w:bidi w:val="0"/>
        <w:spacing w:before="0" w:after="36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三</w:t>
      </w:r>
      <w:bookmarkEnd w:id="630"/>
      <w:r>
        <w:rPr>
          <w:color w:val="000000"/>
          <w:spacing w:val="0"/>
          <w:w w:val="100"/>
          <w:position w:val="0"/>
        </w:rPr>
        <w:t>、同业竞争情况</w:t>
      </w:r>
      <w:bookmarkEnd w:id="628"/>
      <w:bookmarkEnd w:id="629"/>
      <w:bookmarkEnd w:id="631"/>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四</w:t>
      </w:r>
      <w:bookmarkEnd w:id="634"/>
      <w:r>
        <w:rPr>
          <w:color w:val="000000"/>
          <w:spacing w:val="0"/>
          <w:w w:val="100"/>
          <w:position w:val="0"/>
        </w:rPr>
        <w:t>、报告期内召开的年度股东大会和临时股东大会的有关情况</w:t>
      </w:r>
      <w:bookmarkEnd w:id="632"/>
      <w:bookmarkEnd w:id="633"/>
      <w:bookmarkEnd w:id="635"/>
    </w:p>
    <w:p>
      <w:pPr>
        <w:pStyle w:val="Style43"/>
        <w:keepNext/>
        <w:keepLines/>
        <w:widowControl w:val="0"/>
        <w:shd w:val="clear" w:color="auto" w:fill="auto"/>
        <w:bidi w:val="0"/>
        <w:spacing w:before="0" w:after="32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、本报告期股东大会情况</w:t>
      </w:r>
      <w:bookmarkEnd w:id="636"/>
      <w:bookmarkEnd w:id="637"/>
      <w:bookmarkEnd w:id="639"/>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8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m.cn/new/disclosure/</w:t>
            </w:r>
            <w:r>
              <w:rPr>
                <w:rFonts w:ascii="Times New Roman" w:eastAsia="Times New Roman" w:hAnsi="Times New Roman" w:cs="Times New Roman"/>
                <w:color w:val="000000"/>
                <w:spacing w:val="0"/>
                <w:w w:val="100"/>
                <w:position w:val="0"/>
                <w:sz w:val="18"/>
                <w:szCs w:val="18"/>
              </w:rPr>
              <w:t xml:space="preserve"> detail?plate=szse&amp;or gId=9900014447&amp;st ockCode=002474&amp;a nnouncementId= 120 7857396&amp;announce mentTime=2020-05- 26</w:t>
            </w:r>
          </w:p>
        </w:tc>
      </w:tr>
      <w:tr>
        <w:trPr>
          <w:trHeight w:val="290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 //www. cninfo. c o </w:t>
            </w:r>
            <w:r>
              <w:rPr>
                <w:rFonts w:ascii="Times New Roman" w:eastAsia="Times New Roman" w:hAnsi="Times New Roman" w:cs="Times New Roman"/>
                <w:color w:val="000000"/>
                <w:spacing w:val="0"/>
                <w:w w:val="100"/>
                <w:position w:val="0"/>
                <w:sz w:val="18"/>
                <w:szCs w:val="18"/>
              </w:rPr>
              <w:t>m.cn/new/disclosure/</w:t>
            </w:r>
            <w:r>
              <w:rPr>
                <w:rFonts w:ascii="Times New Roman" w:eastAsia="Times New Roman" w:hAnsi="Times New Roman" w:cs="Times New Roman"/>
                <w:color w:val="000000"/>
                <w:spacing w:val="0"/>
                <w:w w:val="100"/>
                <w:position w:val="0"/>
                <w:sz w:val="18"/>
                <w:szCs w:val="18"/>
              </w:rPr>
              <w:t xml:space="preserve"> detail?plate=szse&amp;or gId=9900014447&amp;st ockCode=002474&amp;a nnouncementId= 120 7943711 &amp;announce mentTime=2020-06- 20</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、表决权恢复的优先股股东请求召开临时股东大会</w:t>
      </w:r>
      <w:bookmarkEnd w:id="640"/>
      <w:bookmarkEnd w:id="641"/>
      <w:bookmarkEnd w:id="643"/>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五</w:t>
      </w:r>
      <w:bookmarkEnd w:id="646"/>
      <w:r>
        <w:rPr>
          <w:color w:val="000000"/>
          <w:spacing w:val="0"/>
          <w:w w:val="100"/>
          <w:position w:val="0"/>
        </w:rPr>
        <w:t>、报告期内独立董事履行职责的情况</w:t>
      </w:r>
      <w:bookmarkEnd w:id="644"/>
      <w:bookmarkEnd w:id="645"/>
      <w:bookmarkEnd w:id="647"/>
    </w:p>
    <w:p>
      <w:pPr>
        <w:pStyle w:val="Style43"/>
        <w:keepNext/>
        <w:keepLines/>
        <w:widowControl w:val="0"/>
        <w:shd w:val="clear" w:color="auto" w:fill="auto"/>
        <w:bidi w:val="0"/>
        <w:spacing w:before="0" w:after="32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1</w:t>
      </w:r>
      <w:bookmarkEnd w:id="650"/>
      <w:r>
        <w:rPr>
          <w:color w:val="000000"/>
          <w:spacing w:val="0"/>
          <w:w w:val="100"/>
          <w:position w:val="0"/>
        </w:rPr>
        <w:t>、独立董事出席董事会及股东大会的情况</w:t>
      </w:r>
      <w:bookmarkEnd w:id="648"/>
      <w:bookmarkEnd w:id="649"/>
      <w:bookmarkEnd w:id="651"/>
    </w:p>
    <w:tbl>
      <w:tblPr>
        <w:tblOverlap w:val="never"/>
        <w:jc w:val="center"/>
        <w:tblLayout w:type="fixed"/>
      </w:tblPr>
      <w:tblGrid>
        <w:gridCol w:w="1435"/>
        <w:gridCol w:w="1162"/>
        <w:gridCol w:w="1166"/>
        <w:gridCol w:w="1162"/>
        <w:gridCol w:w="1166"/>
        <w:gridCol w:w="1162"/>
        <w:gridCol w:w="1162"/>
        <w:gridCol w:w="1171"/>
      </w:tblGrid>
      <w:tr>
        <w:trPr>
          <w:trHeight w:val="408" w:hRule="exact"/>
        </w:trPr>
        <w:tc>
          <w:tcPr>
            <w:gridSpan w:val="8"/>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tbl>
      <w:tblPr>
        <w:tblOverlap w:val="never"/>
        <w:jc w:val="center"/>
        <w:tblLayout w:type="fixed"/>
      </w:tblPr>
      <w:tblGrid>
        <w:gridCol w:w="1435"/>
        <w:gridCol w:w="1162"/>
        <w:gridCol w:w="1166"/>
        <w:gridCol w:w="1162"/>
        <w:gridCol w:w="1166"/>
        <w:gridCol w:w="1162"/>
        <w:gridCol w:w="1162"/>
        <w:gridCol w:w="1171"/>
      </w:tblGrid>
      <w:tr>
        <w:trPr>
          <w:trHeight w:val="4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连续两次未亲自出席董事会的说明</w:t>
      </w:r>
    </w:p>
    <w:p>
      <w:pPr>
        <w:pStyle w:val="Style3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43"/>
        <w:keepNext/>
        <w:keepLines/>
        <w:widowControl w:val="0"/>
        <w:shd w:val="clear" w:color="auto" w:fill="auto"/>
        <w:tabs>
          <w:tab w:pos="378" w:val="left"/>
        </w:tabs>
        <w:bidi w:val="0"/>
        <w:spacing w:before="0" w:after="26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2</w:t>
      </w:r>
      <w:bookmarkEnd w:id="654"/>
      <w:r>
        <w:rPr>
          <w:color w:val="000000"/>
          <w:spacing w:val="0"/>
          <w:w w:val="100"/>
          <w:position w:val="0"/>
        </w:rPr>
        <w:t>、</w:t>
        <w:tab/>
        <w:t>独立董事对公司有关事项提出异议的情况</w:t>
      </w:r>
      <w:bookmarkEnd w:id="652"/>
      <w:bookmarkEnd w:id="653"/>
      <w:bookmarkEnd w:id="655"/>
    </w:p>
    <w:p>
      <w:pPr>
        <w:pStyle w:val="Style36"/>
        <w:keepNext w:val="0"/>
        <w:keepLines w:val="0"/>
        <w:widowControl w:val="0"/>
        <w:shd w:val="clear" w:color="auto" w:fill="auto"/>
        <w:bidi w:val="0"/>
        <w:spacing w:before="0" w:after="140" w:line="313" w:lineRule="exact"/>
        <w:ind w:left="0" w:right="0" w:firstLine="0"/>
        <w:jc w:val="left"/>
      </w:pPr>
      <w:r>
        <w:rPr>
          <w:color w:val="000000"/>
          <w:spacing w:val="0"/>
          <w:w w:val="100"/>
          <w:position w:val="0"/>
        </w:rPr>
        <w:t>独立董事对公司有关事项是否提出异议</w:t>
      </w:r>
    </w:p>
    <w:p>
      <w:pPr>
        <w:pStyle w:val="Style3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报告期内独立董事对公司有关事项未提出异议。</w:t>
      </w:r>
    </w:p>
    <w:p>
      <w:pPr>
        <w:pStyle w:val="Style43"/>
        <w:keepNext/>
        <w:keepLines/>
        <w:widowControl w:val="0"/>
        <w:shd w:val="clear" w:color="auto" w:fill="auto"/>
        <w:tabs>
          <w:tab w:pos="378" w:val="left"/>
        </w:tabs>
        <w:bidi w:val="0"/>
        <w:spacing w:before="0" w:after="26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3</w:t>
      </w:r>
      <w:bookmarkEnd w:id="658"/>
      <w:r>
        <w:rPr>
          <w:color w:val="000000"/>
          <w:spacing w:val="0"/>
          <w:w w:val="100"/>
          <w:position w:val="0"/>
        </w:rPr>
        <w:t>、</w:t>
        <w:tab/>
        <w:t>独立董事履行职责的其他说明</w:t>
      </w:r>
      <w:bookmarkEnd w:id="656"/>
      <w:bookmarkEnd w:id="657"/>
      <w:bookmarkEnd w:id="659"/>
    </w:p>
    <w:p>
      <w:pPr>
        <w:pStyle w:val="Style36"/>
        <w:keepNext w:val="0"/>
        <w:keepLines w:val="0"/>
        <w:widowControl w:val="0"/>
        <w:shd w:val="clear" w:color="auto" w:fill="auto"/>
        <w:bidi w:val="0"/>
        <w:spacing w:before="0" w:after="140" w:line="313" w:lineRule="exact"/>
        <w:ind w:left="0" w:right="0" w:firstLine="0"/>
        <w:jc w:val="left"/>
      </w:pPr>
      <w:r>
        <w:rPr>
          <w:color w:val="000000"/>
          <w:spacing w:val="0"/>
          <w:w w:val="100"/>
          <w:position w:val="0"/>
        </w:rPr>
        <w:t>独立董事对公司有关建议是否被采纳</w:t>
      </w:r>
    </w:p>
    <w:p>
      <w:pPr>
        <w:pStyle w:val="Style3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36"/>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报告期内，公司独立董事严格按照《深圳证券交易所上市公司规范运作指引》、《深圳证券交易所股票上市规则》、</w:t>
      </w:r>
    </w:p>
    <w:p>
      <w:pPr>
        <w:pStyle w:val="Style3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《关于在上市公司建立独立董事制度的指导意见》、《深圳证券交易所中小企业板块上市公司董事行为指引》等相关法律 法规及《公司章程》等规定，出席公司董事会和股东大会，认真履行职责，对公司的发展决策提出了建设性的意见或建 议，就公司年度报告、半年度报告、公司第一期员工持股计划存续期展期等重大事项进行审核并出具了独立董事意见，有 效保证了公司董事会决策的公正性和客观性，维护了公司整体利益和广大中小股东的合法权益，为公司的规范运作和健康 发展发挥了积极作用。</w:t>
      </w:r>
    </w:p>
    <w:p>
      <w:pPr>
        <w:pStyle w:val="Style32"/>
        <w:keepNext/>
        <w:keepLines/>
        <w:widowControl w:val="0"/>
        <w:shd w:val="clear" w:color="auto" w:fill="auto"/>
        <w:bidi w:val="0"/>
        <w:spacing w:before="0" w:after="26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rPr>
        <w:t>六</w:t>
      </w:r>
      <w:bookmarkEnd w:id="662"/>
      <w:r>
        <w:rPr>
          <w:color w:val="000000"/>
          <w:spacing w:val="0"/>
          <w:w w:val="100"/>
          <w:position w:val="0"/>
        </w:rPr>
        <w:t>、董事会下设专门委员会在报告期内履行职责情况</w:t>
      </w:r>
      <w:bookmarkEnd w:id="660"/>
      <w:bookmarkEnd w:id="661"/>
      <w:bookmarkEnd w:id="663"/>
    </w:p>
    <w:p>
      <w:pPr>
        <w:pStyle w:val="Style36"/>
        <w:keepNext w:val="0"/>
        <w:keepLines w:val="0"/>
        <w:widowControl w:val="0"/>
        <w:shd w:val="clear" w:color="auto" w:fill="auto"/>
        <w:bidi w:val="0"/>
        <w:spacing w:before="0" w:after="140" w:line="317" w:lineRule="exact"/>
        <w:ind w:left="0" w:right="0"/>
        <w:jc w:val="left"/>
      </w:pPr>
      <w:r>
        <w:rPr>
          <w:color w:val="000000"/>
          <w:spacing w:val="0"/>
          <w:w w:val="100"/>
          <w:position w:val="0"/>
        </w:rPr>
        <w:t>公司董事会下设四个专门委员会，分别为审计委员会、提名委员会、战略委员会、薪酬与考核委员会。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年度各专 门委员会本着勤勉尽责的原则，按照有关法律法规、规范性文件及公司各专门委员会工作细则的有关规定开展相关工作。</w:t>
      </w:r>
    </w:p>
    <w:p>
      <w:pPr>
        <w:pStyle w:val="Style36"/>
        <w:keepNext w:val="0"/>
        <w:keepLines w:val="0"/>
        <w:widowControl w:val="0"/>
        <w:shd w:val="clear" w:color="auto" w:fill="auto"/>
        <w:tabs>
          <w:tab w:pos="730" w:val="left"/>
        </w:tabs>
        <w:bidi w:val="0"/>
        <w:spacing w:before="0" w:after="0" w:line="360" w:lineRule="auto"/>
        <w:ind w:left="0" w:right="0"/>
        <w:jc w:val="left"/>
      </w:pPr>
      <w:bookmarkStart w:id="664" w:name="bookmark664"/>
      <w:r>
        <w:rPr>
          <w:rFonts w:ascii="Times New Roman" w:eastAsia="Times New Roman" w:hAnsi="Times New Roman" w:cs="Times New Roman"/>
          <w:color w:val="000000"/>
          <w:spacing w:val="0"/>
          <w:w w:val="100"/>
          <w:position w:val="0"/>
          <w:sz w:val="18"/>
          <w:szCs w:val="18"/>
        </w:rPr>
        <w:t>1</w:t>
      </w:r>
      <w:bookmarkEnd w:id="664"/>
      <w:r>
        <w:rPr>
          <w:color w:val="000000"/>
          <w:spacing w:val="0"/>
          <w:w w:val="100"/>
          <w:position w:val="0"/>
        </w:rPr>
        <w:t>、</w:t>
        <w:tab/>
        <w:t>战略委员会</w:t>
      </w:r>
    </w:p>
    <w:p>
      <w:pPr>
        <w:pStyle w:val="Style36"/>
        <w:keepNext w:val="0"/>
        <w:keepLines w:val="0"/>
        <w:widowControl w:val="0"/>
        <w:shd w:val="clear" w:color="auto" w:fill="auto"/>
        <w:bidi w:val="0"/>
        <w:spacing w:before="0" w:after="140" w:line="312" w:lineRule="exact"/>
        <w:ind w:left="0" w:right="0"/>
        <w:jc w:val="left"/>
      </w:pPr>
      <w:r>
        <w:rPr>
          <w:color w:val="000000"/>
          <w:spacing w:val="0"/>
          <w:w w:val="100"/>
          <w:position w:val="0"/>
        </w:rPr>
        <w:t>报告期内，公司董事会战略委员会结合国内外宏观经济环境以及公司所在行业现状，深入分析公司经营现状和发展前 景，对公司长期发展战略决策以及重大投资决策进行研究并提出建议。</w:t>
      </w:r>
    </w:p>
    <w:p>
      <w:pPr>
        <w:pStyle w:val="Style36"/>
        <w:keepNext w:val="0"/>
        <w:keepLines w:val="0"/>
        <w:widowControl w:val="0"/>
        <w:shd w:val="clear" w:color="auto" w:fill="auto"/>
        <w:tabs>
          <w:tab w:pos="734" w:val="left"/>
        </w:tabs>
        <w:bidi w:val="0"/>
        <w:spacing w:before="0" w:after="0" w:line="360" w:lineRule="auto"/>
        <w:ind w:left="0" w:right="0"/>
        <w:jc w:val="left"/>
      </w:pPr>
      <w:bookmarkStart w:id="665" w:name="bookmark665"/>
      <w:r>
        <w:rPr>
          <w:rFonts w:ascii="Times New Roman" w:eastAsia="Times New Roman" w:hAnsi="Times New Roman" w:cs="Times New Roman"/>
          <w:color w:val="000000"/>
          <w:spacing w:val="0"/>
          <w:w w:val="100"/>
          <w:position w:val="0"/>
          <w:sz w:val="18"/>
          <w:szCs w:val="18"/>
        </w:rPr>
        <w:t>2</w:t>
      </w:r>
      <w:bookmarkEnd w:id="665"/>
      <w:r>
        <w:rPr>
          <w:color w:val="000000"/>
          <w:spacing w:val="0"/>
          <w:w w:val="100"/>
          <w:position w:val="0"/>
        </w:rPr>
        <w:t>、</w:t>
        <w:tab/>
        <w:t>审计委员会</w:t>
      </w:r>
    </w:p>
    <w:p>
      <w:pPr>
        <w:pStyle w:val="Style36"/>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报告期内，公司董事会审计委员会认真审阅了公司定期报告以及审计部门定期提交的各项内部审计报告，听取了审计 部门上年度工作总结及本年度工作计划，监督公司内部控制制度的建立健全及执行情况，指导审计部开展各项工作。</w:t>
      </w:r>
    </w:p>
    <w:p>
      <w:pPr>
        <w:pStyle w:val="Style36"/>
        <w:keepNext w:val="0"/>
        <w:keepLines w:val="0"/>
        <w:widowControl w:val="0"/>
        <w:shd w:val="clear" w:color="auto" w:fill="auto"/>
        <w:bidi w:val="0"/>
        <w:spacing w:before="0" w:after="140" w:line="317" w:lineRule="exact"/>
        <w:ind w:left="0" w:right="0" w:firstLine="300"/>
        <w:jc w:val="left"/>
      </w:pPr>
      <w:r>
        <w:rPr>
          <w:color w:val="000000"/>
          <w:spacing w:val="0"/>
          <w:w w:val="100"/>
          <w:position w:val="0"/>
        </w:rPr>
        <w:t>在公司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年年度审计工作中，审计委员会积极履行职责，在公司年度财务审计机构会计师进场前认真审阅了公司编 制的财务会计报表，与会计师进行充分沟通，督促年审会计师按时提交审计报告，并于年审会计师出具初步审计意见后重 新审阅公司财务会计报表，与年审注册会计师交流后决议提交公司董事会审议。</w:t>
      </w:r>
    </w:p>
    <w:p>
      <w:pPr>
        <w:pStyle w:val="Style36"/>
        <w:keepNext w:val="0"/>
        <w:keepLines w:val="0"/>
        <w:widowControl w:val="0"/>
        <w:shd w:val="clear" w:color="auto" w:fill="auto"/>
        <w:bidi w:val="0"/>
        <w:spacing w:before="0" w:after="0" w:line="360" w:lineRule="auto"/>
        <w:ind w:left="0" w:right="0" w:firstLine="300"/>
        <w:jc w:val="left"/>
      </w:pPr>
      <w:bookmarkStart w:id="666" w:name="bookmark666"/>
      <w:r>
        <w:rPr>
          <w:rFonts w:ascii="Times New Roman" w:eastAsia="Times New Roman" w:hAnsi="Times New Roman" w:cs="Times New Roman"/>
          <w:color w:val="000000"/>
          <w:spacing w:val="0"/>
          <w:w w:val="100"/>
          <w:position w:val="0"/>
          <w:sz w:val="18"/>
          <w:szCs w:val="18"/>
        </w:rPr>
        <w:t>3</w:t>
      </w:r>
      <w:bookmarkEnd w:id="666"/>
      <w:r>
        <w:rPr>
          <w:color w:val="000000"/>
          <w:spacing w:val="0"/>
          <w:w w:val="100"/>
          <w:position w:val="0"/>
        </w:rPr>
        <w:t>、薪酬与考核委员会</w:t>
      </w:r>
    </w:p>
    <w:p>
      <w:pPr>
        <w:pStyle w:val="Style36"/>
        <w:keepNext w:val="0"/>
        <w:keepLines w:val="0"/>
        <w:widowControl w:val="0"/>
        <w:shd w:val="clear" w:color="auto" w:fill="auto"/>
        <w:bidi w:val="0"/>
        <w:spacing w:before="0" w:after="140" w:line="317" w:lineRule="exact"/>
        <w:ind w:left="0" w:right="0" w:firstLine="300"/>
        <w:jc w:val="left"/>
      </w:pPr>
      <w:r>
        <w:rPr>
          <w:color w:val="000000"/>
          <w:spacing w:val="0"/>
          <w:w w:val="100"/>
          <w:position w:val="0"/>
        </w:rPr>
        <w:t>报告期内，公司董事会薪酬与考核委员会根据绩效考核办法对公司董事、监事和高级管理人员进行考核，确认其薪酬、 奖金及津贴情况，认为公司董事、监事、高级管理人员薪酬水平合理、合法。</w:t>
      </w:r>
    </w:p>
    <w:p>
      <w:pPr>
        <w:pStyle w:val="Style32"/>
        <w:keepNext/>
        <w:keepLines/>
        <w:widowControl w:val="0"/>
        <w:shd w:val="clear" w:color="auto" w:fill="auto"/>
        <w:tabs>
          <w:tab w:pos="522" w:val="left"/>
        </w:tabs>
        <w:bidi w:val="0"/>
        <w:spacing w:before="0" w:after="26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rPr>
        <w:t>七</w:t>
      </w:r>
      <w:bookmarkEnd w:id="669"/>
      <w:r>
        <w:rPr>
          <w:color w:val="000000"/>
          <w:spacing w:val="0"/>
          <w:w w:val="100"/>
          <w:position w:val="0"/>
        </w:rPr>
        <w:t>、</w:t>
        <w:tab/>
        <w:t>监事会工作情况</w:t>
      </w:r>
      <w:bookmarkEnd w:id="667"/>
      <w:bookmarkEnd w:id="668"/>
      <w:bookmarkEnd w:id="670"/>
    </w:p>
    <w:p>
      <w:pPr>
        <w:pStyle w:val="Style3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监事会在报告期内的监督活动中发现公司是否存在风险</w:t>
      </w:r>
    </w:p>
    <w:p>
      <w:pPr>
        <w:pStyle w:val="Style3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监事会对报告期内的监督事项无异议。</w:t>
      </w:r>
    </w:p>
    <w:p>
      <w:pPr>
        <w:pStyle w:val="Style32"/>
        <w:keepNext/>
        <w:keepLines/>
        <w:widowControl w:val="0"/>
        <w:shd w:val="clear" w:color="auto" w:fill="auto"/>
        <w:tabs>
          <w:tab w:pos="522" w:val="left"/>
        </w:tabs>
        <w:bidi w:val="0"/>
        <w:spacing w:before="0" w:after="26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八</w:t>
      </w:r>
      <w:bookmarkEnd w:id="673"/>
      <w:r>
        <w:rPr>
          <w:color w:val="000000"/>
          <w:spacing w:val="0"/>
          <w:w w:val="100"/>
          <w:position w:val="0"/>
        </w:rPr>
        <w:t>、</w:t>
        <w:tab/>
        <w:t>高级管理人员的考评及激励情况</w:t>
      </w:r>
      <w:bookmarkEnd w:id="671"/>
      <w:bookmarkEnd w:id="672"/>
      <w:bookmarkEnd w:id="674"/>
    </w:p>
    <w:p>
      <w:pPr>
        <w:pStyle w:val="Style36"/>
        <w:keepNext w:val="0"/>
        <w:keepLines w:val="0"/>
        <w:widowControl w:val="0"/>
        <w:shd w:val="clear" w:color="auto" w:fill="auto"/>
        <w:bidi w:val="0"/>
        <w:spacing w:before="0" w:after="360" w:line="312" w:lineRule="exact"/>
        <w:ind w:left="0" w:right="0"/>
        <w:jc w:val="left"/>
      </w:pPr>
      <w:r>
        <w:rPr>
          <w:color w:val="000000"/>
          <w:spacing w:val="0"/>
          <w:w w:val="100"/>
          <w:position w:val="0"/>
        </w:rPr>
        <w:t>公司高级管理人员依据《公司章程》和岗位职责开展工作。公司董事会薪酬与考核委员会依据董事、监事及高级管理 人员职责履行情况及业绩，对其进行考评，并依据考评结果提出薪酬方案，并提交董事会、股东大会审议。</w:t>
      </w:r>
    </w:p>
    <w:p>
      <w:pPr>
        <w:pStyle w:val="Style32"/>
        <w:keepNext/>
        <w:keepLines/>
        <w:widowControl w:val="0"/>
        <w:shd w:val="clear" w:color="auto" w:fill="auto"/>
        <w:tabs>
          <w:tab w:pos="522" w:val="left"/>
        </w:tabs>
        <w:bidi w:val="0"/>
        <w:spacing w:before="0" w:after="36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rPr>
        <w:t>九</w:t>
      </w:r>
      <w:bookmarkEnd w:id="677"/>
      <w:r>
        <w:rPr>
          <w:color w:val="000000"/>
          <w:spacing w:val="0"/>
          <w:w w:val="100"/>
          <w:position w:val="0"/>
        </w:rPr>
        <w:t>、</w:t>
        <w:tab/>
        <w:t>内部控制评价报告</w:t>
      </w:r>
      <w:bookmarkEnd w:id="675"/>
      <w:bookmarkEnd w:id="676"/>
      <w:bookmarkEnd w:id="678"/>
    </w:p>
    <w:p>
      <w:pPr>
        <w:pStyle w:val="Style43"/>
        <w:keepNext/>
        <w:keepLines/>
        <w:widowControl w:val="0"/>
        <w:shd w:val="clear" w:color="auto" w:fill="auto"/>
        <w:bidi w:val="0"/>
        <w:spacing w:before="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color w:val="000000"/>
          <w:spacing w:val="0"/>
          <w:w w:val="100"/>
          <w:position w:val="0"/>
        </w:rPr>
        <w:t>、报告期内发现的内部控制重大缺陷的具体情况</w:t>
      </w:r>
      <w:bookmarkEnd w:id="679"/>
      <w:bookmarkEnd w:id="680"/>
      <w:bookmarkEnd w:id="682"/>
    </w:p>
    <w:p>
      <w:pPr>
        <w:pStyle w:val="Style3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keepLines/>
        <w:widowControl w:val="0"/>
        <w:shd w:val="clear" w:color="auto" w:fill="auto"/>
        <w:bidi w:val="0"/>
        <w:spacing w:before="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2</w:t>
      </w:r>
      <w:bookmarkEnd w:id="685"/>
      <w:r>
        <w:rPr>
          <w:color w:val="000000"/>
          <w:spacing w:val="0"/>
          <w:w w:val="100"/>
          <w:position w:val="0"/>
        </w:rPr>
        <w:t>、内控自我评价报告</w:t>
      </w:r>
      <w:bookmarkEnd w:id="683"/>
      <w:bookmarkEnd w:id="684"/>
      <w:bookmarkEnd w:id="686"/>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年度内部控制自我评价报告》详见巨潮资讯网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4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公司确定的财务报告内部控制缺陷评价的 定性标准如下：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、重大缺陷的认定标 准：①公司高级管理人员舞弊；②公司更 正已公布的财务报告；③注册会计师发现 当期财务报告存在重大错报，而内部控制 在运行过程中未能发现该错报；④公司审 计委员会和内部审计机构对内部控制的监 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、重要缺陷的认定标准：①未 依照公认会计准则选择和应用会计政策、 未建立反舞弊程序和控制措施；②对于非 常规或特殊交易的账务处理没有建立相应 的控制机制或没有实施且没有相应的补偿 性控制；③对于期末财务报告过程的控制 存在一项或多项缺陷且不能合理保证编制</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公司确定的非财务报告内部控制缺陷 评价的定量标准如下：非财务报告内 部控制缺陷评价的定量标准参照财务 报告内部控制缺陷评价的定量标准执 行。</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的财务报表达到真实、准确的目标。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财务报告一般缺陷是指除上述重大缺陷、 重要缺陷之外的其他控制缺陷。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公司确定的财务报告内部控制缺陷评价的 定量标准如下：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、以资产总额指标衡 量。如果该缺陷单独或连同其他缺陷可能 导致财务报告错报金额小于资产总额的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，则认定为一般缺陷；如果超过资产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 陷；如果超过资产总额的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 重大缺陷。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、以营业收入指标衡量。如 果该缺陷单独或连同其他缺陷可能导致财 务报告错报金额小于营业收入的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,则 认定为一般缺陷；如果超过营业收入的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,则认定为重要缺陷；如果 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,则认定为重大缺 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、以利润总额指标衡量。如果该缺 陷单独或连同其他缺陷可能导致财务报告 错报金额小于利润总额的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 一般缺陷；如果超过利润总额的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但小 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,则认定为重要缺陷；如果超过利 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公司确定的非财务报告内部控制缺陷 评价的定性标准如下：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、重大缺陷的 认定标准：①公司经营活动严重违反 国家法律法规；②媒体负面新闻频频 曝光，对公司声誉造成重大损害；③ 中高级管理人员和高级技术人员严重 流失；④重要业务缺乏制度控制或制 度系统性失效；⑤内部控制评价的结 果特别是重大缺陷或重要缺陷未得到 整改。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、重要缺陷的认定标准：①公 司违反国家法律法规受到轻微处罚； ②关键岗位业务人员流失严重；③媒 体出现负面新闻。</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87" w:name="bookmark687"/>
      <w:bookmarkStart w:id="688" w:name="bookmark688"/>
      <w:bookmarkStart w:id="689" w:name="bookmark689"/>
      <w:r>
        <w:rPr>
          <w:color w:val="000000"/>
          <w:spacing w:val="0"/>
          <w:w w:val="100"/>
          <w:position w:val="0"/>
        </w:rPr>
        <w:t>十、内部控制审计报告或鉴证报告</w:t>
      </w:r>
      <w:bookmarkEnd w:id="687"/>
      <w:bookmarkEnd w:id="688"/>
      <w:bookmarkEnd w:id="689"/>
    </w:p>
    <w:p>
      <w:pPr>
        <w:pStyle w:val="Style3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071" w:bottom="1561" w:left="1061" w:header="0" w:footer="3" w:gutter="0"/>
          <w:cols w:space="720"/>
          <w:noEndnote/>
          <w:rtlGutter w:val="0"/>
          <w:docGrid w:linePitch="360"/>
        </w:sectPr>
      </w:pPr>
      <w:r>
        <w:rPr>
          <w:color w:val="000000"/>
          <w:spacing w:val="0"/>
          <w:w w:val="100"/>
          <w:position w:val="0"/>
        </w:rPr>
        <w:t>不适用</w:t>
      </w:r>
    </w:p>
    <w:p>
      <w:pPr>
        <w:pStyle w:val="Style10"/>
        <w:keepNext/>
        <w:keepLines/>
        <w:widowControl w:val="0"/>
        <w:shd w:val="clear" w:color="auto" w:fill="auto"/>
        <w:bidi w:val="0"/>
        <w:spacing w:before="0" w:after="600" w:line="240" w:lineRule="auto"/>
        <w:ind w:left="0" w:right="0" w:firstLine="0"/>
        <w:jc w:val="center"/>
      </w:pPr>
      <w:bookmarkStart w:id="690" w:name="bookmark690"/>
      <w:bookmarkStart w:id="691" w:name="bookmark691"/>
      <w:bookmarkStart w:id="692" w:name="bookmark692"/>
      <w:r>
        <w:rPr>
          <w:color w:val="000000"/>
          <w:spacing w:val="0"/>
          <w:w w:val="100"/>
          <w:position w:val="0"/>
        </w:rPr>
        <w:t>第十一节公司债券相关情况</w:t>
      </w:r>
      <w:bookmarkEnd w:id="690"/>
      <w:bookmarkEnd w:id="691"/>
      <w:bookmarkEnd w:id="692"/>
    </w:p>
    <w:p>
      <w:pPr>
        <w:pStyle w:val="Style36"/>
        <w:keepNext w:val="0"/>
        <w:keepLines w:val="0"/>
        <w:widowControl w:val="0"/>
        <w:shd w:val="clear" w:color="auto" w:fill="auto"/>
        <w:bidi w:val="0"/>
        <w:spacing w:before="0" w:after="140" w:line="240" w:lineRule="auto"/>
        <w:ind w:left="0" w:right="0" w:firstLine="0"/>
        <w:jc w:val="left"/>
      </w:pPr>
      <w:bookmarkStart w:id="693" w:name="bookmark693"/>
      <w:r>
        <w:rPr>
          <w:color w:val="000000"/>
          <w:spacing w:val="0"/>
          <w:w w:val="100"/>
          <w:position w:val="0"/>
        </w:rPr>
        <w:t>公司是否存在公开发行并在证券交易所上市，且在年度报告批准报出日未到期或到期未能全额兑付的公司债券</w:t>
      </w:r>
      <w:bookmarkEnd w:id="693"/>
    </w:p>
    <w:p>
      <w:pPr>
        <w:pStyle w:val="Style3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200" w:bottom="1921" w:left="1114" w:header="0" w:footer="3" w:gutter="0"/>
          <w:cols w:space="720"/>
          <w:noEndnote/>
          <w:rtlGutter w:val="0"/>
          <w:docGrid w:linePitch="360"/>
        </w:sectPr>
      </w:pPr>
      <w:r>
        <w:rPr>
          <w:color w:val="000000"/>
          <w:spacing w:val="0"/>
          <w:w w:val="100"/>
          <w:position w:val="0"/>
        </w:rPr>
        <w:t>否</w:t>
      </w:r>
    </w:p>
    <w:p>
      <w:pPr>
        <w:pStyle w:val="Style10"/>
        <w:keepNext/>
        <w:keepLines/>
        <w:widowControl w:val="0"/>
        <w:shd w:val="clear" w:color="auto" w:fill="auto"/>
        <w:bidi w:val="0"/>
        <w:spacing w:before="520" w:after="580" w:line="240" w:lineRule="auto"/>
        <w:ind w:left="0" w:right="0" w:firstLine="0"/>
        <w:jc w:val="center"/>
      </w:pPr>
      <w:bookmarkStart w:id="694" w:name="bookmark694"/>
      <w:bookmarkStart w:id="695" w:name="bookmark695"/>
      <w:bookmarkStart w:id="696" w:name="bookmark696"/>
      <w:r>
        <w:rPr>
          <w:color w:val="000000"/>
          <w:spacing w:val="0"/>
          <w:w w:val="100"/>
          <w:position w:val="0"/>
        </w:rPr>
        <w:t>第十二节财务报告</w:t>
      </w:r>
      <w:bookmarkEnd w:id="694"/>
      <w:bookmarkEnd w:id="695"/>
      <w:bookmarkEnd w:id="696"/>
    </w:p>
    <w:p>
      <w:pPr>
        <w:pStyle w:val="Style32"/>
        <w:keepNext/>
        <w:keepLines/>
        <w:widowControl w:val="0"/>
        <w:shd w:val="clear" w:color="auto" w:fill="auto"/>
        <w:bidi w:val="0"/>
        <w:spacing w:before="0" w:after="320" w:line="240" w:lineRule="auto"/>
        <w:ind w:left="0" w:right="0" w:firstLine="0"/>
        <w:jc w:val="left"/>
      </w:pPr>
      <w:bookmarkStart w:id="697" w:name="bookmark697"/>
      <w:bookmarkStart w:id="698" w:name="bookmark698"/>
      <w:bookmarkStart w:id="699" w:name="bookmark699"/>
      <w:bookmarkStart w:id="700" w:name="bookmark700"/>
      <w:bookmarkStart w:id="701" w:name="bookmark701"/>
      <w:r>
        <w:rPr>
          <w:color w:val="000000"/>
          <w:spacing w:val="0"/>
          <w:w w:val="100"/>
          <w:position w:val="0"/>
        </w:rPr>
        <w:t>一</w:t>
      </w:r>
      <w:bookmarkEnd w:id="700"/>
      <w:r>
        <w:rPr>
          <w:color w:val="000000"/>
          <w:spacing w:val="0"/>
          <w:w w:val="100"/>
          <w:position w:val="0"/>
        </w:rPr>
        <w:t>、审计报告</w:t>
      </w:r>
      <w:bookmarkEnd w:id="698"/>
      <w:bookmarkEnd w:id="699"/>
      <w:bookmarkEnd w:id="701"/>
      <w:bookmarkEnd w:id="69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351A007039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林新田、杨莹</w:t>
            </w:r>
          </w:p>
        </w:tc>
      </w:tr>
    </w:tbl>
    <w:p>
      <w:pPr>
        <w:pStyle w:val="Style34"/>
        <w:keepNext w:val="0"/>
        <w:keepLines w:val="0"/>
        <w:widowControl w:val="0"/>
        <w:shd w:val="clear" w:color="auto" w:fill="auto"/>
        <w:bidi w:val="0"/>
        <w:spacing w:before="0" w:after="0" w:line="240" w:lineRule="auto"/>
        <w:ind w:left="4243" w:right="0" w:firstLine="0"/>
        <w:jc w:val="left"/>
      </w:pPr>
      <w:r>
        <w:rPr>
          <w:color w:val="000000"/>
          <w:spacing w:val="0"/>
          <w:w w:val="100"/>
          <w:position w:val="0"/>
        </w:rPr>
        <w:t>审计报告正文</w:t>
      </w:r>
    </w:p>
    <w:p>
      <w:pPr>
        <w:widowControl w:val="0"/>
        <w:spacing w:after="219" w:line="1" w:lineRule="exact"/>
      </w:pPr>
    </w:p>
    <w:p>
      <w:pPr>
        <w:pStyle w:val="Style36"/>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福建榕基软件股份有限公司全体股东：</w:t>
      </w:r>
    </w:p>
    <w:p>
      <w:pPr>
        <w:pStyle w:val="Style36"/>
        <w:keepNext w:val="0"/>
        <w:keepLines w:val="0"/>
        <w:widowControl w:val="0"/>
        <w:shd w:val="clear" w:color="auto" w:fill="auto"/>
        <w:tabs>
          <w:tab w:pos="940" w:val="left"/>
        </w:tabs>
        <w:bidi w:val="0"/>
        <w:spacing w:before="0" w:after="100" w:line="240" w:lineRule="auto"/>
        <w:ind w:left="0" w:right="0" w:firstLine="500"/>
        <w:jc w:val="both"/>
      </w:pPr>
      <w:bookmarkStart w:id="702" w:name="bookmark702"/>
      <w:r>
        <w:rPr>
          <w:b/>
          <w:bCs/>
          <w:color w:val="000000"/>
          <w:spacing w:val="0"/>
          <w:w w:val="100"/>
          <w:position w:val="0"/>
        </w:rPr>
        <w:t>一</w:t>
      </w:r>
      <w:bookmarkEnd w:id="702"/>
      <w:r>
        <w:rPr>
          <w:b/>
          <w:bCs/>
          <w:color w:val="000000"/>
          <w:spacing w:val="0"/>
          <w:w w:val="100"/>
          <w:position w:val="0"/>
        </w:rPr>
        <w:t>、</w:t>
        <w:tab/>
        <w:t>审计意见</w:t>
      </w:r>
    </w:p>
    <w:p>
      <w:pPr>
        <w:pStyle w:val="Style36"/>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我们审计了福建榕基软件股份有限公司（以下简称榕基软件公司）财务报表，包括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日的合并及公司资产 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年度的合并及公司利润表、合并及公司现金流量表、合并及公司股东权益变动表以及相关财务报表附注。</w:t>
      </w:r>
    </w:p>
    <w:p>
      <w:pPr>
        <w:pStyle w:val="Style36"/>
        <w:keepNext w:val="0"/>
        <w:keepLines w:val="0"/>
        <w:widowControl w:val="0"/>
        <w:shd w:val="clear" w:color="auto" w:fill="auto"/>
        <w:bidi w:val="0"/>
        <w:spacing w:before="0" w:after="220" w:line="307" w:lineRule="exact"/>
        <w:ind w:left="0" w:right="0" w:firstLine="500"/>
        <w:jc w:val="both"/>
      </w:pPr>
      <w:r>
        <w:rPr>
          <w:color w:val="000000"/>
          <w:spacing w:val="0"/>
          <w:w w:val="100"/>
          <w:position w:val="0"/>
        </w:rPr>
        <w:t>我们认为，后附的财务报表在所有重大方面按照企业会计准则的规定编制，公允反映了榕基软件公司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的合并及公司财务状况以及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年度的合并及公司经营成果和现金流量。</w:t>
      </w:r>
    </w:p>
    <w:p>
      <w:pPr>
        <w:pStyle w:val="Style36"/>
        <w:keepNext w:val="0"/>
        <w:keepLines w:val="0"/>
        <w:widowControl w:val="0"/>
        <w:shd w:val="clear" w:color="auto" w:fill="auto"/>
        <w:tabs>
          <w:tab w:pos="940" w:val="left"/>
        </w:tabs>
        <w:bidi w:val="0"/>
        <w:spacing w:before="0" w:after="100" w:line="240" w:lineRule="auto"/>
        <w:ind w:left="0" w:right="0" w:firstLine="500"/>
        <w:jc w:val="left"/>
      </w:pPr>
      <w:bookmarkStart w:id="703" w:name="bookmark703"/>
      <w:r>
        <w:rPr>
          <w:b/>
          <w:bCs/>
          <w:color w:val="000000"/>
          <w:spacing w:val="0"/>
          <w:w w:val="100"/>
          <w:position w:val="0"/>
        </w:rPr>
        <w:t>二</w:t>
      </w:r>
      <w:bookmarkEnd w:id="703"/>
      <w:r>
        <w:rPr>
          <w:b/>
          <w:bCs/>
          <w:color w:val="000000"/>
          <w:spacing w:val="0"/>
          <w:w w:val="100"/>
          <w:position w:val="0"/>
        </w:rPr>
        <w:t>、</w:t>
        <w:tab/>
        <w:t>形成审计意见的基础</w:t>
      </w:r>
    </w:p>
    <w:p>
      <w:pPr>
        <w:pStyle w:val="Style36"/>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 步阐述了我们在这些准则下的责任。按照中国注册会计师职业道德守则，我们独立于榕基软件公司，并履行了职业道德方面 的其他责任。我们相信，我们获取的审计证据是充分、适当的，为发表审计意见提供了基础。</w:t>
      </w:r>
    </w:p>
    <w:p>
      <w:pPr>
        <w:pStyle w:val="Style36"/>
        <w:keepNext w:val="0"/>
        <w:keepLines w:val="0"/>
        <w:widowControl w:val="0"/>
        <w:shd w:val="clear" w:color="auto" w:fill="auto"/>
        <w:tabs>
          <w:tab w:pos="940" w:val="left"/>
        </w:tabs>
        <w:bidi w:val="0"/>
        <w:spacing w:before="0" w:after="100" w:line="240" w:lineRule="auto"/>
        <w:ind w:left="0" w:right="0" w:firstLine="500"/>
        <w:jc w:val="both"/>
      </w:pPr>
      <w:bookmarkStart w:id="704" w:name="bookmark704"/>
      <w:r>
        <w:rPr>
          <w:b/>
          <w:bCs/>
          <w:color w:val="000000"/>
          <w:spacing w:val="0"/>
          <w:w w:val="100"/>
          <w:position w:val="0"/>
        </w:rPr>
        <w:t>三</w:t>
      </w:r>
      <w:bookmarkEnd w:id="704"/>
      <w:r>
        <w:rPr>
          <w:b/>
          <w:bCs/>
          <w:color w:val="000000"/>
          <w:spacing w:val="0"/>
          <w:w w:val="100"/>
          <w:position w:val="0"/>
        </w:rPr>
        <w:t>、</w:t>
        <w:tab/>
        <w:t>关键审计事项</w:t>
      </w:r>
    </w:p>
    <w:p>
      <w:pPr>
        <w:pStyle w:val="Style36"/>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p>
      <w:pPr>
        <w:pStyle w:val="Style36"/>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（一）开发支出资本化</w:t>
      </w:r>
    </w:p>
    <w:p>
      <w:pPr>
        <w:pStyle w:val="Style36"/>
        <w:keepNext w:val="0"/>
        <w:keepLines w:val="0"/>
        <w:widowControl w:val="0"/>
        <w:shd w:val="clear" w:color="auto" w:fill="auto"/>
        <w:bidi w:val="0"/>
        <w:spacing w:before="0" w:after="220" w:line="317" w:lineRule="exact"/>
        <w:ind w:left="0" w:right="0" w:firstLine="500"/>
        <w:jc w:val="both"/>
      </w:pPr>
      <w:r>
        <w:rPr>
          <w:color w:val="000000"/>
          <w:spacing w:val="0"/>
          <w:w w:val="100"/>
          <w:position w:val="0"/>
        </w:rPr>
        <w:t>相关信息披露详见财务报表附注三之</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及附注五之</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p>
    <w:p>
      <w:pPr>
        <w:pStyle w:val="Style36"/>
        <w:keepNext w:val="0"/>
        <w:keepLines w:val="0"/>
        <w:widowControl w:val="0"/>
        <w:shd w:val="clear" w:color="auto" w:fill="auto"/>
        <w:tabs>
          <w:tab w:pos="834" w:val="left"/>
        </w:tabs>
        <w:bidi w:val="0"/>
        <w:spacing w:before="0" w:after="0" w:line="360" w:lineRule="auto"/>
        <w:ind w:left="0" w:right="0" w:firstLine="500"/>
        <w:jc w:val="both"/>
      </w:pPr>
      <w:bookmarkStart w:id="705" w:name="bookmark705"/>
      <w:r>
        <w:rPr>
          <w:rFonts w:ascii="Times New Roman" w:eastAsia="Times New Roman" w:hAnsi="Times New Roman" w:cs="Times New Roman"/>
          <w:color w:val="000000"/>
          <w:spacing w:val="0"/>
          <w:w w:val="100"/>
          <w:position w:val="0"/>
          <w:sz w:val="18"/>
          <w:szCs w:val="18"/>
        </w:rPr>
        <w:t>1</w:t>
      </w:r>
      <w:bookmarkEnd w:id="705"/>
      <w:r>
        <w:rPr>
          <w:color w:val="000000"/>
          <w:spacing w:val="0"/>
          <w:w w:val="100"/>
          <w:position w:val="0"/>
        </w:rPr>
        <w:t>、</w:t>
        <w:tab/>
        <w:t>事项描述</w:t>
      </w:r>
    </w:p>
    <w:p>
      <w:pPr>
        <w:pStyle w:val="Style36"/>
        <w:keepNext w:val="0"/>
        <w:keepLines w:val="0"/>
        <w:widowControl w:val="0"/>
        <w:shd w:val="clear" w:color="auto" w:fill="auto"/>
        <w:bidi w:val="0"/>
        <w:spacing w:before="0" w:after="220" w:line="317" w:lineRule="exact"/>
        <w:ind w:left="0" w:right="0" w:firstLine="500"/>
        <w:jc w:val="left"/>
      </w:pPr>
      <w:r>
        <w:rPr>
          <w:color w:val="000000"/>
          <w:spacing w:val="0"/>
          <w:w w:val="100"/>
          <w:position w:val="0"/>
        </w:rPr>
        <w:t>榕基软件公司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年度研究开发支出总额</w:t>
      </w:r>
      <w:r>
        <w:rPr>
          <w:rFonts w:ascii="Times New Roman" w:eastAsia="Times New Roman" w:hAnsi="Times New Roman" w:cs="Times New Roman"/>
          <w:color w:val="000000"/>
          <w:spacing w:val="0"/>
          <w:w w:val="100"/>
          <w:position w:val="0"/>
          <w:sz w:val="18"/>
          <w:szCs w:val="18"/>
        </w:rPr>
        <w:t>10,783.55</w:t>
      </w:r>
      <w:r>
        <w:rPr>
          <w:color w:val="000000"/>
          <w:spacing w:val="0"/>
          <w:w w:val="100"/>
          <w:position w:val="0"/>
        </w:rPr>
        <w:t>万元，其中符合资本化条件的开发支出</w:t>
      </w:r>
      <w:r>
        <w:rPr>
          <w:rFonts w:ascii="Times New Roman" w:eastAsia="Times New Roman" w:hAnsi="Times New Roman" w:cs="Times New Roman"/>
          <w:color w:val="000000"/>
          <w:spacing w:val="0"/>
          <w:w w:val="100"/>
          <w:position w:val="0"/>
          <w:sz w:val="18"/>
          <w:szCs w:val="18"/>
        </w:rPr>
        <w:t>4,301.11</w:t>
      </w:r>
      <w:r>
        <w:rPr>
          <w:color w:val="000000"/>
          <w:spacing w:val="0"/>
          <w:w w:val="100"/>
          <w:position w:val="0"/>
        </w:rPr>
        <w:t>万元计入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开发支出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项目，占研究开发支出总额的</w:t>
      </w:r>
      <w:r>
        <w:rPr>
          <w:rFonts w:ascii="Times New Roman" w:eastAsia="Times New Roman" w:hAnsi="Times New Roman" w:cs="Times New Roman"/>
          <w:color w:val="000000"/>
          <w:spacing w:val="0"/>
          <w:w w:val="100"/>
          <w:position w:val="0"/>
          <w:sz w:val="18"/>
          <w:szCs w:val="18"/>
        </w:rPr>
        <w:t>39.89%</w:t>
      </w:r>
      <w:r>
        <w:rPr>
          <w:color w:val="000000"/>
          <w:spacing w:val="0"/>
          <w:w w:val="100"/>
          <w:position w:val="0"/>
        </w:rPr>
        <w:t>。开发支出只有在同时满足财务报表附注三之</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中所列的所有资本化条件时才能予以资 本化。鉴于确定开发支出是否满足所有资本化条件需要管理层进行重大会计判断和估计，因此我们将开发支出资本化确定为 关键审计事项。</w:t>
      </w:r>
    </w:p>
    <w:p>
      <w:pPr>
        <w:pStyle w:val="Style36"/>
        <w:keepNext w:val="0"/>
        <w:keepLines w:val="0"/>
        <w:widowControl w:val="0"/>
        <w:shd w:val="clear" w:color="auto" w:fill="auto"/>
        <w:tabs>
          <w:tab w:pos="854" w:val="left"/>
        </w:tabs>
        <w:bidi w:val="0"/>
        <w:spacing w:before="0" w:after="0" w:line="360" w:lineRule="auto"/>
        <w:ind w:left="0" w:right="0" w:firstLine="500"/>
        <w:jc w:val="both"/>
      </w:pPr>
      <w:bookmarkStart w:id="706" w:name="bookmark706"/>
      <w:r>
        <w:rPr>
          <w:rFonts w:ascii="Times New Roman" w:eastAsia="Times New Roman" w:hAnsi="Times New Roman" w:cs="Times New Roman"/>
          <w:color w:val="000000"/>
          <w:spacing w:val="0"/>
          <w:w w:val="100"/>
          <w:position w:val="0"/>
          <w:sz w:val="18"/>
          <w:szCs w:val="18"/>
        </w:rPr>
        <w:t>2</w:t>
      </w:r>
      <w:bookmarkEnd w:id="706"/>
      <w:r>
        <w:rPr>
          <w:color w:val="000000"/>
          <w:spacing w:val="0"/>
          <w:w w:val="100"/>
          <w:position w:val="0"/>
        </w:rPr>
        <w:t>、</w:t>
        <w:tab/>
        <w:t>审计应对</w:t>
      </w:r>
    </w:p>
    <w:p>
      <w:pPr>
        <w:pStyle w:val="Style36"/>
        <w:keepNext w:val="0"/>
        <w:keepLines w:val="0"/>
        <w:widowControl w:val="0"/>
        <w:shd w:val="clear" w:color="auto" w:fill="auto"/>
        <w:bidi w:val="0"/>
        <w:spacing w:before="0" w:after="100" w:line="317" w:lineRule="exact"/>
        <w:ind w:left="0" w:right="0" w:firstLine="500"/>
        <w:jc w:val="left"/>
      </w:pPr>
      <w:r>
        <w:rPr>
          <w:color w:val="000000"/>
          <w:spacing w:val="0"/>
          <w:w w:val="100"/>
          <w:position w:val="0"/>
        </w:rPr>
        <w:t>我们针对开发支出资本化这一关键审计事项实施的审计程序主要包括：</w:t>
      </w:r>
    </w:p>
    <w:p>
      <w:pPr>
        <w:pStyle w:val="Style36"/>
        <w:keepNext w:val="0"/>
        <w:keepLines w:val="0"/>
        <w:widowControl w:val="0"/>
        <w:shd w:val="clear" w:color="auto" w:fill="auto"/>
        <w:bidi w:val="0"/>
        <w:spacing w:before="0" w:after="160" w:line="317" w:lineRule="exact"/>
        <w:ind w:left="0" w:right="0" w:firstLine="50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）了解及评价开发支出资本化的内部控制设计的有效性，并测试了关键控制运行的有效性，包括可行性研究、项目 立项、项目验收以及资本化的复核和审批等。</w:t>
      </w:r>
    </w:p>
    <w:p>
      <w:pPr>
        <w:pStyle w:val="Style36"/>
        <w:keepNext w:val="0"/>
        <w:keepLines w:val="0"/>
        <w:widowControl w:val="0"/>
        <w:numPr>
          <w:ilvl w:val="0"/>
          <w:numId w:val="15"/>
        </w:numPr>
        <w:shd w:val="clear" w:color="auto" w:fill="auto"/>
        <w:tabs>
          <w:tab w:pos="1035" w:val="left"/>
        </w:tabs>
        <w:bidi w:val="0"/>
        <w:spacing w:before="0" w:after="100" w:line="322" w:lineRule="exact"/>
        <w:ind w:left="0" w:right="0" w:firstLine="520"/>
        <w:jc w:val="both"/>
      </w:pPr>
      <w:bookmarkStart w:id="708" w:name="bookmark708"/>
      <w:bookmarkEnd w:id="708"/>
      <w:r>
        <w:rPr>
          <w:color w:val="000000"/>
          <w:spacing w:val="0"/>
          <w:w w:val="100"/>
          <w:position w:val="0"/>
        </w:rPr>
        <w:t>评价管理层确定的开发支出资本化的相关会计政策和会计估计是否符合企业会计准则的规定，并采用一致的会 计处理方法。</w:t>
      </w:r>
    </w:p>
    <w:p>
      <w:pPr>
        <w:pStyle w:val="Style36"/>
        <w:keepNext w:val="0"/>
        <w:keepLines w:val="0"/>
        <w:widowControl w:val="0"/>
        <w:numPr>
          <w:ilvl w:val="0"/>
          <w:numId w:val="15"/>
        </w:numPr>
        <w:shd w:val="clear" w:color="auto" w:fill="auto"/>
        <w:bidi w:val="0"/>
        <w:spacing w:before="0" w:after="100" w:line="322" w:lineRule="exact"/>
        <w:ind w:left="0" w:right="0" w:firstLine="520"/>
        <w:jc w:val="both"/>
      </w:pPr>
      <w:bookmarkStart w:id="709" w:name="bookmark709"/>
      <w:bookmarkEnd w:id="709"/>
      <w:r>
        <w:rPr>
          <w:color w:val="000000"/>
          <w:spacing w:val="0"/>
          <w:w w:val="100"/>
          <w:position w:val="0"/>
        </w:rPr>
        <w:t xml:space="preserve"> 获取项目立项书、研发节点报告等文件，检查企业研发活动的立项情况，确定研发项目处于研究阶段还是开发阶 段。</w:t>
      </w:r>
    </w:p>
    <w:p>
      <w:pPr>
        <w:pStyle w:val="Style36"/>
        <w:keepNext w:val="0"/>
        <w:keepLines w:val="0"/>
        <w:widowControl w:val="0"/>
        <w:numPr>
          <w:ilvl w:val="0"/>
          <w:numId w:val="15"/>
        </w:numPr>
        <w:shd w:val="clear" w:color="auto" w:fill="auto"/>
        <w:tabs>
          <w:tab w:pos="1030" w:val="left"/>
        </w:tabs>
        <w:bidi w:val="0"/>
        <w:spacing w:before="0" w:after="100" w:line="322" w:lineRule="exact"/>
        <w:ind w:left="0" w:right="0" w:firstLine="520"/>
        <w:jc w:val="both"/>
      </w:pPr>
      <w:bookmarkStart w:id="710" w:name="bookmark710"/>
      <w:bookmarkEnd w:id="710"/>
      <w:r>
        <w:rPr>
          <w:color w:val="000000"/>
          <w:spacing w:val="0"/>
          <w:w w:val="100"/>
          <w:position w:val="0"/>
        </w:rPr>
        <w:t>选取项目检查资本化的条件和依据是否合理，包括研究阶段和开发阶段界定时点是否合理，开发完成的时点界 定是否合理；检查资本化支出范围是否合理等。</w:t>
      </w:r>
    </w:p>
    <w:p>
      <w:pPr>
        <w:pStyle w:val="Style36"/>
        <w:keepNext w:val="0"/>
        <w:keepLines w:val="0"/>
        <w:widowControl w:val="0"/>
        <w:numPr>
          <w:ilvl w:val="0"/>
          <w:numId w:val="15"/>
        </w:numPr>
        <w:shd w:val="clear" w:color="auto" w:fill="auto"/>
        <w:tabs>
          <w:tab w:pos="960" w:val="left"/>
        </w:tabs>
        <w:bidi w:val="0"/>
        <w:spacing w:before="0" w:after="100" w:line="317" w:lineRule="exact"/>
        <w:ind w:left="0" w:right="0" w:firstLine="520"/>
        <w:jc w:val="both"/>
      </w:pPr>
      <w:bookmarkStart w:id="711" w:name="bookmark711"/>
      <w:bookmarkEnd w:id="711"/>
      <w:r>
        <w:rPr>
          <w:color w:val="000000"/>
          <w:spacing w:val="0"/>
          <w:w w:val="100"/>
          <w:position w:val="0"/>
        </w:rPr>
        <w:t>检查开发支出资本化披露的充分性。</w:t>
      </w:r>
    </w:p>
    <w:p>
      <w:pPr>
        <w:pStyle w:val="Style36"/>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(二)收入确认</w:t>
      </w:r>
    </w:p>
    <w:p>
      <w:pPr>
        <w:pStyle w:val="Style36"/>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相关信息披露详见财务报表附注三之</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及附注五之</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36"/>
        <w:keepNext w:val="0"/>
        <w:keepLines w:val="0"/>
        <w:widowControl w:val="0"/>
        <w:shd w:val="clear" w:color="auto" w:fill="auto"/>
        <w:tabs>
          <w:tab w:pos="875" w:val="left"/>
        </w:tabs>
        <w:bidi w:val="0"/>
        <w:spacing w:before="0" w:after="100" w:line="317" w:lineRule="exact"/>
        <w:ind w:left="0" w:right="0" w:firstLine="500"/>
        <w:jc w:val="both"/>
      </w:pPr>
      <w:bookmarkStart w:id="712" w:name="bookmark712"/>
      <w:r>
        <w:rPr>
          <w:rFonts w:ascii="Times New Roman" w:eastAsia="Times New Roman" w:hAnsi="Times New Roman" w:cs="Times New Roman"/>
          <w:color w:val="000000"/>
          <w:spacing w:val="0"/>
          <w:w w:val="100"/>
          <w:position w:val="0"/>
          <w:sz w:val="18"/>
          <w:szCs w:val="18"/>
        </w:rPr>
        <w:t>1</w:t>
      </w:r>
      <w:bookmarkEnd w:id="712"/>
      <w:r>
        <w:rPr>
          <w:color w:val="000000"/>
          <w:spacing w:val="0"/>
          <w:w w:val="100"/>
          <w:position w:val="0"/>
        </w:rPr>
        <w:t>、</w:t>
        <w:tab/>
        <w:t>事项描述</w:t>
      </w:r>
    </w:p>
    <w:p>
      <w:pPr>
        <w:pStyle w:val="Style36"/>
        <w:keepNext w:val="0"/>
        <w:keepLines w:val="0"/>
        <w:widowControl w:val="0"/>
        <w:shd w:val="clear" w:color="auto" w:fill="auto"/>
        <w:bidi w:val="0"/>
        <w:spacing w:before="0" w:after="100" w:line="317" w:lineRule="exact"/>
        <w:ind w:left="0" w:right="0" w:firstLine="520"/>
        <w:jc w:val="left"/>
      </w:pPr>
      <w:r>
        <w:rPr>
          <w:color w:val="000000"/>
          <w:spacing w:val="0"/>
          <w:w w:val="100"/>
          <w:position w:val="0"/>
        </w:rPr>
        <w:t>榕基软件公司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年度系统集成、软件产品及服务收入为人民币</w:t>
      </w:r>
      <w:r>
        <w:rPr>
          <w:rFonts w:ascii="Times New Roman" w:eastAsia="Times New Roman" w:hAnsi="Times New Roman" w:cs="Times New Roman"/>
          <w:color w:val="000000"/>
          <w:spacing w:val="0"/>
          <w:w w:val="100"/>
          <w:position w:val="0"/>
          <w:sz w:val="18"/>
          <w:szCs w:val="18"/>
        </w:rPr>
        <w:t>70,271.22</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年度营业收入的比例为</w:t>
      </w:r>
      <w:r>
        <w:rPr>
          <w:rFonts w:ascii="Times New Roman" w:eastAsia="Times New Roman" w:hAnsi="Times New Roman" w:cs="Times New Roman"/>
          <w:color w:val="000000"/>
          <w:spacing w:val="0"/>
          <w:w w:val="100"/>
          <w:position w:val="0"/>
          <w:sz w:val="18"/>
          <w:szCs w:val="18"/>
        </w:rPr>
        <w:t>96.20%</w:t>
      </w:r>
      <w:r>
        <w:rPr>
          <w:color w:val="000000"/>
          <w:spacing w:val="0"/>
          <w:w w:val="100"/>
          <w:position w:val="0"/>
        </w:rPr>
        <w:t>。 榕基软件公司对于系统集成、软件产品及服务收入，均需在产品交付或服务提供并经对方初验或试运行合格后确认收入。鉴 于该部分收入金额重大且为关键业绩指标，相关验收单据由分布在国内不同地区的众多客户提供，可能存在管理层为了达到 特定目标或期望而操纵收入确认时点的固有风险，因此我们将收入确认确定为关键审计事项。</w:t>
      </w:r>
    </w:p>
    <w:p>
      <w:pPr>
        <w:pStyle w:val="Style36"/>
        <w:keepNext w:val="0"/>
        <w:keepLines w:val="0"/>
        <w:widowControl w:val="0"/>
        <w:shd w:val="clear" w:color="auto" w:fill="auto"/>
        <w:tabs>
          <w:tab w:pos="875" w:val="left"/>
        </w:tabs>
        <w:bidi w:val="0"/>
        <w:spacing w:before="0" w:after="100" w:line="317" w:lineRule="exact"/>
        <w:ind w:left="0" w:right="0" w:firstLine="500"/>
        <w:jc w:val="left"/>
      </w:pPr>
      <w:bookmarkStart w:id="713" w:name="bookmark713"/>
      <w:r>
        <w:rPr>
          <w:rFonts w:ascii="Times New Roman" w:eastAsia="Times New Roman" w:hAnsi="Times New Roman" w:cs="Times New Roman"/>
          <w:color w:val="000000"/>
          <w:spacing w:val="0"/>
          <w:w w:val="100"/>
          <w:position w:val="0"/>
          <w:sz w:val="18"/>
          <w:szCs w:val="18"/>
        </w:rPr>
        <w:t>2</w:t>
      </w:r>
      <w:bookmarkEnd w:id="713"/>
      <w:r>
        <w:rPr>
          <w:color w:val="000000"/>
          <w:spacing w:val="0"/>
          <w:w w:val="100"/>
          <w:position w:val="0"/>
        </w:rPr>
        <w:t>、</w:t>
        <w:tab/>
        <w:t>审计应对</w:t>
      </w:r>
    </w:p>
    <w:p>
      <w:pPr>
        <w:pStyle w:val="Style36"/>
        <w:keepNext w:val="0"/>
        <w:keepLines w:val="0"/>
        <w:widowControl w:val="0"/>
        <w:shd w:val="clear" w:color="auto" w:fill="auto"/>
        <w:bidi w:val="0"/>
        <w:spacing w:before="0" w:after="100" w:line="317" w:lineRule="exact"/>
        <w:ind w:left="0" w:right="0" w:firstLine="500"/>
        <w:jc w:val="left"/>
      </w:pPr>
      <w:r>
        <w:rPr>
          <w:color w:val="000000"/>
          <w:spacing w:val="0"/>
          <w:w w:val="100"/>
          <w:position w:val="0"/>
        </w:rPr>
        <w:t>我们针对收入确认这一关键审计事项实施的审计程序主要包括：</w:t>
      </w:r>
    </w:p>
    <w:p>
      <w:pPr>
        <w:pStyle w:val="Style36"/>
        <w:keepNext w:val="0"/>
        <w:keepLines w:val="0"/>
        <w:widowControl w:val="0"/>
        <w:numPr>
          <w:ilvl w:val="0"/>
          <w:numId w:val="17"/>
        </w:numPr>
        <w:shd w:val="clear" w:color="auto" w:fill="auto"/>
        <w:tabs>
          <w:tab w:pos="940" w:val="left"/>
        </w:tabs>
        <w:bidi w:val="0"/>
        <w:spacing w:before="0" w:after="100" w:line="317" w:lineRule="exact"/>
        <w:ind w:left="0" w:right="0" w:firstLine="500"/>
        <w:jc w:val="left"/>
      </w:pPr>
      <w:bookmarkStart w:id="714" w:name="bookmark714"/>
      <w:bookmarkEnd w:id="714"/>
      <w:r>
        <w:rPr>
          <w:color w:val="000000"/>
          <w:spacing w:val="0"/>
          <w:w w:val="100"/>
          <w:position w:val="0"/>
        </w:rPr>
        <w:t>了解及评价与收入确认有关的内部控制设计的有效性，并测试了关键控制运行的有效性。</w:t>
      </w:r>
    </w:p>
    <w:p>
      <w:pPr>
        <w:pStyle w:val="Style36"/>
        <w:keepNext w:val="0"/>
        <w:keepLines w:val="0"/>
        <w:widowControl w:val="0"/>
        <w:numPr>
          <w:ilvl w:val="0"/>
          <w:numId w:val="17"/>
        </w:numPr>
        <w:shd w:val="clear" w:color="auto" w:fill="auto"/>
        <w:tabs>
          <w:tab w:pos="1035" w:val="left"/>
        </w:tabs>
        <w:bidi w:val="0"/>
        <w:spacing w:before="0" w:after="100" w:line="310" w:lineRule="exact"/>
        <w:ind w:left="0" w:right="0" w:firstLine="520"/>
        <w:jc w:val="both"/>
      </w:pPr>
      <w:bookmarkStart w:id="715" w:name="bookmark715"/>
      <w:bookmarkEnd w:id="715"/>
      <w:r>
        <w:rPr>
          <w:color w:val="000000"/>
          <w:spacing w:val="0"/>
          <w:w w:val="100"/>
          <w:position w:val="0"/>
        </w:rPr>
        <w:t>选取样本检查销售合同及对管理层进行访谈，结合业务识别合同中的单项履约义务、确定交易价格、将交易价格 分摊至各单项履约义务、确定控制权转移时点等，进而评价公司的收入确认政策是否符合企业会计准则的规定，并采用一致 的会计处理方法。</w:t>
      </w:r>
    </w:p>
    <w:p>
      <w:pPr>
        <w:pStyle w:val="Style36"/>
        <w:keepNext w:val="0"/>
        <w:keepLines w:val="0"/>
        <w:widowControl w:val="0"/>
        <w:numPr>
          <w:ilvl w:val="0"/>
          <w:numId w:val="17"/>
        </w:numPr>
        <w:shd w:val="clear" w:color="auto" w:fill="auto"/>
        <w:tabs>
          <w:tab w:pos="940" w:val="left"/>
        </w:tabs>
        <w:bidi w:val="0"/>
        <w:spacing w:before="0" w:after="100" w:line="317" w:lineRule="exact"/>
        <w:ind w:left="0" w:right="0" w:firstLine="500"/>
        <w:jc w:val="both"/>
      </w:pPr>
      <w:bookmarkStart w:id="716" w:name="bookmark716"/>
      <w:bookmarkEnd w:id="716"/>
      <w:r>
        <w:rPr>
          <w:color w:val="000000"/>
          <w:spacing w:val="0"/>
          <w:w w:val="100"/>
          <w:position w:val="0"/>
        </w:rPr>
        <w:t>选取样本检查与收入确认相关的支持性文件，包括销售合同、发票、客户验收单据等。</w:t>
      </w:r>
    </w:p>
    <w:p>
      <w:pPr>
        <w:pStyle w:val="Style36"/>
        <w:keepNext w:val="0"/>
        <w:keepLines w:val="0"/>
        <w:widowControl w:val="0"/>
        <w:numPr>
          <w:ilvl w:val="0"/>
          <w:numId w:val="17"/>
        </w:numPr>
        <w:shd w:val="clear" w:color="auto" w:fill="auto"/>
        <w:tabs>
          <w:tab w:pos="1035" w:val="left"/>
        </w:tabs>
        <w:bidi w:val="0"/>
        <w:spacing w:before="0" w:after="100" w:line="312" w:lineRule="exact"/>
        <w:ind w:left="0" w:right="0" w:firstLine="520"/>
        <w:jc w:val="both"/>
      </w:pPr>
      <w:bookmarkStart w:id="717" w:name="bookmark717"/>
      <w:bookmarkEnd w:id="717"/>
      <w:r>
        <w:rPr>
          <w:color w:val="000000"/>
          <w:spacing w:val="0"/>
          <w:w w:val="100"/>
          <w:position w:val="0"/>
        </w:rPr>
        <w:t>针对资产负债表日前后确认的销售收入核对至客户验收单据等支持性文件，以评价销售收入是否在恰当的期间 确认。</w:t>
      </w:r>
    </w:p>
    <w:p>
      <w:pPr>
        <w:pStyle w:val="Style36"/>
        <w:keepNext w:val="0"/>
        <w:keepLines w:val="0"/>
        <w:widowControl w:val="0"/>
        <w:numPr>
          <w:ilvl w:val="0"/>
          <w:numId w:val="17"/>
        </w:numPr>
        <w:shd w:val="clear" w:color="auto" w:fill="auto"/>
        <w:tabs>
          <w:tab w:pos="1021" w:val="left"/>
        </w:tabs>
        <w:bidi w:val="0"/>
        <w:spacing w:before="0" w:after="240" w:line="322" w:lineRule="exact"/>
        <w:ind w:left="0" w:right="0" w:firstLine="520"/>
        <w:jc w:val="both"/>
      </w:pPr>
      <w:bookmarkStart w:id="718" w:name="bookmark718"/>
      <w:bookmarkEnd w:id="718"/>
      <w:r>
        <w:rPr>
          <w:color w:val="000000"/>
          <w:spacing w:val="0"/>
          <w:w w:val="100"/>
          <w:position w:val="0"/>
        </w:rPr>
        <w:t>对重大、新增主要客户和与关联方的业务发生情况实施函证程序，并对这些客户进行背景调查等，检查相关业务 的真实性及交易的合理性。</w:t>
      </w:r>
    </w:p>
    <w:p>
      <w:pPr>
        <w:pStyle w:val="Style36"/>
        <w:keepNext w:val="0"/>
        <w:keepLines w:val="0"/>
        <w:widowControl w:val="0"/>
        <w:shd w:val="clear" w:color="auto" w:fill="auto"/>
        <w:tabs>
          <w:tab w:pos="926" w:val="left"/>
        </w:tabs>
        <w:bidi w:val="0"/>
        <w:spacing w:before="0" w:after="100" w:line="240" w:lineRule="auto"/>
        <w:ind w:left="0" w:right="0" w:firstLine="500"/>
        <w:jc w:val="both"/>
      </w:pPr>
      <w:bookmarkStart w:id="719" w:name="bookmark719"/>
      <w:r>
        <w:rPr>
          <w:b/>
          <w:bCs/>
          <w:color w:val="000000"/>
          <w:spacing w:val="0"/>
          <w:w w:val="100"/>
          <w:position w:val="0"/>
        </w:rPr>
        <w:t>四</w:t>
      </w:r>
      <w:bookmarkEnd w:id="719"/>
      <w:r>
        <w:rPr>
          <w:b/>
          <w:bCs/>
          <w:color w:val="000000"/>
          <w:spacing w:val="0"/>
          <w:w w:val="100"/>
          <w:position w:val="0"/>
        </w:rPr>
        <w:t>、</w:t>
        <w:tab/>
        <w:t>其他信息</w:t>
      </w:r>
    </w:p>
    <w:p>
      <w:pPr>
        <w:pStyle w:val="Style36"/>
        <w:keepNext w:val="0"/>
        <w:keepLines w:val="0"/>
        <w:widowControl w:val="0"/>
        <w:shd w:val="clear" w:color="auto" w:fill="auto"/>
        <w:bidi w:val="0"/>
        <w:spacing w:before="0" w:after="100" w:line="302" w:lineRule="exact"/>
        <w:ind w:left="0" w:right="0" w:firstLine="520"/>
        <w:jc w:val="both"/>
      </w:pPr>
      <w:r>
        <w:rPr>
          <w:color w:val="000000"/>
          <w:spacing w:val="0"/>
          <w:w w:val="100"/>
          <w:position w:val="0"/>
        </w:rPr>
        <w:t>榕基软件公司管理层对其他信息负责。其他信息包括榕基软件公司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 和我们的审计报告。</w:t>
      </w:r>
    </w:p>
    <w:p>
      <w:pPr>
        <w:pStyle w:val="Style36"/>
        <w:keepNext w:val="0"/>
        <w:keepLines w:val="0"/>
        <w:widowControl w:val="0"/>
        <w:shd w:val="clear" w:color="auto" w:fill="auto"/>
        <w:bidi w:val="0"/>
        <w:spacing w:before="0" w:after="100" w:line="317" w:lineRule="exact"/>
        <w:ind w:left="0" w:right="0" w:firstLine="500"/>
        <w:jc w:val="left"/>
      </w:pPr>
      <w:r>
        <w:rPr>
          <w:color w:val="000000"/>
          <w:spacing w:val="0"/>
          <w:w w:val="100"/>
          <w:position w:val="0"/>
        </w:rPr>
        <w:t>我们对财务报表发表的审计意见不涵盖其他信息，我们也不对其他信息发表任何形式的鉴证结论。</w:t>
      </w:r>
    </w:p>
    <w:p>
      <w:pPr>
        <w:pStyle w:val="Style36"/>
        <w:keepNext w:val="0"/>
        <w:keepLines w:val="0"/>
        <w:widowControl w:val="0"/>
        <w:shd w:val="clear" w:color="auto" w:fill="auto"/>
        <w:bidi w:val="0"/>
        <w:spacing w:before="0" w:after="100" w:line="317" w:lineRule="exact"/>
        <w:ind w:left="0" w:right="0" w:firstLine="52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36"/>
        <w:keepNext w:val="0"/>
        <w:keepLines w:val="0"/>
        <w:widowControl w:val="0"/>
        <w:shd w:val="clear" w:color="auto" w:fill="auto"/>
        <w:bidi w:val="0"/>
        <w:spacing w:before="0" w:after="240" w:line="302" w:lineRule="exact"/>
        <w:ind w:left="0" w:right="0" w:firstLine="52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36"/>
        <w:keepNext w:val="0"/>
        <w:keepLines w:val="0"/>
        <w:widowControl w:val="0"/>
        <w:shd w:val="clear" w:color="auto" w:fill="auto"/>
        <w:tabs>
          <w:tab w:pos="940" w:val="left"/>
        </w:tabs>
        <w:bidi w:val="0"/>
        <w:spacing w:before="0" w:after="100" w:line="240" w:lineRule="auto"/>
        <w:ind w:left="0" w:right="0" w:firstLine="500"/>
        <w:jc w:val="left"/>
      </w:pPr>
      <w:bookmarkStart w:id="720" w:name="bookmark720"/>
      <w:r>
        <w:rPr>
          <w:b/>
          <w:bCs/>
          <w:color w:val="000000"/>
          <w:spacing w:val="0"/>
          <w:w w:val="100"/>
          <w:position w:val="0"/>
        </w:rPr>
        <w:t>五</w:t>
      </w:r>
      <w:bookmarkEnd w:id="720"/>
      <w:r>
        <w:rPr>
          <w:b/>
          <w:bCs/>
          <w:color w:val="000000"/>
          <w:spacing w:val="0"/>
          <w:w w:val="100"/>
          <w:position w:val="0"/>
        </w:rPr>
        <w:t>、</w:t>
        <w:tab/>
        <w:t>管理层和治理层对财务报表的责任</w:t>
      </w:r>
    </w:p>
    <w:p>
      <w:pPr>
        <w:pStyle w:val="Style36"/>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榕基软件公司管理层负责按照企业会计准则的规定编制财务报表，使其实现公允反映，并设计、执行和维护必要的内 部控制，以使财务报表不存在由于舞弊或错误导致的重大错报。</w:t>
      </w:r>
    </w:p>
    <w:p>
      <w:pPr>
        <w:pStyle w:val="Style36"/>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在编制财务报表时，管理层负责评估榕基软件公司的持续经营能力，披露与持续经营相关的事项（如适用），并运用 持续经营假设，除非管理层计划清算榕基软件公司、终止运营或别无其他现实的选择。</w:t>
      </w:r>
    </w:p>
    <w:p>
      <w:pPr>
        <w:pStyle w:val="Style36"/>
        <w:keepNext w:val="0"/>
        <w:keepLines w:val="0"/>
        <w:widowControl w:val="0"/>
        <w:shd w:val="clear" w:color="auto" w:fill="auto"/>
        <w:bidi w:val="0"/>
        <w:spacing w:before="0" w:after="240" w:line="314" w:lineRule="exact"/>
        <w:ind w:left="0" w:right="0" w:firstLine="500"/>
        <w:jc w:val="both"/>
      </w:pPr>
      <w:r>
        <w:rPr>
          <w:color w:val="000000"/>
          <w:spacing w:val="0"/>
          <w:w w:val="100"/>
          <w:position w:val="0"/>
        </w:rPr>
        <w:t>治理层负责监督榕基软件公司的财务报告过程。</w:t>
      </w:r>
    </w:p>
    <w:p>
      <w:pPr>
        <w:pStyle w:val="Style36"/>
        <w:keepNext w:val="0"/>
        <w:keepLines w:val="0"/>
        <w:widowControl w:val="0"/>
        <w:shd w:val="clear" w:color="auto" w:fill="auto"/>
        <w:bidi w:val="0"/>
        <w:spacing w:before="0" w:after="100" w:line="240" w:lineRule="auto"/>
        <w:ind w:left="0" w:right="0" w:firstLine="500"/>
        <w:jc w:val="both"/>
      </w:pPr>
      <w:r>
        <w:rPr>
          <w:b/>
          <w:bCs/>
          <w:color w:val="000000"/>
          <w:spacing w:val="0"/>
          <w:w w:val="100"/>
          <w:position w:val="0"/>
        </w:rPr>
        <w:t>六、注册会计师对财务报表审计的责任</w:t>
      </w:r>
    </w:p>
    <w:p>
      <w:pPr>
        <w:pStyle w:val="Style36"/>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36"/>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在按照审计准则执行审计工作的过程中，我们运用职业判断，并保持职业怀疑。同时，我们也执行以下工作：</w:t>
      </w:r>
    </w:p>
    <w:p>
      <w:pPr>
        <w:pStyle w:val="Style36"/>
        <w:keepNext w:val="0"/>
        <w:keepLines w:val="0"/>
        <w:widowControl w:val="0"/>
        <w:shd w:val="clear" w:color="auto" w:fill="auto"/>
        <w:tabs>
          <w:tab w:pos="1029" w:val="left"/>
        </w:tabs>
        <w:bidi w:val="0"/>
        <w:spacing w:before="0" w:after="100" w:line="314" w:lineRule="exact"/>
        <w:ind w:left="0" w:right="0" w:firstLine="50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6"/>
        <w:keepNext w:val="0"/>
        <w:keepLines w:val="0"/>
        <w:widowControl w:val="0"/>
        <w:shd w:val="clear" w:color="auto" w:fill="auto"/>
        <w:tabs>
          <w:tab w:pos="934" w:val="left"/>
        </w:tabs>
        <w:bidi w:val="0"/>
        <w:spacing w:before="0" w:after="100" w:line="314" w:lineRule="exact"/>
        <w:ind w:left="0" w:right="0" w:firstLine="500"/>
        <w:jc w:val="left"/>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36"/>
        <w:keepNext w:val="0"/>
        <w:keepLines w:val="0"/>
        <w:widowControl w:val="0"/>
        <w:shd w:val="clear" w:color="auto" w:fill="auto"/>
        <w:tabs>
          <w:tab w:pos="934" w:val="left"/>
        </w:tabs>
        <w:bidi w:val="0"/>
        <w:spacing w:before="0" w:after="100" w:line="314" w:lineRule="exact"/>
        <w:ind w:left="0" w:right="0" w:firstLine="500"/>
        <w:jc w:val="left"/>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36"/>
        <w:keepNext w:val="0"/>
        <w:keepLines w:val="0"/>
        <w:widowControl w:val="0"/>
        <w:shd w:val="clear" w:color="auto" w:fill="auto"/>
        <w:tabs>
          <w:tab w:pos="1029" w:val="left"/>
        </w:tabs>
        <w:bidi w:val="0"/>
        <w:spacing w:before="0" w:after="100" w:line="315" w:lineRule="exact"/>
        <w:ind w:left="0" w:right="0" w:firstLine="50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对管理层使用持续经营假设的恰当性得出结论。同时，根据获取的审计证据，就可能导致对榕基软件公司的持续 经营能力产生重大疑虑的事项或情况是否存在重大不确定性得出结论。如果我们得出结论认为存在重大不确定性，审计准则 要求我们在审计报告中提请报表使用者注意财务报表中的相关披露；如果披露不充分，我们应当发表非无保留意见。我们的 结论基于截至审计报告日可获得的信息。然而，未来的事项或情况可能导致榕基软件公司不能持续经营。</w:t>
      </w:r>
    </w:p>
    <w:p>
      <w:pPr>
        <w:pStyle w:val="Style36"/>
        <w:keepNext w:val="0"/>
        <w:keepLines w:val="0"/>
        <w:widowControl w:val="0"/>
        <w:shd w:val="clear" w:color="auto" w:fill="auto"/>
        <w:tabs>
          <w:tab w:pos="934" w:val="left"/>
        </w:tabs>
        <w:bidi w:val="0"/>
        <w:spacing w:before="0" w:after="100" w:line="314" w:lineRule="exact"/>
        <w:ind w:left="0" w:right="0" w:firstLine="500"/>
        <w:jc w:val="left"/>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36"/>
        <w:keepNext w:val="0"/>
        <w:keepLines w:val="0"/>
        <w:widowControl w:val="0"/>
        <w:shd w:val="clear" w:color="auto" w:fill="auto"/>
        <w:bidi w:val="0"/>
        <w:spacing w:before="0" w:after="100" w:line="322" w:lineRule="exact"/>
        <w:ind w:left="0" w:right="0" w:firstLine="50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就榕基软件公司中实体或业务活动的财务信息获取充分、适当的审计证据，以对财务报表发表意见。我们负责指 导、监督和执行集团审计，并对审计意见承担全部责任。</w:t>
      </w:r>
    </w:p>
    <w:p>
      <w:pPr>
        <w:pStyle w:val="Style36"/>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36"/>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36"/>
        <w:keepNext w:val="0"/>
        <w:keepLines w:val="0"/>
        <w:widowControl w:val="0"/>
        <w:shd w:val="clear" w:color="auto" w:fill="auto"/>
        <w:bidi w:val="0"/>
        <w:spacing w:before="0" w:after="400" w:line="312" w:lineRule="exact"/>
        <w:ind w:left="0" w:right="0" w:firstLine="50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32"/>
        <w:keepNext/>
        <w:keepLines/>
        <w:widowControl w:val="0"/>
        <w:shd w:val="clear" w:color="auto" w:fill="auto"/>
        <w:bidi w:val="0"/>
        <w:spacing w:before="0" w:after="24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二</w:t>
      </w:r>
      <w:bookmarkEnd w:id="729"/>
      <w:r>
        <w:rPr>
          <w:color w:val="000000"/>
          <w:spacing w:val="0"/>
          <w:w w:val="100"/>
          <w:position w:val="0"/>
        </w:rPr>
        <w:t>、财务报表</w:t>
      </w:r>
      <w:bookmarkEnd w:id="727"/>
      <w:bookmarkEnd w:id="728"/>
      <w:bookmarkEnd w:id="730"/>
    </w:p>
    <w:p>
      <w:pPr>
        <w:pStyle w:val="Style36"/>
        <w:keepNext w:val="0"/>
        <w:keepLines w:val="0"/>
        <w:widowControl w:val="0"/>
        <w:shd w:val="clear" w:color="auto" w:fill="auto"/>
        <w:bidi w:val="0"/>
        <w:spacing w:before="0" w:after="400" w:line="314" w:lineRule="exact"/>
        <w:ind w:left="0" w:right="0" w:firstLine="0"/>
        <w:jc w:val="left"/>
      </w:pPr>
      <w:r>
        <w:rPr>
          <w:color w:val="000000"/>
          <w:spacing w:val="0"/>
          <w:w w:val="100"/>
          <w:position w:val="0"/>
        </w:rPr>
        <w:t>财务附注中报表的单位为：元</w:t>
      </w:r>
    </w:p>
    <w:p>
      <w:pPr>
        <w:pStyle w:val="Style43"/>
        <w:keepNext/>
        <w:keepLines/>
        <w:widowControl w:val="0"/>
        <w:shd w:val="clear" w:color="auto" w:fill="auto"/>
        <w:bidi w:val="0"/>
        <w:spacing w:before="0" w:after="24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color w:val="000000"/>
          <w:spacing w:val="0"/>
          <w:w w:val="100"/>
          <w:position w:val="0"/>
        </w:rPr>
        <w:t>、合并资产负债表</w:t>
      </w:r>
      <w:bookmarkEnd w:id="731"/>
      <w:bookmarkEnd w:id="732"/>
      <w:bookmarkEnd w:id="734"/>
    </w:p>
    <w:p>
      <w:pPr>
        <w:pStyle w:val="Style36"/>
        <w:keepNext w:val="0"/>
        <w:keepLines w:val="0"/>
        <w:widowControl w:val="0"/>
        <w:shd w:val="clear" w:color="auto" w:fill="auto"/>
        <w:bidi w:val="0"/>
        <w:spacing w:before="0" w:after="100" w:line="314" w:lineRule="exact"/>
        <w:ind w:left="0" w:right="0" w:firstLine="0"/>
        <w:jc w:val="left"/>
      </w:pPr>
      <w:r>
        <w:rPr>
          <w:color w:val="000000"/>
          <w:spacing w:val="0"/>
          <w:w w:val="100"/>
          <w:position w:val="0"/>
        </w:rPr>
        <w:t>编制单位：福建榕基软件股份有限公司</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469,539,892.27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364,482,457.37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86,650,000.00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320,820,000.00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11,000,239.63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10,367,217.87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158,692,075.03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176,705,675.62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26,890,503.21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13,728,731.03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41,875,641.26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48,013,203.35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1,078,137,671.78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917,363,784.29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8,566,251.22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64,585,539.57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60,402,163.70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1,945,937,813.97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1,911,883,233.23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124,234,000.60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117,527,819.80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98,289,758.61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95,906,363.50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73,957,479.16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75,814,987.47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19,527,745.16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21,666,791.10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393,812,377.40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326,713,347.82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145,075,489.28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169,936,434.19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36,015,874.40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12,798,193.41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2,200,623.86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3,449,561.86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22,085,314.16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22,757,653.08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25,626,839.50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227,559.63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940,825,502.13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846,798,711.86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2,886,763,316.10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2,758,681,945.09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570,509,887.50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501,557,343.75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6,536,970.00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55,490,588.10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389,035,432.45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219,055,618.78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915,043.57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164,196,135.11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142,494,386.44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21,626,885.62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22,797,684.07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7,483,281.04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14,193,325.48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30,368,087.71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135,893,708.19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25,803,310.57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16,291,464.35</w:t>
            </w:r>
          </w:p>
        </w:tc>
      </w:tr>
    </w:tbl>
    <w:p>
      <w:pPr>
        <w:widowControl w:val="0"/>
        <w:spacing w:line="1" w:lineRule="exact"/>
      </w:pPr>
      <w:r>
        <w:br w:type="page"/>
      </w:r>
    </w:p>
    <w:p>
      <w:pPr>
        <w:widowControl w:val="0"/>
        <w:spacing w:line="1" w:lineRule="exact"/>
      </w:pPr>
      <w:r>
        <mc:AlternateContent>
          <mc:Choice Requires="wps">
            <w:drawing>
              <wp:anchor distT="152400" distB="0" distL="114300" distR="5265420" simplePos="0" relativeHeight="125829380" behindDoc="0" locked="0" layoutInCell="1" allowOverlap="1">
                <wp:simplePos x="0" y="0"/>
                <wp:positionH relativeFrom="page">
                  <wp:posOffset>708660</wp:posOffset>
                </wp:positionH>
                <wp:positionV relativeFrom="margin">
                  <wp:posOffset>8439785</wp:posOffset>
                </wp:positionV>
                <wp:extent cx="938530" cy="149225"/>
                <wp:wrapTopAndBottom/>
                <wp:docPr id="25" name="Shape 2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wps:txbx>
                      <wps:bodyPr wrap="none" lIns="0" tIns="0" rIns="0" bIns="0">
                        <a:noAutoFit/>
                      </wps:bodyPr>
                    </wps:wsp>
                  </a:graphicData>
                </a:graphic>
              </wp:anchor>
            </w:drawing>
          </mc:Choice>
          <mc:Fallback>
            <w:pict>
              <v:shape id="_x0000_s1051" type="#_x0000_t202" style="position:absolute;margin-left:55.800000000000004pt;margin-top:664.55000000000007pt;width:73.900000000000006pt;height:11.75pt;z-index:-125829373;mso-wrap-distance-left:9.pt;mso-wrap-distance-top:12.pt;mso-wrap-distance-right:414.60000000000002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v:textbox>
                <w10:wrap type="topAndBottom" anchorx="page" anchory="margin"/>
              </v:shape>
            </w:pict>
          </mc:Fallback>
        </mc:AlternateContent>
      </w:r>
      <w:r>
        <mc:AlternateContent>
          <mc:Choice Requires="wps">
            <w:drawing>
              <wp:anchor distT="152400" distB="5715" distL="2293620" distR="2634615" simplePos="0" relativeHeight="125829382" behindDoc="0" locked="0" layoutInCell="1" allowOverlap="1">
                <wp:simplePos x="0" y="0"/>
                <wp:positionH relativeFrom="page">
                  <wp:posOffset>2887980</wp:posOffset>
                </wp:positionH>
                <wp:positionV relativeFrom="margin">
                  <wp:posOffset>8439785</wp:posOffset>
                </wp:positionV>
                <wp:extent cx="1390015" cy="143510"/>
                <wp:wrapTopAndBottom/>
                <wp:docPr id="27" name="Shape 27"/>
                <a:graphic xmlns:a="http://schemas.openxmlformats.org/drawingml/2006/main">
                  <a:graphicData uri="http://schemas.microsoft.com/office/word/2010/wordprocessingShape">
                    <wps:wsp>
                      <wps:cNvSpPr txBox="1"/>
                      <wps:spPr>
                        <a:xfrm>
                          <a:ext cx="1390015"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wps:txbx>
                      <wps:bodyPr wrap="none" lIns="0" tIns="0" rIns="0" bIns="0">
                        <a:noAutoFit/>
                      </wps:bodyPr>
                    </wps:wsp>
                  </a:graphicData>
                </a:graphic>
              </wp:anchor>
            </w:drawing>
          </mc:Choice>
          <mc:Fallback>
            <w:pict>
              <v:shape id="_x0000_s1053" type="#_x0000_t202" style="position:absolute;margin-left:227.40000000000001pt;margin-top:664.55000000000007pt;width:109.45pt;height:11.300000000000001pt;z-index:-125829371;mso-wrap-distance-left:180.59999999999999pt;mso-wrap-distance-top:12.pt;mso-wrap-distance-right:207.45000000000002pt;mso-wrap-distance-bottom:0.45000000000000001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5512435</wp:posOffset>
                </wp:positionH>
                <wp:positionV relativeFrom="margin">
                  <wp:posOffset>8439785</wp:posOffset>
                </wp:positionV>
                <wp:extent cx="1286510" cy="149225"/>
                <wp:wrapTopAndBottom/>
                <wp:docPr id="29" name="Shape 2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wps:txbx>
                      <wps:bodyPr wrap="none" lIns="0" tIns="0" rIns="0" bIns="0">
                        <a:noAutoFit/>
                      </wps:bodyPr>
                    </wps:wsp>
                  </a:graphicData>
                </a:graphic>
              </wp:anchor>
            </w:drawing>
          </mc:Choice>
          <mc:Fallback>
            <w:pict>
              <v:shape id="_x0000_s1055" type="#_x0000_t202" style="position:absolute;margin-left:434.05000000000001pt;margin-top:664.55000000000007pt;width:101.3pt;height:11.75pt;z-index:-125829369;mso-wrap-distance-left:387.25pt;mso-wrap-distance-top:12.pt;mso-wrap-distance-right:8.9500000000000011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1,194,773,284.90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1,129,475,867.83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94,974,784.57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77,042,789.83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6,433,463.79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4,050,636.35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101,408,248.36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81,093,426.18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1,296,181,533.26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1,210,569,294.01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622,200,000.00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369,358,612.29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369,358,612.29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40,142,851.24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45,952,224.52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74,211,619.05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71,463,402.20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475,423,287.27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428,572,874.09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1,581,336,369.85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1,537,547,113.10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9,245,412.99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10,565,537.98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1,590,581,782.84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1,548,112,651.08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2,886,763,316.10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2,758,681,945.09</w:t>
            </w:r>
          </w:p>
        </w:tc>
      </w:tr>
    </w:tbl>
    <w:p>
      <w:pPr>
        <w:spacing w:lineRule="exact" w:line="1"/>
        <w:rPr>
          <w:sz w:val="2"/>
          <w:szCs w:val="2"/>
        </w:rPr>
      </w:pPr>
      <w:r>
        <w:br w:type="page"/>
      </w:r>
    </w:p>
    <w:p>
      <w:pPr>
        <w:pStyle w:val="Style43"/>
        <w:keepNext/>
        <w:keepLines/>
        <w:widowControl w:val="0"/>
        <w:shd w:val="clear" w:color="auto" w:fill="auto"/>
        <w:bidi w:val="0"/>
        <w:spacing w:before="0" w:after="38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2</w:t>
      </w:r>
      <w:bookmarkEnd w:id="737"/>
      <w:r>
        <w:rPr>
          <w:color w:val="000000"/>
          <w:spacing w:val="0"/>
          <w:w w:val="100"/>
          <w:position w:val="0"/>
        </w:rPr>
        <w:t>、母公司资产负债表</w:t>
      </w:r>
      <w:bookmarkEnd w:id="735"/>
      <w:bookmarkEnd w:id="736"/>
      <w:bookmarkEnd w:id="73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324,294,084.68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136,113,602.94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278,000,000.00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7,495,795.87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9,567,217.87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80,776,806.36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141,750,093.41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13,775,370.97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96,324,158.44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1,176,774,748.46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1,190,692,299.51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114,389,838.55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112,415,649.66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7,897,517.17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9,677,481.26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12,842,094.24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1,739,081,643.32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1,977,705,116.07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694,179,763.19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692,074,115.51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86,289,758.61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83,906,363.50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8,258,960.71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9,662,490.64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22,765,200.10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28,523,955.08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25,703,750.34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12,798,193.41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2,009,703.89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3,105,906.01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4,995,941.00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3,341,464.61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9,487,531.47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853,690,609.31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833,412,488.76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2,592,772,252.63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2,811,117,604.83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520,509,887.50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501,557,343.75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3,613,752.00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154,571,397.23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214,304,056.42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120,361,644.95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82,914,660.04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9,506,543.26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10,222,816.34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1,657,494.68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4,083,884.74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154,323,838.56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371,014,088.83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13,210,319.95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10,407,469.96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987,694,141.22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1,235,565,056.99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208,333.33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548,333.33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6,433,463.79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4,050,636.35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6,641,797.12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4,598,969.68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994,335,938.34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1,240,164,026.67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622,200,000.00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364,193,237.65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364,193,237.65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36,456,294.82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36,455,727.15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74,211,619.05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71,463,402.20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501,375,162.77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476,641,211.16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1,598,436,314.29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1,570,953,578.16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2,592,772,252.63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2,811,117,604.83</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3</w:t>
      </w:r>
      <w:bookmarkEnd w:id="741"/>
      <w:r>
        <w:rPr>
          <w:color w:val="000000"/>
          <w:spacing w:val="0"/>
          <w:w w:val="100"/>
          <w:position w:val="0"/>
        </w:rPr>
        <w:t>、合并利润表</w:t>
      </w:r>
      <w:bookmarkEnd w:id="739"/>
      <w:bookmarkEnd w:id="740"/>
      <w:bookmarkEnd w:id="74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730,475,517.25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727,322,833.38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730,475,517.25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727,322,833.38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721,432,599.75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719,009,725.84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461,861,374.64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456,312,306.03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5,192,863.33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5,077,094.72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41,165,489.88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40,293,457.57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83,413,266.70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93,726,915.81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104,947,275.12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102,917,280.05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24,852,330.08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20,682,671.66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25,720,105.37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23,814,608.03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2,179,116.60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4,210,182.79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23,438,530.42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14,118,416.76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21,404,317.57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20,824,488.19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6,706,180.80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1,440,859.15</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64"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-2,122,792.47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-9,687,401.57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-1,778,704.31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12,660.23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-353,303.23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49,996,928.94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33,215,307.69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35,309.36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23,050,698.78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218,666.66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385,276.83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49,813,571.64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55,880,729.64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1,535,066.60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2,179,165.00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48,278,505.04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53,701,564.64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48,278,505.04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53,701,564.64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49,598,630.03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49,816,021.80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-1,320,124.99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3,885,542.84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-5,809,373.28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10,808,290.76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-5,809,373.28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10,808,290.76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8,715,449.38</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8,715,449.38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-5,809,940.95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2,092,841.38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-5,809,940.95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2,092,841.38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42,469,131.76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64,509,855.40</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43,789,256.75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60,624,312.56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-1,320,124.99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3,885,542.84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0.0801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0.0797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0.0801</w:t>
            </w:r>
          </w:p>
        </w:tc>
      </w:tr>
    </w:tbl>
    <w:p>
      <w:pPr>
        <w:widowControl w:val="0"/>
        <w:spacing w:after="99" w:line="1" w:lineRule="exact"/>
      </w:pPr>
    </w:p>
    <w:p>
      <w:pPr>
        <w:pStyle w:val="Style3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6"/>
        <w:keepNext w:val="0"/>
        <w:keepLines w:val="0"/>
        <w:widowControl w:val="0"/>
        <w:shd w:val="clear" w:color="auto" w:fill="auto"/>
        <w:tabs>
          <w:tab w:pos="3427" w:val="left"/>
          <w:tab w:pos="7469" w:val="left"/>
        </w:tabs>
        <w:bidi w:val="0"/>
        <w:spacing w:before="0" w:after="400" w:line="240" w:lineRule="auto"/>
        <w:ind w:left="0" w:right="0" w:firstLine="0"/>
        <w:jc w:val="left"/>
      </w:pPr>
      <w:r>
        <w:rPr>
          <w:color w:val="000000"/>
          <w:spacing w:val="0"/>
          <w:w w:val="100"/>
          <w:position w:val="0"/>
        </w:rPr>
        <w:t>法定代表人：鲁峰</w:t>
        <w:tab/>
        <w:t>主管会计工作负责人：侯伟</w:t>
        <w:tab/>
        <w:t>会计机构负责人：镇千金</w:t>
      </w:r>
    </w:p>
    <w:p>
      <w:pPr>
        <w:pStyle w:val="Style43"/>
        <w:keepNext/>
        <w:keepLines/>
        <w:widowControl w:val="0"/>
        <w:shd w:val="clear" w:color="auto" w:fill="auto"/>
        <w:bidi w:val="0"/>
        <w:spacing w:before="0" w:after="40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4</w:t>
      </w:r>
      <w:bookmarkEnd w:id="745"/>
      <w:r>
        <w:rPr>
          <w:color w:val="000000"/>
          <w:spacing w:val="0"/>
          <w:w w:val="100"/>
          <w:position w:val="0"/>
        </w:rPr>
        <w:t>、母公司利润表</w:t>
      </w:r>
      <w:bookmarkEnd w:id="743"/>
      <w:bookmarkEnd w:id="744"/>
      <w:bookmarkEnd w:id="7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460,302,542.99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522,490,705.10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325,468,886.16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385,328,900.02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1,078,391.44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1,869,974.28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22,135,532.21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20,585,681.17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32,679,327.44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37,810,308.09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61,267,735.37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60,327,139.78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18,181,664.22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18,843,872.37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18,854,874.71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19,507,453.45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1,207,440.28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1,036,732.18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13,453,450.48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9,951,015.55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13,613,138.05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16,722,802.60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2,105,647.68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1,363,711.40</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1100" w:right="0" w:firstLine="0"/>
              <w:jc w:val="left"/>
            </w:pPr>
            <w:r>
              <w:rPr>
                <w:color w:val="000000"/>
                <w:spacing w:val="0"/>
                <w:w w:val="100"/>
                <w:position w:val="0"/>
              </w:rPr>
              <w:t>以摊余成本计量的金融</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公允价值变动收益（损失以</w:t>
            </w:r>
          </w:p>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1,049,373.92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-7,226,141.51</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-1,281,001.09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21,950.78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-81,429.60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26,347,918.29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17,091,076.43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23,006,000.01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141,339.73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26,342,174.02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39,955,736.71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-1,139,994.44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1,038,831.50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27,482,168.46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38,916,905.21</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64" w:lineRule="exact"/>
              <w:ind w:left="0" w:right="0"/>
              <w:jc w:val="both"/>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27,482,168.46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38,916,905.21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54"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60" w:right="0" w:firstLine="0"/>
              <w:jc w:val="both"/>
              <w:rPr>
                <w:sz w:val="18"/>
                <w:szCs w:val="18"/>
              </w:rPr>
            </w:pPr>
            <w:r>
              <w:rPr>
                <w:rFonts w:ascii="Times New Roman" w:eastAsia="Times New Roman" w:hAnsi="Times New Roman" w:cs="Times New Roman"/>
                <w:color w:val="000000"/>
                <w:spacing w:val="0"/>
                <w:w w:val="100"/>
                <w:position w:val="0"/>
                <w:sz w:val="18"/>
                <w:szCs w:val="18"/>
              </w:rPr>
              <w:t>567.67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8,715,449.38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60" w:right="0" w:firstLine="0"/>
              <w:jc w:val="both"/>
              <w:rPr>
                <w:sz w:val="18"/>
                <w:szCs w:val="18"/>
              </w:rPr>
            </w:pPr>
            <w:r>
              <w:rPr>
                <w:rFonts w:ascii="Times New Roman" w:eastAsia="Times New Roman" w:hAnsi="Times New Roman" w:cs="Times New Roman"/>
                <w:color w:val="000000"/>
                <w:spacing w:val="0"/>
                <w:w w:val="100"/>
                <w:position w:val="0"/>
                <w:sz w:val="18"/>
                <w:szCs w:val="18"/>
              </w:rPr>
              <w:t>567.67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8,715,449.38</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60" w:right="0" w:firstLine="0"/>
              <w:jc w:val="both"/>
              <w:rPr>
                <w:sz w:val="18"/>
                <w:szCs w:val="18"/>
              </w:rPr>
            </w:pPr>
            <w:r>
              <w:rPr>
                <w:rFonts w:ascii="Times New Roman" w:eastAsia="Times New Roman" w:hAnsi="Times New Roman" w:cs="Times New Roman"/>
                <w:color w:val="000000"/>
                <w:spacing w:val="0"/>
                <w:w w:val="100"/>
                <w:position w:val="0"/>
                <w:sz w:val="18"/>
                <w:szCs w:val="18"/>
              </w:rPr>
              <w:t>567.67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8,715,449.38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27,482,736.13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47,632,354.59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5</w:t>
      </w:r>
      <w:bookmarkEnd w:id="749"/>
      <w:r>
        <w:rPr>
          <w:color w:val="000000"/>
          <w:spacing w:val="0"/>
          <w:w w:val="100"/>
          <w:position w:val="0"/>
        </w:rPr>
        <w:t>、合并现金流量表</w:t>
      </w:r>
      <w:bookmarkEnd w:id="747"/>
      <w:bookmarkEnd w:id="748"/>
      <w:bookmarkEnd w:id="75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772,824,554.87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808,763,336.57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1,341,104.24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390,750.30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51,581,985.35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43,995,097.07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825,747,644.46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853,149,183.94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441,759,607.33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496,464,942.33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103,464,285.49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126,801,638.71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15,139,880.04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21,661,657.48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193,159,292.97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99,976,979.09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753,523,065.83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744,905,217.61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72,224,578.63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108,243,966.33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1,255,860,000.00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1,681,788,800.00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14,698,136.77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20,483,133.13</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104,302.90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530,904.09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1,270,662,439.67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1,763,802,837.22</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248,283,567.51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281,013,289.50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1,021,690,000.00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1,532,500,000.00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1,269,973,567.51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1,813,513,289.50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688,872.16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-49,710,452.28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1,061,021,000.00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1,077,092,827.79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1,061,021,000.00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1,077,092,827.79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992,021,000.00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1,006,092,827.79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25,767,561.62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29,981,276.78</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1,017,788,561.62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1,036,074,104.57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43,232,438.38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41,018,723.22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-6,578,728.22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1,608,780.45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109,567,160.95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101,161,017.72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345,270,298.91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244,109,281.19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454,837,459.86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345,270,298.91</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6</w:t>
      </w:r>
      <w:bookmarkEnd w:id="753"/>
      <w:r>
        <w:rPr>
          <w:color w:val="000000"/>
          <w:spacing w:val="0"/>
          <w:w w:val="100"/>
          <w:position w:val="0"/>
        </w:rPr>
        <w:t>、母公司现金流量表</w:t>
      </w:r>
      <w:bookmarkEnd w:id="751"/>
      <w:bookmarkEnd w:id="752"/>
      <w:bookmarkEnd w:id="75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501,769,260.76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582,329,314.58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1,060,015.62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172,688.74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29,483,051.46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33,445,895.78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532,312,327.84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615,947,899.10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277,145,838.33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472,918,836.46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43,431,590.55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51,734,814.72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7,135,182.75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12,413,452.29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266,453,860.14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240,206,949.36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594,166,471.77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777,274,052.83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-61,854,143.93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-161,326,153.73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782,000,000.00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1,089,000,000.00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11,507,490.37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16,409,091.20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101,980.59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183,000.00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793,609,470.96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1,155,592,091.20</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28,309,897.63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16,650,281.47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1,050,000,000.00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536,309,897.63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1,066,650,281.47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257,299,573.33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88,941,809.73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995,000,000.00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920,999,982.38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995,000,000.00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920,999,982.38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976,000,000.00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849,999,982.38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18,902,330.96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25,674,122.20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994,902,330.96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875,674,104.58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97,669.04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45,325,877.80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-358,396.70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62,903.75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195,184,701.74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-26,995,562.45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120,038,536.19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147,034,098.64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315,223,237.93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120,038,536.19</w:t>
            </w:r>
          </w:p>
        </w:tc>
      </w:tr>
    </w:tbl>
    <w:p>
      <w:pPr>
        <w:widowControl w:val="0"/>
        <w:spacing w:after="339" w:line="1" w:lineRule="exact"/>
      </w:pPr>
    </w:p>
    <w:p>
      <w:pPr>
        <w:pStyle w:val="Style43"/>
        <w:keepNext/>
        <w:keepLines/>
        <w:widowControl w:val="0"/>
        <w:shd w:val="clear" w:color="auto" w:fill="auto"/>
        <w:bidi w:val="0"/>
        <w:spacing w:before="0" w:after="38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7</w:t>
      </w:r>
      <w:bookmarkEnd w:id="757"/>
      <w:r>
        <w:rPr>
          <w:color w:val="000000"/>
          <w:spacing w:val="0"/>
          <w:w w:val="100"/>
          <w:position w:val="0"/>
        </w:rPr>
        <w:t>、合并所有者权益变动表</w:t>
      </w:r>
      <w:bookmarkEnd w:id="755"/>
      <w:bookmarkEnd w:id="756"/>
      <w:bookmarkEnd w:id="758"/>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9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w:t>
            </w:r>
          </w:p>
        </w:tc>
      </w:tr>
      <w:tr>
        <w:trPr>
          <w:trHeight w:val="379" w:hRule="exact"/>
        </w:trPr>
        <w:tc>
          <w:tcPr>
            <w:vMerge/>
            <w:tcBorders>
              <w:left w:val="single" w:sz="4"/>
            </w:tcBorders>
            <w:shd w:val="clear" w:color="auto" w:fill="D3D3D3"/>
            <w:vAlign w:val="center"/>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,537.9</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112,65</w:t>
            </w:r>
          </w:p>
        </w:tc>
      </w:tr>
      <w:tr>
        <w:trPr>
          <w:trHeight w:val="350"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jc w:val="left"/>
            </w:pPr>
            <w:r>
              <w:rPr>
                <w:color w:val="000000"/>
                <w:spacing w:val="0"/>
                <w:w w:val="100"/>
                <w:position w:val="0"/>
              </w:rPr>
              <w:t>加：会计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9"/>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369,35</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45,952</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,224.5</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71,463</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2,874.</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547,11</w:t>
            </w:r>
          </w:p>
          <w:p>
            <w:pPr>
              <w:pStyle w:val="Style29"/>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10,565</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,537.9</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112,65</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13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5,809,</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2,748,</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43,789</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42,469</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5,809,</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49,598</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43,789</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42,469</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2,748,</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2,748,</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9"/>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369,35</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336,36</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581,78</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9"/>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369,35</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67,571</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6,679,9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10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jc w:val="left"/>
            </w:pPr>
            <w:r>
              <w:rPr>
                <w:color w:val="000000"/>
                <w:spacing w:val="0"/>
                <w:w w:val="100"/>
                <w:position w:val="0"/>
              </w:rPr>
              <w:t>加：会计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27,740</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277.77</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9"/>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369,35</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35,143</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67,571</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,711.6</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144,80</w:t>
            </w:r>
          </w:p>
          <w:p>
            <w:pPr>
              <w:pStyle w:val="Style29"/>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6,679,9</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1,489,8</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24,795.</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13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10,808</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3,891,</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3,885,5</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855.40</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10,808</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49,816</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,021.8</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60,624</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3,885,5</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855.40</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 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3,891,</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10,113</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3,891,</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9"/>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369,35</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71,463</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547,11</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1,548,1</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12,651.</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8</w:t>
      </w:r>
      <w:bookmarkEnd w:id="761"/>
      <w:r>
        <w:rPr>
          <w:color w:val="000000"/>
          <w:spacing w:val="0"/>
          <w:w w:val="100"/>
          <w:position w:val="0"/>
        </w:rPr>
        <w:t>、母公司所有者权益变动表</w:t>
      </w:r>
      <w:bookmarkEnd w:id="759"/>
      <w:bookmarkEnd w:id="760"/>
      <w:bookmarkEnd w:id="762"/>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364,193,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36,455,7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71,463,4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476,64</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1,570,953,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578.16</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jc w:val="left"/>
            </w:pPr>
            <w:r>
              <w:rPr>
                <w:color w:val="000000"/>
                <w:spacing w:val="0"/>
                <w:w w:val="100"/>
                <w:position w:val="0"/>
              </w:rPr>
              <w:t>加：会计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622,20</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364,193,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36,455,7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71,463,4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476,64</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1,211.1</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1,570,953,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578.16</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0"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2,748,21</w:t>
            </w:r>
          </w:p>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24,733,</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27,482,73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27,482,</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27,482,73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2,748,21</w:t>
            </w:r>
          </w:p>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2,748,2</w:t>
            </w:r>
          </w:p>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2,748,21</w:t>
            </w:r>
          </w:p>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2,748,2</w:t>
            </w:r>
          </w:p>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 （或股东）的</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622,20</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364,193,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36,456,2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5,162.7</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1,598,436,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314.29</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622,20</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9"/>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364,193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447,837,9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1,501,802,9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jc w:val="left"/>
            </w:pPr>
            <w:r>
              <w:rPr>
                <w:color w:val="000000"/>
                <w:spacing w:val="0"/>
                <w:w w:val="100"/>
                <w:position w:val="0"/>
              </w:rPr>
              <w:t>加：会计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27,740,</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27,740,277.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622,20</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9"/>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364,193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27,740,</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447,837,9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1,529,543,2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41,410,354.</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98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8,715,4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38,916,90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47,632,354.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3,891,6</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10,113,69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3,891,6</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3,891,690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 （或股东）的</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622,20</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9"/>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364,193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476,641,2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1,570,953,5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w:t>
            </w:r>
          </w:p>
        </w:tc>
      </w:tr>
    </w:tbl>
    <w:p>
      <w:pPr>
        <w:widowControl w:val="0"/>
        <w:spacing w:after="319" w:line="1" w:lineRule="exact"/>
      </w:pPr>
    </w:p>
    <w:p>
      <w:pPr>
        <w:pStyle w:val="Style32"/>
        <w:keepNext/>
        <w:keepLines/>
        <w:widowControl w:val="0"/>
        <w:shd w:val="clear" w:color="auto" w:fill="auto"/>
        <w:bidi w:val="0"/>
        <w:spacing w:before="0" w:after="240" w:line="240" w:lineRule="auto"/>
        <w:ind w:left="0" w:right="0" w:firstLine="0"/>
        <w:jc w:val="left"/>
      </w:pPr>
      <w:bookmarkStart w:id="763" w:name="bookmark763"/>
      <w:bookmarkStart w:id="764" w:name="bookmark764"/>
      <w:bookmarkStart w:id="765" w:name="bookmark765"/>
      <w:bookmarkStart w:id="766" w:name="bookmark766"/>
      <w:r>
        <w:rPr>
          <w:color w:val="000000"/>
          <w:spacing w:val="0"/>
          <w:w w:val="100"/>
          <w:position w:val="0"/>
        </w:rPr>
        <w:t>三</w:t>
      </w:r>
      <w:bookmarkEnd w:id="765"/>
      <w:r>
        <w:rPr>
          <w:color w:val="000000"/>
          <w:spacing w:val="0"/>
          <w:w w:val="100"/>
          <w:position w:val="0"/>
        </w:rPr>
        <w:t>、公司基本情况</w:t>
      </w:r>
      <w:bookmarkEnd w:id="763"/>
      <w:bookmarkEnd w:id="764"/>
      <w:bookmarkEnd w:id="766"/>
    </w:p>
    <w:p>
      <w:pPr>
        <w:pStyle w:val="Style36"/>
        <w:keepNext w:val="0"/>
        <w:keepLines w:val="0"/>
        <w:widowControl w:val="0"/>
        <w:shd w:val="clear" w:color="auto" w:fill="auto"/>
        <w:bidi w:val="0"/>
        <w:spacing w:before="0" w:after="140" w:line="312" w:lineRule="exact"/>
        <w:ind w:left="0" w:right="0" w:firstLine="0"/>
        <w:jc w:val="left"/>
      </w:pPr>
      <w:r>
        <w:rPr>
          <w:color w:val="000000"/>
          <w:spacing w:val="0"/>
          <w:w w:val="100"/>
          <w:position w:val="0"/>
          <w:sz w:val="18"/>
          <w:szCs w:val="18"/>
        </w:rPr>
        <w:t>1</w:t>
      </w:r>
      <w:r>
        <w:rPr>
          <w:color w:val="000000"/>
          <w:spacing w:val="0"/>
          <w:w w:val="100"/>
          <w:position w:val="0"/>
        </w:rPr>
        <w:t>、公司概况</w:t>
      </w:r>
    </w:p>
    <w:p>
      <w:pPr>
        <w:pStyle w:val="Style36"/>
        <w:keepNext w:val="0"/>
        <w:keepLines w:val="0"/>
        <w:widowControl w:val="0"/>
        <w:shd w:val="clear" w:color="auto" w:fill="auto"/>
        <w:tabs>
          <w:tab w:pos="415" w:val="left"/>
        </w:tabs>
        <w:bidi w:val="0"/>
        <w:spacing w:before="0" w:after="140" w:line="312" w:lineRule="exact"/>
        <w:ind w:left="0" w:right="0" w:firstLine="0"/>
        <w:jc w:val="left"/>
      </w:pPr>
      <w:bookmarkStart w:id="767" w:name="bookmark767"/>
      <w:r>
        <w:rPr>
          <w:color w:val="000000"/>
          <w:spacing w:val="0"/>
          <w:w w:val="100"/>
          <w:position w:val="0"/>
          <w:sz w:val="18"/>
          <w:szCs w:val="18"/>
        </w:rPr>
        <w:t>（</w:t>
      </w:r>
      <w:bookmarkEnd w:id="767"/>
      <w:r>
        <w:rPr>
          <w:color w:val="000000"/>
          <w:spacing w:val="0"/>
          <w:w w:val="100"/>
          <w:position w:val="0"/>
          <w:sz w:val="18"/>
          <w:szCs w:val="18"/>
        </w:rPr>
        <w:t>1）</w:t>
        <w:tab/>
      </w:r>
      <w:r>
        <w:rPr>
          <w:color w:val="000000"/>
          <w:spacing w:val="0"/>
          <w:w w:val="100"/>
          <w:position w:val="0"/>
        </w:rPr>
        <w:t>历史沿革</w:t>
      </w:r>
    </w:p>
    <w:p>
      <w:pPr>
        <w:pStyle w:val="Style36"/>
        <w:keepNext w:val="0"/>
        <w:keepLines w:val="0"/>
        <w:widowControl w:val="0"/>
        <w:shd w:val="clear" w:color="auto" w:fill="auto"/>
        <w:bidi w:val="0"/>
        <w:spacing w:before="0" w:after="140" w:line="311" w:lineRule="exact"/>
        <w:ind w:left="0" w:right="0" w:firstLine="360"/>
        <w:jc w:val="both"/>
      </w:pPr>
      <w:r>
        <w:rPr>
          <w:color w:val="000000"/>
          <w:spacing w:val="0"/>
          <w:w w:val="100"/>
          <w:position w:val="0"/>
        </w:rPr>
        <w:t>福建榕基软件股份有限公司（以下简称“本公司”）原由刘启鄂、侯伟及宁金成等三个自然人股东共同投资设立，于</w:t>
      </w:r>
      <w:r>
        <w:rPr>
          <w:color w:val="000000"/>
          <w:spacing w:val="0"/>
          <w:w w:val="100"/>
          <w:position w:val="0"/>
          <w:sz w:val="18"/>
          <w:szCs w:val="18"/>
        </w:rPr>
        <w:t xml:space="preserve">1993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日取得《企业法人营业执照》。</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23</w:t>
      </w:r>
      <w:r>
        <w:rPr>
          <w:color w:val="000000"/>
          <w:spacing w:val="0"/>
          <w:w w:val="100"/>
          <w:position w:val="0"/>
        </w:rPr>
        <w:t>日采取发起方式整体变更为福建榕基软件股份有限公司，取得福建省 工商行政管理局核发的</w:t>
      </w:r>
      <w:r>
        <w:rPr>
          <w:color w:val="000000"/>
          <w:spacing w:val="0"/>
          <w:w w:val="100"/>
          <w:position w:val="0"/>
          <w:sz w:val="18"/>
          <w:szCs w:val="18"/>
        </w:rPr>
        <w:t>350000100001214</w:t>
      </w:r>
      <w:r>
        <w:rPr>
          <w:color w:val="000000"/>
          <w:spacing w:val="0"/>
          <w:w w:val="100"/>
          <w:position w:val="0"/>
        </w:rPr>
        <w:t>号《企业法人营业执照》，注册资本变更为人民币</w:t>
      </w:r>
      <w:r>
        <w:rPr>
          <w:color w:val="000000"/>
          <w:spacing w:val="0"/>
          <w:w w:val="100"/>
          <w:position w:val="0"/>
          <w:sz w:val="18"/>
          <w:szCs w:val="18"/>
        </w:rPr>
        <w:t>7,770</w:t>
      </w:r>
      <w:r>
        <w:rPr>
          <w:color w:val="000000"/>
          <w:spacing w:val="0"/>
          <w:w w:val="100"/>
          <w:position w:val="0"/>
        </w:rPr>
        <w:t>万元，股本总额为</w:t>
      </w:r>
      <w:r>
        <w:rPr>
          <w:color w:val="000000"/>
          <w:spacing w:val="0"/>
          <w:w w:val="100"/>
          <w:position w:val="0"/>
          <w:sz w:val="18"/>
          <w:szCs w:val="18"/>
        </w:rPr>
        <w:t>7,770</w:t>
      </w:r>
      <w:r>
        <w:rPr>
          <w:color w:val="000000"/>
          <w:spacing w:val="0"/>
          <w:w w:val="100"/>
          <w:position w:val="0"/>
        </w:rPr>
        <w:t>万 股，每股面值</w:t>
      </w:r>
      <w:r>
        <w:rPr>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11</w:t>
      </w:r>
      <w:r>
        <w:rPr>
          <w:color w:val="000000"/>
          <w:spacing w:val="0"/>
          <w:w w:val="100"/>
          <w:position w:val="0"/>
        </w:rPr>
        <w:t>日，经中国证券监督管理委员会“证监许可</w:t>
      </w:r>
      <w:r>
        <w:rPr>
          <w:color w:val="000000"/>
          <w:spacing w:val="0"/>
          <w:w w:val="100"/>
          <w:position w:val="0"/>
          <w:sz w:val="18"/>
          <w:szCs w:val="18"/>
        </w:rPr>
        <w:t>[2010]1099</w:t>
      </w:r>
      <w:r>
        <w:rPr>
          <w:color w:val="000000"/>
          <w:spacing w:val="0"/>
          <w:w w:val="100"/>
          <w:position w:val="0"/>
        </w:rPr>
        <w:t>号”文《关于核准福建榕基软件股份 有限公司首次公开发行股票的批复》核准，本公司于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日首次向社会公开发行人民币普通股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2,600</w:t>
      </w:r>
      <w:r>
        <w:rPr>
          <w:color w:val="000000"/>
          <w:spacing w:val="0"/>
          <w:w w:val="100"/>
          <w:position w:val="0"/>
        </w:rPr>
        <w:t>万股，每 股面值</w:t>
      </w:r>
      <w:r>
        <w:rPr>
          <w:color w:val="000000"/>
          <w:spacing w:val="0"/>
          <w:w w:val="100"/>
          <w:position w:val="0"/>
          <w:sz w:val="18"/>
          <w:szCs w:val="18"/>
        </w:rPr>
        <w:t>1</w:t>
      </w:r>
      <w:r>
        <w:rPr>
          <w:color w:val="000000"/>
          <w:spacing w:val="0"/>
          <w:w w:val="100"/>
          <w:position w:val="0"/>
        </w:rPr>
        <w:t>元，每股发行价格</w:t>
      </w:r>
      <w:r>
        <w:rPr>
          <w:color w:val="000000"/>
          <w:spacing w:val="0"/>
          <w:w w:val="100"/>
          <w:position w:val="0"/>
          <w:sz w:val="18"/>
          <w:szCs w:val="18"/>
        </w:rPr>
        <w:t>37.0</w:t>
      </w:r>
      <w:r>
        <w:rPr>
          <w:color w:val="000000"/>
          <w:spacing w:val="0"/>
          <w:w w:val="100"/>
          <w:position w:val="0"/>
          <w:sz w:val="18"/>
          <w:szCs w:val="18"/>
        </w:rPr>
        <w:t>0</w:t>
      </w:r>
      <w:r>
        <w:rPr>
          <w:color w:val="000000"/>
          <w:spacing w:val="0"/>
          <w:w w:val="100"/>
          <w:position w:val="0"/>
        </w:rPr>
        <w:t>元。</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日，本公司向社会公开发行的</w:t>
      </w:r>
      <w:r>
        <w:rPr>
          <w:color w:val="000000"/>
          <w:spacing w:val="0"/>
          <w:w w:val="100"/>
          <w:position w:val="0"/>
          <w:sz w:val="18"/>
          <w:szCs w:val="18"/>
        </w:rPr>
        <w:t>2,600</w:t>
      </w:r>
      <w:r>
        <w:rPr>
          <w:color w:val="000000"/>
          <w:spacing w:val="0"/>
          <w:w w:val="100"/>
          <w:position w:val="0"/>
        </w:rPr>
        <w:t>万股人民币普通股</w:t>
      </w:r>
      <w:r>
        <w:rPr>
          <w:color w:val="000000"/>
          <w:spacing w:val="0"/>
          <w:w w:val="100"/>
          <w:position w:val="0"/>
          <w:sz w:val="18"/>
          <w:szCs w:val="18"/>
        </w:rPr>
        <w:t>（A</w:t>
      </w:r>
      <w:r>
        <w:rPr>
          <w:color w:val="000000"/>
          <w:spacing w:val="0"/>
          <w:w w:val="100"/>
          <w:position w:val="0"/>
        </w:rPr>
        <w:t>股）在深圳证券 交易所挂牌上市（股票简称：榕基软件，股票代码</w:t>
      </w:r>
      <w:r>
        <w:rPr>
          <w:color w:val="000000"/>
          <w:spacing w:val="0"/>
          <w:w w:val="100"/>
          <w:position w:val="0"/>
          <w:sz w:val="18"/>
          <w:szCs w:val="18"/>
        </w:rPr>
        <w:t>002474）</w:t>
      </w:r>
      <w:r>
        <w:rPr>
          <w:color w:val="000000"/>
          <w:spacing w:val="0"/>
          <w:w w:val="100"/>
          <w:position w:val="0"/>
        </w:rPr>
        <w:t>，发行后注册资本变更为人民币</w:t>
      </w:r>
      <w:r>
        <w:rPr>
          <w:color w:val="000000"/>
          <w:spacing w:val="0"/>
          <w:w w:val="100"/>
          <w:position w:val="0"/>
          <w:sz w:val="18"/>
          <w:szCs w:val="18"/>
        </w:rPr>
        <w:t>10,370</w:t>
      </w:r>
      <w:r>
        <w:rPr>
          <w:color w:val="000000"/>
          <w:spacing w:val="0"/>
          <w:w w:val="100"/>
          <w:position w:val="0"/>
        </w:rPr>
        <w:t>万元。</w:t>
      </w:r>
    </w:p>
    <w:p>
      <w:pPr>
        <w:pStyle w:val="Style36"/>
        <w:keepNext w:val="0"/>
        <w:keepLines w:val="0"/>
        <w:widowControl w:val="0"/>
        <w:shd w:val="clear" w:color="auto" w:fill="auto"/>
        <w:bidi w:val="0"/>
        <w:spacing w:before="0" w:after="140" w:line="312" w:lineRule="exact"/>
        <w:ind w:left="0" w:right="0" w:firstLine="36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日，本公司以资本公积</w:t>
      </w:r>
      <w:r>
        <w:rPr>
          <w:color w:val="000000"/>
          <w:spacing w:val="0"/>
          <w:w w:val="100"/>
          <w:position w:val="0"/>
          <w:sz w:val="18"/>
          <w:szCs w:val="18"/>
        </w:rPr>
        <w:t>10,370</w:t>
      </w:r>
      <w:r>
        <w:rPr>
          <w:color w:val="000000"/>
          <w:spacing w:val="0"/>
          <w:w w:val="100"/>
          <w:position w:val="0"/>
        </w:rPr>
        <w:t>万元转增资本，转增后注册资本变更为人民币</w:t>
      </w:r>
      <w:r>
        <w:rPr>
          <w:color w:val="000000"/>
          <w:spacing w:val="0"/>
          <w:w w:val="100"/>
          <w:position w:val="0"/>
          <w:sz w:val="18"/>
          <w:szCs w:val="18"/>
        </w:rPr>
        <w:t>20, 740</w:t>
      </w:r>
      <w:r>
        <w:rPr>
          <w:color w:val="000000"/>
          <w:spacing w:val="0"/>
          <w:w w:val="100"/>
          <w:position w:val="0"/>
        </w:rPr>
        <w:t>万元。</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 本公司办理完成相关工商登记变更手续，注册资本和股本均由</w:t>
      </w:r>
      <w:r>
        <w:rPr>
          <w:color w:val="000000"/>
          <w:spacing w:val="0"/>
          <w:w w:val="100"/>
          <w:position w:val="0"/>
          <w:sz w:val="18"/>
          <w:szCs w:val="18"/>
        </w:rPr>
        <w:t>10,370</w:t>
      </w:r>
      <w:r>
        <w:rPr>
          <w:color w:val="000000"/>
          <w:spacing w:val="0"/>
          <w:w w:val="100"/>
          <w:position w:val="0"/>
        </w:rPr>
        <w:t>万元变更为</w:t>
      </w:r>
      <w:r>
        <w:rPr>
          <w:color w:val="000000"/>
          <w:spacing w:val="0"/>
          <w:w w:val="100"/>
          <w:position w:val="0"/>
          <w:sz w:val="18"/>
          <w:szCs w:val="18"/>
        </w:rPr>
        <w:t>20, 740</w:t>
      </w:r>
      <w:r>
        <w:rPr>
          <w:color w:val="000000"/>
          <w:spacing w:val="0"/>
          <w:w w:val="100"/>
          <w:position w:val="0"/>
        </w:rPr>
        <w:t>万元。</w:t>
      </w:r>
    </w:p>
    <w:p>
      <w:pPr>
        <w:pStyle w:val="Style36"/>
        <w:keepNext w:val="0"/>
        <w:keepLines w:val="0"/>
        <w:widowControl w:val="0"/>
        <w:shd w:val="clear" w:color="auto" w:fill="auto"/>
        <w:bidi w:val="0"/>
        <w:spacing w:before="0" w:after="140" w:line="322" w:lineRule="exact"/>
        <w:ind w:left="0" w:right="0" w:firstLine="36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日，本公司以资本公积</w:t>
      </w:r>
      <w:r>
        <w:rPr>
          <w:color w:val="000000"/>
          <w:spacing w:val="0"/>
          <w:w w:val="100"/>
          <w:position w:val="0"/>
          <w:sz w:val="18"/>
          <w:szCs w:val="18"/>
        </w:rPr>
        <w:t>10,370</w:t>
      </w:r>
      <w:r>
        <w:rPr>
          <w:color w:val="000000"/>
          <w:spacing w:val="0"/>
          <w:w w:val="100"/>
          <w:position w:val="0"/>
        </w:rPr>
        <w:t>万元转增资本，转增后注册资本变更为</w:t>
      </w:r>
      <w:r>
        <w:rPr>
          <w:color w:val="000000"/>
          <w:spacing w:val="0"/>
          <w:w w:val="100"/>
          <w:position w:val="0"/>
          <w:sz w:val="18"/>
          <w:szCs w:val="18"/>
        </w:rPr>
        <w:t>31,110</w:t>
      </w:r>
      <w:r>
        <w:rPr>
          <w:color w:val="000000"/>
          <w:spacing w:val="0"/>
          <w:w w:val="100"/>
          <w:position w:val="0"/>
        </w:rPr>
        <w:t>万元。</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日，本公司 办理完成相关工商登记变更手续，注册资本和股本均由</w:t>
      </w:r>
      <w:r>
        <w:rPr>
          <w:color w:val="000000"/>
          <w:spacing w:val="0"/>
          <w:w w:val="100"/>
          <w:position w:val="0"/>
          <w:sz w:val="18"/>
          <w:szCs w:val="18"/>
        </w:rPr>
        <w:t>20, 740</w:t>
      </w:r>
      <w:r>
        <w:rPr>
          <w:color w:val="000000"/>
          <w:spacing w:val="0"/>
          <w:w w:val="100"/>
          <w:position w:val="0"/>
        </w:rPr>
        <w:t>万元变更为</w:t>
      </w:r>
      <w:r>
        <w:rPr>
          <w:color w:val="000000"/>
          <w:spacing w:val="0"/>
          <w:w w:val="100"/>
          <w:position w:val="0"/>
          <w:sz w:val="18"/>
          <w:szCs w:val="18"/>
        </w:rPr>
        <w:t>31,110</w:t>
      </w:r>
      <w:r>
        <w:rPr>
          <w:color w:val="000000"/>
          <w:spacing w:val="0"/>
          <w:w w:val="100"/>
          <w:position w:val="0"/>
        </w:rPr>
        <w:t>万元。</w:t>
      </w:r>
    </w:p>
    <w:p>
      <w:pPr>
        <w:pStyle w:val="Style36"/>
        <w:keepNext w:val="0"/>
        <w:keepLines w:val="0"/>
        <w:widowControl w:val="0"/>
        <w:shd w:val="clear" w:color="auto" w:fill="auto"/>
        <w:bidi w:val="0"/>
        <w:spacing w:before="0" w:after="140" w:line="322" w:lineRule="exact"/>
        <w:ind w:left="0" w:right="0" w:firstLine="36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日，本公司以资本公积</w:t>
      </w:r>
      <w:r>
        <w:rPr>
          <w:color w:val="000000"/>
          <w:spacing w:val="0"/>
          <w:w w:val="100"/>
          <w:position w:val="0"/>
          <w:sz w:val="18"/>
          <w:szCs w:val="18"/>
        </w:rPr>
        <w:t>31,110</w:t>
      </w:r>
      <w:r>
        <w:rPr>
          <w:color w:val="000000"/>
          <w:spacing w:val="0"/>
          <w:w w:val="100"/>
          <w:position w:val="0"/>
        </w:rPr>
        <w:t>万元转增资本，转增后注册资本变更为</w:t>
      </w:r>
      <w:r>
        <w:rPr>
          <w:color w:val="000000"/>
          <w:spacing w:val="0"/>
          <w:w w:val="100"/>
          <w:position w:val="0"/>
          <w:sz w:val="18"/>
          <w:szCs w:val="18"/>
        </w:rPr>
        <w:t>62,220</w:t>
      </w:r>
      <w:r>
        <w:rPr>
          <w:color w:val="000000"/>
          <w:spacing w:val="0"/>
          <w:w w:val="100"/>
          <w:position w:val="0"/>
        </w:rPr>
        <w:t>万元。</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29</w:t>
      </w:r>
      <w:r>
        <w:rPr>
          <w:color w:val="000000"/>
          <w:spacing w:val="0"/>
          <w:w w:val="100"/>
          <w:position w:val="0"/>
        </w:rPr>
        <w:t>日，本公司 办理完成相关工商登记变更手续，注册资本和股本均由</w:t>
      </w:r>
      <w:r>
        <w:rPr>
          <w:color w:val="000000"/>
          <w:spacing w:val="0"/>
          <w:w w:val="100"/>
          <w:position w:val="0"/>
          <w:sz w:val="18"/>
          <w:szCs w:val="18"/>
        </w:rPr>
        <w:t>31,110</w:t>
      </w:r>
      <w:r>
        <w:rPr>
          <w:color w:val="000000"/>
          <w:spacing w:val="0"/>
          <w:w w:val="100"/>
          <w:position w:val="0"/>
        </w:rPr>
        <w:t>万元变更为</w:t>
      </w:r>
      <w:r>
        <w:rPr>
          <w:color w:val="000000"/>
          <w:spacing w:val="0"/>
          <w:w w:val="100"/>
          <w:position w:val="0"/>
          <w:sz w:val="18"/>
          <w:szCs w:val="18"/>
        </w:rPr>
        <w:t>62,220</w:t>
      </w:r>
      <w:r>
        <w:rPr>
          <w:color w:val="000000"/>
          <w:spacing w:val="0"/>
          <w:w w:val="100"/>
          <w:position w:val="0"/>
        </w:rPr>
        <w:t>万元。</w:t>
      </w:r>
    </w:p>
    <w:p>
      <w:pPr>
        <w:pStyle w:val="Style36"/>
        <w:keepNext w:val="0"/>
        <w:keepLines w:val="0"/>
        <w:widowControl w:val="0"/>
        <w:shd w:val="clear" w:color="auto" w:fill="auto"/>
        <w:bidi w:val="0"/>
        <w:spacing w:before="0" w:after="140" w:line="317" w:lineRule="exact"/>
        <w:ind w:left="0" w:right="0" w:firstLine="3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日，本公司向福建省工商行政管理局申请并完成了 “三证合一”的工商变更登记，新取得的《营业执照》 统一社会信用代码为</w:t>
      </w:r>
      <w:r>
        <w:rPr>
          <w:color w:val="000000"/>
          <w:spacing w:val="0"/>
          <w:w w:val="100"/>
          <w:position w:val="0"/>
          <w:sz w:val="18"/>
          <w:szCs w:val="18"/>
        </w:rPr>
        <w:t>913500006285075795</w:t>
      </w:r>
      <w:r>
        <w:rPr>
          <w:color w:val="000000"/>
          <w:spacing w:val="0"/>
          <w:w w:val="100"/>
          <w:position w:val="0"/>
        </w:rPr>
        <w:t>。</w:t>
      </w:r>
    </w:p>
    <w:p>
      <w:pPr>
        <w:pStyle w:val="Style36"/>
        <w:keepNext w:val="0"/>
        <w:keepLines w:val="0"/>
        <w:widowControl w:val="0"/>
        <w:shd w:val="clear" w:color="auto" w:fill="auto"/>
        <w:tabs>
          <w:tab w:pos="415" w:val="left"/>
        </w:tabs>
        <w:bidi w:val="0"/>
        <w:spacing w:before="0" w:after="140" w:line="312" w:lineRule="exact"/>
        <w:ind w:left="0" w:right="0" w:firstLine="0"/>
        <w:jc w:val="left"/>
      </w:pPr>
      <w:bookmarkStart w:id="768" w:name="bookmark768"/>
      <w:r>
        <w:rPr>
          <w:color w:val="000000"/>
          <w:spacing w:val="0"/>
          <w:w w:val="100"/>
          <w:position w:val="0"/>
          <w:sz w:val="18"/>
          <w:szCs w:val="18"/>
        </w:rPr>
        <w:t>（</w:t>
      </w:r>
      <w:bookmarkEnd w:id="768"/>
      <w:r>
        <w:rPr>
          <w:color w:val="000000"/>
          <w:spacing w:val="0"/>
          <w:w w:val="100"/>
          <w:position w:val="0"/>
          <w:sz w:val="18"/>
          <w:szCs w:val="18"/>
        </w:rPr>
        <w:t>2）</w:t>
        <w:tab/>
      </w:r>
      <w:r>
        <w:rPr>
          <w:color w:val="000000"/>
          <w:spacing w:val="0"/>
          <w:w w:val="100"/>
          <w:position w:val="0"/>
        </w:rPr>
        <w:t>法人代表及公司地址</w:t>
      </w:r>
    </w:p>
    <w:p>
      <w:pPr>
        <w:pStyle w:val="Style36"/>
        <w:keepNext w:val="0"/>
        <w:keepLines w:val="0"/>
        <w:widowControl w:val="0"/>
        <w:shd w:val="clear" w:color="auto" w:fill="auto"/>
        <w:bidi w:val="0"/>
        <w:spacing w:before="0" w:after="140" w:line="312" w:lineRule="exact"/>
        <w:ind w:left="0" w:right="0" w:firstLine="360"/>
        <w:jc w:val="left"/>
      </w:pPr>
      <w:r>
        <w:rPr>
          <w:color w:val="000000"/>
          <w:spacing w:val="0"/>
          <w:w w:val="100"/>
          <w:position w:val="0"/>
        </w:rPr>
        <w:t>本公司法定代表人为鲁峰，本公司住址为福州市鼓楼区铜盘路福州软件园产业基地。</w:t>
      </w:r>
    </w:p>
    <w:p>
      <w:pPr>
        <w:pStyle w:val="Style36"/>
        <w:keepNext w:val="0"/>
        <w:keepLines w:val="0"/>
        <w:widowControl w:val="0"/>
        <w:shd w:val="clear" w:color="auto" w:fill="auto"/>
        <w:tabs>
          <w:tab w:pos="415" w:val="left"/>
        </w:tabs>
        <w:bidi w:val="0"/>
        <w:spacing w:before="0" w:after="140" w:line="312" w:lineRule="exact"/>
        <w:ind w:left="0" w:right="0" w:firstLine="0"/>
        <w:jc w:val="both"/>
      </w:pPr>
      <w:bookmarkStart w:id="769" w:name="bookmark769"/>
      <w:r>
        <w:rPr>
          <w:color w:val="000000"/>
          <w:spacing w:val="0"/>
          <w:w w:val="100"/>
          <w:position w:val="0"/>
          <w:sz w:val="18"/>
          <w:szCs w:val="18"/>
        </w:rPr>
        <w:t>（</w:t>
      </w:r>
      <w:bookmarkEnd w:id="769"/>
      <w:r>
        <w:rPr>
          <w:color w:val="000000"/>
          <w:spacing w:val="0"/>
          <w:w w:val="100"/>
          <w:position w:val="0"/>
          <w:sz w:val="18"/>
          <w:szCs w:val="18"/>
        </w:rPr>
        <w:t>3）</w:t>
        <w:tab/>
      </w:r>
      <w:r>
        <w:rPr>
          <w:color w:val="000000"/>
          <w:spacing w:val="0"/>
          <w:w w:val="100"/>
          <w:position w:val="0"/>
        </w:rPr>
        <w:t>组织架构</w:t>
      </w:r>
    </w:p>
    <w:p>
      <w:pPr>
        <w:pStyle w:val="Style36"/>
        <w:keepNext w:val="0"/>
        <w:keepLines w:val="0"/>
        <w:widowControl w:val="0"/>
        <w:shd w:val="clear" w:color="auto" w:fill="auto"/>
        <w:bidi w:val="0"/>
        <w:spacing w:before="0" w:after="140" w:line="298" w:lineRule="exact"/>
        <w:ind w:left="0" w:right="0" w:firstLine="360"/>
        <w:jc w:val="both"/>
      </w:pPr>
      <w:r>
        <w:rPr>
          <w:color w:val="000000"/>
          <w:spacing w:val="0"/>
          <w:w w:val="100"/>
          <w:position w:val="0"/>
        </w:rPr>
        <w:t>本公司建立了股东大会、董事会、监事会的法人治理结构，目前设总裁办公室、研发部、财务部、证券部、人力资源部 等部门，拥有浙江榕基信息技术有限公司、榕基五一（北京）信息技术有限公司等</w:t>
      </w:r>
      <w:r>
        <w:rPr>
          <w:color w:val="000000"/>
          <w:spacing w:val="0"/>
          <w:w w:val="100"/>
          <w:position w:val="0"/>
          <w:sz w:val="18"/>
          <w:szCs w:val="18"/>
        </w:rPr>
        <w:t>15</w:t>
      </w:r>
      <w:r>
        <w:rPr>
          <w:color w:val="000000"/>
          <w:spacing w:val="0"/>
          <w:w w:val="100"/>
          <w:position w:val="0"/>
        </w:rPr>
        <w:t>家子公司及</w:t>
      </w:r>
      <w:r>
        <w:rPr>
          <w:color w:val="000000"/>
          <w:spacing w:val="0"/>
          <w:w w:val="100"/>
          <w:position w:val="0"/>
          <w:sz w:val="18"/>
          <w:szCs w:val="18"/>
        </w:rPr>
        <w:t>3</w:t>
      </w:r>
      <w:r>
        <w:rPr>
          <w:color w:val="000000"/>
          <w:spacing w:val="0"/>
          <w:w w:val="100"/>
          <w:position w:val="0"/>
        </w:rPr>
        <w:t>家孙公司。</w:t>
      </w:r>
    </w:p>
    <w:p>
      <w:pPr>
        <w:pStyle w:val="Style36"/>
        <w:keepNext w:val="0"/>
        <w:keepLines w:val="0"/>
        <w:widowControl w:val="0"/>
        <w:shd w:val="clear" w:color="auto" w:fill="auto"/>
        <w:bidi w:val="0"/>
        <w:spacing w:before="0" w:after="140" w:line="313" w:lineRule="exact"/>
        <w:ind w:left="0" w:right="0" w:firstLine="0"/>
        <w:jc w:val="left"/>
      </w:pPr>
      <w:bookmarkStart w:id="770" w:name="bookmark770"/>
      <w:r>
        <w:rPr>
          <w:color w:val="000000"/>
          <w:spacing w:val="0"/>
          <w:w w:val="100"/>
          <w:position w:val="0"/>
          <w:sz w:val="18"/>
          <w:szCs w:val="18"/>
        </w:rPr>
        <w:t>（</w:t>
      </w:r>
      <w:bookmarkEnd w:id="770"/>
      <w:r>
        <w:rPr>
          <w:color w:val="000000"/>
          <w:spacing w:val="0"/>
          <w:w w:val="100"/>
          <w:position w:val="0"/>
          <w:sz w:val="18"/>
          <w:szCs w:val="18"/>
        </w:rPr>
        <w:t>4）</w:t>
      </w:r>
      <w:r>
        <w:rPr>
          <w:color w:val="000000"/>
          <w:spacing w:val="0"/>
          <w:w w:val="100"/>
          <w:position w:val="0"/>
        </w:rPr>
        <w:t>行业性质及经营范围</w:t>
      </w:r>
    </w:p>
    <w:p>
      <w:pPr>
        <w:pStyle w:val="Style36"/>
        <w:keepNext w:val="0"/>
        <w:keepLines w:val="0"/>
        <w:widowControl w:val="0"/>
        <w:shd w:val="clear" w:color="auto" w:fill="auto"/>
        <w:bidi w:val="0"/>
        <w:spacing w:before="0" w:after="140" w:line="313" w:lineRule="exact"/>
        <w:ind w:left="0" w:right="0"/>
        <w:jc w:val="both"/>
      </w:pPr>
      <w:r>
        <w:rPr>
          <w:color w:val="000000"/>
          <w:spacing w:val="0"/>
          <w:w w:val="100"/>
          <w:position w:val="0"/>
        </w:rPr>
        <w:t>本公司及子公司（以下简称“本集团”）所处行业主要为信息技术行业，本集团经营范围主要包括：软件开发；软件销 售；信息系统集成服务；信息系统运行维护服务；计算机系统服务；信息技术咨询服务；软件外包服务；计算机软硬件及辅 助设备批发；计算机软硬件及辅助设备零售；网络与信息安全软件开发；互联网安全服务；信息安全设备销售；信息安全设 备制造；人工智能行业应用系统集成服务；人工智能应用软件开发；互联网数据服务；大数据服务；区块链技术相关软件和 服务；物联网应用服务；物联网技术研发；物联网技术服务；物联网设备销售；安全系统监控服务；安防设备销售；安防设 备制造；数字视频监控系统销售；数字文化创意软件开发；网络设备销售；技术服务、技术开发、技术咨询、技术交流、技 术转让、技术推广；社会经济咨询服务；房地产业的投资。</w:t>
      </w:r>
    </w:p>
    <w:p>
      <w:pPr>
        <w:pStyle w:val="Style36"/>
        <w:keepNext w:val="0"/>
        <w:keepLines w:val="0"/>
        <w:widowControl w:val="0"/>
        <w:shd w:val="clear" w:color="auto" w:fill="auto"/>
        <w:bidi w:val="0"/>
        <w:spacing w:before="0" w:after="140" w:line="313" w:lineRule="exact"/>
        <w:ind w:left="0" w:right="0"/>
        <w:jc w:val="both"/>
      </w:pPr>
      <w:r>
        <w:rPr>
          <w:color w:val="000000"/>
          <w:spacing w:val="0"/>
          <w:w w:val="100"/>
          <w:position w:val="0"/>
        </w:rPr>
        <w:t>本财务报表及财务报表附注业经本公司第五届董事会第八次会议于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w:t>
      </w:r>
      <w:r>
        <w:rPr>
          <w:color w:val="000000"/>
          <w:spacing w:val="0"/>
          <w:w w:val="100"/>
          <w:position w:val="0"/>
        </w:rPr>
        <w:t>日批准。</w:t>
      </w:r>
    </w:p>
    <w:p>
      <w:pPr>
        <w:pStyle w:val="Style36"/>
        <w:keepNext w:val="0"/>
        <w:keepLines w:val="0"/>
        <w:widowControl w:val="0"/>
        <w:shd w:val="clear" w:color="auto" w:fill="auto"/>
        <w:bidi w:val="0"/>
        <w:spacing w:before="0" w:after="140" w:line="313" w:lineRule="exact"/>
        <w:ind w:left="0" w:right="0" w:firstLine="0"/>
        <w:jc w:val="left"/>
      </w:pPr>
      <w:r>
        <w:rPr>
          <w:color w:val="000000"/>
          <w:spacing w:val="0"/>
          <w:w w:val="100"/>
          <w:position w:val="0"/>
          <w:sz w:val="18"/>
          <w:szCs w:val="18"/>
        </w:rPr>
        <w:t>2</w:t>
      </w:r>
      <w:r>
        <w:rPr>
          <w:color w:val="000000"/>
          <w:spacing w:val="0"/>
          <w:w w:val="100"/>
          <w:position w:val="0"/>
        </w:rPr>
        <w:t>、合并财务报表范围</w:t>
      </w:r>
    </w:p>
    <w:p>
      <w:pPr>
        <w:pStyle w:val="Style36"/>
        <w:keepNext w:val="0"/>
        <w:keepLines w:val="0"/>
        <w:widowControl w:val="0"/>
        <w:shd w:val="clear" w:color="auto" w:fill="auto"/>
        <w:bidi w:val="0"/>
        <w:spacing w:before="0" w:after="380" w:line="331" w:lineRule="exact"/>
        <w:ind w:left="0" w:right="0"/>
        <w:jc w:val="both"/>
      </w:pPr>
      <w:r>
        <w:rPr>
          <w:color w:val="000000"/>
          <w:spacing w:val="0"/>
          <w:w w:val="100"/>
          <w:position w:val="0"/>
        </w:rPr>
        <w:t>本集团</w:t>
      </w:r>
      <w:r>
        <w:rPr>
          <w:color w:val="000000"/>
          <w:spacing w:val="0"/>
          <w:w w:val="100"/>
          <w:position w:val="0"/>
          <w:sz w:val="18"/>
          <w:szCs w:val="18"/>
        </w:rPr>
        <w:t>2020</w:t>
      </w:r>
      <w:r>
        <w:rPr>
          <w:color w:val="000000"/>
          <w:spacing w:val="0"/>
          <w:w w:val="100"/>
          <w:position w:val="0"/>
        </w:rPr>
        <w:t>年度纳入合并范围的子公司</w:t>
      </w:r>
      <w:r>
        <w:rPr>
          <w:color w:val="000000"/>
          <w:spacing w:val="0"/>
          <w:w w:val="100"/>
          <w:position w:val="0"/>
          <w:sz w:val="18"/>
          <w:szCs w:val="18"/>
        </w:rPr>
        <w:t>15</w:t>
      </w:r>
      <w:r>
        <w:rPr>
          <w:color w:val="000000"/>
          <w:spacing w:val="0"/>
          <w:w w:val="100"/>
          <w:position w:val="0"/>
        </w:rPr>
        <w:t>家、孙公司</w:t>
      </w:r>
      <w:r>
        <w:rPr>
          <w:color w:val="000000"/>
          <w:spacing w:val="0"/>
          <w:w w:val="100"/>
          <w:position w:val="0"/>
          <w:sz w:val="18"/>
          <w:szCs w:val="18"/>
        </w:rPr>
        <w:t>3</w:t>
      </w:r>
      <w:r>
        <w:rPr>
          <w:color w:val="000000"/>
          <w:spacing w:val="0"/>
          <w:w w:val="100"/>
          <w:position w:val="0"/>
        </w:rPr>
        <w:t>家，各家子、孙公司情况详见附注“七、在其他主体中的权益”。 本集团本年度合并范围与上年度相同。</w:t>
      </w:r>
    </w:p>
    <w:p>
      <w:pPr>
        <w:pStyle w:val="Style32"/>
        <w:keepNext/>
        <w:keepLines/>
        <w:widowControl w:val="0"/>
        <w:shd w:val="clear" w:color="auto" w:fill="auto"/>
        <w:tabs>
          <w:tab w:pos="498" w:val="left"/>
        </w:tabs>
        <w:bidi w:val="0"/>
        <w:spacing w:before="0" w:line="240" w:lineRule="auto"/>
        <w:ind w:left="0" w:right="0" w:firstLine="0"/>
        <w:jc w:val="both"/>
      </w:pPr>
      <w:bookmarkStart w:id="771" w:name="bookmark771"/>
      <w:bookmarkStart w:id="772" w:name="bookmark772"/>
      <w:bookmarkStart w:id="773" w:name="bookmark773"/>
      <w:bookmarkStart w:id="774" w:name="bookmark774"/>
      <w:r>
        <w:rPr>
          <w:color w:val="000000"/>
          <w:spacing w:val="0"/>
          <w:w w:val="100"/>
          <w:position w:val="0"/>
        </w:rPr>
        <w:t>四</w:t>
      </w:r>
      <w:bookmarkEnd w:id="773"/>
      <w:r>
        <w:rPr>
          <w:color w:val="000000"/>
          <w:spacing w:val="0"/>
          <w:w w:val="100"/>
          <w:position w:val="0"/>
        </w:rPr>
        <w:t>、</w:t>
        <w:tab/>
        <w:t>财务报表的编制基础</w:t>
      </w:r>
      <w:bookmarkEnd w:id="771"/>
      <w:bookmarkEnd w:id="772"/>
      <w:bookmarkEnd w:id="774"/>
    </w:p>
    <w:p>
      <w:pPr>
        <w:pStyle w:val="Style43"/>
        <w:keepNext/>
        <w:keepLines/>
        <w:widowControl w:val="0"/>
        <w:shd w:val="clear" w:color="auto" w:fill="auto"/>
        <w:tabs>
          <w:tab w:pos="391" w:val="left"/>
        </w:tabs>
        <w:bidi w:val="0"/>
        <w:spacing w:before="0" w:after="260" w:line="240" w:lineRule="auto"/>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color w:val="000000"/>
          <w:spacing w:val="0"/>
          <w:w w:val="100"/>
          <w:position w:val="0"/>
        </w:rPr>
        <w:t>、</w:t>
        <w:tab/>
        <w:t>编制基础</w:t>
      </w:r>
      <w:bookmarkEnd w:id="775"/>
      <w:bookmarkEnd w:id="776"/>
      <w:bookmarkEnd w:id="778"/>
    </w:p>
    <w:p>
      <w:pPr>
        <w:pStyle w:val="Style36"/>
        <w:keepNext w:val="0"/>
        <w:keepLines w:val="0"/>
        <w:widowControl w:val="0"/>
        <w:shd w:val="clear" w:color="auto" w:fill="auto"/>
        <w:bidi w:val="0"/>
        <w:spacing w:before="0" w:after="380" w:line="312" w:lineRule="exact"/>
        <w:ind w:left="0" w:right="0"/>
        <w:jc w:val="both"/>
      </w:pPr>
      <w:r>
        <w:rPr>
          <w:color w:val="000000"/>
          <w:spacing w:val="0"/>
          <w:w w:val="100"/>
          <w:position w:val="0"/>
        </w:rPr>
        <w:t>本财务报表按照财政部颁布的企业会计准则及其应用指南、解释及其他有关规定（统称“企业会计准则”）编制。此外， 本集团还按照中国证监会《公开发行证券的公司信息披露编报规则第</w:t>
      </w:r>
      <w:r>
        <w:rPr>
          <w:color w:val="000000"/>
          <w:spacing w:val="0"/>
          <w:w w:val="100"/>
          <w:position w:val="0"/>
          <w:sz w:val="18"/>
          <w:szCs w:val="18"/>
        </w:rPr>
        <w:t>15</w:t>
      </w:r>
      <w:r>
        <w:rPr>
          <w:color w:val="000000"/>
          <w:spacing w:val="0"/>
          <w:w w:val="100"/>
          <w:position w:val="0"/>
        </w:rPr>
        <w:t>号一财务报告的一般规定》</w:t>
      </w:r>
      <w:r>
        <w:rPr>
          <w:color w:val="000000"/>
          <w:spacing w:val="0"/>
          <w:w w:val="100"/>
          <w:position w:val="0"/>
          <w:sz w:val="18"/>
          <w:szCs w:val="18"/>
        </w:rPr>
        <w:t>（2014</w:t>
      </w:r>
      <w:r>
        <w:rPr>
          <w:color w:val="000000"/>
          <w:spacing w:val="0"/>
          <w:w w:val="100"/>
          <w:position w:val="0"/>
        </w:rPr>
        <w:t>年修订）披露有关 财务信息。</w:t>
      </w:r>
    </w:p>
    <w:p>
      <w:pPr>
        <w:pStyle w:val="Style43"/>
        <w:keepNext/>
        <w:keepLines/>
        <w:widowControl w:val="0"/>
        <w:shd w:val="clear" w:color="auto" w:fill="auto"/>
        <w:tabs>
          <w:tab w:pos="391" w:val="left"/>
        </w:tabs>
        <w:bidi w:val="0"/>
        <w:spacing w:before="0" w:after="260" w:line="240" w:lineRule="auto"/>
        <w:ind w:left="0" w:right="0" w:firstLine="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2</w:t>
      </w:r>
      <w:bookmarkEnd w:id="781"/>
      <w:r>
        <w:rPr>
          <w:color w:val="000000"/>
          <w:spacing w:val="0"/>
          <w:w w:val="100"/>
          <w:position w:val="0"/>
        </w:rPr>
        <w:t>、</w:t>
        <w:tab/>
        <w:t>持续经营</w:t>
      </w:r>
      <w:bookmarkEnd w:id="779"/>
      <w:bookmarkEnd w:id="780"/>
      <w:bookmarkEnd w:id="782"/>
    </w:p>
    <w:p>
      <w:pPr>
        <w:pStyle w:val="Style36"/>
        <w:keepNext w:val="0"/>
        <w:keepLines w:val="0"/>
        <w:widowControl w:val="0"/>
        <w:shd w:val="clear" w:color="auto" w:fill="auto"/>
        <w:bidi w:val="0"/>
        <w:spacing w:before="0" w:after="0" w:line="313" w:lineRule="exact"/>
        <w:ind w:left="0" w:right="0"/>
        <w:jc w:val="both"/>
      </w:pPr>
      <w:r>
        <w:rPr>
          <w:color w:val="000000"/>
          <w:spacing w:val="0"/>
          <w:w w:val="100"/>
          <w:position w:val="0"/>
        </w:rPr>
        <w:t>本财务报表以持续经营为基础列报。</w:t>
      </w:r>
    </w:p>
    <w:p>
      <w:pPr>
        <w:pStyle w:val="Style3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本集团会计核算以权责发生制为基础。除某些金融工具外，本财务报表均以历史成本为计量基础。资产如果发生减值，则 按照相关规定计提相应的减值准备。</w:t>
      </w:r>
    </w:p>
    <w:p>
      <w:pPr>
        <w:pStyle w:val="Style32"/>
        <w:keepNext/>
        <w:keepLines/>
        <w:widowControl w:val="0"/>
        <w:shd w:val="clear" w:color="auto" w:fill="auto"/>
        <w:tabs>
          <w:tab w:pos="517" w:val="left"/>
        </w:tabs>
        <w:bidi w:val="0"/>
        <w:spacing w:before="0" w:after="26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五</w:t>
      </w:r>
      <w:bookmarkEnd w:id="785"/>
      <w:r>
        <w:rPr>
          <w:color w:val="000000"/>
          <w:spacing w:val="0"/>
          <w:w w:val="100"/>
          <w:position w:val="0"/>
        </w:rPr>
        <w:t>、</w:t>
        <w:tab/>
        <w:t>重要会计政策及会计估计</w:t>
      </w:r>
      <w:bookmarkEnd w:id="783"/>
      <w:bookmarkEnd w:id="784"/>
      <w:bookmarkEnd w:id="786"/>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具体会计政策和会计估计提示：</w:t>
      </w:r>
    </w:p>
    <w:p>
      <w:pPr>
        <w:pStyle w:val="Style3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本集团根据自身生产经营特点，确定研发费用资本化条件以及收入确认政策，具体会计政策见附注三、</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和附注三、</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p>
    <w:p>
      <w:pPr>
        <w:pStyle w:val="Style43"/>
        <w:keepNext/>
        <w:keepLines/>
        <w:widowControl w:val="0"/>
        <w:shd w:val="clear" w:color="auto" w:fill="auto"/>
        <w:bidi w:val="0"/>
        <w:spacing w:before="0" w:after="26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color w:val="000000"/>
          <w:spacing w:val="0"/>
          <w:w w:val="100"/>
          <w:position w:val="0"/>
        </w:rPr>
        <w:t>、遵循企业会计准则的声明</w:t>
      </w:r>
      <w:bookmarkEnd w:id="787"/>
      <w:bookmarkEnd w:id="788"/>
      <w:bookmarkEnd w:id="790"/>
    </w:p>
    <w:p>
      <w:pPr>
        <w:pStyle w:val="Style36"/>
        <w:keepNext w:val="0"/>
        <w:keepLines w:val="0"/>
        <w:widowControl w:val="0"/>
        <w:shd w:val="clear" w:color="auto" w:fill="auto"/>
        <w:bidi w:val="0"/>
        <w:spacing w:before="0" w:after="740" w:line="322" w:lineRule="exact"/>
        <w:ind w:left="0" w:right="0" w:firstLine="0"/>
        <w:jc w:val="left"/>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的合并及公司经营成果和合并及公司现金流量等有关信息。</w:t>
      </w:r>
    </w:p>
    <w:p>
      <w:pPr>
        <w:pStyle w:val="Style43"/>
        <w:keepNext/>
        <w:keepLines/>
        <w:widowControl w:val="0"/>
        <w:shd w:val="clear" w:color="auto" w:fill="auto"/>
        <w:bidi w:val="0"/>
        <w:spacing w:before="0" w:after="38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2</w:t>
      </w:r>
      <w:bookmarkEnd w:id="793"/>
      <w:r>
        <w:rPr>
          <w:color w:val="000000"/>
          <w:spacing w:val="0"/>
          <w:w w:val="100"/>
          <w:position w:val="0"/>
        </w:rPr>
        <w:t>、会计期间</w:t>
      </w:r>
      <w:bookmarkEnd w:id="791"/>
      <w:bookmarkEnd w:id="792"/>
      <w:bookmarkEnd w:id="794"/>
    </w:p>
    <w:p>
      <w:pPr>
        <w:pStyle w:val="Style3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本集团会计期间采用公历年度，即每年自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43"/>
        <w:keepNext/>
        <w:keepLines/>
        <w:widowControl w:val="0"/>
        <w:shd w:val="clear" w:color="auto" w:fill="auto"/>
        <w:tabs>
          <w:tab w:pos="347" w:val="left"/>
        </w:tabs>
        <w:bidi w:val="0"/>
        <w:spacing w:before="0" w:after="280" w:line="24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3</w:t>
      </w:r>
      <w:bookmarkEnd w:id="797"/>
      <w:r>
        <w:rPr>
          <w:color w:val="000000"/>
          <w:spacing w:val="0"/>
          <w:w w:val="100"/>
          <w:position w:val="0"/>
        </w:rPr>
        <w:t>、</w:t>
        <w:tab/>
        <w:t>营业周期</w:t>
      </w:r>
      <w:bookmarkEnd w:id="795"/>
      <w:bookmarkEnd w:id="796"/>
      <w:bookmarkEnd w:id="798"/>
    </w:p>
    <w:p>
      <w:pPr>
        <w:pStyle w:val="Style36"/>
        <w:keepNext w:val="0"/>
        <w:keepLines w:val="0"/>
        <w:widowControl w:val="0"/>
        <w:shd w:val="clear" w:color="auto" w:fill="auto"/>
        <w:bidi w:val="0"/>
        <w:spacing w:before="0" w:after="380" w:line="311" w:lineRule="exact"/>
        <w:ind w:left="0" w:right="0" w:firstLine="0"/>
        <w:jc w:val="both"/>
      </w:pPr>
      <w:r>
        <w:rPr>
          <w:color w:val="000000"/>
          <w:spacing w:val="0"/>
          <w:w w:val="100"/>
          <w:position w:val="0"/>
        </w:rPr>
        <w:t>本集团的营业周期为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43"/>
        <w:keepNext/>
        <w:keepLines/>
        <w:widowControl w:val="0"/>
        <w:shd w:val="clear" w:color="auto" w:fill="auto"/>
        <w:tabs>
          <w:tab w:pos="347" w:val="left"/>
        </w:tabs>
        <w:bidi w:val="0"/>
        <w:spacing w:before="0" w:after="280" w:line="240" w:lineRule="auto"/>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4</w:t>
      </w:r>
      <w:bookmarkEnd w:id="801"/>
      <w:r>
        <w:rPr>
          <w:color w:val="000000"/>
          <w:spacing w:val="0"/>
          <w:w w:val="100"/>
          <w:position w:val="0"/>
        </w:rPr>
        <w:t>、</w:t>
        <w:tab/>
        <w:t>记账本位币</w:t>
      </w:r>
      <w:bookmarkEnd w:id="799"/>
      <w:bookmarkEnd w:id="800"/>
      <w:bookmarkEnd w:id="802"/>
    </w:p>
    <w:p>
      <w:pPr>
        <w:pStyle w:val="Style36"/>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本公司及境内子公司以人民币为记账本位币。本公司之境外子公司根据其经营所处的主要经济环境中的货币确定港币为其 记账本位币。本集团编制本财务报表时所采用的货币为人民币。</w:t>
      </w:r>
    </w:p>
    <w:p>
      <w:pPr>
        <w:pStyle w:val="Style43"/>
        <w:keepNext/>
        <w:keepLines/>
        <w:widowControl w:val="0"/>
        <w:shd w:val="clear" w:color="auto" w:fill="auto"/>
        <w:tabs>
          <w:tab w:pos="347" w:val="left"/>
        </w:tabs>
        <w:bidi w:val="0"/>
        <w:spacing w:before="0" w:after="280" w:line="240" w:lineRule="auto"/>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5</w:t>
      </w:r>
      <w:bookmarkEnd w:id="805"/>
      <w:r>
        <w:rPr>
          <w:color w:val="000000"/>
          <w:spacing w:val="0"/>
          <w:w w:val="100"/>
          <w:position w:val="0"/>
        </w:rPr>
        <w:t>、</w:t>
        <w:tab/>
        <w:t>同一控制下和非同一控制下企业合并的会计处理方法</w:t>
      </w:r>
      <w:bookmarkEnd w:id="803"/>
      <w:bookmarkEnd w:id="804"/>
      <w:bookmarkEnd w:id="806"/>
    </w:p>
    <w:p>
      <w:pPr>
        <w:pStyle w:val="Style36"/>
        <w:keepNext w:val="0"/>
        <w:keepLines w:val="0"/>
        <w:widowControl w:val="0"/>
        <w:shd w:val="clear" w:color="auto" w:fill="auto"/>
        <w:tabs>
          <w:tab w:pos="414" w:val="left"/>
        </w:tabs>
        <w:bidi w:val="0"/>
        <w:spacing w:before="0" w:after="0" w:line="311" w:lineRule="exact"/>
        <w:ind w:left="0" w:right="0" w:firstLine="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对于同一控制下的企业合并，合并方在合并中取得的被合并方的资产、负债，除因会计政策不同而进行的调整以外，按合 并日被合并方在最终控制方合并财务报表中的账面价值计量。合并对价的账面价值与合并中取得的净资产账面价值的差额 调整资本公积（股本溢价），资本公积（股本溢价）不足冲减的，调整留存收益。</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通过多次交易分步实现同一控制下的企业合并</w:t>
      </w:r>
    </w:p>
    <w:p>
      <w:pPr>
        <w:pStyle w:val="Style36"/>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在个别财务报表中，以合并日持股比例计算的合并日应享有被合并方净资产在最终控制方合并财务报表中的账面价值的份 额作为该项投资的初始投资成本；初始投资成本与合并前持有投资的账面价值加上合并日新支付对价的账面价值之和的差 额，调整资本公积（股本溢价），资本公积（股本溢价）不足冲减的，调整留存收益。</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在合并财务报表中，合并方在合并中取得的被合并方的资产、负债，除因会计政策不同而进行的调整以外，按合并日在最 终控制方合并财务报表中的账面价值计量；合并前持有投资的账面价值加上合并日新支付对价的账面价值之和，与合并中 取得的净资产账面价值的差额，调整资本公积（股本溢价），资本公积（股本溢价）不足冲减的，调整留存收益。合并方在 取得被合并方控制权之前持有的长期股权投资，在取得原股权之日与合并方与被合并方同处于同一方最终控制之日孰晚日 起至合并日之间已确认有关损益、其他综合收益和其他所有者权益变动，应分别冲减比较报表期间的期初留存收益或当期 损益。</w:t>
      </w:r>
    </w:p>
    <w:p>
      <w:pPr>
        <w:pStyle w:val="Style36"/>
        <w:keepNext w:val="0"/>
        <w:keepLines w:val="0"/>
        <w:widowControl w:val="0"/>
        <w:shd w:val="clear" w:color="auto" w:fill="auto"/>
        <w:tabs>
          <w:tab w:pos="414" w:val="left"/>
        </w:tabs>
        <w:bidi w:val="0"/>
        <w:spacing w:before="0" w:after="0" w:line="311" w:lineRule="exact"/>
        <w:ind w:left="0" w:right="0" w:firstLine="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企业合并中有关交易费用的处理</w:t>
      </w:r>
    </w:p>
    <w:p>
      <w:pPr>
        <w:pStyle w:val="Style3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为进行企业合并发生的审计、法律服务、评估咨询等中介费用以及其他相关管理费用，于发生时计入当期损益。作为合并 对价发行的权益性证券或债务性证券的交易费用，计入权益性证券或债务性证券的初始确认金额。</w:t>
      </w:r>
    </w:p>
    <w:p>
      <w:pPr>
        <w:pStyle w:val="Style43"/>
        <w:keepNext/>
        <w:keepLines/>
        <w:widowControl w:val="0"/>
        <w:shd w:val="clear" w:color="auto" w:fill="auto"/>
        <w:tabs>
          <w:tab w:pos="347" w:val="left"/>
        </w:tabs>
        <w:bidi w:val="0"/>
        <w:spacing w:before="0" w:after="280" w:line="240" w:lineRule="auto"/>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6</w:t>
      </w:r>
      <w:bookmarkEnd w:id="811"/>
      <w:r>
        <w:rPr>
          <w:color w:val="000000"/>
          <w:spacing w:val="0"/>
          <w:w w:val="100"/>
          <w:position w:val="0"/>
        </w:rPr>
        <w:t>、</w:t>
        <w:tab/>
        <w:t>合并财务报表的编制方法</w:t>
      </w:r>
      <w:bookmarkEnd w:id="809"/>
      <w:bookmarkEnd w:id="810"/>
      <w:bookmarkEnd w:id="812"/>
    </w:p>
    <w:p>
      <w:pPr>
        <w:pStyle w:val="Style36"/>
        <w:keepNext w:val="0"/>
        <w:keepLines w:val="0"/>
        <w:widowControl w:val="0"/>
        <w:shd w:val="clear" w:color="auto" w:fill="auto"/>
        <w:tabs>
          <w:tab w:pos="414" w:val="left"/>
        </w:tabs>
        <w:bidi w:val="0"/>
        <w:spacing w:before="0" w:after="0" w:line="311" w:lineRule="exact"/>
        <w:ind w:left="0" w:right="0" w:firstLine="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合并范围</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合并财务报表的合并范围以控制为基础予以确定。控制，是指本公司拥有对被投资单位的权力，通过参与被投资单位的相 关活动而享有可变回报，并且有能力运用对被投资单位的权力影响其回报金额。子公司，是指被本公司控制的主体（含企 业、被投资单位中可分割的部分、结构化主体等）。</w:t>
      </w:r>
    </w:p>
    <w:p>
      <w:pPr>
        <w:pStyle w:val="Style36"/>
        <w:keepNext w:val="0"/>
        <w:keepLines w:val="0"/>
        <w:widowControl w:val="0"/>
        <w:shd w:val="clear" w:color="auto" w:fill="auto"/>
        <w:tabs>
          <w:tab w:pos="414" w:val="left"/>
        </w:tabs>
        <w:bidi w:val="0"/>
        <w:spacing w:before="0" w:after="0" w:line="311" w:lineRule="exact"/>
        <w:ind w:left="0" w:right="0" w:firstLine="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合并财务报表的编制方法</w:t>
      </w:r>
    </w:p>
    <w:p>
      <w:pPr>
        <w:pStyle w:val="Style36"/>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合并财务报表以本公司和子公司的财务报表为基础，根据其他有关资料，由本公司编制。在编制合并财务报表时，本公司 和子公司的会计政策和会计期间要求保持一致，公司间的重大交易和往来余额予以抵销。</w:t>
      </w:r>
    </w:p>
    <w:p>
      <w:pPr>
        <w:pStyle w:val="Style36"/>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在报告期内因同一控制下企业合并增加的子公司以及业务，视同该子公司以及业务自同受最终控制方控制之日起纳入本公 司的合并范围，将其自同受最终控制方控制之日起的经营成果、现金流量分别纳入合并利润表、合并现金流量表中。 子公司的股东权益中不属于本公司所拥有的部分，作为少数股东权益在合并资产负债表中股东权益项下单独列示；子公司 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 司的亏损超过了少数股东在该子公司期初所有者权益中所享有的份额，其余额仍冲减少数股东权益。</w:t>
      </w:r>
    </w:p>
    <w:p>
      <w:pPr>
        <w:pStyle w:val="Style36"/>
        <w:keepNext w:val="0"/>
        <w:keepLines w:val="0"/>
        <w:widowControl w:val="0"/>
        <w:numPr>
          <w:ilvl w:val="0"/>
          <w:numId w:val="19"/>
        </w:numPr>
        <w:shd w:val="clear" w:color="auto" w:fill="auto"/>
        <w:tabs>
          <w:tab w:pos="445" w:val="left"/>
        </w:tabs>
        <w:bidi w:val="0"/>
        <w:spacing w:before="0" w:after="0" w:line="312" w:lineRule="exact"/>
        <w:ind w:left="0" w:right="0" w:firstLine="0"/>
        <w:jc w:val="both"/>
      </w:pPr>
      <w:bookmarkStart w:id="815" w:name="bookmark815"/>
      <w:bookmarkEnd w:id="815"/>
      <w:r>
        <w:rPr>
          <w:color w:val="000000"/>
          <w:spacing w:val="0"/>
          <w:w w:val="100"/>
          <w:position w:val="0"/>
        </w:rPr>
        <w:t>购买子公司少数股东股权</w:t>
      </w:r>
    </w:p>
    <w:p>
      <w:pPr>
        <w:pStyle w:val="Style36"/>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因购买少数股权新取得的长期股权投资成本与按照新增持股比例计算应享有子公司自购买日或合并日开始持续计算的净资 产份额之间的差额，以及在不丧失控制权的情况下因部分处置对子公司的股权投资而取得的处置价款与处置长期股权投资 相对应享有子公司自购买日或合并日开始持续计算的净资产份额之间的差额，均调整合并资产负债表中的资本公积(股本 溢价)，资本公积(股本溢价)不足冲减的，调整留存收益。</w:t>
      </w:r>
    </w:p>
    <w:p>
      <w:pPr>
        <w:pStyle w:val="Style36"/>
        <w:keepNext w:val="0"/>
        <w:keepLines w:val="0"/>
        <w:widowControl w:val="0"/>
        <w:numPr>
          <w:ilvl w:val="0"/>
          <w:numId w:val="19"/>
        </w:numPr>
        <w:shd w:val="clear" w:color="auto" w:fill="auto"/>
        <w:tabs>
          <w:tab w:pos="445" w:val="left"/>
        </w:tabs>
        <w:bidi w:val="0"/>
        <w:spacing w:before="0" w:after="0" w:line="312" w:lineRule="exact"/>
        <w:ind w:left="0" w:right="0" w:firstLine="0"/>
        <w:jc w:val="both"/>
      </w:pPr>
      <w:bookmarkStart w:id="816" w:name="bookmark816"/>
      <w:bookmarkEnd w:id="816"/>
      <w:r>
        <w:rPr>
          <w:color w:val="000000"/>
          <w:spacing w:val="0"/>
          <w:w w:val="100"/>
          <w:position w:val="0"/>
        </w:rPr>
        <w:t>丧失子公司控制权的处理</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因处置部分股权投资或其他原因丧失了对原有子公司控制权的，剩余股权按照其在丧失控制权日的公允价值进行重新计 量；处置股权取得的对价与剩余股权公允价值之和，减去按原持股比例计算应享有原有子公司自购买日开始持续计算的净 资产账面价值的份额与商誉之和，形成的差额计入丧失控制权当期的投资收益。</w:t>
      </w:r>
    </w:p>
    <w:p>
      <w:pPr>
        <w:pStyle w:val="Style3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与原有子公司的股权投资相关的其他综合收益等，在丧失控制权时转入当期损益，由于被投资方重新计量设定收益计划净 负债或净资产变动而产生的其他综合收益除外。</w:t>
      </w:r>
    </w:p>
    <w:p>
      <w:pPr>
        <w:pStyle w:val="Style43"/>
        <w:keepNext/>
        <w:keepLines/>
        <w:widowControl w:val="0"/>
        <w:shd w:val="clear" w:color="auto" w:fill="auto"/>
        <w:tabs>
          <w:tab w:pos="373" w:val="left"/>
        </w:tabs>
        <w:bidi w:val="0"/>
        <w:spacing w:before="0" w:after="260" w:line="240" w:lineRule="auto"/>
        <w:ind w:left="0" w:right="0" w:firstLine="0"/>
        <w:jc w:val="both"/>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7</w:t>
      </w:r>
      <w:bookmarkEnd w:id="819"/>
      <w:r>
        <w:rPr>
          <w:color w:val="000000"/>
          <w:spacing w:val="0"/>
          <w:w w:val="100"/>
          <w:position w:val="0"/>
        </w:rPr>
        <w:t>、</w:t>
        <w:tab/>
        <w:t>合营安排分类及共同经营会计处理方法</w:t>
      </w:r>
      <w:bookmarkEnd w:id="817"/>
      <w:bookmarkEnd w:id="818"/>
      <w:bookmarkEnd w:id="820"/>
    </w:p>
    <w:p>
      <w:pPr>
        <w:pStyle w:val="Style3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43"/>
        <w:keepNext/>
        <w:keepLines/>
        <w:widowControl w:val="0"/>
        <w:shd w:val="clear" w:color="auto" w:fill="auto"/>
        <w:tabs>
          <w:tab w:pos="378" w:val="left"/>
        </w:tabs>
        <w:bidi w:val="0"/>
        <w:spacing w:before="0" w:after="260" w:line="240" w:lineRule="auto"/>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8</w:t>
      </w:r>
      <w:bookmarkEnd w:id="823"/>
      <w:r>
        <w:rPr>
          <w:color w:val="000000"/>
          <w:spacing w:val="0"/>
          <w:w w:val="100"/>
          <w:position w:val="0"/>
        </w:rPr>
        <w:t>、</w:t>
        <w:tab/>
        <w:t>现金及现金等价物的确定标准</w:t>
      </w:r>
      <w:bookmarkEnd w:id="821"/>
      <w:bookmarkEnd w:id="822"/>
      <w:bookmarkEnd w:id="824"/>
    </w:p>
    <w:p>
      <w:pPr>
        <w:pStyle w:val="Style3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现金是指库存现金以及可以随时用于支付的存款。现金等价物，是指本集团持有的期限短、流动性强、易于转换为已知金 额现金、价值变动风险很小的投资。</w:t>
      </w:r>
    </w:p>
    <w:p>
      <w:pPr>
        <w:pStyle w:val="Style43"/>
        <w:keepNext/>
        <w:keepLines/>
        <w:widowControl w:val="0"/>
        <w:shd w:val="clear" w:color="auto" w:fill="auto"/>
        <w:tabs>
          <w:tab w:pos="378" w:val="left"/>
        </w:tabs>
        <w:bidi w:val="0"/>
        <w:spacing w:before="0" w:after="260" w:line="240" w:lineRule="auto"/>
        <w:ind w:left="0" w:right="0" w:firstLine="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9</w:t>
      </w:r>
      <w:bookmarkEnd w:id="827"/>
      <w:r>
        <w:rPr>
          <w:color w:val="000000"/>
          <w:spacing w:val="0"/>
          <w:w w:val="100"/>
          <w:position w:val="0"/>
        </w:rPr>
        <w:t>、</w:t>
        <w:tab/>
        <w:t>外币业务和外币报表折算</w:t>
      </w:r>
      <w:bookmarkEnd w:id="825"/>
      <w:bookmarkEnd w:id="826"/>
      <w:bookmarkEnd w:id="828"/>
    </w:p>
    <w:p>
      <w:pPr>
        <w:pStyle w:val="Style36"/>
        <w:keepNext w:val="0"/>
        <w:keepLines w:val="0"/>
        <w:widowControl w:val="0"/>
        <w:numPr>
          <w:ilvl w:val="0"/>
          <w:numId w:val="21"/>
        </w:numPr>
        <w:shd w:val="clear" w:color="auto" w:fill="auto"/>
        <w:tabs>
          <w:tab w:pos="445" w:val="left"/>
        </w:tabs>
        <w:bidi w:val="0"/>
        <w:spacing w:before="0" w:after="0" w:line="312" w:lineRule="exact"/>
        <w:ind w:left="0" w:right="0" w:firstLine="0"/>
        <w:jc w:val="both"/>
      </w:pPr>
      <w:bookmarkStart w:id="829" w:name="bookmark829"/>
      <w:bookmarkEnd w:id="829"/>
      <w:r>
        <w:rPr>
          <w:color w:val="000000"/>
          <w:spacing w:val="0"/>
          <w:w w:val="100"/>
          <w:position w:val="0"/>
        </w:rPr>
        <w:t>外币业务</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本集团发生外币业务，按交易发生日的即期汇率折算为记账本位币金额。</w:t>
      </w:r>
    </w:p>
    <w:p>
      <w:pPr>
        <w:pStyle w:val="Style36"/>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资产负债表日，对外币货币性项目，采用资产负债表日即期汇率折算。因资产负债表日即期汇率与初始确认时或者前一资 产负债表日即期汇率不同而产生的汇兑差额，计入当期损益；对以历史成本计量的外币非货币性项目，仍采用交易发生日 的即期汇率折算；对以公允价值计量的外币非货币性项目，采用公允价值确定日的即期汇率折算，折算后的记账本位币金 额与原记账本位币金额的差额，计入当期损益。</w:t>
      </w:r>
    </w:p>
    <w:p>
      <w:pPr>
        <w:pStyle w:val="Style36"/>
        <w:keepNext w:val="0"/>
        <w:keepLines w:val="0"/>
        <w:widowControl w:val="0"/>
        <w:numPr>
          <w:ilvl w:val="0"/>
          <w:numId w:val="21"/>
        </w:numPr>
        <w:shd w:val="clear" w:color="auto" w:fill="auto"/>
        <w:tabs>
          <w:tab w:pos="445" w:val="left"/>
        </w:tabs>
        <w:bidi w:val="0"/>
        <w:spacing w:before="0" w:after="0" w:line="312" w:lineRule="exact"/>
        <w:ind w:left="0" w:right="0" w:firstLine="0"/>
        <w:jc w:val="both"/>
      </w:pPr>
      <w:bookmarkStart w:id="830" w:name="bookmark830"/>
      <w:bookmarkEnd w:id="830"/>
      <w:r>
        <w:rPr>
          <w:color w:val="000000"/>
          <w:spacing w:val="0"/>
          <w:w w:val="100"/>
          <w:position w:val="0"/>
        </w:rPr>
        <w:t>外币财务报表的折算</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资产负债表日，对境外子公司外币财务报表进行折算时，资产负债表中的资产和负债项目，采用资产负债表日的即期汇率 折算，股东权益项目除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外，其他项目采用发生日的即期汇率折算。</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利润表中的收入和费用项目，采用按照系统合理的方法确定的、与交易发生日即期汇率近似的汇率折算。</w:t>
      </w:r>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现金流量表所有项目均按照系统合理的方法确定的、与现金流量发生日即期汇率近似的汇率折算。汇率变动对现金的影响 额作为调节项目，在现金流量表中单独列示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汇率变动对现金及现金等价物的影响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由于财务报表折算而产生的差额，在资产负债表股东权益项目下的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w:t>
      </w:r>
    </w:p>
    <w:p>
      <w:pPr>
        <w:pStyle w:val="Style3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处置境外经营并丧失控制权时，将资产负债表中所有者权益项目下列示的、与该境外经营相关的外币报表折算差额，全部 或按处置该境外经营的比例转入处置当期损益。</w:t>
      </w:r>
    </w:p>
    <w:p>
      <w:pPr>
        <w:pStyle w:val="Style43"/>
        <w:keepNext/>
        <w:keepLines/>
        <w:widowControl w:val="0"/>
        <w:shd w:val="clear" w:color="auto" w:fill="auto"/>
        <w:tabs>
          <w:tab w:pos="474" w:val="left"/>
        </w:tabs>
        <w:bidi w:val="0"/>
        <w:spacing w:before="0" w:after="260" w:line="240" w:lineRule="auto"/>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31"/>
      <w:bookmarkEnd w:id="832"/>
      <w:bookmarkEnd w:id="834"/>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金融工具是指形成一方的金融资产，并形成其他方的金融负债或权益工具的合同。</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金融工具的确认和终止确认</w:t>
      </w:r>
    </w:p>
    <w:p>
      <w:pPr>
        <w:pStyle w:val="Style3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本集团于成为金融工具合同的一方时确认一项金融资产或金融负债。</w:t>
      </w:r>
    </w:p>
    <w:p>
      <w:pPr>
        <w:pStyle w:val="Style3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金融资产满足下列条件之一的，终止确认：</w:t>
      </w:r>
    </w:p>
    <w:p>
      <w:pPr>
        <w:pStyle w:val="Style36"/>
        <w:keepNext w:val="0"/>
        <w:keepLines w:val="0"/>
        <w:widowControl w:val="0"/>
        <w:numPr>
          <w:ilvl w:val="0"/>
          <w:numId w:val="23"/>
        </w:numPr>
        <w:shd w:val="clear" w:color="auto" w:fill="auto"/>
        <w:tabs>
          <w:tab w:pos="373" w:val="left"/>
        </w:tabs>
        <w:bidi w:val="0"/>
        <w:spacing w:before="0" w:after="140" w:line="312" w:lineRule="exact"/>
        <w:ind w:left="0" w:right="0" w:firstLine="0"/>
        <w:jc w:val="left"/>
      </w:pPr>
      <w:bookmarkStart w:id="835" w:name="bookmark835"/>
      <w:bookmarkEnd w:id="835"/>
      <w:r>
        <w:rPr>
          <w:color w:val="000000"/>
          <w:spacing w:val="0"/>
          <w:w w:val="100"/>
          <w:position w:val="0"/>
        </w:rPr>
        <w:t>收取该金融资产现金流量的合同权利终止；</w:t>
      </w:r>
    </w:p>
    <w:p>
      <w:pPr>
        <w:pStyle w:val="Style36"/>
        <w:keepNext w:val="0"/>
        <w:keepLines w:val="0"/>
        <w:widowControl w:val="0"/>
        <w:numPr>
          <w:ilvl w:val="0"/>
          <w:numId w:val="23"/>
        </w:numPr>
        <w:shd w:val="clear" w:color="auto" w:fill="auto"/>
        <w:tabs>
          <w:tab w:pos="373" w:val="left"/>
        </w:tabs>
        <w:bidi w:val="0"/>
        <w:spacing w:before="0" w:after="140" w:line="312" w:lineRule="exact"/>
        <w:ind w:left="0" w:right="0" w:firstLine="0"/>
        <w:jc w:val="left"/>
      </w:pPr>
      <w:bookmarkStart w:id="836" w:name="bookmark836"/>
      <w:bookmarkEnd w:id="836"/>
      <w:r>
        <w:rPr>
          <w:color w:val="000000"/>
          <w:spacing w:val="0"/>
          <w:w w:val="100"/>
          <w:position w:val="0"/>
        </w:rPr>
        <w:t>该金融资产已转移，且符合下述金融资产转移的终止确认条件。</w:t>
      </w:r>
    </w:p>
    <w:p>
      <w:pPr>
        <w:pStyle w:val="Style3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金融负债的现时义务全部或部分已经解除的，终止确认该金融负债或其一部分。本集团（债务人）与债权人之间签订协议, 以承担新金融负债方式替换现存金融负债，且新金融负债与现存金融负债的合同条款实质上不同的，终止确认现存金融负 债，并同时确认新金融负债。</w:t>
      </w:r>
    </w:p>
    <w:p>
      <w:pPr>
        <w:pStyle w:val="Style3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以常规方式买卖金融资产，按交易日进行会计确认和终止确认。</w:t>
      </w:r>
    </w:p>
    <w:p>
      <w:pPr>
        <w:pStyle w:val="Style36"/>
        <w:keepNext w:val="0"/>
        <w:keepLines w:val="0"/>
        <w:widowControl w:val="0"/>
        <w:shd w:val="clear" w:color="auto" w:fill="auto"/>
        <w:bidi w:val="0"/>
        <w:spacing w:before="0" w:after="140" w:line="312" w:lineRule="exact"/>
        <w:ind w:left="0" w:right="0" w:firstLine="0"/>
        <w:jc w:val="left"/>
      </w:pPr>
      <w:r>
        <w:rPr>
          <w:color w:val="000000"/>
          <w:spacing w:val="0"/>
          <w:w w:val="100"/>
          <w:position w:val="0"/>
          <w:sz w:val="18"/>
          <w:szCs w:val="18"/>
        </w:rPr>
        <w:t>（2）</w:t>
      </w:r>
      <w:r>
        <w:rPr>
          <w:color w:val="000000"/>
          <w:spacing w:val="0"/>
          <w:w w:val="100"/>
          <w:position w:val="0"/>
        </w:rPr>
        <w:t>金融资产分类和计量</w:t>
      </w:r>
    </w:p>
    <w:p>
      <w:pPr>
        <w:pStyle w:val="Style36"/>
        <w:keepNext w:val="0"/>
        <w:keepLines w:val="0"/>
        <w:widowControl w:val="0"/>
        <w:shd w:val="clear" w:color="auto" w:fill="auto"/>
        <w:bidi w:val="0"/>
        <w:spacing w:before="0" w:after="260" w:line="314" w:lineRule="exact"/>
        <w:ind w:left="0" w:right="0" w:firstLine="0"/>
        <w:jc w:val="left"/>
      </w:pPr>
      <w:r>
        <w:rPr>
          <w:color w:val="000000"/>
          <w:spacing w:val="0"/>
          <w:w w:val="100"/>
          <w:position w:val="0"/>
        </w:rPr>
        <w:t>本集团在初始确认时根据管理金融资产的业务模式和金融资产的合同现金流量特征，将金融资产分为以下三类：以摊余成本 计量的金融资产、以公允价值计量且其变动计入其他综合收益的金融资产、以公允价值计量且其变动计入当期损益的金融资 产。</w:t>
      </w:r>
    </w:p>
    <w:p>
      <w:pPr>
        <w:pStyle w:val="Style3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以摊余成本计量的金融资产</w:t>
      </w:r>
    </w:p>
    <w:p>
      <w:pPr>
        <w:pStyle w:val="Style3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本集团将同时符合下列条件且未被指定为以公允价值计量且其变动计入当期损益的金融资产，分类为以摊余成本计量的金 融资产：</w:t>
      </w:r>
    </w:p>
    <w:p>
      <w:pPr>
        <w:pStyle w:val="Style3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-本集团管理该金融资产的业务模式是以收取合同现金流量为目标；</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-该金融资产的合同条款规定，在特定日期产生的现金流量，仅为对本金和以未偿付本金金额为基础的利息的支付。</w:t>
      </w:r>
    </w:p>
    <w:p>
      <w:pPr>
        <w:pStyle w:val="Style36"/>
        <w:keepNext w:val="0"/>
        <w:keepLines w:val="0"/>
        <w:widowControl w:val="0"/>
        <w:shd w:val="clear" w:color="auto" w:fill="auto"/>
        <w:bidi w:val="0"/>
        <w:spacing w:before="0" w:after="260" w:line="312" w:lineRule="exact"/>
        <w:ind w:left="0" w:right="0" w:firstLine="0"/>
        <w:jc w:val="both"/>
      </w:pPr>
      <w:r>
        <w:rPr>
          <w:color w:val="000000"/>
          <w:spacing w:val="0"/>
          <w:w w:val="100"/>
          <w:position w:val="0"/>
        </w:rPr>
        <w:t>初始确认后，对于该类金融资产采用实际利率法以摊余成本计量。以摊余成本计量且不属于任何套期关系的一部分的金融资 产所产生的利得或损失，在终止确认、按照实际利率法摊销或确认减值时，计入当期损益。</w:t>
      </w:r>
    </w:p>
    <w:p>
      <w:pPr>
        <w:pStyle w:val="Style36"/>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以公允价值计量且其变动计入其他综合收益的金融资产</w:t>
      </w:r>
    </w:p>
    <w:p>
      <w:pPr>
        <w:pStyle w:val="Style36"/>
        <w:keepNext w:val="0"/>
        <w:keepLines w:val="0"/>
        <w:widowControl w:val="0"/>
        <w:shd w:val="clear" w:color="auto" w:fill="auto"/>
        <w:bidi w:val="0"/>
        <w:spacing w:before="0" w:after="140" w:line="326" w:lineRule="exact"/>
        <w:ind w:left="0" w:right="0" w:firstLine="0"/>
        <w:jc w:val="both"/>
      </w:pPr>
      <w:r>
        <w:rPr>
          <w:color w:val="000000"/>
          <w:spacing w:val="0"/>
          <w:w w:val="100"/>
          <w:position w:val="0"/>
        </w:rPr>
        <w:t>本集团将同时符合下列条件且未被指定为以公允价值计量且其变动计入当期损益的金融资产，分类为以公允价值计量且其 变动计入其他综合收益的金融资产：</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-本集团管理该金融资产的业务模式既以收取合同现金流量为目标又以出售该金融资产为目标；</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-该金融资产的合同条款规定，在特定日期产生的现金流量，仅为对本金和以未偿付本金金额为基础的利息的支付。</w:t>
      </w:r>
    </w:p>
    <w:p>
      <w:pPr>
        <w:pStyle w:val="Style36"/>
        <w:keepNext w:val="0"/>
        <w:keepLines w:val="0"/>
        <w:widowControl w:val="0"/>
        <w:shd w:val="clear" w:color="auto" w:fill="auto"/>
        <w:bidi w:val="0"/>
        <w:spacing w:before="0" w:after="260" w:line="310" w:lineRule="exact"/>
        <w:ind w:left="0" w:right="0" w:firstLine="0"/>
        <w:jc w:val="both"/>
      </w:pPr>
      <w:r>
        <w:rPr>
          <w:color w:val="000000"/>
          <w:spacing w:val="0"/>
          <w:w w:val="100"/>
          <w:position w:val="0"/>
        </w:rPr>
        <w:t>初始确认后，对于该类金融资产以公允价值进行后续计量。采用实际利率法计算的利息、减值损失或利得及汇兑损益计入当 期损益，其他利得或损失计入其他综合收益。终止确认时，将之前计入其他综合收益的累计利得或损失从其他综合收益中转 出，计入当期损益。</w:t>
      </w:r>
    </w:p>
    <w:p>
      <w:pPr>
        <w:pStyle w:val="Style36"/>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以公允价值计量且其变动计入当期损益的金融资产</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除上述以摊余成本计量和以公允价值计量且其变动计入其他综合收益的金融资产外，本集团将其余所有的金融资产分类为 以公允价值计量且其变动计入当期损益的金融资产。在初始确认时，为消除或显著减少会计错配，本集团将部分本应以摊余 成本计量或以公允价值计量且其变动计入其他综合收益的金融资产不可撤销地指定为以公允价值计量且其变动计入当期损 益的金融资产。</w:t>
      </w:r>
    </w:p>
    <w:p>
      <w:pPr>
        <w:pStyle w:val="Style3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初始确认后，对于该类金融资产以公允价值进行后续计量，产生的利得或损失（包括利息和股利收入）计入当期损益，除非 该金融资产属于套期关系的一部分。</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管理金融资产的业务模式，是指本集团如何管理金融资产以产生现金流量。业务模式决定本集团所管理金融资产现金流量的 来源是收取合同现金流量、出售金融资产还是两者兼有。本集团以客观事实为依据、以关键管理人员决定的对金融资产进行 管理的特定业务目标为基础，确定管理金融资产的业务模式。</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本集团对金融资产的合同现金流量特征进行评估，以确定相关金融资产在特定日期产生的合同现金流量是否仅为对本金和 以未偿付本金金额为基础的利息的支付。其中，本金是指金融资产在初始确认时的公允价值；利息包括对货币时间价值、与 特定时期未偿付本金金额相关的信用风险、以及其他基本借贷风险、成本和利润的对价。此外，本集团对可能导致金融资产 合同现金流量的时间分布或金额发生变更的合同条款进行评估，以确定其是否满足上述合同现金流量特征的要求。</w:t>
      </w:r>
    </w:p>
    <w:p>
      <w:pPr>
        <w:pStyle w:val="Style3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仅在本集团改变管理金融资产的业务模式时，所有受影响的相关金融资产在业务模式发生变更后的首个报告期间的第一天 进行重分类，否则金融资产在初始确认后不得进行重分类。</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金融资产在初始确认时以公允价值计量。对于以公允价值计量且其变动计入当期损益的金融资产，相关交易费用直接计入当 期损益；对于其他类别的金融资产，相关交易费用计入初始确认金额。因销售产品或提供劳务而产生的、未包含或不考虑重 大融资成分的应收账款，本集团按照预期有权收取的对价金额作为初始确认金额。</w:t>
      </w:r>
    </w:p>
    <w:p>
      <w:pPr>
        <w:pStyle w:val="Style36"/>
        <w:keepNext w:val="0"/>
        <w:keepLines w:val="0"/>
        <w:widowControl w:val="0"/>
        <w:shd w:val="clear" w:color="auto" w:fill="auto"/>
        <w:tabs>
          <w:tab w:pos="442" w:val="left"/>
        </w:tabs>
        <w:bidi w:val="0"/>
        <w:spacing w:before="0" w:after="140" w:line="312" w:lineRule="exact"/>
        <w:ind w:left="0" w:right="0" w:firstLine="0"/>
        <w:jc w:val="both"/>
      </w:pPr>
      <w:bookmarkStart w:id="837" w:name="bookmark837"/>
      <w:r>
        <w:rPr>
          <w:color w:val="000000"/>
          <w:spacing w:val="0"/>
          <w:w w:val="100"/>
          <w:position w:val="0"/>
          <w:sz w:val="18"/>
          <w:szCs w:val="18"/>
        </w:rPr>
        <w:t>（</w:t>
      </w:r>
      <w:bookmarkEnd w:id="837"/>
      <w:r>
        <w:rPr>
          <w:color w:val="000000"/>
          <w:spacing w:val="0"/>
          <w:w w:val="100"/>
          <w:position w:val="0"/>
          <w:sz w:val="18"/>
          <w:szCs w:val="18"/>
        </w:rPr>
        <w:t>3）</w:t>
        <w:tab/>
      </w:r>
      <w:r>
        <w:rPr>
          <w:color w:val="000000"/>
          <w:spacing w:val="0"/>
          <w:w w:val="100"/>
          <w:position w:val="0"/>
        </w:rPr>
        <w:t>金融负债分类和计量</w:t>
      </w:r>
    </w:p>
    <w:p>
      <w:pPr>
        <w:pStyle w:val="Style36"/>
        <w:keepNext w:val="0"/>
        <w:keepLines w:val="0"/>
        <w:widowControl w:val="0"/>
        <w:shd w:val="clear" w:color="auto" w:fill="auto"/>
        <w:bidi w:val="0"/>
        <w:spacing w:before="0" w:after="260" w:line="312" w:lineRule="exact"/>
        <w:ind w:left="0" w:right="0" w:firstLine="0"/>
        <w:jc w:val="both"/>
      </w:pPr>
      <w:r>
        <w:rPr>
          <w:color w:val="000000"/>
          <w:spacing w:val="0"/>
          <w:w w:val="100"/>
          <w:position w:val="0"/>
        </w:rPr>
        <w:t>本集团的金融负债于初始确认时分类为：以公允价值计量且其变动计入当期损益的金融负债、以摊余成本计量的金融负债。 对于未划分为以公允价值计量且其变动计入当期损益的金融负债的，相关交易费用计入其初始确认金额。</w:t>
      </w:r>
    </w:p>
    <w:p>
      <w:pPr>
        <w:pStyle w:val="Style36"/>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以公允价值计量且其变动计入当期损益的金融负债</w:t>
      </w:r>
    </w:p>
    <w:p>
      <w:pPr>
        <w:pStyle w:val="Style36"/>
        <w:keepNext w:val="0"/>
        <w:keepLines w:val="0"/>
        <w:widowControl w:val="0"/>
        <w:shd w:val="clear" w:color="auto" w:fill="auto"/>
        <w:bidi w:val="0"/>
        <w:spacing w:before="0" w:after="260" w:line="312" w:lineRule="exact"/>
        <w:ind w:left="0" w:right="0" w:firstLine="0"/>
        <w:jc w:val="both"/>
      </w:pPr>
      <w:r>
        <w:rPr>
          <w:color w:val="000000"/>
          <w:spacing w:val="0"/>
          <w:w w:val="100"/>
          <w:position w:val="0"/>
        </w:rPr>
        <w:t>以公允价值计量且其变动计入当期损益的金融负债，包括交易性金融负债和初始确认时指定为以公允价值计量且其变动计 入当期损益的金融负债。对于此类金融负债，按照公允价值进行后续计量，公允价值变动形成的利得或损失以及与该等金融 负债相关的股利和利息支出计入当期损益。</w:t>
      </w:r>
    </w:p>
    <w:p>
      <w:pPr>
        <w:pStyle w:val="Style36"/>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以摊余成本计量的金融负债</w:t>
      </w:r>
    </w:p>
    <w:p>
      <w:pPr>
        <w:pStyle w:val="Style36"/>
        <w:keepNext w:val="0"/>
        <w:keepLines w:val="0"/>
        <w:widowControl w:val="0"/>
        <w:shd w:val="clear" w:color="auto" w:fill="auto"/>
        <w:bidi w:val="0"/>
        <w:spacing w:before="0" w:after="260" w:line="312" w:lineRule="exact"/>
        <w:ind w:left="0" w:right="0" w:firstLine="0"/>
        <w:jc w:val="both"/>
      </w:pPr>
      <w:r>
        <w:rPr>
          <w:color w:val="000000"/>
          <w:spacing w:val="0"/>
          <w:w w:val="100"/>
          <w:position w:val="0"/>
        </w:rPr>
        <w:t>其他金融负债采用实际利率法，按摊余成本进行后续计量，终止确认或摊销产生的利得或损失计入当期损益。</w:t>
      </w:r>
    </w:p>
    <w:p>
      <w:pPr>
        <w:pStyle w:val="Style36"/>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金融负债与权益工具的区分</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金融负债，是指符合下列条件之一的负债：</w:t>
      </w:r>
    </w:p>
    <w:p>
      <w:pPr>
        <w:pStyle w:val="Style36"/>
        <w:keepNext w:val="0"/>
        <w:keepLines w:val="0"/>
        <w:widowControl w:val="0"/>
        <w:numPr>
          <w:ilvl w:val="0"/>
          <w:numId w:val="25"/>
        </w:numPr>
        <w:shd w:val="clear" w:color="auto" w:fill="auto"/>
        <w:tabs>
          <w:tab w:pos="370" w:val="left"/>
        </w:tabs>
        <w:bidi w:val="0"/>
        <w:spacing w:before="0" w:after="140" w:line="312" w:lineRule="exact"/>
        <w:ind w:left="0" w:right="0" w:firstLine="0"/>
        <w:jc w:val="both"/>
      </w:pPr>
      <w:bookmarkStart w:id="838" w:name="bookmark838"/>
      <w:bookmarkEnd w:id="838"/>
      <w:r>
        <w:rPr>
          <w:color w:val="000000"/>
          <w:spacing w:val="0"/>
          <w:w w:val="100"/>
          <w:position w:val="0"/>
        </w:rPr>
        <w:t>向其他方交付现金或其他金融资产的合同义务。</w:t>
      </w:r>
    </w:p>
    <w:p>
      <w:pPr>
        <w:pStyle w:val="Style36"/>
        <w:keepNext w:val="0"/>
        <w:keepLines w:val="0"/>
        <w:widowControl w:val="0"/>
        <w:numPr>
          <w:ilvl w:val="0"/>
          <w:numId w:val="25"/>
        </w:numPr>
        <w:shd w:val="clear" w:color="auto" w:fill="auto"/>
        <w:tabs>
          <w:tab w:pos="370" w:val="left"/>
        </w:tabs>
        <w:bidi w:val="0"/>
        <w:spacing w:before="0" w:after="140" w:line="312" w:lineRule="exact"/>
        <w:ind w:left="0" w:right="0" w:firstLine="0"/>
        <w:jc w:val="both"/>
      </w:pPr>
      <w:bookmarkStart w:id="839" w:name="bookmark839"/>
      <w:bookmarkEnd w:id="839"/>
      <w:r>
        <w:rPr>
          <w:color w:val="000000"/>
          <w:spacing w:val="0"/>
          <w:w w:val="100"/>
          <w:position w:val="0"/>
        </w:rPr>
        <w:t>在潜在不利条件下，与其他方交换金融资产或金融负债的合同义务。</w:t>
      </w:r>
    </w:p>
    <w:p>
      <w:pPr>
        <w:pStyle w:val="Style36"/>
        <w:keepNext w:val="0"/>
        <w:keepLines w:val="0"/>
        <w:widowControl w:val="0"/>
        <w:numPr>
          <w:ilvl w:val="0"/>
          <w:numId w:val="25"/>
        </w:numPr>
        <w:shd w:val="clear" w:color="auto" w:fill="auto"/>
        <w:tabs>
          <w:tab w:pos="370" w:val="left"/>
        </w:tabs>
        <w:bidi w:val="0"/>
        <w:spacing w:before="0" w:after="140" w:line="312" w:lineRule="exact"/>
        <w:ind w:left="0" w:right="0" w:firstLine="0"/>
        <w:jc w:val="both"/>
      </w:pPr>
      <w:bookmarkStart w:id="840" w:name="bookmark840"/>
      <w:bookmarkEnd w:id="840"/>
      <w:r>
        <w:rPr>
          <w:color w:val="000000"/>
          <w:spacing w:val="0"/>
          <w:w w:val="100"/>
          <w:position w:val="0"/>
        </w:rPr>
        <w:t>将来须用或可用企业自身权益工具进行结算的非衍生工具合同，且企业根据该合同将交付可变数量的自身权益工具。</w:t>
      </w:r>
    </w:p>
    <w:p>
      <w:pPr>
        <w:pStyle w:val="Style36"/>
        <w:keepNext w:val="0"/>
        <w:keepLines w:val="0"/>
        <w:widowControl w:val="0"/>
        <w:numPr>
          <w:ilvl w:val="0"/>
          <w:numId w:val="25"/>
        </w:numPr>
        <w:shd w:val="clear" w:color="auto" w:fill="auto"/>
        <w:tabs>
          <w:tab w:pos="370" w:val="left"/>
        </w:tabs>
        <w:bidi w:val="0"/>
        <w:spacing w:before="0" w:after="140" w:line="312" w:lineRule="exact"/>
        <w:ind w:left="0" w:right="0" w:firstLine="0"/>
        <w:jc w:val="both"/>
      </w:pPr>
      <w:bookmarkStart w:id="841" w:name="bookmark841"/>
      <w:bookmarkEnd w:id="841"/>
      <w:r>
        <w:rPr>
          <w:color w:val="000000"/>
          <w:spacing w:val="0"/>
          <w:w w:val="100"/>
          <w:position w:val="0"/>
        </w:rPr>
        <w:t>将来须用或可用企业自身权益工具进行结算的衍生工具合同，但以固定数量的自身权益工具交换固定金额的现金或其他 金融资产的衍生工具合同除外。</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权益工具，是指能证明拥有某个企业在扣除所有负债后的资产中剩余权益的合同。</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如果本集团不能无条件地避免以交付现金或其他金融资产来履行一项合同义务，则该合同义务符合金融负债的定义。</w:t>
      </w:r>
    </w:p>
    <w:p>
      <w:pPr>
        <w:pStyle w:val="Style36"/>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如果一项金融工具须用或可用本集团自身权益工具进行结算，需要考虑用于结算该工具的本集团自身权益工具，是作为现金 或其他金融资产的替代品，还是为了使该工具持有方享有在发行方扣除所有负债后的资产中的剩余权益。如果是前者，该工 具是本集团的金融负债；如果是后者，该工具是本集团的权益工具。</w:t>
      </w:r>
    </w:p>
    <w:p>
      <w:pPr>
        <w:pStyle w:val="Style36"/>
        <w:keepNext w:val="0"/>
        <w:keepLines w:val="0"/>
        <w:widowControl w:val="0"/>
        <w:shd w:val="clear" w:color="auto" w:fill="auto"/>
        <w:tabs>
          <w:tab w:pos="442" w:val="left"/>
        </w:tabs>
        <w:bidi w:val="0"/>
        <w:spacing w:before="0" w:after="140" w:line="312" w:lineRule="exact"/>
        <w:ind w:left="0" w:right="0" w:firstLine="0"/>
        <w:jc w:val="both"/>
      </w:pPr>
      <w:bookmarkStart w:id="842" w:name="bookmark842"/>
      <w:r>
        <w:rPr>
          <w:color w:val="000000"/>
          <w:spacing w:val="0"/>
          <w:w w:val="100"/>
          <w:position w:val="0"/>
          <w:sz w:val="18"/>
          <w:szCs w:val="18"/>
        </w:rPr>
        <w:t>（</w:t>
      </w:r>
      <w:bookmarkEnd w:id="842"/>
      <w:r>
        <w:rPr>
          <w:color w:val="000000"/>
          <w:spacing w:val="0"/>
          <w:w w:val="100"/>
          <w:position w:val="0"/>
          <w:sz w:val="18"/>
          <w:szCs w:val="18"/>
        </w:rPr>
        <w:t>4）</w:t>
        <w:tab/>
      </w:r>
      <w:r>
        <w:rPr>
          <w:color w:val="000000"/>
          <w:spacing w:val="0"/>
          <w:w w:val="100"/>
          <w:position w:val="0"/>
        </w:rPr>
        <w:t>金融工具的公允价值</w:t>
      </w:r>
    </w:p>
    <w:p>
      <w:pPr>
        <w:pStyle w:val="Style3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金融资产和金融负债的公允价值确定方法见附注三、</w:t>
      </w:r>
      <w:r>
        <w:rPr>
          <w:color w:val="000000"/>
          <w:spacing w:val="0"/>
          <w:w w:val="100"/>
          <w:position w:val="0"/>
          <w:sz w:val="18"/>
          <w:szCs w:val="18"/>
        </w:rPr>
        <w:t>10</w:t>
      </w:r>
      <w:r>
        <w:rPr>
          <w:color w:val="000000"/>
          <w:spacing w:val="0"/>
          <w:w w:val="100"/>
          <w:position w:val="0"/>
        </w:rPr>
        <w:t>。</w:t>
      </w:r>
    </w:p>
    <w:p>
      <w:pPr>
        <w:pStyle w:val="Style36"/>
        <w:keepNext w:val="0"/>
        <w:keepLines w:val="0"/>
        <w:widowControl w:val="0"/>
        <w:shd w:val="clear" w:color="auto" w:fill="auto"/>
        <w:bidi w:val="0"/>
        <w:spacing w:before="0" w:after="140" w:line="312" w:lineRule="exact"/>
        <w:ind w:left="0" w:right="0" w:firstLine="0"/>
        <w:jc w:val="both"/>
      </w:pPr>
      <w:bookmarkStart w:id="843" w:name="bookmark843"/>
      <w:r>
        <w:rPr>
          <w:color w:val="000000"/>
          <w:spacing w:val="0"/>
          <w:w w:val="100"/>
          <w:position w:val="0"/>
          <w:sz w:val="18"/>
          <w:szCs w:val="18"/>
        </w:rPr>
        <w:t>（</w:t>
      </w:r>
      <w:bookmarkEnd w:id="843"/>
      <w:r>
        <w:rPr>
          <w:color w:val="000000"/>
          <w:spacing w:val="0"/>
          <w:w w:val="100"/>
          <w:position w:val="0"/>
          <w:sz w:val="18"/>
          <w:szCs w:val="18"/>
        </w:rPr>
        <w:t>5）</w:t>
      </w:r>
      <w:r>
        <w:rPr>
          <w:color w:val="000000"/>
          <w:spacing w:val="0"/>
          <w:w w:val="100"/>
          <w:position w:val="0"/>
        </w:rPr>
        <w:t>金融资产减值</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本集团以预期信用损失为基础，对下列项目进行减值会计处理并确认损失准备：</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-以摊余成本计量的金融资产；</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-以公允价值计量且其变动计入其他综合收益的应收款项和债权投资；</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-《企业会计准则第</w:t>
      </w:r>
      <w:r>
        <w:rPr>
          <w:color w:val="000000"/>
          <w:spacing w:val="0"/>
          <w:w w:val="100"/>
          <w:position w:val="0"/>
          <w:sz w:val="18"/>
          <w:szCs w:val="18"/>
        </w:rPr>
        <w:t>14</w:t>
      </w:r>
      <w:r>
        <w:rPr>
          <w:color w:val="000000"/>
          <w:spacing w:val="0"/>
          <w:w w:val="100"/>
          <w:position w:val="0"/>
        </w:rPr>
        <w:t>号一一收入》定义的合同资产；</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-租赁应收款；</w:t>
      </w:r>
    </w:p>
    <w:p>
      <w:pPr>
        <w:pStyle w:val="Style36"/>
        <w:keepNext w:val="0"/>
        <w:keepLines w:val="0"/>
        <w:widowControl w:val="0"/>
        <w:shd w:val="clear" w:color="auto" w:fill="auto"/>
        <w:bidi w:val="0"/>
        <w:spacing w:before="0" w:after="260" w:line="312" w:lineRule="exact"/>
        <w:ind w:left="380" w:right="0" w:hanging="380"/>
        <w:jc w:val="both"/>
      </w:pPr>
      <w:r>
        <w:rPr>
          <w:color w:val="000000"/>
          <w:spacing w:val="0"/>
          <w:w w:val="100"/>
          <w:position w:val="0"/>
        </w:rPr>
        <w:t>-财务担保合同（以公允价值计量且其变动计入当期损益、金融资产转移不符合终止确认条件或继续涉入被转移金融资 产所形成的除外）。</w:t>
      </w:r>
    </w:p>
    <w:p>
      <w:pPr>
        <w:pStyle w:val="Style36"/>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预期信用损失的计量</w:t>
      </w:r>
    </w:p>
    <w:p>
      <w:pPr>
        <w:pStyle w:val="Style36"/>
        <w:keepNext w:val="0"/>
        <w:keepLines w:val="0"/>
        <w:widowControl w:val="0"/>
        <w:shd w:val="clear" w:color="auto" w:fill="auto"/>
        <w:bidi w:val="0"/>
        <w:spacing w:before="0" w:after="140" w:line="307" w:lineRule="exact"/>
        <w:ind w:left="0" w:right="0" w:firstLine="0"/>
        <w:jc w:val="both"/>
      </w:pPr>
      <w:r>
        <w:rPr>
          <w:color w:val="000000"/>
          <w:spacing w:val="0"/>
          <w:w w:val="100"/>
          <w:position w:val="0"/>
        </w:rPr>
        <w:t>预期信用损失，是指以发生违约的风险为权重的金融工具信用损失的加权平均值。信用损失，是指本集团按照原实际利率折 现的、根据合同应收的所有合同现金流量与预期收取的所有现金流量之间的差额，即全部现金短缺的现值。</w:t>
      </w:r>
    </w:p>
    <w:p>
      <w:pPr>
        <w:pStyle w:val="Style36"/>
        <w:keepNext w:val="0"/>
        <w:keepLines w:val="0"/>
        <w:widowControl w:val="0"/>
        <w:shd w:val="clear" w:color="auto" w:fill="auto"/>
        <w:bidi w:val="0"/>
        <w:spacing w:before="0" w:after="140" w:line="307" w:lineRule="exact"/>
        <w:ind w:left="0" w:right="0" w:firstLine="0"/>
        <w:jc w:val="both"/>
      </w:pPr>
      <w:r>
        <w:rPr>
          <w:color w:val="000000"/>
          <w:spacing w:val="0"/>
          <w:w w:val="100"/>
          <w:position w:val="0"/>
        </w:rPr>
        <w:t>本公司考虑有关过去事项、当前状况以及对未来经济状况的预测等合理且有依据的信息，以发生违约的风险为权重，计算合 同应收的现金流量与预期能收到的现金流量之间差额的现值的概率加权金额，确认预期信用损失。</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本集团对于处于不同阶段的金融工具的预期信用损失分别进行计量。金融工具自初始确认后信用风险未显著增加的，处于第 一阶段，本集团按照未来</w:t>
      </w:r>
      <w:r>
        <w:rPr>
          <w:color w:val="000000"/>
          <w:spacing w:val="0"/>
          <w:w w:val="100"/>
          <w:position w:val="0"/>
          <w:sz w:val="18"/>
          <w:szCs w:val="18"/>
        </w:rPr>
        <w:t>12</w:t>
      </w:r>
      <w:r>
        <w:rPr>
          <w:color w:val="000000"/>
          <w:spacing w:val="0"/>
          <w:w w:val="100"/>
          <w:position w:val="0"/>
        </w:rPr>
        <w:t>个月内的预期信用损失计量损失准备；金融工具自初始确认后信用风险已显著增加但尚未发生信 用减值的，处于第二阶段，本集团按照该工具整个存续期的预期信用损失计量损失准备；金融工具自初始确认后已经发生信 用减值的，处于第三阶段，本集团按照该工具整个存续期的预期信用损失计量损失准备。</w:t>
      </w:r>
    </w:p>
    <w:p>
      <w:pPr>
        <w:pStyle w:val="Style3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对于在资产负债表日具有较低信用风险的金融工具，本集团假设其信用风险自初始确认后并未显著增加，按照未来</w:t>
      </w:r>
      <w:r>
        <w:rPr>
          <w:color w:val="000000"/>
          <w:spacing w:val="0"/>
          <w:w w:val="100"/>
          <w:position w:val="0"/>
          <w:sz w:val="18"/>
          <w:szCs w:val="18"/>
        </w:rPr>
        <w:t>12</w:t>
      </w:r>
      <w:r>
        <w:rPr>
          <w:color w:val="000000"/>
          <w:spacing w:val="0"/>
          <w:w w:val="100"/>
          <w:position w:val="0"/>
        </w:rPr>
        <w:t>个月内 的预期信用损失计量损失准备。</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整个存续期预期信用损失，是指因金融工具整个预计存续期内所有可能发生的违约事件而导致的预期信用损失。未来</w:t>
      </w:r>
      <w:r>
        <w:rPr>
          <w:color w:val="000000"/>
          <w:spacing w:val="0"/>
          <w:w w:val="100"/>
          <w:position w:val="0"/>
          <w:sz w:val="18"/>
          <w:szCs w:val="18"/>
        </w:rPr>
        <w:t>12</w:t>
      </w:r>
      <w:r>
        <w:rPr>
          <w:color w:val="000000"/>
          <w:spacing w:val="0"/>
          <w:w w:val="100"/>
          <w:position w:val="0"/>
        </w:rPr>
        <w:t>个月 内预期信用损失，是指因资产负债表日后</w:t>
      </w:r>
      <w:r>
        <w:rPr>
          <w:color w:val="000000"/>
          <w:spacing w:val="0"/>
          <w:w w:val="100"/>
          <w:position w:val="0"/>
          <w:sz w:val="18"/>
          <w:szCs w:val="18"/>
        </w:rPr>
        <w:t>12</w:t>
      </w:r>
      <w:r>
        <w:rPr>
          <w:color w:val="000000"/>
          <w:spacing w:val="0"/>
          <w:w w:val="100"/>
          <w:position w:val="0"/>
        </w:rPr>
        <w:t>个月内（若金融工具的预计存续期少于</w:t>
      </w:r>
      <w:r>
        <w:rPr>
          <w:color w:val="000000"/>
          <w:spacing w:val="0"/>
          <w:w w:val="100"/>
          <w:position w:val="0"/>
          <w:sz w:val="18"/>
          <w:szCs w:val="18"/>
        </w:rPr>
        <w:t>12</w:t>
      </w:r>
      <w:r>
        <w:rPr>
          <w:color w:val="000000"/>
          <w:spacing w:val="0"/>
          <w:w w:val="100"/>
          <w:position w:val="0"/>
        </w:rPr>
        <w:t>个月，则为预计存续期）可能发生的金 融工具违约事件而导致的预期信用损失，是整个存续期预期信用损失的一部分。</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在计量预期信用损失时，本集团需考虑的最长期限为企业面临信用风险的最长合同期限（包括考虑续约选择权）。</w:t>
      </w:r>
    </w:p>
    <w:p>
      <w:pPr>
        <w:pStyle w:val="Style36"/>
        <w:keepNext w:val="0"/>
        <w:keepLines w:val="0"/>
        <w:widowControl w:val="0"/>
        <w:shd w:val="clear" w:color="auto" w:fill="auto"/>
        <w:bidi w:val="0"/>
        <w:spacing w:before="0" w:after="140" w:line="307" w:lineRule="exact"/>
        <w:ind w:left="0" w:right="0" w:firstLine="0"/>
        <w:jc w:val="both"/>
      </w:pPr>
      <w:r>
        <w:rPr>
          <w:color w:val="000000"/>
          <w:spacing w:val="0"/>
          <w:w w:val="100"/>
          <w:position w:val="0"/>
        </w:rPr>
        <w:t>本集团对于处于第一阶段和第二阶段、以及较低信用风险的金融工具，按照其未扣除减值准备的账面余额和实际利率计算利 息收入。对于处于第三阶段的金融工具，按照其账面余额减已计提减值准备后的摊余成本和实际利率计算利息收入。</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对于应收票据、应收账款、合同资产，无论是否存在重大融资成分，本集团始终按照相当于整个存续期内预期信用损失的金 额计量其损失准备。</w:t>
      </w:r>
    </w:p>
    <w:p>
      <w:pPr>
        <w:pStyle w:val="Style36"/>
        <w:keepNext w:val="0"/>
        <w:keepLines w:val="0"/>
        <w:widowControl w:val="0"/>
        <w:shd w:val="clear" w:color="auto" w:fill="auto"/>
        <w:bidi w:val="0"/>
        <w:spacing w:before="0" w:after="140" w:line="307" w:lineRule="exact"/>
        <w:ind w:left="0" w:right="0" w:firstLine="0"/>
        <w:jc w:val="both"/>
      </w:pPr>
      <w:r>
        <w:rPr>
          <w:color w:val="000000"/>
          <w:spacing w:val="0"/>
          <w:w w:val="100"/>
          <w:position w:val="0"/>
        </w:rPr>
        <w:t>当单项金融资产无法以合理成本评估预期信用损失的信息时，本集团依据信用风险特征对应收票据和应收账款划分组合，在 组合基础上计算预期信用损失，确定组合的依据如下：</w:t>
      </w:r>
    </w:p>
    <w:p>
      <w:pPr>
        <w:pStyle w:val="Style36"/>
        <w:keepNext w:val="0"/>
        <w:keepLines w:val="0"/>
        <w:widowControl w:val="0"/>
        <w:shd w:val="clear" w:color="auto" w:fill="auto"/>
        <w:bidi w:val="0"/>
        <w:spacing w:before="0" w:after="140" w:line="312" w:lineRule="exact"/>
        <w:ind w:left="0" w:right="0" w:firstLine="0"/>
        <w:jc w:val="both"/>
      </w:pPr>
      <w:bookmarkStart w:id="844" w:name="bookmark844"/>
      <w:r>
        <w:rPr>
          <w:color w:val="000000"/>
          <w:spacing w:val="0"/>
          <w:w w:val="100"/>
          <w:position w:val="0"/>
          <w:sz w:val="18"/>
          <w:szCs w:val="18"/>
        </w:rPr>
        <w:t>A</w:t>
      </w:r>
      <w:bookmarkEnd w:id="844"/>
      <w:r>
        <w:rPr>
          <w:color w:val="000000"/>
          <w:spacing w:val="0"/>
          <w:w w:val="100"/>
          <w:position w:val="0"/>
        </w:rPr>
        <w:t>、</w:t>
      </w:r>
      <w:r>
        <w:rPr>
          <w:color w:val="000000"/>
          <w:spacing w:val="0"/>
          <w:w w:val="100"/>
          <w:position w:val="0"/>
        </w:rPr>
        <w:t>应收票据</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-应收票据组合</w:t>
      </w:r>
      <w:r>
        <w:rPr>
          <w:color w:val="000000"/>
          <w:spacing w:val="0"/>
          <w:w w:val="100"/>
          <w:position w:val="0"/>
          <w:sz w:val="18"/>
          <w:szCs w:val="18"/>
        </w:rPr>
        <w:t>1：</w:t>
      </w:r>
      <w:r>
        <w:rPr>
          <w:color w:val="000000"/>
          <w:spacing w:val="0"/>
          <w:w w:val="100"/>
          <w:position w:val="0"/>
        </w:rPr>
        <w:t>银行承兑汇票</w:t>
      </w:r>
    </w:p>
    <w:p>
      <w:pPr>
        <w:pStyle w:val="Style36"/>
        <w:keepNext w:val="0"/>
        <w:keepLines w:val="0"/>
        <w:widowControl w:val="0"/>
        <w:shd w:val="clear" w:color="auto" w:fill="auto"/>
        <w:bidi w:val="0"/>
        <w:spacing w:before="0" w:after="260" w:line="312" w:lineRule="exact"/>
        <w:ind w:left="0" w:right="0" w:firstLine="0"/>
        <w:jc w:val="both"/>
      </w:pPr>
      <w:r>
        <w:rPr>
          <w:color w:val="000000"/>
          <w:spacing w:val="0"/>
          <w:w w:val="100"/>
          <w:position w:val="0"/>
        </w:rPr>
        <w:t>-应收票据组合</w:t>
      </w:r>
      <w:r>
        <w:rPr>
          <w:color w:val="000000"/>
          <w:spacing w:val="0"/>
          <w:w w:val="100"/>
          <w:position w:val="0"/>
          <w:sz w:val="18"/>
          <w:szCs w:val="18"/>
        </w:rPr>
        <w:t>2：</w:t>
      </w:r>
      <w:r>
        <w:rPr>
          <w:color w:val="000000"/>
          <w:spacing w:val="0"/>
          <w:w w:val="100"/>
          <w:position w:val="0"/>
        </w:rPr>
        <w:t>商业承兑汇票</w:t>
      </w:r>
    </w:p>
    <w:p>
      <w:pPr>
        <w:pStyle w:val="Style36"/>
        <w:keepNext w:val="0"/>
        <w:keepLines w:val="0"/>
        <w:widowControl w:val="0"/>
        <w:shd w:val="clear" w:color="auto" w:fill="auto"/>
        <w:bidi w:val="0"/>
        <w:spacing w:before="0" w:after="140" w:line="240" w:lineRule="auto"/>
        <w:ind w:left="0" w:right="0" w:firstLine="0"/>
        <w:jc w:val="both"/>
      </w:pPr>
      <w:bookmarkStart w:id="845" w:name="bookmark845"/>
      <w:r>
        <w:rPr>
          <w:color w:val="000000"/>
          <w:spacing w:val="0"/>
          <w:w w:val="100"/>
          <w:position w:val="0"/>
          <w:sz w:val="18"/>
          <w:szCs w:val="18"/>
        </w:rPr>
        <w:t>B</w:t>
      </w:r>
      <w:bookmarkEnd w:id="845"/>
      <w:r>
        <w:rPr>
          <w:color w:val="000000"/>
          <w:spacing w:val="0"/>
          <w:w w:val="100"/>
          <w:position w:val="0"/>
        </w:rPr>
        <w:t>、</w:t>
      </w:r>
      <w:r>
        <w:rPr>
          <w:color w:val="000000"/>
          <w:spacing w:val="0"/>
          <w:w w:val="100"/>
          <w:position w:val="0"/>
        </w:rPr>
        <w:t>应收账款</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-应收账款组合</w:t>
      </w:r>
      <w:r>
        <w:rPr>
          <w:color w:val="000000"/>
          <w:spacing w:val="0"/>
          <w:w w:val="100"/>
          <w:position w:val="0"/>
          <w:sz w:val="18"/>
          <w:szCs w:val="18"/>
        </w:rPr>
        <w:t>1：</w:t>
      </w:r>
      <w:r>
        <w:rPr>
          <w:color w:val="000000"/>
          <w:spacing w:val="0"/>
          <w:w w:val="100"/>
          <w:position w:val="0"/>
        </w:rPr>
        <w:t>应收合并报表范围内客户</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-应收账款组合</w:t>
      </w:r>
      <w:r>
        <w:rPr>
          <w:color w:val="000000"/>
          <w:spacing w:val="0"/>
          <w:w w:val="100"/>
          <w:position w:val="0"/>
          <w:sz w:val="18"/>
          <w:szCs w:val="18"/>
        </w:rPr>
        <w:t>2：</w:t>
      </w:r>
      <w:r>
        <w:rPr>
          <w:color w:val="000000"/>
          <w:spacing w:val="0"/>
          <w:w w:val="100"/>
          <w:position w:val="0"/>
        </w:rPr>
        <w:t>应收政府部门、事业单位客户</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-应收账款组合</w:t>
      </w:r>
      <w:r>
        <w:rPr>
          <w:color w:val="000000"/>
          <w:spacing w:val="0"/>
          <w:w w:val="100"/>
          <w:position w:val="0"/>
          <w:sz w:val="18"/>
          <w:szCs w:val="18"/>
        </w:rPr>
        <w:t>3：</w:t>
      </w:r>
      <w:r>
        <w:rPr>
          <w:color w:val="000000"/>
          <w:spacing w:val="0"/>
          <w:w w:val="100"/>
          <w:position w:val="0"/>
        </w:rPr>
        <w:t>应收其他客户</w:t>
      </w:r>
    </w:p>
    <w:p>
      <w:pPr>
        <w:pStyle w:val="Style36"/>
        <w:keepNext w:val="0"/>
        <w:keepLines w:val="0"/>
        <w:widowControl w:val="0"/>
        <w:shd w:val="clear" w:color="auto" w:fill="auto"/>
        <w:bidi w:val="0"/>
        <w:spacing w:before="0" w:after="140" w:line="312" w:lineRule="exact"/>
        <w:ind w:left="0" w:right="0" w:firstLine="0"/>
        <w:jc w:val="both"/>
      </w:pPr>
      <w:bookmarkStart w:id="846" w:name="bookmark846"/>
      <w:r>
        <w:rPr>
          <w:color w:val="000000"/>
          <w:spacing w:val="0"/>
          <w:w w:val="100"/>
          <w:position w:val="0"/>
          <w:sz w:val="18"/>
          <w:szCs w:val="18"/>
        </w:rPr>
        <w:t>C</w:t>
      </w:r>
      <w:bookmarkEnd w:id="846"/>
      <w:r>
        <w:rPr>
          <w:color w:val="000000"/>
          <w:spacing w:val="0"/>
          <w:w w:val="100"/>
          <w:position w:val="0"/>
        </w:rPr>
        <w:t>、</w:t>
      </w:r>
      <w:r>
        <w:rPr>
          <w:color w:val="000000"/>
          <w:spacing w:val="0"/>
          <w:w w:val="100"/>
          <w:position w:val="0"/>
        </w:rPr>
        <w:t>合同资产</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-合同资产组合</w:t>
      </w:r>
      <w:r>
        <w:rPr>
          <w:color w:val="000000"/>
          <w:spacing w:val="0"/>
          <w:w w:val="100"/>
          <w:position w:val="0"/>
          <w:sz w:val="18"/>
          <w:szCs w:val="18"/>
        </w:rPr>
        <w:t>1：</w:t>
      </w:r>
      <w:r>
        <w:rPr>
          <w:color w:val="000000"/>
          <w:spacing w:val="0"/>
          <w:w w:val="100"/>
          <w:position w:val="0"/>
        </w:rPr>
        <w:t>应收合并报表范围内客户</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-合同资产组合</w:t>
      </w:r>
      <w:r>
        <w:rPr>
          <w:color w:val="000000"/>
          <w:spacing w:val="0"/>
          <w:w w:val="100"/>
          <w:position w:val="0"/>
          <w:sz w:val="18"/>
          <w:szCs w:val="18"/>
        </w:rPr>
        <w:t>2：</w:t>
      </w:r>
      <w:r>
        <w:rPr>
          <w:color w:val="000000"/>
          <w:spacing w:val="0"/>
          <w:w w:val="100"/>
          <w:position w:val="0"/>
        </w:rPr>
        <w:t>应收政府部门、事业单位客户</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-合同资产组合</w:t>
      </w:r>
      <w:r>
        <w:rPr>
          <w:color w:val="000000"/>
          <w:spacing w:val="0"/>
          <w:w w:val="100"/>
          <w:position w:val="0"/>
          <w:sz w:val="18"/>
          <w:szCs w:val="18"/>
        </w:rPr>
        <w:t>3：</w:t>
      </w:r>
      <w:r>
        <w:rPr>
          <w:color w:val="000000"/>
          <w:spacing w:val="0"/>
          <w:w w:val="100"/>
          <w:position w:val="0"/>
        </w:rPr>
        <w:t>应收其他客户</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对于划分为组合的应收票据、合同资产，本集团参考历史信用损失经验，结合当前状况以及对未来经济状况的预测，通过违 约风险敞口和整个存续期预期信用损失率，计算预期信用损失。</w:t>
      </w:r>
    </w:p>
    <w:p>
      <w:pPr>
        <w:pStyle w:val="Style36"/>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对于划分为组合的应收账款，本集团参考历史信用损失经验，结合当前状况以及对未来经济状况的预测，编制应收账款账龄 与整个存续期预期信用损失率对照表，计算预期信用损失。</w:t>
      </w:r>
    </w:p>
    <w:p>
      <w:pPr>
        <w:pStyle w:val="Style36"/>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其他应收款</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本集团依据信用风险特征将其他应收款划分为若干组合，在组合基础上计算预期信用损失，确定组合的依据如下：</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-其他应收款组合</w:t>
      </w:r>
      <w:r>
        <w:rPr>
          <w:color w:val="000000"/>
          <w:spacing w:val="0"/>
          <w:w w:val="100"/>
          <w:position w:val="0"/>
          <w:sz w:val="18"/>
          <w:szCs w:val="18"/>
        </w:rPr>
        <w:t>1：</w:t>
      </w:r>
      <w:r>
        <w:rPr>
          <w:color w:val="000000"/>
          <w:spacing w:val="0"/>
          <w:w w:val="100"/>
          <w:position w:val="0"/>
        </w:rPr>
        <w:t>应收合并报表范围内款项</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-其他应收款组合</w:t>
      </w:r>
      <w:r>
        <w:rPr>
          <w:color w:val="000000"/>
          <w:spacing w:val="0"/>
          <w:w w:val="100"/>
          <w:position w:val="0"/>
          <w:sz w:val="18"/>
          <w:szCs w:val="18"/>
        </w:rPr>
        <w:t>2：</w:t>
      </w:r>
      <w:r>
        <w:rPr>
          <w:color w:val="000000"/>
          <w:spacing w:val="0"/>
          <w:w w:val="100"/>
          <w:position w:val="0"/>
        </w:rPr>
        <w:t>应收押金、保证金</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-其他应收款组合</w:t>
      </w:r>
      <w:r>
        <w:rPr>
          <w:color w:val="000000"/>
          <w:spacing w:val="0"/>
          <w:w w:val="100"/>
          <w:position w:val="0"/>
          <w:sz w:val="18"/>
          <w:szCs w:val="18"/>
        </w:rPr>
        <w:t>3：</w:t>
      </w:r>
      <w:r>
        <w:rPr>
          <w:color w:val="000000"/>
          <w:spacing w:val="0"/>
          <w:w w:val="100"/>
          <w:position w:val="0"/>
        </w:rPr>
        <w:t>应收备用金</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-其他应收款组合</w:t>
      </w:r>
      <w:r>
        <w:rPr>
          <w:color w:val="000000"/>
          <w:spacing w:val="0"/>
          <w:w w:val="100"/>
          <w:position w:val="0"/>
          <w:sz w:val="18"/>
          <w:szCs w:val="18"/>
        </w:rPr>
        <w:t>4：</w:t>
      </w:r>
      <w:r>
        <w:rPr>
          <w:color w:val="000000"/>
          <w:spacing w:val="0"/>
          <w:w w:val="100"/>
          <w:position w:val="0"/>
        </w:rPr>
        <w:t>应收其他款项</w:t>
      </w:r>
    </w:p>
    <w:p>
      <w:pPr>
        <w:pStyle w:val="Style3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对划分为组合的其他应收款，本集团通过违约风险敞口和未来</w:t>
      </w:r>
      <w:r>
        <w:rPr>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36"/>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债权投资、其他债权投资</w:t>
      </w:r>
    </w:p>
    <w:p>
      <w:pPr>
        <w:pStyle w:val="Style36"/>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对于债权投资和其他债权投资，本集团按照投资的性质，根据交易对手和风险敞口的各种类型，通过违约风险敞口和未来</w:t>
      </w:r>
      <w:r>
        <w:rPr>
          <w:color w:val="000000"/>
          <w:spacing w:val="0"/>
          <w:w w:val="100"/>
          <w:position w:val="0"/>
          <w:sz w:val="18"/>
          <w:szCs w:val="18"/>
        </w:rPr>
        <w:t xml:space="preserve">12 </w:t>
      </w:r>
      <w:r>
        <w:rPr>
          <w:color w:val="000000"/>
          <w:spacing w:val="0"/>
          <w:w w:val="100"/>
          <w:position w:val="0"/>
        </w:rPr>
        <w:t>个月内或整个存续期预期信用损失率，计算预期信用损失。</w:t>
      </w:r>
    </w:p>
    <w:p>
      <w:pPr>
        <w:pStyle w:val="Style36"/>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信用风险显著增加的评估</w:t>
      </w:r>
    </w:p>
    <w:p>
      <w:pPr>
        <w:pStyle w:val="Style36"/>
        <w:keepNext w:val="0"/>
        <w:keepLines w:val="0"/>
        <w:widowControl w:val="0"/>
        <w:shd w:val="clear" w:color="auto" w:fill="auto"/>
        <w:bidi w:val="0"/>
        <w:spacing w:before="0" w:after="140" w:line="307" w:lineRule="exact"/>
        <w:ind w:left="0" w:right="0" w:firstLine="0"/>
        <w:jc w:val="both"/>
      </w:pPr>
      <w:r>
        <w:rPr>
          <w:color w:val="000000"/>
          <w:spacing w:val="0"/>
          <w:w w:val="100"/>
          <w:position w:val="0"/>
        </w:rPr>
        <w:t>本集团通过比较金融工具在资产负债表日发生违约的风险与在初始确认日发生违约的风险，以确定金融工具预计存续期内 发生违约风险的相对变化，以评估金融工具的信用风险自初始确认后是否已显著增加。</w:t>
      </w:r>
    </w:p>
    <w:p>
      <w:pPr>
        <w:pStyle w:val="Style36"/>
        <w:keepNext w:val="0"/>
        <w:keepLines w:val="0"/>
        <w:widowControl w:val="0"/>
        <w:shd w:val="clear" w:color="auto" w:fill="auto"/>
        <w:bidi w:val="0"/>
        <w:spacing w:before="0" w:after="140" w:line="307" w:lineRule="exact"/>
        <w:ind w:left="0" w:right="0" w:firstLine="0"/>
        <w:jc w:val="both"/>
      </w:pPr>
      <w:r>
        <w:rPr>
          <w:color w:val="000000"/>
          <w:spacing w:val="0"/>
          <w:w w:val="100"/>
          <w:position w:val="0"/>
        </w:rPr>
        <w:t>在确定信用风险自初始确认后是否显著增加时，本集团考虑无须付出不必要的额外成本或努力即可获得的合理且有依据的 信息，包括前瞻性信息。本集团考虑的信息包括：</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-债务人未能按合同到期日支付本金和利息的情况；</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-已发生的或预期的金融工具的外部或内部信用评级（如有）的严重恶化；</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-已发生的或预期的债务人经营成果的严重恶化；</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-现存的或预期的技术、市场、经济或法律环境变化，并将对债务人对本集团的还款能力产生重大不利影响。</w:t>
      </w:r>
    </w:p>
    <w:p>
      <w:pPr>
        <w:pStyle w:val="Style3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根据金融工具的性质，本集团以单项金融工具或金融工具组合为基础评估信用风险是否显著增加。以金融工具组合为基础进 行评估时，本集团可基于共同信用风险特征对金融工具进行分类，例如逾期信息和信用风险评级。</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如果逾期超过</w:t>
      </w:r>
      <w:r>
        <w:rPr>
          <w:color w:val="000000"/>
          <w:spacing w:val="0"/>
          <w:w w:val="100"/>
          <w:position w:val="0"/>
          <w:sz w:val="18"/>
          <w:szCs w:val="18"/>
        </w:rPr>
        <w:t>30</w:t>
      </w:r>
      <w:r>
        <w:rPr>
          <w:color w:val="000000"/>
          <w:spacing w:val="0"/>
          <w:w w:val="100"/>
          <w:position w:val="0"/>
        </w:rPr>
        <w:t>日，本集团确定金融工具的信用风险已经显著增加。</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本集团认为金融资产在下列情况发生违约：</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-借款人不大可能全额支付其对本集团的欠款，该评估不考虑本集团采取例如变现抵押品(如果持有)等追索行动；或</w:t>
      </w:r>
    </w:p>
    <w:p>
      <w:pPr>
        <w:pStyle w:val="Style3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-金融资产逾期超过</w:t>
      </w:r>
      <w:r>
        <w:rPr>
          <w:color w:val="000000"/>
          <w:spacing w:val="0"/>
          <w:w w:val="100"/>
          <w:position w:val="0"/>
          <w:sz w:val="18"/>
          <w:szCs w:val="18"/>
        </w:rPr>
        <w:t>90</w:t>
      </w:r>
      <w:r>
        <w:rPr>
          <w:color w:val="000000"/>
          <w:spacing w:val="0"/>
          <w:w w:val="100"/>
          <w:position w:val="0"/>
        </w:rPr>
        <w:t>天。</w:t>
      </w:r>
    </w:p>
    <w:p>
      <w:pPr>
        <w:pStyle w:val="Style36"/>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已发生信用减值的金融资产</w:t>
      </w:r>
    </w:p>
    <w:p>
      <w:pPr>
        <w:pStyle w:val="Style36"/>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本集团在资产负债表日评估以摊余成本计量的金融资产和以公允价值计量且其变动计入其他综合收益的债权投资是否已发 生信用减值。当对金融资产预期未来现金流量具有不利影响的一项或多项事件发生时，该金融资产成为已发生信用减值的金 融资产。金融资产已发生信用减值的证据包括下列可观察信息：</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-发行方或债务人发生重大财务困难；</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-债务人违反合同，如偿付利息或本金违约或逾期等；</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-本集团出于与债务人财务困难有关的经济或合同考虑，给予债务人在任何其他情况下都不会做出的让步；</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-债务人很可能破产或进行其他财务重组；</w:t>
      </w:r>
    </w:p>
    <w:p>
      <w:pPr>
        <w:pStyle w:val="Style3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-发行方或债务人财务困难导致该金融资产的活跃市场消失。</w:t>
      </w:r>
    </w:p>
    <w:p>
      <w:pPr>
        <w:pStyle w:val="Style36"/>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预期信用损失准备的列报</w:t>
      </w:r>
    </w:p>
    <w:p>
      <w:pPr>
        <w:pStyle w:val="Style3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为反映金融工具的信用风险自初始确认后的变化，本集团在每个资产负债表日重新计量预期信用损失，由此形成的损失准备 的增加或转回金额，应当作为减值损失或利得计入当期损益。对于以摊余成本计量的金融资产，损失准备抵减该金融资产在 资产负债表中列示的账面价值；对于以公允价值计量且其变动计入其他综合收益的债权投资，本集团在其他综合收益中确认 其损失准备，不抵减该金融资产的账面价值。</w:t>
      </w:r>
    </w:p>
    <w:p>
      <w:pPr>
        <w:pStyle w:val="Style36"/>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核销</w:t>
      </w:r>
    </w:p>
    <w:p>
      <w:pPr>
        <w:pStyle w:val="Style36"/>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如果本集团不再合理预期金融资产合同现金流量能够全部或部分收回，则直接减记该金融资产的账面余额。这种减记构成相 关金融资产的终止确认。这种情况通常发生在本集团确定债务人没有资产或收入来源可产生足够的现金流量以偿还将被减 记的金额。但是，按照本集团收回到期款项的程序，被减记的金融资产仍可能受到执行活动的影响。</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已减记的金融资产以后又收回的，作为减值损失的转回计入收回当期的损益。</w:t>
      </w:r>
    </w:p>
    <w:p>
      <w:pPr>
        <w:pStyle w:val="Style36"/>
        <w:keepNext w:val="0"/>
        <w:keepLines w:val="0"/>
        <w:widowControl w:val="0"/>
        <w:numPr>
          <w:ilvl w:val="0"/>
          <w:numId w:val="27"/>
        </w:numPr>
        <w:shd w:val="clear" w:color="auto" w:fill="auto"/>
        <w:tabs>
          <w:tab w:pos="445" w:val="left"/>
        </w:tabs>
        <w:bidi w:val="0"/>
        <w:spacing w:before="0" w:after="140" w:line="312" w:lineRule="exact"/>
        <w:ind w:left="0" w:right="0" w:firstLine="0"/>
        <w:jc w:val="both"/>
      </w:pPr>
      <w:bookmarkStart w:id="847" w:name="bookmark847"/>
      <w:bookmarkEnd w:id="847"/>
      <w:r>
        <w:rPr>
          <w:color w:val="000000"/>
          <w:spacing w:val="0"/>
          <w:w w:val="100"/>
          <w:position w:val="0"/>
        </w:rPr>
        <w:t>金融资产转移</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金融资产转移，是指将金融资产让与或交付给该金融资产发行方以外的另一方(转入方)。</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本集团已将金融资产所有权上几乎所有的风险和报酬转移给转入方的，终止确认该金融资产；保留了金融资产所有权上几乎 所有的风险和报酬的，不终止确认该金融资产。</w:t>
      </w:r>
    </w:p>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本集团既没有转移也没有保留金融资产所有权上几乎所有的风险和报酬的，分别下列情况处理：放弃了对该金融资产控制 的，终止确认该金融资产并确认产生的资产和负债；未放弃对该金融资产控制的，按照其继续涉入所转移金融资产的程度确 认有关金融资产，并相应确认有关负债。</w:t>
      </w:r>
    </w:p>
    <w:p>
      <w:pPr>
        <w:pStyle w:val="Style36"/>
        <w:keepNext w:val="0"/>
        <w:keepLines w:val="0"/>
        <w:widowControl w:val="0"/>
        <w:numPr>
          <w:ilvl w:val="0"/>
          <w:numId w:val="27"/>
        </w:numPr>
        <w:shd w:val="clear" w:color="auto" w:fill="auto"/>
        <w:tabs>
          <w:tab w:pos="445" w:val="left"/>
        </w:tabs>
        <w:bidi w:val="0"/>
        <w:spacing w:before="0" w:after="140" w:line="312" w:lineRule="exact"/>
        <w:ind w:left="0" w:right="0" w:firstLine="0"/>
        <w:jc w:val="both"/>
      </w:pPr>
      <w:bookmarkStart w:id="848" w:name="bookmark848"/>
      <w:bookmarkEnd w:id="848"/>
      <w:r>
        <w:rPr>
          <w:color w:val="000000"/>
          <w:spacing w:val="0"/>
          <w:w w:val="100"/>
          <w:position w:val="0"/>
        </w:rPr>
        <w:t>金融资产和金融负债的抵销</w:t>
      </w:r>
    </w:p>
    <w:p>
      <w:pPr>
        <w:pStyle w:val="Style36"/>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当本集团具有抵销已确认金融资产和金融负债的法定权利，且目前可执行该种法定权利，同时本集团计划以净额结算或同时 变现该金融资产和清偿该金融负债时，金融资产和金融负债以相互抵销后的金额在资产负债表内列示。除此以外，金融资产 和金融负债在资产负债表内分别列示，不予相互抵销。</w:t>
      </w:r>
    </w:p>
    <w:p>
      <w:pPr>
        <w:pStyle w:val="Style39"/>
        <w:keepNext w:val="0"/>
        <w:keepLines w:val="0"/>
        <w:widowControl w:val="0"/>
        <w:shd w:val="clear" w:color="auto" w:fill="auto"/>
        <w:tabs>
          <w:tab w:pos="474" w:val="left"/>
        </w:tabs>
        <w:bidi w:val="0"/>
        <w:spacing w:before="0" w:after="360" w:line="240" w:lineRule="auto"/>
        <w:ind w:left="0" w:right="0" w:firstLine="0"/>
        <w:jc w:val="left"/>
        <w:rPr>
          <w:sz w:val="20"/>
          <w:szCs w:val="20"/>
        </w:rPr>
      </w:pPr>
      <w:bookmarkStart w:id="849" w:name="bookmark849"/>
      <w:r>
        <w:rPr>
          <w:rFonts w:ascii="Times New Roman" w:eastAsia="Times New Roman" w:hAnsi="Times New Roman" w:cs="Times New Roman"/>
          <w:b/>
          <w:bCs/>
          <w:i w:val="0"/>
          <w:iCs w:val="0"/>
          <w:color w:val="000000"/>
          <w:spacing w:val="0"/>
          <w:w w:val="100"/>
          <w:position w:val="0"/>
          <w:sz w:val="20"/>
          <w:szCs w:val="20"/>
        </w:rPr>
        <w:t>1</w:t>
      </w:r>
      <w:bookmarkEnd w:id="849"/>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应收票据</w:t>
      </w:r>
    </w:p>
    <w:p>
      <w:pPr>
        <w:pStyle w:val="Style39"/>
        <w:keepNext w:val="0"/>
        <w:keepLines w:val="0"/>
        <w:widowControl w:val="0"/>
        <w:shd w:val="clear" w:color="auto" w:fill="auto"/>
        <w:tabs>
          <w:tab w:pos="474" w:val="left"/>
        </w:tabs>
        <w:bidi w:val="0"/>
        <w:spacing w:before="0" w:after="360" w:line="240" w:lineRule="auto"/>
        <w:ind w:left="0" w:right="0" w:firstLine="0"/>
        <w:jc w:val="left"/>
        <w:rPr>
          <w:sz w:val="20"/>
          <w:szCs w:val="20"/>
        </w:rPr>
      </w:pPr>
      <w:bookmarkStart w:id="850" w:name="bookmark850"/>
      <w:r>
        <w:rPr>
          <w:rFonts w:ascii="Times New Roman" w:eastAsia="Times New Roman" w:hAnsi="Times New Roman" w:cs="Times New Roman"/>
          <w:b/>
          <w:bCs/>
          <w:i w:val="0"/>
          <w:iCs w:val="0"/>
          <w:color w:val="000000"/>
          <w:spacing w:val="0"/>
          <w:w w:val="100"/>
          <w:position w:val="0"/>
          <w:sz w:val="20"/>
          <w:szCs w:val="20"/>
        </w:rPr>
        <w:t>1</w:t>
      </w:r>
      <w:bookmarkEnd w:id="850"/>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应收账款</w:t>
      </w:r>
    </w:p>
    <w:p>
      <w:pPr>
        <w:pStyle w:val="Style39"/>
        <w:keepNext w:val="0"/>
        <w:keepLines w:val="0"/>
        <w:widowControl w:val="0"/>
        <w:shd w:val="clear" w:color="auto" w:fill="auto"/>
        <w:tabs>
          <w:tab w:pos="474" w:val="left"/>
        </w:tabs>
        <w:bidi w:val="0"/>
        <w:spacing w:before="0" w:after="360" w:line="240" w:lineRule="auto"/>
        <w:ind w:left="0" w:right="0" w:firstLine="0"/>
        <w:jc w:val="left"/>
        <w:rPr>
          <w:sz w:val="20"/>
          <w:szCs w:val="20"/>
        </w:rPr>
      </w:pPr>
      <w:bookmarkStart w:id="851" w:name="bookmark851"/>
      <w:r>
        <w:rPr>
          <w:rFonts w:ascii="Times New Roman" w:eastAsia="Times New Roman" w:hAnsi="Times New Roman" w:cs="Times New Roman"/>
          <w:b/>
          <w:bCs/>
          <w:i w:val="0"/>
          <w:iCs w:val="0"/>
          <w:color w:val="000000"/>
          <w:spacing w:val="0"/>
          <w:w w:val="100"/>
          <w:position w:val="0"/>
          <w:sz w:val="20"/>
          <w:szCs w:val="20"/>
        </w:rPr>
        <w:t>1</w:t>
      </w:r>
      <w:bookmarkEnd w:id="851"/>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应收款项融资</w:t>
      </w:r>
    </w:p>
    <w:p>
      <w:pPr>
        <w:pStyle w:val="Style39"/>
        <w:keepNext w:val="0"/>
        <w:keepLines w:val="0"/>
        <w:widowControl w:val="0"/>
        <w:shd w:val="clear" w:color="auto" w:fill="auto"/>
        <w:tabs>
          <w:tab w:pos="474" w:val="left"/>
        </w:tabs>
        <w:bidi w:val="0"/>
        <w:spacing w:before="0" w:after="280" w:line="240" w:lineRule="auto"/>
        <w:ind w:left="0" w:right="0" w:firstLine="0"/>
        <w:jc w:val="left"/>
        <w:rPr>
          <w:sz w:val="20"/>
          <w:szCs w:val="20"/>
        </w:rPr>
      </w:pPr>
      <w:bookmarkStart w:id="852" w:name="bookmark852"/>
      <w:r>
        <w:rPr>
          <w:rFonts w:ascii="Times New Roman" w:eastAsia="Times New Roman" w:hAnsi="Times New Roman" w:cs="Times New Roman"/>
          <w:b/>
          <w:bCs/>
          <w:i w:val="0"/>
          <w:iCs w:val="0"/>
          <w:color w:val="000000"/>
          <w:spacing w:val="0"/>
          <w:w w:val="100"/>
          <w:position w:val="0"/>
          <w:sz w:val="20"/>
          <w:szCs w:val="20"/>
        </w:rPr>
        <w:t>1</w:t>
      </w:r>
      <w:bookmarkEnd w:id="852"/>
      <w:r>
        <w:rPr>
          <w:rFonts w:ascii="Times New Roman" w:eastAsia="Times New Roman" w:hAnsi="Times New Roman" w:cs="Times New Roman"/>
          <w:b/>
          <w:bCs/>
          <w:i w:val="0"/>
          <w:iCs w:val="0"/>
          <w:color w:val="000000"/>
          <w:spacing w:val="0"/>
          <w:w w:val="100"/>
          <w:position w:val="0"/>
          <w:sz w:val="20"/>
          <w:szCs w:val="20"/>
        </w:rPr>
        <w:t>4</w:t>
      </w:r>
      <w:r>
        <w:rPr>
          <w:b/>
          <w:bCs/>
          <w:i w:val="0"/>
          <w:iCs w:val="0"/>
          <w:color w:val="000000"/>
          <w:spacing w:val="0"/>
          <w:w w:val="100"/>
          <w:position w:val="0"/>
          <w:sz w:val="20"/>
          <w:szCs w:val="20"/>
        </w:rPr>
        <w:t>、</w:t>
        <w:tab/>
        <w:t>其他应收款</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本集团依据信用风险特征将其他应收款划分为若干组合，在组合基础上计算预期信用损失，确定组合的依据如下：</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：应收合并报表范围内款项</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：应收押金、保证金</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：应收备用金</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：应收其他款项</w:t>
      </w:r>
    </w:p>
    <w:p>
      <w:pPr>
        <w:pStyle w:val="Style36"/>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对划分为组合的其他应收款，本集团通过违约风险敞口和未来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 失。</w:t>
      </w:r>
    </w:p>
    <w:p>
      <w:pPr>
        <w:pStyle w:val="Style39"/>
        <w:keepNext w:val="0"/>
        <w:keepLines w:val="0"/>
        <w:widowControl w:val="0"/>
        <w:shd w:val="clear" w:color="auto" w:fill="auto"/>
        <w:tabs>
          <w:tab w:pos="474" w:val="left"/>
        </w:tabs>
        <w:bidi w:val="0"/>
        <w:spacing w:before="0" w:after="280" w:line="240" w:lineRule="auto"/>
        <w:ind w:left="0" w:right="0" w:firstLine="0"/>
        <w:jc w:val="left"/>
        <w:rPr>
          <w:sz w:val="20"/>
          <w:szCs w:val="20"/>
        </w:rPr>
      </w:pPr>
      <w:bookmarkStart w:id="853" w:name="bookmark853"/>
      <w:r>
        <w:rPr>
          <w:rFonts w:ascii="Times New Roman" w:eastAsia="Times New Roman" w:hAnsi="Times New Roman" w:cs="Times New Roman"/>
          <w:b/>
          <w:bCs/>
          <w:i w:val="0"/>
          <w:iCs w:val="0"/>
          <w:color w:val="000000"/>
          <w:spacing w:val="0"/>
          <w:w w:val="100"/>
          <w:position w:val="0"/>
          <w:sz w:val="20"/>
          <w:szCs w:val="20"/>
        </w:rPr>
        <w:t>1</w:t>
      </w:r>
      <w:bookmarkEnd w:id="853"/>
      <w:r>
        <w:rPr>
          <w:rFonts w:ascii="Times New Roman" w:eastAsia="Times New Roman" w:hAnsi="Times New Roman" w:cs="Times New Roman"/>
          <w:b/>
          <w:bCs/>
          <w:i w:val="0"/>
          <w:iCs w:val="0"/>
          <w:color w:val="000000"/>
          <w:spacing w:val="0"/>
          <w:w w:val="100"/>
          <w:position w:val="0"/>
          <w:sz w:val="20"/>
          <w:szCs w:val="20"/>
        </w:rPr>
        <w:t>5</w:t>
      </w:r>
      <w:r>
        <w:rPr>
          <w:b/>
          <w:bCs/>
          <w:i w:val="0"/>
          <w:iCs w:val="0"/>
          <w:color w:val="000000"/>
          <w:spacing w:val="0"/>
          <w:w w:val="100"/>
          <w:position w:val="0"/>
          <w:sz w:val="20"/>
          <w:szCs w:val="20"/>
        </w:rPr>
        <w:t>、</w:t>
        <w:tab/>
        <w:t>存货</w:t>
      </w:r>
    </w:p>
    <w:p>
      <w:pPr>
        <w:pStyle w:val="Style36"/>
        <w:keepNext w:val="0"/>
        <w:keepLines w:val="0"/>
        <w:widowControl w:val="0"/>
        <w:numPr>
          <w:ilvl w:val="0"/>
          <w:numId w:val="29"/>
        </w:numPr>
        <w:shd w:val="clear" w:color="auto" w:fill="auto"/>
        <w:tabs>
          <w:tab w:pos="445" w:val="left"/>
        </w:tabs>
        <w:bidi w:val="0"/>
        <w:spacing w:before="0" w:after="0" w:line="312" w:lineRule="exact"/>
        <w:ind w:left="0" w:right="0" w:firstLine="0"/>
        <w:jc w:val="left"/>
      </w:pPr>
      <w:bookmarkStart w:id="854" w:name="bookmark854"/>
      <w:bookmarkEnd w:id="854"/>
      <w:r>
        <w:rPr>
          <w:color w:val="000000"/>
          <w:spacing w:val="0"/>
          <w:w w:val="100"/>
          <w:position w:val="0"/>
        </w:rPr>
        <w:t>存货的分类</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本集团存货分为库存商品、周转材料、发出商品、开发成本、开发产品、合同履约成本等。</w:t>
      </w:r>
    </w:p>
    <w:p>
      <w:pPr>
        <w:pStyle w:val="Style36"/>
        <w:keepNext w:val="0"/>
        <w:keepLines w:val="0"/>
        <w:widowControl w:val="0"/>
        <w:numPr>
          <w:ilvl w:val="0"/>
          <w:numId w:val="29"/>
        </w:numPr>
        <w:shd w:val="clear" w:color="auto" w:fill="auto"/>
        <w:tabs>
          <w:tab w:pos="445" w:val="left"/>
        </w:tabs>
        <w:bidi w:val="0"/>
        <w:spacing w:before="0" w:after="0" w:line="312" w:lineRule="exact"/>
        <w:ind w:left="0" w:right="0" w:firstLine="0"/>
        <w:jc w:val="left"/>
      </w:pPr>
      <w:bookmarkStart w:id="855" w:name="bookmark855"/>
      <w:bookmarkEnd w:id="855"/>
      <w:r>
        <w:rPr>
          <w:color w:val="000000"/>
          <w:spacing w:val="0"/>
          <w:w w:val="100"/>
          <w:position w:val="0"/>
        </w:rPr>
        <w:t>发出存货的计价方法</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本集团存货取得时按实际成本计价。库存商品等发出时采用个别计价法计价。</w:t>
      </w:r>
    </w:p>
    <w:p>
      <w:pPr>
        <w:pStyle w:val="Style36"/>
        <w:keepNext w:val="0"/>
        <w:keepLines w:val="0"/>
        <w:widowControl w:val="0"/>
        <w:shd w:val="clear" w:color="auto" w:fill="auto"/>
        <w:bidi w:val="0"/>
        <w:spacing w:before="0" w:after="0" w:line="307" w:lineRule="exact"/>
        <w:ind w:left="0" w:right="0" w:firstLine="0"/>
        <w:jc w:val="left"/>
      </w:pPr>
      <w:r>
        <w:rPr>
          <w:color w:val="000000"/>
          <w:spacing w:val="0"/>
          <w:w w:val="100"/>
          <w:position w:val="0"/>
        </w:rPr>
        <w:t>开发产品的实际成本包括土地出让金、基础配套设施支出、建筑安装工程支出、开发项目完工之前所发生的借款费用及开 发过程中的其他相关费用。开发产品发出时，采用个别计价法确定其实际成本。</w:t>
      </w:r>
    </w:p>
    <w:p>
      <w:pPr>
        <w:pStyle w:val="Style36"/>
        <w:keepNext w:val="0"/>
        <w:keepLines w:val="0"/>
        <w:widowControl w:val="0"/>
        <w:numPr>
          <w:ilvl w:val="0"/>
          <w:numId w:val="29"/>
        </w:numPr>
        <w:shd w:val="clear" w:color="auto" w:fill="auto"/>
        <w:tabs>
          <w:tab w:pos="445" w:val="left"/>
        </w:tabs>
        <w:bidi w:val="0"/>
        <w:spacing w:before="0" w:after="0" w:line="312" w:lineRule="exact"/>
        <w:ind w:left="0" w:right="0" w:firstLine="0"/>
        <w:jc w:val="left"/>
      </w:pPr>
      <w:bookmarkStart w:id="856" w:name="bookmark856"/>
      <w:bookmarkEnd w:id="856"/>
      <w:r>
        <w:rPr>
          <w:color w:val="000000"/>
          <w:spacing w:val="0"/>
          <w:w w:val="100"/>
          <w:position w:val="0"/>
        </w:rPr>
        <w:t>存货可变现净值的确定依据及存货跌价准备的计提方法</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存货可变现净值是按存货的估计售价减去至完工时估计将要发生的成本、估计的销售费用以及相关税费后的金额。在确定 存货的可变现净值时，以取得的确凿证据为基础，同时考虑持有存货的目的以及资产负债表日后事项的影响。</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资产负债表日，存货成本高于其可变现净值的，计提存货跌价准备。本集团通常按照单个存货项目计提存货跌价准备，资 产负债表日，以前减记存货价值的影响因素已经消失的，存货跌价准备在原已计提的金额内转回。</w:t>
      </w:r>
    </w:p>
    <w:p>
      <w:pPr>
        <w:pStyle w:val="Style36"/>
        <w:keepNext w:val="0"/>
        <w:keepLines w:val="0"/>
        <w:widowControl w:val="0"/>
        <w:numPr>
          <w:ilvl w:val="0"/>
          <w:numId w:val="29"/>
        </w:numPr>
        <w:shd w:val="clear" w:color="auto" w:fill="auto"/>
        <w:tabs>
          <w:tab w:pos="445" w:val="left"/>
        </w:tabs>
        <w:bidi w:val="0"/>
        <w:spacing w:before="0" w:after="0" w:line="312" w:lineRule="exact"/>
        <w:ind w:left="0" w:right="0" w:firstLine="0"/>
        <w:jc w:val="left"/>
      </w:pPr>
      <w:bookmarkStart w:id="857" w:name="bookmark857"/>
      <w:bookmarkEnd w:id="857"/>
      <w:r>
        <w:rPr>
          <w:color w:val="000000"/>
          <w:spacing w:val="0"/>
          <w:w w:val="100"/>
          <w:position w:val="0"/>
        </w:rPr>
        <w:t>存货的盘存制度</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本集团存货盘存制度采用永续盘存制。</w:t>
      </w:r>
    </w:p>
    <w:p>
      <w:pPr>
        <w:pStyle w:val="Style36"/>
        <w:keepNext w:val="0"/>
        <w:keepLines w:val="0"/>
        <w:widowControl w:val="0"/>
        <w:numPr>
          <w:ilvl w:val="0"/>
          <w:numId w:val="29"/>
        </w:numPr>
        <w:shd w:val="clear" w:color="auto" w:fill="auto"/>
        <w:tabs>
          <w:tab w:pos="445" w:val="left"/>
        </w:tabs>
        <w:bidi w:val="0"/>
        <w:spacing w:before="0" w:after="0" w:line="312" w:lineRule="exact"/>
        <w:ind w:left="0" w:right="0" w:firstLine="0"/>
        <w:jc w:val="left"/>
      </w:pPr>
      <w:bookmarkStart w:id="858" w:name="bookmark858"/>
      <w:bookmarkEnd w:id="858"/>
      <w:r>
        <w:rPr>
          <w:color w:val="000000"/>
          <w:spacing w:val="0"/>
          <w:w w:val="100"/>
          <w:position w:val="0"/>
        </w:rPr>
        <w:t>低值易耗品的摊销方法</w:t>
      </w:r>
    </w:p>
    <w:p>
      <w:pPr>
        <w:pStyle w:val="Style3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本集团低值易耗品领用时采用一次转销法摊销。</w:t>
      </w:r>
    </w:p>
    <w:p>
      <w:pPr>
        <w:pStyle w:val="Style39"/>
        <w:keepNext w:val="0"/>
        <w:keepLines w:val="0"/>
        <w:widowControl w:val="0"/>
        <w:shd w:val="clear" w:color="auto" w:fill="auto"/>
        <w:tabs>
          <w:tab w:pos="474" w:val="left"/>
        </w:tabs>
        <w:bidi w:val="0"/>
        <w:spacing w:before="0" w:after="360" w:line="240" w:lineRule="auto"/>
        <w:ind w:left="0" w:right="0" w:firstLine="0"/>
        <w:jc w:val="left"/>
        <w:rPr>
          <w:sz w:val="20"/>
          <w:szCs w:val="20"/>
        </w:rPr>
      </w:pPr>
      <w:bookmarkStart w:id="859" w:name="bookmark859"/>
      <w:r>
        <w:rPr>
          <w:rFonts w:ascii="Times New Roman" w:eastAsia="Times New Roman" w:hAnsi="Times New Roman" w:cs="Times New Roman"/>
          <w:b/>
          <w:bCs/>
          <w:i w:val="0"/>
          <w:iCs w:val="0"/>
          <w:color w:val="000000"/>
          <w:spacing w:val="0"/>
          <w:w w:val="100"/>
          <w:position w:val="0"/>
          <w:sz w:val="20"/>
          <w:szCs w:val="20"/>
        </w:rPr>
        <w:t>1</w:t>
      </w:r>
      <w:bookmarkEnd w:id="859"/>
      <w:r>
        <w:rPr>
          <w:rFonts w:ascii="Times New Roman" w:eastAsia="Times New Roman" w:hAnsi="Times New Roman" w:cs="Times New Roman"/>
          <w:b/>
          <w:bCs/>
          <w:i w:val="0"/>
          <w:iCs w:val="0"/>
          <w:color w:val="000000"/>
          <w:spacing w:val="0"/>
          <w:w w:val="100"/>
          <w:position w:val="0"/>
          <w:sz w:val="20"/>
          <w:szCs w:val="20"/>
        </w:rPr>
        <w:t>6</w:t>
      </w:r>
      <w:r>
        <w:rPr>
          <w:b/>
          <w:bCs/>
          <w:i w:val="0"/>
          <w:iCs w:val="0"/>
          <w:color w:val="000000"/>
          <w:spacing w:val="0"/>
          <w:w w:val="100"/>
          <w:position w:val="0"/>
          <w:sz w:val="20"/>
          <w:szCs w:val="20"/>
        </w:rPr>
        <w:t>、</w:t>
        <w:tab/>
        <w:t>合同资产</w:t>
      </w:r>
    </w:p>
    <w:p>
      <w:pPr>
        <w:pStyle w:val="Style39"/>
        <w:keepNext w:val="0"/>
        <w:keepLines w:val="0"/>
        <w:widowControl w:val="0"/>
        <w:shd w:val="clear" w:color="auto" w:fill="auto"/>
        <w:tabs>
          <w:tab w:pos="474" w:val="left"/>
        </w:tabs>
        <w:bidi w:val="0"/>
        <w:spacing w:before="0" w:after="280" w:line="240" w:lineRule="auto"/>
        <w:ind w:left="0" w:right="0" w:firstLine="0"/>
        <w:jc w:val="left"/>
        <w:rPr>
          <w:sz w:val="20"/>
          <w:szCs w:val="20"/>
        </w:rPr>
      </w:pPr>
      <w:bookmarkStart w:id="860" w:name="bookmark860"/>
      <w:r>
        <w:rPr>
          <w:rFonts w:ascii="Times New Roman" w:eastAsia="Times New Roman" w:hAnsi="Times New Roman" w:cs="Times New Roman"/>
          <w:b/>
          <w:bCs/>
          <w:i w:val="0"/>
          <w:iCs w:val="0"/>
          <w:color w:val="000000"/>
          <w:spacing w:val="0"/>
          <w:w w:val="100"/>
          <w:position w:val="0"/>
          <w:sz w:val="20"/>
          <w:szCs w:val="20"/>
        </w:rPr>
        <w:t>1</w:t>
      </w:r>
      <w:bookmarkEnd w:id="860"/>
      <w:r>
        <w:rPr>
          <w:rFonts w:ascii="Times New Roman" w:eastAsia="Times New Roman" w:hAnsi="Times New Roman" w:cs="Times New Roman"/>
          <w:b/>
          <w:bCs/>
          <w:i w:val="0"/>
          <w:iCs w:val="0"/>
          <w:color w:val="000000"/>
          <w:spacing w:val="0"/>
          <w:w w:val="100"/>
          <w:position w:val="0"/>
          <w:sz w:val="20"/>
          <w:szCs w:val="20"/>
        </w:rPr>
        <w:t>7</w:t>
      </w:r>
      <w:r>
        <w:rPr>
          <w:b/>
          <w:bCs/>
          <w:i w:val="0"/>
          <w:iCs w:val="0"/>
          <w:color w:val="000000"/>
          <w:spacing w:val="0"/>
          <w:w w:val="100"/>
          <w:position w:val="0"/>
          <w:sz w:val="20"/>
          <w:szCs w:val="20"/>
        </w:rPr>
        <w:t>、</w:t>
        <w:tab/>
        <w:t>合同成本</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合同成本包括为取得合同发生的增量成本及合同履约成本。</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为取得合同发生的增量成本是指本集团不取得合同就不会发生的成本(如销售佣金等)。该成本预期能够收回的，本集团将 其作为合同取得成本确认为一项资产。本集团为取得合同发生的、除预期能够收回的增量成本之外的其他支出于发生时计 </w:t>
      </w:r>
      <w:r>
        <w:rPr>
          <w:color w:val="000000"/>
          <w:spacing w:val="0"/>
          <w:w w:val="100"/>
          <w:position w:val="0"/>
        </w:rPr>
        <w:t>入当期损益。</w:t>
      </w:r>
    </w:p>
    <w:p>
      <w:pPr>
        <w:pStyle w:val="Style3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为履行合同发生的成本，不属于存货等其他企业会计准则规范范围且同时满足下列条件的，本集团将其作为合同履约成本 确认为一项资产：</w:t>
      </w:r>
    </w:p>
    <w:p>
      <w:pPr>
        <w:pStyle w:val="Style36"/>
        <w:keepNext w:val="0"/>
        <w:keepLines w:val="0"/>
        <w:widowControl w:val="0"/>
        <w:numPr>
          <w:ilvl w:val="0"/>
          <w:numId w:val="31"/>
        </w:numPr>
        <w:shd w:val="clear" w:color="auto" w:fill="auto"/>
        <w:tabs>
          <w:tab w:pos="373" w:val="left"/>
        </w:tabs>
        <w:bidi w:val="0"/>
        <w:spacing w:before="0" w:after="0" w:line="341" w:lineRule="exact"/>
        <w:ind w:left="0" w:right="0" w:firstLine="0"/>
        <w:jc w:val="both"/>
      </w:pPr>
      <w:bookmarkStart w:id="861" w:name="bookmark861"/>
      <w:bookmarkEnd w:id="861"/>
      <w:r>
        <w:rPr>
          <w:color w:val="000000"/>
          <w:spacing w:val="0"/>
          <w:w w:val="100"/>
          <w:position w:val="0"/>
        </w:rPr>
        <w:t>该成本与一份当前或预期取得的合同直接相关，包括直接人工、直接材料、制造费用（或类似费用）、明确由客户承担 的成本以及仅因该合同而发生的其他成本；</w:t>
      </w:r>
    </w:p>
    <w:p>
      <w:pPr>
        <w:pStyle w:val="Style36"/>
        <w:keepNext w:val="0"/>
        <w:keepLines w:val="0"/>
        <w:widowControl w:val="0"/>
        <w:numPr>
          <w:ilvl w:val="0"/>
          <w:numId w:val="31"/>
        </w:numPr>
        <w:shd w:val="clear" w:color="auto" w:fill="auto"/>
        <w:tabs>
          <w:tab w:pos="373" w:val="left"/>
        </w:tabs>
        <w:bidi w:val="0"/>
        <w:spacing w:before="0" w:after="0" w:line="341" w:lineRule="exact"/>
        <w:ind w:left="0" w:right="0" w:firstLine="0"/>
        <w:jc w:val="both"/>
      </w:pPr>
      <w:bookmarkStart w:id="862" w:name="bookmark862"/>
      <w:bookmarkEnd w:id="862"/>
      <w:r>
        <w:rPr>
          <w:color w:val="000000"/>
          <w:spacing w:val="0"/>
          <w:w w:val="100"/>
          <w:position w:val="0"/>
        </w:rPr>
        <w:t>该成本增加了本集团未来用于履行履约义务的资源；</w:t>
      </w:r>
    </w:p>
    <w:p>
      <w:pPr>
        <w:pStyle w:val="Style36"/>
        <w:keepNext w:val="0"/>
        <w:keepLines w:val="0"/>
        <w:widowControl w:val="0"/>
        <w:numPr>
          <w:ilvl w:val="0"/>
          <w:numId w:val="31"/>
        </w:numPr>
        <w:shd w:val="clear" w:color="auto" w:fill="auto"/>
        <w:tabs>
          <w:tab w:pos="373" w:val="left"/>
        </w:tabs>
        <w:bidi w:val="0"/>
        <w:spacing w:before="0" w:after="0" w:line="341" w:lineRule="exact"/>
        <w:ind w:left="0" w:right="0" w:firstLine="0"/>
        <w:jc w:val="both"/>
      </w:pPr>
      <w:bookmarkStart w:id="863" w:name="bookmark863"/>
      <w:bookmarkEnd w:id="863"/>
      <w:r>
        <w:rPr>
          <w:color w:val="000000"/>
          <w:spacing w:val="0"/>
          <w:w w:val="100"/>
          <w:position w:val="0"/>
        </w:rPr>
        <w:t>该成本预期能够收回。</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合同取得成本确认的资产和合同履约成本确认的资产（以下简称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）采用与该资产相关的商品或服 务收入确认相同的基础进行摊销，计入当期损益。</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当与合同成本有关的资产的账面价值高于下列两项的差额时，本集团对超出部分计提减值准备，并确认为资产减值损失：</w:t>
      </w:r>
    </w:p>
    <w:p>
      <w:pPr>
        <w:pStyle w:val="Style36"/>
        <w:keepNext w:val="0"/>
        <w:keepLines w:val="0"/>
        <w:widowControl w:val="0"/>
        <w:numPr>
          <w:ilvl w:val="0"/>
          <w:numId w:val="33"/>
        </w:numPr>
        <w:shd w:val="clear" w:color="auto" w:fill="auto"/>
        <w:tabs>
          <w:tab w:pos="373" w:val="left"/>
        </w:tabs>
        <w:bidi w:val="0"/>
        <w:spacing w:before="0" w:after="0" w:line="314" w:lineRule="exact"/>
        <w:ind w:left="0" w:right="0" w:firstLine="0"/>
        <w:jc w:val="both"/>
      </w:pPr>
      <w:bookmarkStart w:id="864" w:name="bookmark864"/>
      <w:bookmarkEnd w:id="864"/>
      <w:r>
        <w:rPr>
          <w:color w:val="000000"/>
          <w:spacing w:val="0"/>
          <w:w w:val="100"/>
          <w:position w:val="0"/>
        </w:rPr>
        <w:t>本集团因转让与该资产相关的商品或服务预期能够取得的剩余对价；</w:t>
      </w:r>
    </w:p>
    <w:p>
      <w:pPr>
        <w:pStyle w:val="Style36"/>
        <w:keepNext w:val="0"/>
        <w:keepLines w:val="0"/>
        <w:widowControl w:val="0"/>
        <w:numPr>
          <w:ilvl w:val="0"/>
          <w:numId w:val="33"/>
        </w:numPr>
        <w:shd w:val="clear" w:color="auto" w:fill="auto"/>
        <w:tabs>
          <w:tab w:pos="373" w:val="left"/>
        </w:tabs>
        <w:bidi w:val="0"/>
        <w:spacing w:before="0" w:after="0" w:line="314" w:lineRule="exact"/>
        <w:ind w:left="0" w:right="0" w:firstLine="0"/>
        <w:jc w:val="both"/>
      </w:pPr>
      <w:bookmarkStart w:id="865" w:name="bookmark865"/>
      <w:bookmarkEnd w:id="865"/>
      <w:r>
        <w:rPr>
          <w:color w:val="000000"/>
          <w:spacing w:val="0"/>
          <w:w w:val="100"/>
          <w:position w:val="0"/>
        </w:rPr>
        <w:t>为转让该相关商品或服务估计将要发生的成本。</w:t>
      </w:r>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项目中列示，初始确认时摊 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 确认时摊销期限超过一年或一个正常营业周期，在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9"/>
        <w:keepNext w:val="0"/>
        <w:keepLines w:val="0"/>
        <w:widowControl w:val="0"/>
        <w:shd w:val="clear" w:color="auto" w:fill="auto"/>
        <w:tabs>
          <w:tab w:pos="474" w:val="left"/>
        </w:tabs>
        <w:bidi w:val="0"/>
        <w:spacing w:before="0" w:after="380" w:line="240" w:lineRule="auto"/>
        <w:ind w:left="0" w:right="0" w:firstLine="0"/>
        <w:jc w:val="both"/>
        <w:rPr>
          <w:sz w:val="20"/>
          <w:szCs w:val="20"/>
        </w:rPr>
      </w:pPr>
      <w:bookmarkStart w:id="866" w:name="bookmark866"/>
      <w:r>
        <w:rPr>
          <w:rFonts w:ascii="Times New Roman" w:eastAsia="Times New Roman" w:hAnsi="Times New Roman" w:cs="Times New Roman"/>
          <w:b/>
          <w:bCs/>
          <w:i w:val="0"/>
          <w:iCs w:val="0"/>
          <w:color w:val="000000"/>
          <w:spacing w:val="0"/>
          <w:w w:val="100"/>
          <w:position w:val="0"/>
          <w:sz w:val="20"/>
          <w:szCs w:val="20"/>
        </w:rPr>
        <w:t>1</w:t>
      </w:r>
      <w:bookmarkEnd w:id="866"/>
      <w:r>
        <w:rPr>
          <w:rFonts w:ascii="Times New Roman" w:eastAsia="Times New Roman" w:hAnsi="Times New Roman" w:cs="Times New Roman"/>
          <w:b/>
          <w:bCs/>
          <w:i w:val="0"/>
          <w:iCs w:val="0"/>
          <w:color w:val="000000"/>
          <w:spacing w:val="0"/>
          <w:w w:val="100"/>
          <w:position w:val="0"/>
          <w:sz w:val="20"/>
          <w:szCs w:val="20"/>
        </w:rPr>
        <w:t>8</w:t>
      </w:r>
      <w:r>
        <w:rPr>
          <w:b/>
          <w:bCs/>
          <w:i w:val="0"/>
          <w:iCs w:val="0"/>
          <w:color w:val="000000"/>
          <w:spacing w:val="0"/>
          <w:w w:val="100"/>
          <w:position w:val="0"/>
          <w:sz w:val="20"/>
          <w:szCs w:val="20"/>
        </w:rPr>
        <w:t>、</w:t>
        <w:tab/>
        <w:t>持有待售资产</w:t>
      </w:r>
    </w:p>
    <w:p>
      <w:pPr>
        <w:pStyle w:val="Style39"/>
        <w:keepNext w:val="0"/>
        <w:keepLines w:val="0"/>
        <w:widowControl w:val="0"/>
        <w:shd w:val="clear" w:color="auto" w:fill="auto"/>
        <w:tabs>
          <w:tab w:pos="474" w:val="left"/>
        </w:tabs>
        <w:bidi w:val="0"/>
        <w:spacing w:before="0" w:after="380" w:line="240" w:lineRule="auto"/>
        <w:ind w:left="0" w:right="0" w:firstLine="0"/>
        <w:jc w:val="both"/>
        <w:rPr>
          <w:sz w:val="20"/>
          <w:szCs w:val="20"/>
        </w:rPr>
      </w:pPr>
      <w:bookmarkStart w:id="867" w:name="bookmark867"/>
      <w:r>
        <w:rPr>
          <w:rFonts w:ascii="Times New Roman" w:eastAsia="Times New Roman" w:hAnsi="Times New Roman" w:cs="Times New Roman"/>
          <w:b/>
          <w:bCs/>
          <w:i w:val="0"/>
          <w:iCs w:val="0"/>
          <w:color w:val="000000"/>
          <w:spacing w:val="0"/>
          <w:w w:val="100"/>
          <w:position w:val="0"/>
          <w:sz w:val="20"/>
          <w:szCs w:val="20"/>
        </w:rPr>
        <w:t>1</w:t>
      </w:r>
      <w:bookmarkEnd w:id="867"/>
      <w:r>
        <w:rPr>
          <w:rFonts w:ascii="Times New Roman" w:eastAsia="Times New Roman" w:hAnsi="Times New Roman" w:cs="Times New Roman"/>
          <w:b/>
          <w:bCs/>
          <w:i w:val="0"/>
          <w:iCs w:val="0"/>
          <w:color w:val="000000"/>
          <w:spacing w:val="0"/>
          <w:w w:val="100"/>
          <w:position w:val="0"/>
          <w:sz w:val="20"/>
          <w:szCs w:val="20"/>
        </w:rPr>
        <w:t>9</w:t>
      </w:r>
      <w:r>
        <w:rPr>
          <w:b/>
          <w:bCs/>
          <w:i w:val="0"/>
          <w:iCs w:val="0"/>
          <w:color w:val="000000"/>
          <w:spacing w:val="0"/>
          <w:w w:val="100"/>
          <w:position w:val="0"/>
          <w:sz w:val="20"/>
          <w:szCs w:val="20"/>
        </w:rPr>
        <w:t>、</w:t>
        <w:tab/>
        <w:t>债权投资</w:t>
      </w:r>
    </w:p>
    <w:p>
      <w:pPr>
        <w:pStyle w:val="Style39"/>
        <w:keepNext w:val="0"/>
        <w:keepLines w:val="0"/>
        <w:widowControl w:val="0"/>
        <w:shd w:val="clear" w:color="auto" w:fill="auto"/>
        <w:tabs>
          <w:tab w:pos="483" w:val="left"/>
        </w:tabs>
        <w:bidi w:val="0"/>
        <w:spacing w:before="0" w:after="380" w:line="240" w:lineRule="auto"/>
        <w:ind w:left="0" w:right="0" w:firstLine="0"/>
        <w:jc w:val="both"/>
        <w:rPr>
          <w:sz w:val="20"/>
          <w:szCs w:val="20"/>
        </w:rPr>
      </w:pPr>
      <w:bookmarkStart w:id="868" w:name="bookmark868"/>
      <w:r>
        <w:rPr>
          <w:rFonts w:ascii="Times New Roman" w:eastAsia="Times New Roman" w:hAnsi="Times New Roman" w:cs="Times New Roman"/>
          <w:b/>
          <w:bCs/>
          <w:i w:val="0"/>
          <w:iCs w:val="0"/>
          <w:color w:val="000000"/>
          <w:spacing w:val="0"/>
          <w:w w:val="100"/>
          <w:position w:val="0"/>
          <w:sz w:val="20"/>
          <w:szCs w:val="20"/>
        </w:rPr>
        <w:t>2</w:t>
      </w:r>
      <w:bookmarkEnd w:id="868"/>
      <w:r>
        <w:rPr>
          <w:rFonts w:ascii="Times New Roman" w:eastAsia="Times New Roman" w:hAnsi="Times New Roman" w:cs="Times New Roman"/>
          <w:b/>
          <w:bCs/>
          <w:i w:val="0"/>
          <w:iCs w:val="0"/>
          <w:color w:val="000000"/>
          <w:spacing w:val="0"/>
          <w:w w:val="100"/>
          <w:position w:val="0"/>
          <w:sz w:val="20"/>
          <w:szCs w:val="20"/>
        </w:rPr>
        <w:t>0</w:t>
      </w:r>
      <w:r>
        <w:rPr>
          <w:b/>
          <w:bCs/>
          <w:i w:val="0"/>
          <w:iCs w:val="0"/>
          <w:color w:val="000000"/>
          <w:spacing w:val="0"/>
          <w:w w:val="100"/>
          <w:position w:val="0"/>
          <w:sz w:val="20"/>
          <w:szCs w:val="20"/>
        </w:rPr>
        <w:t>、</w:t>
        <w:tab/>
        <w:t>其他债权投资</w:t>
      </w:r>
    </w:p>
    <w:p>
      <w:pPr>
        <w:pStyle w:val="Style39"/>
        <w:keepNext w:val="0"/>
        <w:keepLines w:val="0"/>
        <w:widowControl w:val="0"/>
        <w:shd w:val="clear" w:color="auto" w:fill="auto"/>
        <w:tabs>
          <w:tab w:pos="483" w:val="left"/>
        </w:tabs>
        <w:bidi w:val="0"/>
        <w:spacing w:before="0" w:after="380" w:line="240" w:lineRule="auto"/>
        <w:ind w:left="0" w:right="0" w:firstLine="0"/>
        <w:jc w:val="both"/>
        <w:rPr>
          <w:sz w:val="20"/>
          <w:szCs w:val="20"/>
        </w:rPr>
      </w:pPr>
      <w:bookmarkStart w:id="869" w:name="bookmark869"/>
      <w:r>
        <w:rPr>
          <w:rFonts w:ascii="Times New Roman" w:eastAsia="Times New Roman" w:hAnsi="Times New Roman" w:cs="Times New Roman"/>
          <w:b/>
          <w:bCs/>
          <w:i w:val="0"/>
          <w:iCs w:val="0"/>
          <w:color w:val="000000"/>
          <w:spacing w:val="0"/>
          <w:w w:val="100"/>
          <w:position w:val="0"/>
          <w:sz w:val="20"/>
          <w:szCs w:val="20"/>
        </w:rPr>
        <w:t>2</w:t>
      </w:r>
      <w:bookmarkEnd w:id="869"/>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长期应收款</w:t>
      </w:r>
    </w:p>
    <w:p>
      <w:pPr>
        <w:pStyle w:val="Style39"/>
        <w:keepNext w:val="0"/>
        <w:keepLines w:val="0"/>
        <w:widowControl w:val="0"/>
        <w:shd w:val="clear" w:color="auto" w:fill="auto"/>
        <w:tabs>
          <w:tab w:pos="483" w:val="left"/>
        </w:tabs>
        <w:bidi w:val="0"/>
        <w:spacing w:before="0" w:after="280" w:line="240" w:lineRule="auto"/>
        <w:ind w:left="0" w:right="0" w:firstLine="0"/>
        <w:jc w:val="both"/>
        <w:rPr>
          <w:sz w:val="20"/>
          <w:szCs w:val="20"/>
        </w:rPr>
      </w:pPr>
      <w:bookmarkStart w:id="870" w:name="bookmark870"/>
      <w:r>
        <w:rPr>
          <w:rFonts w:ascii="Times New Roman" w:eastAsia="Times New Roman" w:hAnsi="Times New Roman" w:cs="Times New Roman"/>
          <w:b/>
          <w:bCs/>
          <w:i w:val="0"/>
          <w:iCs w:val="0"/>
          <w:color w:val="000000"/>
          <w:spacing w:val="0"/>
          <w:w w:val="100"/>
          <w:position w:val="0"/>
          <w:sz w:val="20"/>
          <w:szCs w:val="20"/>
        </w:rPr>
        <w:t>2</w:t>
      </w:r>
      <w:bookmarkEnd w:id="870"/>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长期股权投资</w:t>
      </w:r>
    </w:p>
    <w:p>
      <w:pPr>
        <w:pStyle w:val="Style36"/>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长期股权投资包括对子公司、合营企业和联营企业的权益性投资。本集团能够对被投资单位施加重大影响的，为本集团的 联营企业。</w:t>
      </w:r>
    </w:p>
    <w:p>
      <w:pPr>
        <w:pStyle w:val="Style36"/>
        <w:keepNext w:val="0"/>
        <w:keepLines w:val="0"/>
        <w:widowControl w:val="0"/>
        <w:shd w:val="clear" w:color="auto" w:fill="auto"/>
        <w:tabs>
          <w:tab w:pos="445" w:val="left"/>
        </w:tabs>
        <w:bidi w:val="0"/>
        <w:spacing w:before="0" w:after="0" w:line="314" w:lineRule="exact"/>
        <w:ind w:left="0" w:right="0" w:firstLine="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初始投资成本确定</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形成企业合并的长期股权投资：同一控制下企业合并取得的长期股权投资，在合并日按照取得被合并方所有者权益在最终 控制方合并财务报表中的账面价值份额作为投资成本；非同一控制下企业合并取得的长期股权投资，按照合并成本作为长 期股权投资的投资成本。</w:t>
      </w:r>
    </w:p>
    <w:p>
      <w:pPr>
        <w:pStyle w:val="Style36"/>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对于其他方式取得的长期股权投资：支付现金取得的长期股权投资，按照实际支付的购买价款作为初始投资成本；发行权 益性证券取得的长期股权投资，以发行权益性证券的公允价值作为初始投资成本。</w:t>
      </w:r>
    </w:p>
    <w:p>
      <w:pPr>
        <w:pStyle w:val="Style36"/>
        <w:keepNext w:val="0"/>
        <w:keepLines w:val="0"/>
        <w:widowControl w:val="0"/>
        <w:shd w:val="clear" w:color="auto" w:fill="auto"/>
        <w:tabs>
          <w:tab w:pos="445" w:val="left"/>
        </w:tabs>
        <w:bidi w:val="0"/>
        <w:spacing w:before="0" w:after="0" w:line="314" w:lineRule="exact"/>
        <w:ind w:left="0" w:right="0" w:firstLine="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后续计量及损益确认方法</w:t>
      </w:r>
    </w:p>
    <w:p>
      <w:pPr>
        <w:pStyle w:val="Style36"/>
        <w:keepNext w:val="0"/>
        <w:keepLines w:val="0"/>
        <w:widowControl w:val="0"/>
        <w:shd w:val="clear" w:color="auto" w:fill="auto"/>
        <w:bidi w:val="0"/>
        <w:spacing w:before="0" w:after="0" w:line="334" w:lineRule="exact"/>
        <w:ind w:left="0" w:right="0" w:firstLine="0"/>
        <w:jc w:val="both"/>
      </w:pPr>
      <w:r>
        <w:rPr>
          <w:color w:val="000000"/>
          <w:spacing w:val="0"/>
          <w:w w:val="100"/>
          <w:position w:val="0"/>
        </w:rPr>
        <w:t>对子公司的投资，采用成本法核算，除非投资符合持有待售的条件；对联营企业和合营企业的投资，采用权益法核算。 采用成本法核算的长期股权投资，除取得投资时实际支付的价款或对价中包含的已宣告但尚未发放的现金股利或利润外， 被投资单位宣告分派的现金股利或利润，确认为投资收益计入当期损益。</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采用权益法核算的长期股权投资，初始投资成本大于投资时应享有被投资单位可辨认净资产公允价值份额的，不调整长期 股权投资的投资成本；初始投资成本小于投资时应享有被投资单位可辨认净资产公允价值份额的，对长期股权投资的账面 价值进行调整，差额计入投资当期的损益。</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采用权益法核算时，按照应享有或应分担的被投资单位实现的净损益和其他综合收益的份额，分别确认投资收益和其他综 合收益，同时调整长期股权投资的账面价值；按照被投资单位宣告分派的利润或现金股利计算应享有的部分，相应减少长 期股权投资的账面价值；被投资单位除净损益、其他综合收益和利润分配以外所有者权益的其他变动，调整长期股权投资 的账面价值并计入资本公积（其他资本公积）。在确认应享有被投资单位净损益的份额时，以取得投资时被投资单位各项可 辨认资产等的公允价值为基础，并按照本集团的会计政策及会计期间，对被投资单位的净利润进行调整后确认。</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因追加投资等原因能够对被投资单位施加重大影响或实施共同控制但不构成控制的，在转换日，按照原股权的公允价值加 上新增投资成本之和，作为改按权益法核算的初始投资成本。原股权于转换日的公允价值与账面价值之间的差额，以及原 计入其他综合收益的累计公允价值变动转入改按权益法核算的当期损益。</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因处置部分股权投资等原因丧失了对被投资单位的共同控制或重大影响的，处置后的剩余股权在丧失共同控制或重大影响 之日改按《企业会计准则第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金融工具确认和计量》进行会计处理，公允价值与账面价值之间的差额计入当期损益。 原股权投资因采用权益法核算而确认的其他综合收益，在终止采用权益法核算时采用与被投资单位直接处置相关资产或负 债相同的基础进行会计处理；原股权投资相关的其他所有者权益变动转入当期损益。</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因处置部分股权投资等原因丧失了对被投资单位的控制的，处置后的剩余股权能够对被投资单位实施共同控制或施加重大 影响的，改按权益法核算，并对该剩余股权视同自取得时即采用权益法核算进行调整；处置后的剩余股权不能对被投资单 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金融工具确认和计量》的有关规定进行会计处理，其在 丧失控制之日的公允价值与账面价值之间的差额计入当期损益。</w:t>
      </w:r>
    </w:p>
    <w:p>
      <w:pPr>
        <w:pStyle w:val="Style36"/>
        <w:keepNext w:val="0"/>
        <w:keepLines w:val="0"/>
        <w:widowControl w:val="0"/>
        <w:shd w:val="clear" w:color="auto" w:fill="auto"/>
        <w:bidi w:val="0"/>
        <w:spacing w:before="0" w:after="0" w:line="320" w:lineRule="exact"/>
        <w:ind w:left="0" w:right="0" w:firstLine="0"/>
        <w:jc w:val="left"/>
      </w:pPr>
      <w:r>
        <w:rPr>
          <w:color w:val="000000"/>
          <w:spacing w:val="0"/>
          <w:w w:val="100"/>
          <w:position w:val="0"/>
        </w:rPr>
        <w:t>因其他投资方增资而导致本公司持股比例下降、从而丧失控制权但能对被投资单位实施共同控制或施加重大影响的，按照 新的持股比例确认本公司应享有的被投资单位因增资扩股而增加净资产的份额，与应结转持股比例下降部分所对应的长期 股权投资原账面价值之间的差额计入当期损益；然后，按照新的持股比例视同自取得投资时即采用权益法核算进行调整。 本集团与联营企业及合营企业之间发生的未实现内部交易损益按照持股比例计算归属于本集团的部分，在抵销基础上确认 投资损益。但本集团与被投资单位发生的未实现内部交易损失，属于所转让资产减值损失的，不予以抵销。</w:t>
      </w:r>
    </w:p>
    <w:p>
      <w:pPr>
        <w:pStyle w:val="Style36"/>
        <w:keepNext w:val="0"/>
        <w:keepLines w:val="0"/>
        <w:widowControl w:val="0"/>
        <w:shd w:val="clear" w:color="auto" w:fill="auto"/>
        <w:tabs>
          <w:tab w:pos="385" w:val="left"/>
        </w:tabs>
        <w:bidi w:val="0"/>
        <w:spacing w:before="0" w:after="0" w:line="313" w:lineRule="exact"/>
        <w:ind w:left="0" w:right="0" w:firstLine="0"/>
        <w:jc w:val="left"/>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确定对被投资单位具有共同控制、重大影响的依据</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共同控制，是指按照相关约定对某项安排所共有的控制，并且该安排的相关活动必须经过分享控制权的参与方一致同意后 才能决策。在判断是否存在共同控制时，首先判断是否由所有参与方或参与方组合集体控制该安排，其次再判断该安排相 关活动的决策是否必须经过这些集体控制该安排的参与方一致同意。如果所有参与方或一组参与方必须一致行动才能决定 某项安排的相关活动，则认为所有参与方或一组参与方集体控制该安排；如果存在两个或两个以上的参与方组合能够集体 控制某项安排的，不构成共同控制。判断是否存在共同控制时，不考虑享有的保护性权利。</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重大影响，是指投资方对被投资单位的财务和经营政策有参与决策的权力，但并不能够控制或者与其他方一起共同控制这 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 可转换的认股权证、股份期权及可转换公司债券等的影响。</w:t>
      </w:r>
    </w:p>
    <w:p>
      <w:pPr>
        <w:pStyle w:val="Style36"/>
        <w:keepNext w:val="0"/>
        <w:keepLines w:val="0"/>
        <w:widowControl w:val="0"/>
        <w:shd w:val="clear" w:color="auto" w:fill="auto"/>
        <w:bidi w:val="0"/>
        <w:spacing w:before="0" w:after="0" w:line="315" w:lineRule="exact"/>
        <w:ind w:left="0" w:right="0" w:firstLine="0"/>
        <w:jc w:val="left"/>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的表决权股份时，一般认为对被投资单位 具有重大影响，除非有明确证据表明该种情况下不能参与被投资单位的生产经营决策，不形成重大影响；本集团拥有被投 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（不含）以下的表决权股份时，一般不认为对被投资单位具有重大影响，除非有明确证据表明该种情况下能够 参与被投资单位的生产经营决策，形成重大影响。</w:t>
      </w:r>
    </w:p>
    <w:p>
      <w:pPr>
        <w:pStyle w:val="Style36"/>
        <w:keepNext w:val="0"/>
        <w:keepLines w:val="0"/>
        <w:widowControl w:val="0"/>
        <w:shd w:val="clear" w:color="auto" w:fill="auto"/>
        <w:tabs>
          <w:tab w:pos="385" w:val="left"/>
        </w:tabs>
        <w:bidi w:val="0"/>
        <w:spacing w:before="0" w:after="0" w:line="313" w:lineRule="exact"/>
        <w:ind w:left="0" w:right="0" w:firstLine="0"/>
        <w:jc w:val="left"/>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减值测试方法及减值准备计提方法</w:t>
      </w:r>
    </w:p>
    <w:p>
      <w:pPr>
        <w:pStyle w:val="Style36"/>
        <w:keepNext w:val="0"/>
        <w:keepLines w:val="0"/>
        <w:widowControl w:val="0"/>
        <w:shd w:val="clear" w:color="auto" w:fill="auto"/>
        <w:bidi w:val="0"/>
        <w:spacing w:before="0" w:after="400" w:line="313" w:lineRule="exact"/>
        <w:ind w:left="0" w:right="0" w:firstLine="0"/>
        <w:jc w:val="left"/>
      </w:pPr>
      <w:r>
        <w:rPr>
          <w:color w:val="000000"/>
          <w:spacing w:val="0"/>
          <w:w w:val="100"/>
          <w:position w:val="0"/>
        </w:rPr>
        <w:t>对子公司、联营企业及合营企业的投资，计提资产减值的方法见附注三、</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p>
    <w:p>
      <w:pPr>
        <w:pStyle w:val="Style43"/>
        <w:keepNext/>
        <w:keepLines/>
        <w:widowControl w:val="0"/>
        <w:shd w:val="clear" w:color="auto" w:fill="auto"/>
        <w:bidi w:val="0"/>
        <w:spacing w:before="0" w:after="40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bookmarkEnd w:id="877"/>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75"/>
      <w:bookmarkEnd w:id="876"/>
      <w:bookmarkEnd w:id="878"/>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成本法计量</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折旧或摊销方法 </w:t>
      </w:r>
      <w:r>
        <w:rPr>
          <w:color w:val="000000"/>
          <w:spacing w:val="0"/>
          <w:w w:val="100"/>
          <w:position w:val="0"/>
        </w:rPr>
        <w:t>投资性房地产是指为赚取租金或资本增值，或两者兼有而持有的房地产。本集团投资性房地产包括已出租的土地使用权、 持有并准备增值后转让的土地使用权、已出租的建筑物。</w:t>
      </w:r>
    </w:p>
    <w:p>
      <w:pPr>
        <w:pStyle w:val="Style36"/>
        <w:keepNext w:val="0"/>
        <w:keepLines w:val="0"/>
        <w:widowControl w:val="0"/>
        <w:shd w:val="clear" w:color="auto" w:fill="auto"/>
        <w:bidi w:val="0"/>
        <w:spacing w:before="0" w:after="0" w:line="346" w:lineRule="exact"/>
        <w:ind w:left="0" w:right="0" w:firstLine="0"/>
        <w:jc w:val="left"/>
      </w:pPr>
      <w:r>
        <w:rPr>
          <w:color w:val="000000"/>
          <w:spacing w:val="0"/>
          <w:w w:val="100"/>
          <w:position w:val="0"/>
        </w:rPr>
        <w:t>本集团投资性房地产按照取得时的成本进行初始计量，并按照固定资产或无形资产的有关规定，按期计提折旧或摊销。 采用成本模式进行后续计量的投资性房地产，计提资产减值方法见附注三、</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p>
    <w:p>
      <w:pPr>
        <w:pStyle w:val="Style36"/>
        <w:keepNext w:val="0"/>
        <w:keepLines w:val="0"/>
        <w:widowControl w:val="0"/>
        <w:shd w:val="clear" w:color="auto" w:fill="auto"/>
        <w:bidi w:val="0"/>
        <w:spacing w:before="0" w:after="0" w:line="346" w:lineRule="exact"/>
        <w:ind w:left="0" w:right="0" w:firstLine="0"/>
        <w:jc w:val="left"/>
      </w:pPr>
      <w:r>
        <w:rPr>
          <w:color w:val="000000"/>
          <w:spacing w:val="0"/>
          <w:w w:val="100"/>
          <w:position w:val="0"/>
        </w:rPr>
        <w:t>投资性房地产出售、转让、报废或毁损的处置收入扣除其账面价值和相关税费后的差额计入当期损益。</w:t>
      </w:r>
    </w:p>
    <w:p>
      <w:pPr>
        <w:pStyle w:val="Style36"/>
        <w:keepNext w:val="0"/>
        <w:keepLines w:val="0"/>
        <w:widowControl w:val="0"/>
        <w:shd w:val="clear" w:color="auto" w:fill="auto"/>
        <w:bidi w:val="0"/>
        <w:spacing w:before="0" w:after="80" w:line="346" w:lineRule="exact"/>
        <w:ind w:left="0" w:right="0" w:firstLine="0"/>
        <w:jc w:val="left"/>
      </w:pPr>
      <w:r>
        <w:rPr>
          <w:color w:val="000000"/>
          <w:spacing w:val="0"/>
          <w:w w:val="100"/>
          <w:position w:val="0"/>
        </w:rPr>
        <w:t>本集团确定各类投资性房地产的年折旧率如下：</w:t>
      </w:r>
    </w:p>
    <w:tbl>
      <w:tblPr>
        <w:tblOverlap w:val="never"/>
        <w:jc w:val="center"/>
        <w:tblLayout w:type="fixed"/>
      </w:tblPr>
      <w:tblGrid>
        <w:gridCol w:w="2275"/>
        <w:gridCol w:w="2266"/>
        <w:gridCol w:w="2266"/>
        <w:gridCol w:w="2275"/>
      </w:tblGrid>
      <w:tr>
        <w:trPr>
          <w:trHeight w:val="36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使用年限(年)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残值率</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年折旧率</w:t>
            </w:r>
            <w:r>
              <w:rPr>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79"/>
      <w:bookmarkEnd w:id="880"/>
      <w:bookmarkEnd w:id="882"/>
    </w:p>
    <w:p>
      <w:pPr>
        <w:pStyle w:val="Style43"/>
        <w:keepNext/>
        <w:keepLines/>
        <w:widowControl w:val="0"/>
        <w:numPr>
          <w:ilvl w:val="0"/>
          <w:numId w:val="35"/>
        </w:numPr>
        <w:shd w:val="clear" w:color="auto" w:fill="auto"/>
        <w:bidi w:val="0"/>
        <w:spacing w:before="0" w:after="260" w:line="240" w:lineRule="auto"/>
        <w:ind w:left="0" w:right="0" w:firstLine="0"/>
        <w:jc w:val="left"/>
      </w:pPr>
      <w:bookmarkStart w:id="879" w:name="bookmark879"/>
      <w:bookmarkStart w:id="880" w:name="bookmark880"/>
      <w:bookmarkStart w:id="883" w:name="bookmark883"/>
      <w:bookmarkStart w:id="884" w:name="bookmark884"/>
      <w:bookmarkEnd w:id="883"/>
      <w:r>
        <w:rPr>
          <w:color w:val="000000"/>
          <w:spacing w:val="0"/>
          <w:w w:val="100"/>
          <w:position w:val="0"/>
        </w:rPr>
        <w:t>确认条件</w:t>
      </w:r>
      <w:bookmarkEnd w:id="879"/>
      <w:bookmarkEnd w:id="880"/>
      <w:bookmarkEnd w:id="884"/>
    </w:p>
    <w:p>
      <w:pPr>
        <w:pStyle w:val="Style3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本集团固定资产是指为生产商品、提供劳务、出租或经营管理而持有的，使用寿命超过一个会计年度的有形资产。与该固 定资产有关的经济利益很可能流入企业，并且该固定资产的成本能够可靠地计量时，固定资产才能予以确认。本集团固定 资产按照取得时的实际成本进行初始计量。</w:t>
      </w:r>
    </w:p>
    <w:p>
      <w:pPr>
        <w:pStyle w:val="Style43"/>
        <w:keepNext/>
        <w:keepLines/>
        <w:widowControl w:val="0"/>
        <w:numPr>
          <w:ilvl w:val="0"/>
          <w:numId w:val="35"/>
        </w:numPr>
        <w:shd w:val="clear" w:color="auto" w:fill="auto"/>
        <w:bidi w:val="0"/>
        <w:spacing w:before="0" w:after="320" w:line="240" w:lineRule="auto"/>
        <w:ind w:left="0" w:right="0" w:firstLine="140"/>
        <w:jc w:val="both"/>
      </w:pPr>
      <w:bookmarkStart w:id="885" w:name="bookmark885"/>
      <w:bookmarkStart w:id="886" w:name="bookmark886"/>
      <w:bookmarkStart w:id="887" w:name="bookmark887"/>
      <w:bookmarkStart w:id="888" w:name="bookmark888"/>
      <w:bookmarkEnd w:id="887"/>
      <w:r>
        <w:rPr>
          <w:color w:val="000000"/>
          <w:spacing w:val="0"/>
          <w:w w:val="100"/>
          <w:position w:val="0"/>
        </w:rPr>
        <w:t>折旧方法</w:t>
      </w:r>
      <w:bookmarkEnd w:id="885"/>
      <w:bookmarkEnd w:id="886"/>
      <w:bookmarkEnd w:id="888"/>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本集团采用年限平均法计提折旧。固定资产自达到预定可使用状态时开始计提折旧，终止确认时或划分为持有待售非流动 资产时停止计提折旧。在不考虑减值准备的情况下，按固定资产类别、预计使用寿命和预计残值，本集团确定各类固定资 产的年折旧率如上：</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其中，已计提减值准备的固定资产，还应扣除已计提的固定资产减值准备累计金额计算确定折旧率。</w:t>
      </w:r>
    </w:p>
    <w:p>
      <w:pPr>
        <w:pStyle w:val="Style36"/>
        <w:keepNext w:val="0"/>
        <w:keepLines w:val="0"/>
        <w:widowControl w:val="0"/>
        <w:numPr>
          <w:ilvl w:val="0"/>
          <w:numId w:val="35"/>
        </w:numPr>
        <w:shd w:val="clear" w:color="auto" w:fill="auto"/>
        <w:tabs>
          <w:tab w:pos="445" w:val="left"/>
        </w:tabs>
        <w:bidi w:val="0"/>
        <w:spacing w:before="0" w:after="0" w:line="312" w:lineRule="exact"/>
        <w:ind w:left="0" w:right="0" w:firstLine="0"/>
        <w:jc w:val="left"/>
      </w:pPr>
      <w:bookmarkStart w:id="889" w:name="bookmark889"/>
      <w:bookmarkEnd w:id="889"/>
      <w:r>
        <w:rPr>
          <w:color w:val="000000"/>
          <w:spacing w:val="0"/>
          <w:w w:val="100"/>
          <w:position w:val="0"/>
        </w:rPr>
        <w:t>固定资产的减值测试方法、减值准备计提方法见附注三、</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p>
    <w:p>
      <w:pPr>
        <w:pStyle w:val="Style36"/>
        <w:keepNext w:val="0"/>
        <w:keepLines w:val="0"/>
        <w:widowControl w:val="0"/>
        <w:numPr>
          <w:ilvl w:val="0"/>
          <w:numId w:val="35"/>
        </w:numPr>
        <w:shd w:val="clear" w:color="auto" w:fill="auto"/>
        <w:tabs>
          <w:tab w:pos="445" w:val="left"/>
        </w:tabs>
        <w:bidi w:val="0"/>
        <w:spacing w:before="0" w:after="0" w:line="312" w:lineRule="exact"/>
        <w:ind w:left="0" w:right="0" w:firstLine="0"/>
        <w:jc w:val="left"/>
      </w:pPr>
      <w:bookmarkStart w:id="890" w:name="bookmark890"/>
      <w:bookmarkEnd w:id="890"/>
      <w:r>
        <w:rPr>
          <w:color w:val="000000"/>
          <w:spacing w:val="0"/>
          <w:w w:val="100"/>
          <w:position w:val="0"/>
        </w:rPr>
        <w:t>每年年度终了，本集团对固定资产的使用寿命、预计净残值和折旧方法进行复核。</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使用寿命预计数与原先估计数有差异的，调整固定资产使用寿命；预计净残值预计数与原先估计数有差异的，调整预计净 残值。</w:t>
      </w:r>
    </w:p>
    <w:p>
      <w:pPr>
        <w:pStyle w:val="Style36"/>
        <w:keepNext w:val="0"/>
        <w:keepLines w:val="0"/>
        <w:widowControl w:val="0"/>
        <w:numPr>
          <w:ilvl w:val="0"/>
          <w:numId w:val="35"/>
        </w:numPr>
        <w:shd w:val="clear" w:color="auto" w:fill="auto"/>
        <w:tabs>
          <w:tab w:pos="445" w:val="left"/>
        </w:tabs>
        <w:bidi w:val="0"/>
        <w:spacing w:before="0" w:after="0" w:line="312" w:lineRule="exact"/>
        <w:ind w:left="0" w:right="0" w:firstLine="0"/>
        <w:jc w:val="left"/>
      </w:pPr>
      <w:bookmarkStart w:id="891" w:name="bookmark891"/>
      <w:bookmarkEnd w:id="891"/>
      <w:r>
        <w:rPr>
          <w:color w:val="000000"/>
          <w:spacing w:val="0"/>
          <w:w w:val="100"/>
          <w:position w:val="0"/>
        </w:rPr>
        <w:t>大修理费用</w:t>
      </w:r>
    </w:p>
    <w:p>
      <w:pPr>
        <w:pStyle w:val="Style3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本集团对固定资产进行定期检查发生的大修理费用，有确凿证据表明符合固定资产确认条件的部分，计入固定资产成本， 不符合固定资产确认条件的计入当期损益。固定资产在定期大修理间隔期间，照提折旧。</w:t>
      </w:r>
    </w:p>
    <w:p>
      <w:pPr>
        <w:pStyle w:val="Style43"/>
        <w:keepNext/>
        <w:keepLines/>
        <w:widowControl w:val="0"/>
        <w:numPr>
          <w:ilvl w:val="0"/>
          <w:numId w:val="21"/>
        </w:numPr>
        <w:shd w:val="clear" w:color="auto" w:fill="auto"/>
        <w:bidi w:val="0"/>
        <w:spacing w:before="0" w:after="260" w:line="240" w:lineRule="auto"/>
        <w:ind w:left="0" w:right="0" w:firstLine="0"/>
        <w:jc w:val="left"/>
      </w:pPr>
      <w:bookmarkStart w:id="892" w:name="bookmark892"/>
      <w:bookmarkStart w:id="893" w:name="bookmark893"/>
      <w:bookmarkStart w:id="894" w:name="bookmark894"/>
      <w:bookmarkStart w:id="895" w:name="bookmark895"/>
      <w:bookmarkEnd w:id="894"/>
      <w:r>
        <w:rPr>
          <w:color w:val="000000"/>
          <w:spacing w:val="0"/>
          <w:w w:val="100"/>
          <w:position w:val="0"/>
        </w:rPr>
        <w:t>融资租入固定资产的认定依据、计价和折旧方法</w:t>
      </w:r>
      <w:bookmarkEnd w:id="892"/>
      <w:bookmarkEnd w:id="893"/>
      <w:bookmarkEnd w:id="895"/>
    </w:p>
    <w:p>
      <w:pPr>
        <w:pStyle w:val="Style36"/>
        <w:keepNext w:val="0"/>
        <w:keepLines w:val="0"/>
        <w:widowControl w:val="0"/>
        <w:shd w:val="clear" w:color="auto" w:fill="auto"/>
        <w:bidi w:val="0"/>
        <w:spacing w:before="0" w:after="60" w:line="312" w:lineRule="exact"/>
        <w:ind w:left="0" w:right="0" w:firstLine="0"/>
        <w:jc w:val="left"/>
      </w:pPr>
      <w:r>
        <w:rPr>
          <w:color w:val="000000"/>
          <w:spacing w:val="0"/>
          <w:w w:val="100"/>
          <w:position w:val="0"/>
        </w:rPr>
        <w:t>无。</w:t>
      </w:r>
    </w:p>
    <w:p>
      <w:pPr>
        <w:pStyle w:val="Style39"/>
        <w:keepNext w:val="0"/>
        <w:keepLines w:val="0"/>
        <w:widowControl w:val="0"/>
        <w:shd w:val="clear" w:color="auto" w:fill="auto"/>
        <w:tabs>
          <w:tab w:pos="483" w:val="left"/>
        </w:tabs>
        <w:bidi w:val="0"/>
        <w:spacing w:before="0" w:after="280" w:line="240" w:lineRule="auto"/>
        <w:ind w:left="0" w:right="0" w:firstLine="0"/>
        <w:jc w:val="left"/>
        <w:rPr>
          <w:sz w:val="20"/>
          <w:szCs w:val="20"/>
        </w:rPr>
      </w:pPr>
      <w:bookmarkStart w:id="896" w:name="bookmark896"/>
      <w:r>
        <w:rPr>
          <w:rFonts w:ascii="Times New Roman" w:eastAsia="Times New Roman" w:hAnsi="Times New Roman" w:cs="Times New Roman"/>
          <w:b/>
          <w:bCs/>
          <w:i w:val="0"/>
          <w:iCs w:val="0"/>
          <w:color w:val="000000"/>
          <w:spacing w:val="0"/>
          <w:w w:val="100"/>
          <w:position w:val="0"/>
          <w:sz w:val="20"/>
          <w:szCs w:val="20"/>
        </w:rPr>
        <w:t>2</w:t>
      </w:r>
      <w:bookmarkEnd w:id="896"/>
      <w:r>
        <w:rPr>
          <w:rFonts w:ascii="Times New Roman" w:eastAsia="Times New Roman" w:hAnsi="Times New Roman" w:cs="Times New Roman"/>
          <w:b/>
          <w:bCs/>
          <w:i w:val="0"/>
          <w:iCs w:val="0"/>
          <w:color w:val="000000"/>
          <w:spacing w:val="0"/>
          <w:w w:val="100"/>
          <w:position w:val="0"/>
          <w:sz w:val="20"/>
          <w:szCs w:val="20"/>
        </w:rPr>
        <w:t>5</w:t>
      </w:r>
      <w:r>
        <w:rPr>
          <w:b/>
          <w:bCs/>
          <w:i w:val="0"/>
          <w:iCs w:val="0"/>
          <w:color w:val="000000"/>
          <w:spacing w:val="0"/>
          <w:w w:val="100"/>
          <w:position w:val="0"/>
          <w:sz w:val="20"/>
          <w:szCs w:val="20"/>
        </w:rPr>
        <w:t>、</w:t>
        <w:tab/>
        <w:t>在建工程</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本集团在建工程成本按实际工程支出确定，包括在建期间发生的各项必要工程支出、工程达到预定可使用状态前的应予资 本化的借款费用以及其他相关费用等。</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在建工程在达到预定可使用状态时转入固定资产。</w:t>
      </w:r>
    </w:p>
    <w:p>
      <w:pPr>
        <w:pStyle w:val="Style3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在建工程计提资产减值方法见附注三、</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p>
    <w:p>
      <w:pPr>
        <w:pStyle w:val="Style39"/>
        <w:keepNext w:val="0"/>
        <w:keepLines w:val="0"/>
        <w:widowControl w:val="0"/>
        <w:shd w:val="clear" w:color="auto" w:fill="auto"/>
        <w:tabs>
          <w:tab w:pos="483" w:val="left"/>
        </w:tabs>
        <w:bidi w:val="0"/>
        <w:spacing w:before="0" w:after="280" w:line="240" w:lineRule="auto"/>
        <w:ind w:left="0" w:right="0" w:firstLine="0"/>
        <w:jc w:val="left"/>
        <w:rPr>
          <w:sz w:val="20"/>
          <w:szCs w:val="20"/>
        </w:rPr>
      </w:pPr>
      <w:bookmarkStart w:id="897" w:name="bookmark897"/>
      <w:r>
        <w:rPr>
          <w:rFonts w:ascii="Times New Roman" w:eastAsia="Times New Roman" w:hAnsi="Times New Roman" w:cs="Times New Roman"/>
          <w:b/>
          <w:bCs/>
          <w:i w:val="0"/>
          <w:iCs w:val="0"/>
          <w:color w:val="000000"/>
          <w:spacing w:val="0"/>
          <w:w w:val="100"/>
          <w:position w:val="0"/>
          <w:sz w:val="20"/>
          <w:szCs w:val="20"/>
        </w:rPr>
        <w:t>2</w:t>
      </w:r>
      <w:bookmarkEnd w:id="897"/>
      <w:r>
        <w:rPr>
          <w:rFonts w:ascii="Times New Roman" w:eastAsia="Times New Roman" w:hAnsi="Times New Roman" w:cs="Times New Roman"/>
          <w:b/>
          <w:bCs/>
          <w:i w:val="0"/>
          <w:iCs w:val="0"/>
          <w:color w:val="000000"/>
          <w:spacing w:val="0"/>
          <w:w w:val="100"/>
          <w:position w:val="0"/>
          <w:sz w:val="20"/>
          <w:szCs w:val="20"/>
        </w:rPr>
        <w:t>6</w:t>
      </w:r>
      <w:r>
        <w:rPr>
          <w:b/>
          <w:bCs/>
          <w:i w:val="0"/>
          <w:iCs w:val="0"/>
          <w:color w:val="000000"/>
          <w:spacing w:val="0"/>
          <w:w w:val="100"/>
          <w:position w:val="0"/>
          <w:sz w:val="20"/>
          <w:szCs w:val="20"/>
        </w:rPr>
        <w:t>、</w:t>
        <w:tab/>
        <w:t>借款费用</w:t>
      </w:r>
    </w:p>
    <w:p>
      <w:pPr>
        <w:pStyle w:val="Style36"/>
        <w:keepNext w:val="0"/>
        <w:keepLines w:val="0"/>
        <w:widowControl w:val="0"/>
        <w:shd w:val="clear" w:color="auto" w:fill="auto"/>
        <w:tabs>
          <w:tab w:pos="445" w:val="left"/>
        </w:tabs>
        <w:bidi w:val="0"/>
        <w:spacing w:before="0" w:after="0" w:line="312" w:lineRule="exact"/>
        <w:ind w:left="0" w:right="0" w:firstLine="0"/>
        <w:jc w:val="left"/>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借款费用资本化的确认原则</w:t>
      </w:r>
    </w:p>
    <w:p>
      <w:pPr>
        <w:pStyle w:val="Style3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本集团发生的借款费用，可直接归属于符合资本化条件的资产的购建或者生产的，予以资本化，计入相关资产成本；其他 借款费用，在发生时根据其发生额确认为费用，计入当期损益。借款费用同时满足下列条件的，开始资本化：</w:t>
      </w:r>
    </w:p>
    <w:p>
      <w:pPr>
        <w:pStyle w:val="Style36"/>
        <w:keepNext w:val="0"/>
        <w:keepLines w:val="0"/>
        <w:widowControl w:val="0"/>
        <w:numPr>
          <w:ilvl w:val="0"/>
          <w:numId w:val="37"/>
        </w:numPr>
        <w:shd w:val="clear" w:color="auto" w:fill="auto"/>
        <w:tabs>
          <w:tab w:pos="373" w:val="left"/>
        </w:tabs>
        <w:bidi w:val="0"/>
        <w:spacing w:before="0" w:after="0" w:line="317" w:lineRule="exact"/>
        <w:ind w:left="0" w:right="0" w:firstLine="0"/>
        <w:jc w:val="left"/>
      </w:pPr>
      <w:bookmarkStart w:id="899" w:name="bookmark899"/>
      <w:bookmarkEnd w:id="899"/>
      <w:r>
        <w:rPr>
          <w:color w:val="000000"/>
          <w:spacing w:val="0"/>
          <w:w w:val="100"/>
          <w:position w:val="0"/>
        </w:rPr>
        <w:t>资产支出已经发生，资产支出包括为购建或者生产符合资本化条件的资产而以支付现金、转移非现金资产或者承担带息 债务形式发生的支出；</w:t>
      </w:r>
    </w:p>
    <w:p>
      <w:pPr>
        <w:pStyle w:val="Style36"/>
        <w:keepNext w:val="0"/>
        <w:keepLines w:val="0"/>
        <w:widowControl w:val="0"/>
        <w:numPr>
          <w:ilvl w:val="0"/>
          <w:numId w:val="37"/>
        </w:numPr>
        <w:shd w:val="clear" w:color="auto" w:fill="auto"/>
        <w:tabs>
          <w:tab w:pos="373" w:val="left"/>
        </w:tabs>
        <w:bidi w:val="0"/>
        <w:spacing w:before="0" w:after="0" w:line="312" w:lineRule="exact"/>
        <w:ind w:left="0" w:right="0" w:firstLine="0"/>
        <w:jc w:val="left"/>
      </w:pPr>
      <w:bookmarkStart w:id="900" w:name="bookmark900"/>
      <w:bookmarkEnd w:id="900"/>
      <w:r>
        <w:rPr>
          <w:color w:val="000000"/>
          <w:spacing w:val="0"/>
          <w:w w:val="100"/>
          <w:position w:val="0"/>
        </w:rPr>
        <w:t>借款费用已经发生；</w:t>
      </w:r>
    </w:p>
    <w:p>
      <w:pPr>
        <w:pStyle w:val="Style36"/>
        <w:keepNext w:val="0"/>
        <w:keepLines w:val="0"/>
        <w:widowControl w:val="0"/>
        <w:numPr>
          <w:ilvl w:val="0"/>
          <w:numId w:val="37"/>
        </w:numPr>
        <w:shd w:val="clear" w:color="auto" w:fill="auto"/>
        <w:tabs>
          <w:tab w:pos="373" w:val="left"/>
        </w:tabs>
        <w:bidi w:val="0"/>
        <w:spacing w:before="0" w:after="0" w:line="312" w:lineRule="exact"/>
        <w:ind w:left="0" w:right="0" w:firstLine="0"/>
        <w:jc w:val="left"/>
      </w:pPr>
      <w:bookmarkStart w:id="901" w:name="bookmark901"/>
      <w:bookmarkEnd w:id="901"/>
      <w:r>
        <w:rPr>
          <w:color w:val="000000"/>
          <w:spacing w:val="0"/>
          <w:w w:val="100"/>
          <w:position w:val="0"/>
        </w:rPr>
        <w:t>为使资产达到预定可使用或者可销售状态所必要的购建或者生产活动已经开始。</w:t>
      </w:r>
    </w:p>
    <w:p>
      <w:pPr>
        <w:pStyle w:val="Style36"/>
        <w:keepNext w:val="0"/>
        <w:keepLines w:val="0"/>
        <w:widowControl w:val="0"/>
        <w:shd w:val="clear" w:color="auto" w:fill="auto"/>
        <w:tabs>
          <w:tab w:pos="445" w:val="left"/>
        </w:tabs>
        <w:bidi w:val="0"/>
        <w:spacing w:before="0" w:after="0" w:line="312" w:lineRule="exact"/>
        <w:ind w:left="0" w:right="0" w:firstLine="0"/>
        <w:jc w:val="left"/>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借款费用资本化期间</w:t>
      </w:r>
    </w:p>
    <w:p>
      <w:pPr>
        <w:pStyle w:val="Style36"/>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本集团购建或者生产符合资本化条件的资产达到预定可使用或者可销售状态时，借款费用停止资本化。在符合资本化条件 的资产达到预定可使用或者可销售状态之后所发生的借款费用，在发生时根据其发生额确认为费用，计入当期损益。 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正常中断期间的借款费用继续资本化。</w:t>
      </w:r>
    </w:p>
    <w:p>
      <w:pPr>
        <w:pStyle w:val="Style36"/>
        <w:keepNext w:val="0"/>
        <w:keepLines w:val="0"/>
        <w:widowControl w:val="0"/>
        <w:shd w:val="clear" w:color="auto" w:fill="auto"/>
        <w:tabs>
          <w:tab w:pos="445" w:val="left"/>
        </w:tabs>
        <w:bidi w:val="0"/>
        <w:spacing w:before="0" w:after="0" w:line="326" w:lineRule="exact"/>
        <w:ind w:left="0" w:right="0" w:firstLine="0"/>
        <w:jc w:val="left"/>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借款费用资本化率以及资本化金额的计算方法</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专门借款当期实际发生的利息费用，减去尚未动用的借款资金存入银行取得的利息收入或进行暂时性投资取得的投资收益 后的金额予以资本化；一般借款根据累计资产支出超过专门借款部分的资产支出加权平均数乘以所占用一般借款的资本化 率，确定资本化金额。资本化率根据一般借款的加权平均利率计算确定。</w:t>
      </w:r>
    </w:p>
    <w:p>
      <w:pPr>
        <w:pStyle w:val="Style3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资本化期间内，外币专门借款的汇兑差额全部予以资本化；外币一般借款的汇兑差额计入当期损益。</w:t>
      </w:r>
    </w:p>
    <w:p>
      <w:pPr>
        <w:pStyle w:val="Style39"/>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904" w:name="bookmark904"/>
      <w:r>
        <w:rPr>
          <w:rFonts w:ascii="Times New Roman" w:eastAsia="Times New Roman" w:hAnsi="Times New Roman" w:cs="Times New Roman"/>
          <w:b/>
          <w:bCs/>
          <w:i w:val="0"/>
          <w:iCs w:val="0"/>
          <w:color w:val="000000"/>
          <w:spacing w:val="0"/>
          <w:w w:val="100"/>
          <w:position w:val="0"/>
          <w:sz w:val="20"/>
          <w:szCs w:val="20"/>
        </w:rPr>
        <w:t>2</w:t>
      </w:r>
      <w:bookmarkEnd w:id="904"/>
      <w:r>
        <w:rPr>
          <w:rFonts w:ascii="Times New Roman" w:eastAsia="Times New Roman" w:hAnsi="Times New Roman" w:cs="Times New Roman"/>
          <w:b/>
          <w:bCs/>
          <w:i w:val="0"/>
          <w:iCs w:val="0"/>
          <w:color w:val="000000"/>
          <w:spacing w:val="0"/>
          <w:w w:val="100"/>
          <w:position w:val="0"/>
          <w:sz w:val="20"/>
          <w:szCs w:val="20"/>
        </w:rPr>
        <w:t>7</w:t>
      </w:r>
      <w:r>
        <w:rPr>
          <w:b/>
          <w:bCs/>
          <w:i w:val="0"/>
          <w:iCs w:val="0"/>
          <w:color w:val="000000"/>
          <w:spacing w:val="0"/>
          <w:w w:val="100"/>
          <w:position w:val="0"/>
          <w:sz w:val="20"/>
          <w:szCs w:val="20"/>
        </w:rPr>
        <w:t>、</w:t>
        <w:tab/>
        <w:t>生物资产</w:t>
      </w:r>
    </w:p>
    <w:p>
      <w:pPr>
        <w:pStyle w:val="Style39"/>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905" w:name="bookmark905"/>
      <w:r>
        <w:rPr>
          <w:rFonts w:ascii="Times New Roman" w:eastAsia="Times New Roman" w:hAnsi="Times New Roman" w:cs="Times New Roman"/>
          <w:b/>
          <w:bCs/>
          <w:i w:val="0"/>
          <w:iCs w:val="0"/>
          <w:color w:val="000000"/>
          <w:spacing w:val="0"/>
          <w:w w:val="100"/>
          <w:position w:val="0"/>
          <w:sz w:val="20"/>
          <w:szCs w:val="20"/>
        </w:rPr>
        <w:t>2</w:t>
      </w:r>
      <w:bookmarkEnd w:id="905"/>
      <w:r>
        <w:rPr>
          <w:rFonts w:ascii="Times New Roman" w:eastAsia="Times New Roman" w:hAnsi="Times New Roman" w:cs="Times New Roman"/>
          <w:b/>
          <w:bCs/>
          <w:i w:val="0"/>
          <w:iCs w:val="0"/>
          <w:color w:val="000000"/>
          <w:spacing w:val="0"/>
          <w:w w:val="100"/>
          <w:position w:val="0"/>
          <w:sz w:val="20"/>
          <w:szCs w:val="20"/>
        </w:rPr>
        <w:t>8</w:t>
      </w:r>
      <w:r>
        <w:rPr>
          <w:b/>
          <w:bCs/>
          <w:i w:val="0"/>
          <w:iCs w:val="0"/>
          <w:color w:val="000000"/>
          <w:spacing w:val="0"/>
          <w:w w:val="100"/>
          <w:position w:val="0"/>
          <w:sz w:val="20"/>
          <w:szCs w:val="20"/>
        </w:rPr>
        <w:t>、</w:t>
        <w:tab/>
        <w:t>油气资产</w:t>
      </w:r>
    </w:p>
    <w:p>
      <w:pPr>
        <w:pStyle w:val="Style39"/>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906" w:name="bookmark906"/>
      <w:r>
        <w:rPr>
          <w:rFonts w:ascii="Times New Roman" w:eastAsia="Times New Roman" w:hAnsi="Times New Roman" w:cs="Times New Roman"/>
          <w:b/>
          <w:bCs/>
          <w:i w:val="0"/>
          <w:iCs w:val="0"/>
          <w:color w:val="000000"/>
          <w:spacing w:val="0"/>
          <w:w w:val="100"/>
          <w:position w:val="0"/>
          <w:sz w:val="20"/>
          <w:szCs w:val="20"/>
        </w:rPr>
        <w:t>2</w:t>
      </w:r>
      <w:bookmarkEnd w:id="906"/>
      <w:r>
        <w:rPr>
          <w:rFonts w:ascii="Times New Roman" w:eastAsia="Times New Roman" w:hAnsi="Times New Roman" w:cs="Times New Roman"/>
          <w:b/>
          <w:bCs/>
          <w:i w:val="0"/>
          <w:iCs w:val="0"/>
          <w:color w:val="000000"/>
          <w:spacing w:val="0"/>
          <w:w w:val="100"/>
          <w:position w:val="0"/>
          <w:sz w:val="20"/>
          <w:szCs w:val="20"/>
        </w:rPr>
        <w:t>9</w:t>
      </w:r>
      <w:r>
        <w:rPr>
          <w:b/>
          <w:bCs/>
          <w:i w:val="0"/>
          <w:iCs w:val="0"/>
          <w:color w:val="000000"/>
          <w:spacing w:val="0"/>
          <w:w w:val="100"/>
          <w:position w:val="0"/>
          <w:sz w:val="20"/>
          <w:szCs w:val="20"/>
        </w:rPr>
        <w:t>、</w:t>
        <w:tab/>
        <w:t>使用权资产</w:t>
      </w:r>
    </w:p>
    <w:p>
      <w:pPr>
        <w:pStyle w:val="Style39"/>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907" w:name="bookmark907"/>
      <w:r>
        <w:rPr>
          <w:rFonts w:ascii="Times New Roman" w:eastAsia="Times New Roman" w:hAnsi="Times New Roman" w:cs="Times New Roman"/>
          <w:b/>
          <w:bCs/>
          <w:i w:val="0"/>
          <w:iCs w:val="0"/>
          <w:color w:val="000000"/>
          <w:spacing w:val="0"/>
          <w:w w:val="100"/>
          <w:position w:val="0"/>
          <w:sz w:val="20"/>
          <w:szCs w:val="20"/>
        </w:rPr>
        <w:t>3</w:t>
      </w:r>
      <w:bookmarkEnd w:id="907"/>
      <w:r>
        <w:rPr>
          <w:rFonts w:ascii="Times New Roman" w:eastAsia="Times New Roman" w:hAnsi="Times New Roman" w:cs="Times New Roman"/>
          <w:b/>
          <w:bCs/>
          <w:i w:val="0"/>
          <w:iCs w:val="0"/>
          <w:color w:val="000000"/>
          <w:spacing w:val="0"/>
          <w:w w:val="100"/>
          <w:position w:val="0"/>
          <w:sz w:val="20"/>
          <w:szCs w:val="20"/>
        </w:rPr>
        <w:t>0</w:t>
      </w:r>
      <w:r>
        <w:rPr>
          <w:b/>
          <w:bCs/>
          <w:i w:val="0"/>
          <w:iCs w:val="0"/>
          <w:color w:val="000000"/>
          <w:spacing w:val="0"/>
          <w:w w:val="100"/>
          <w:position w:val="0"/>
          <w:sz w:val="20"/>
          <w:szCs w:val="20"/>
        </w:rPr>
        <w:t>、</w:t>
        <w:tab/>
        <w:t>无形资产</w:t>
      </w:r>
    </w:p>
    <w:p>
      <w:pPr>
        <w:pStyle w:val="Style39"/>
        <w:keepNext w:val="0"/>
        <w:keepLines w:val="0"/>
        <w:widowControl w:val="0"/>
        <w:shd w:val="clear" w:color="auto" w:fill="auto"/>
        <w:bidi w:val="0"/>
        <w:spacing w:before="0" w:after="280" w:line="240" w:lineRule="auto"/>
        <w:ind w:left="0" w:right="0" w:firstLine="0"/>
        <w:jc w:val="left"/>
        <w:rPr>
          <w:sz w:val="20"/>
          <w:szCs w:val="20"/>
        </w:rPr>
      </w:pPr>
      <w:bookmarkStart w:id="908" w:name="bookmark908"/>
      <w:r>
        <w:rPr>
          <w:b/>
          <w:bCs/>
          <w:i w:val="0"/>
          <w:iCs w:val="0"/>
          <w:color w:val="000000"/>
          <w:spacing w:val="0"/>
          <w:w w:val="100"/>
          <w:position w:val="0"/>
          <w:sz w:val="20"/>
          <w:szCs w:val="20"/>
        </w:rPr>
        <w:t>（</w:t>
      </w:r>
      <w:bookmarkEnd w:id="908"/>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）计价方法、使用寿命、减值测试</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本集团无形资产包括土地使用权、计算机软件、自行开发软件等。</w:t>
      </w:r>
    </w:p>
    <w:p>
      <w:pPr>
        <w:pStyle w:val="Style36"/>
        <w:keepNext w:val="0"/>
        <w:keepLines w:val="0"/>
        <w:widowControl w:val="0"/>
        <w:shd w:val="clear" w:color="auto" w:fill="auto"/>
        <w:bidi w:val="0"/>
        <w:spacing w:before="0" w:after="0" w:line="310" w:lineRule="exact"/>
        <w:ind w:left="0" w:right="0" w:firstLine="0"/>
        <w:jc w:val="left"/>
      </w:pPr>
      <w:r>
        <w:rPr>
          <w:color w:val="000000"/>
          <w:spacing w:val="0"/>
          <w:w w:val="100"/>
          <w:position w:val="0"/>
        </w:rPr>
        <w:t>无形资产按照成本进行初始计量，并于取得无形资产时分析判断其使用寿命。使用寿命为有限的，自无形资产可供使用时 起，采用能反映与该资产有关的经济利益的预期实现方式的摊销方法，在预计使用年限内摊销；无法可靠确定预期实现方 式的，采用直线法摊销；使用寿命不确定的无形资产，不作摊销。</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使用寿命有限的无形资产摊销方法如下：</w:t>
      </w:r>
    </w:p>
    <w:tbl>
      <w:tblPr>
        <w:tblOverlap w:val="never"/>
        <w:jc w:val="center"/>
        <w:tblLayout w:type="fixed"/>
      </w:tblPr>
      <w:tblGrid>
        <w:gridCol w:w="3101"/>
        <w:gridCol w:w="3096"/>
        <w:gridCol w:w="3106"/>
      </w:tblGrid>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40-70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40" w:right="0" w:firstLine="0"/>
              <w:jc w:val="left"/>
            </w:pPr>
            <w:r>
              <w:rPr>
                <w:color w:val="000000"/>
                <w:spacing w:val="0"/>
                <w:w w:val="100"/>
                <w:position w:val="0"/>
              </w:rPr>
              <w:t>直线法</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40" w:right="0" w:firstLine="0"/>
              <w:jc w:val="left"/>
            </w:pPr>
            <w:r>
              <w:rPr>
                <w:color w:val="000000"/>
                <w:spacing w:val="0"/>
                <w:w w:val="100"/>
                <w:position w:val="0"/>
              </w:rPr>
              <w:t>直线法</w:t>
            </w:r>
          </w:p>
        </w:tc>
      </w:tr>
      <w:tr>
        <w:trPr>
          <w:trHeight w:val="3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自行开发软件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40" w:right="0" w:firstLine="0"/>
              <w:jc w:val="left"/>
            </w:pPr>
            <w:r>
              <w:rPr>
                <w:color w:val="000000"/>
                <w:spacing w:val="0"/>
                <w:w w:val="100"/>
                <w:position w:val="0"/>
              </w:rPr>
              <w:t>直线法</w:t>
            </w:r>
          </w:p>
        </w:tc>
      </w:tr>
    </w:tbl>
    <w:p>
      <w:pPr>
        <w:pStyle w:val="Style36"/>
        <w:keepNext w:val="0"/>
        <w:keepLines w:val="0"/>
        <w:widowControl w:val="0"/>
        <w:shd w:val="clear" w:color="auto" w:fill="auto"/>
        <w:bidi w:val="0"/>
        <w:spacing w:before="0" w:line="307" w:lineRule="exact"/>
        <w:ind w:left="0" w:right="0" w:firstLine="0"/>
        <w:jc w:val="left"/>
      </w:pPr>
      <w:r>
        <w:rPr>
          <w:color w:val="000000"/>
          <w:spacing w:val="0"/>
          <w:w w:val="100"/>
          <w:position w:val="0"/>
        </w:rPr>
        <w:t>本集团于每年年度终了，对使用寿命有限的无形资产的使用寿命及摊销方法进行复核，与以前估计不同的，调整原先估计 数，并按会计估计变更处理。</w:t>
      </w:r>
    </w:p>
    <w:p>
      <w:pPr>
        <w:pStyle w:val="Style36"/>
        <w:keepNext w:val="0"/>
        <w:keepLines w:val="0"/>
        <w:widowControl w:val="0"/>
        <w:shd w:val="clear" w:color="auto" w:fill="auto"/>
        <w:bidi w:val="0"/>
        <w:spacing w:before="0" w:after="400" w:line="346" w:lineRule="exact"/>
        <w:ind w:left="0" w:right="0" w:firstLine="0"/>
        <w:jc w:val="left"/>
      </w:pPr>
      <w:r>
        <w:rPr>
          <w:color w:val="000000"/>
          <w:spacing w:val="0"/>
          <w:w w:val="100"/>
          <w:position w:val="0"/>
        </w:rPr>
        <w:t>资产负债表日预计某项无形资产已经不能给企业带来未来经济利益的，将该项无形资产的账面价值全部转入当期损益。 无形资产计提资产减值方法见附注三、</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p>
    <w:p>
      <w:pPr>
        <w:pStyle w:val="Style43"/>
        <w:keepNext/>
        <w:keepLines/>
        <w:widowControl w:val="0"/>
        <w:shd w:val="clear" w:color="auto" w:fill="auto"/>
        <w:bidi w:val="0"/>
        <w:spacing w:before="0" w:after="260" w:line="240" w:lineRule="auto"/>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09"/>
      <w:bookmarkEnd w:id="910"/>
      <w:bookmarkEnd w:id="912"/>
    </w:p>
    <w:p>
      <w:pPr>
        <w:pStyle w:val="Style36"/>
        <w:keepNext w:val="0"/>
        <w:keepLines w:val="0"/>
        <w:widowControl w:val="0"/>
        <w:shd w:val="clear" w:color="auto" w:fill="auto"/>
        <w:bidi w:val="0"/>
        <w:spacing w:before="0" w:line="355" w:lineRule="exact"/>
        <w:ind w:left="0" w:right="0" w:firstLine="0"/>
        <w:jc w:val="left"/>
      </w:pPr>
      <w:r>
        <w:rPr>
          <w:color w:val="000000"/>
          <w:spacing w:val="0"/>
          <w:w w:val="100"/>
          <w:position w:val="0"/>
        </w:rPr>
        <w:t>本集团将内部研究开发项目的支出，区分为研究阶段支出和开发阶段支出。 研究阶段的支出，于发生时计入当期损益。</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开发阶段的支出，同时满足下列条件的，才能予以资本化，即：完成该无形资产以使其能够使用或出售在技术上具有可行 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 支持，以完成该无形资产的开发，并有能力使用或出售该无形资产；归属于该无形资产开发阶段的支出能够可靠地计量。 不满足上述条件的开发支出计入当期损益。</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本集团研究开发项目在满足上述条件，通过技术可行性及经济可行性研究，形成项目立项后，进入开发阶段。</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已资本化的开发阶段的支出在资产负债表上列示为开发支出，自该项目达到预定用途之日转为无形资产。</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具体研发项目的资本化条件：</w:t>
      </w:r>
    </w:p>
    <w:p>
      <w:pPr>
        <w:pStyle w:val="Style36"/>
        <w:keepNext w:val="0"/>
        <w:keepLines w:val="0"/>
        <w:widowControl w:val="0"/>
        <w:numPr>
          <w:ilvl w:val="0"/>
          <w:numId w:val="39"/>
        </w:numPr>
        <w:shd w:val="clear" w:color="auto" w:fill="auto"/>
        <w:tabs>
          <w:tab w:pos="432" w:val="left"/>
        </w:tabs>
        <w:bidi w:val="0"/>
        <w:spacing w:before="0" w:line="312" w:lineRule="exact"/>
        <w:ind w:left="440" w:right="0" w:hanging="440"/>
        <w:jc w:val="left"/>
      </w:pPr>
      <w:bookmarkStart w:id="913" w:name="bookmark913"/>
      <w:bookmarkEnd w:id="913"/>
      <w:r>
        <w:rPr>
          <w:color w:val="000000"/>
          <w:spacing w:val="0"/>
          <w:w w:val="100"/>
          <w:position w:val="0"/>
        </w:rPr>
        <w:t>公司目前资本化的研发支出项目中，项目均在研发测试阶段，公司完成该无形资产以使其能够使用或者出售在技术上 具有可行性；</w:t>
      </w:r>
    </w:p>
    <w:p>
      <w:pPr>
        <w:pStyle w:val="Style36"/>
        <w:keepNext w:val="0"/>
        <w:keepLines w:val="0"/>
        <w:widowControl w:val="0"/>
        <w:numPr>
          <w:ilvl w:val="0"/>
          <w:numId w:val="39"/>
        </w:numPr>
        <w:shd w:val="clear" w:color="auto" w:fill="auto"/>
        <w:tabs>
          <w:tab w:pos="432" w:val="left"/>
        </w:tabs>
        <w:bidi w:val="0"/>
        <w:spacing w:before="0" w:line="312" w:lineRule="exact"/>
        <w:ind w:left="440" w:right="0" w:hanging="440"/>
        <w:jc w:val="left"/>
      </w:pPr>
      <w:bookmarkStart w:id="914" w:name="bookmark914"/>
      <w:bookmarkEnd w:id="914"/>
      <w:r>
        <w:rPr>
          <w:color w:val="000000"/>
          <w:spacing w:val="0"/>
          <w:w w:val="100"/>
          <w:position w:val="0"/>
        </w:rPr>
        <w:t>公司所有研发支出项目均是针对特定市场需求进行相关开发，以备将来出售，具有完成该无形资产并使用或出售的意 图；</w:t>
      </w:r>
    </w:p>
    <w:p>
      <w:pPr>
        <w:pStyle w:val="Style36"/>
        <w:keepNext w:val="0"/>
        <w:keepLines w:val="0"/>
        <w:widowControl w:val="0"/>
        <w:numPr>
          <w:ilvl w:val="0"/>
          <w:numId w:val="39"/>
        </w:numPr>
        <w:shd w:val="clear" w:color="auto" w:fill="auto"/>
        <w:tabs>
          <w:tab w:pos="432" w:val="left"/>
        </w:tabs>
        <w:bidi w:val="0"/>
        <w:spacing w:before="0" w:line="298" w:lineRule="exact"/>
        <w:ind w:left="440" w:right="0" w:hanging="440"/>
        <w:jc w:val="left"/>
      </w:pPr>
      <w:bookmarkStart w:id="915" w:name="bookmark915"/>
      <w:bookmarkEnd w:id="915"/>
      <w:r>
        <w:rPr>
          <w:color w:val="000000"/>
          <w:spacing w:val="0"/>
          <w:w w:val="100"/>
          <w:position w:val="0"/>
        </w:rPr>
        <w:t>公司所有研发支出资本化项目均会形成测试版软件，表明公司运用该无形资产生产的产品存在市场或无形资产自身存 在市场；</w:t>
      </w:r>
    </w:p>
    <w:p>
      <w:pPr>
        <w:pStyle w:val="Style36"/>
        <w:keepNext w:val="0"/>
        <w:keepLines w:val="0"/>
        <w:widowControl w:val="0"/>
        <w:numPr>
          <w:ilvl w:val="0"/>
          <w:numId w:val="39"/>
        </w:numPr>
        <w:shd w:val="clear" w:color="auto" w:fill="auto"/>
        <w:tabs>
          <w:tab w:pos="432" w:val="left"/>
        </w:tabs>
        <w:bidi w:val="0"/>
        <w:spacing w:before="0" w:line="302" w:lineRule="exact"/>
        <w:ind w:left="440" w:right="0" w:hanging="440"/>
        <w:jc w:val="left"/>
      </w:pPr>
      <w:bookmarkStart w:id="916" w:name="bookmark916"/>
      <w:bookmarkEnd w:id="916"/>
      <w:r>
        <w:rPr>
          <w:color w:val="000000"/>
          <w:spacing w:val="0"/>
          <w:w w:val="100"/>
          <w:position w:val="0"/>
        </w:rPr>
        <w:t>公司掌握研发支出资本化项目的核心技术，有能力完成相关无形资产的研发，表明公司有足够的技术、财务资源和其 他资源支持，以完成该无形资产的开发，并有能力出售该无形资产；</w:t>
      </w:r>
    </w:p>
    <w:p>
      <w:pPr>
        <w:pStyle w:val="Style36"/>
        <w:keepNext w:val="0"/>
        <w:keepLines w:val="0"/>
        <w:widowControl w:val="0"/>
        <w:numPr>
          <w:ilvl w:val="0"/>
          <w:numId w:val="39"/>
        </w:numPr>
        <w:shd w:val="clear" w:color="auto" w:fill="auto"/>
        <w:tabs>
          <w:tab w:pos="432" w:val="left"/>
        </w:tabs>
        <w:bidi w:val="0"/>
        <w:spacing w:before="0" w:after="400" w:line="312" w:lineRule="exact"/>
        <w:ind w:left="0" w:right="0" w:firstLine="0"/>
        <w:jc w:val="left"/>
      </w:pPr>
      <w:bookmarkStart w:id="917" w:name="bookmark917"/>
      <w:bookmarkEnd w:id="917"/>
      <w:r>
        <w:rPr>
          <w:color w:val="000000"/>
          <w:spacing w:val="0"/>
          <w:w w:val="100"/>
          <w:position w:val="0"/>
        </w:rPr>
        <w:t>公司资本化研发支出分部门按项目统计相关支出，归属于该无形资产开发阶段的支出能够可靠地计量。</w:t>
      </w:r>
    </w:p>
    <w:p>
      <w:pPr>
        <w:pStyle w:val="Style43"/>
        <w:keepNext/>
        <w:keepLines/>
        <w:widowControl w:val="0"/>
        <w:shd w:val="clear" w:color="auto" w:fill="auto"/>
        <w:bidi w:val="0"/>
        <w:spacing w:before="0" w:after="26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3</w:t>
      </w:r>
      <w:bookmarkEnd w:id="920"/>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18"/>
      <w:bookmarkEnd w:id="919"/>
      <w:bookmarkEnd w:id="921"/>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对子公司、联营企业的长期股权投资、采用成本模式进行后续计量的投资性房地产、固定资产、在建工程和无形资产等 （存货、递延所得税资产、金融资产除外）的资产减值，按以下方法确定：</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于资产负债表日判断资产是否存在可能发生减值的迹象，存在减值迹象的，本集团将估计其可收回金额，进行减值测试。 对因企业合并所形成的商誉、使用寿命不确定的无形资产和尚未达到可使用状态的无形资产无论是否存在减值迹象，每年 都进行减值测试。</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可收回金额根据资产的公允价值减去处置费用后的净额与资产预计未来现金流量的现值两者之间较高者确定。本集团以单 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当资产或资产组的可收回金额低于其账面价值时，本集团将其账面价值减记至可收回金额，减记的金额计入当期损益，同 </w:t>
      </w:r>
      <w:r>
        <w:rPr>
          <w:color w:val="000000"/>
          <w:spacing w:val="0"/>
          <w:w w:val="100"/>
          <w:position w:val="0"/>
        </w:rPr>
        <w:t>时计提相应的资产减值准备。</w:t>
      </w:r>
    </w:p>
    <w:p>
      <w:pPr>
        <w:pStyle w:val="Style3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资产减值损失一经确认，在以后会计期间不再转回。</w:t>
      </w:r>
    </w:p>
    <w:p>
      <w:pPr>
        <w:pStyle w:val="Style43"/>
        <w:keepNext/>
        <w:keepLines/>
        <w:widowControl w:val="0"/>
        <w:shd w:val="clear" w:color="auto" w:fill="auto"/>
        <w:tabs>
          <w:tab w:pos="483" w:val="left"/>
        </w:tabs>
        <w:bidi w:val="0"/>
        <w:spacing w:before="0" w:after="260" w:line="240" w:lineRule="auto"/>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3</w:t>
      </w:r>
      <w:bookmarkEnd w:id="924"/>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22"/>
      <w:bookmarkEnd w:id="923"/>
      <w:bookmarkEnd w:id="925"/>
    </w:p>
    <w:p>
      <w:pPr>
        <w:pStyle w:val="Style3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本集团发生的长期待摊费用按实际成本计价，并按预计受益期限平均摊销。对不能使以后会计期间受益的长期待摊费用项 目，其摊余价值全部计入当期损益。</w:t>
      </w:r>
    </w:p>
    <w:p>
      <w:pPr>
        <w:pStyle w:val="Style43"/>
        <w:keepNext/>
        <w:keepLines/>
        <w:widowControl w:val="0"/>
        <w:shd w:val="clear" w:color="auto" w:fill="auto"/>
        <w:tabs>
          <w:tab w:pos="483" w:val="left"/>
        </w:tabs>
        <w:bidi w:val="0"/>
        <w:spacing w:before="0" w:after="380" w:line="240" w:lineRule="auto"/>
        <w:ind w:left="0" w:right="0" w:firstLine="0"/>
        <w:jc w:val="both"/>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3</w:t>
      </w:r>
      <w:bookmarkEnd w:id="928"/>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26"/>
      <w:bookmarkEnd w:id="927"/>
      <w:bookmarkEnd w:id="929"/>
    </w:p>
    <w:p>
      <w:pPr>
        <w:pStyle w:val="Style43"/>
        <w:keepNext/>
        <w:keepLines/>
        <w:widowControl w:val="0"/>
        <w:shd w:val="clear" w:color="auto" w:fill="auto"/>
        <w:tabs>
          <w:tab w:pos="483" w:val="left"/>
        </w:tabs>
        <w:bidi w:val="0"/>
        <w:spacing w:before="0" w:after="380" w:line="240" w:lineRule="auto"/>
        <w:ind w:left="0" w:right="0" w:firstLine="0"/>
        <w:jc w:val="both"/>
      </w:pPr>
      <w:bookmarkStart w:id="926" w:name="bookmark926"/>
      <w:bookmarkStart w:id="927" w:name="bookmark927"/>
      <w:bookmarkStart w:id="930" w:name="bookmark930"/>
      <w:bookmarkStart w:id="931" w:name="bookmark931"/>
      <w:r>
        <w:rPr>
          <w:rFonts w:ascii="Times New Roman" w:eastAsia="Times New Roman" w:hAnsi="Times New Roman" w:cs="Times New Roman"/>
          <w:color w:val="000000"/>
          <w:spacing w:val="0"/>
          <w:w w:val="100"/>
          <w:position w:val="0"/>
        </w:rPr>
        <w:t>3</w:t>
      </w:r>
      <w:bookmarkEnd w:id="930"/>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26"/>
      <w:bookmarkEnd w:id="927"/>
      <w:bookmarkEnd w:id="931"/>
    </w:p>
    <w:p>
      <w:pPr>
        <w:pStyle w:val="Style43"/>
        <w:keepNext/>
        <w:keepLines/>
        <w:widowControl w:val="0"/>
        <w:shd w:val="clear" w:color="auto" w:fill="auto"/>
        <w:tabs>
          <w:tab w:pos="493" w:val="left"/>
        </w:tabs>
        <w:bidi w:val="0"/>
        <w:spacing w:before="0" w:after="260" w:line="240" w:lineRule="auto"/>
        <w:ind w:left="0" w:right="0" w:firstLine="0"/>
        <w:jc w:val="both"/>
      </w:pPr>
      <w:bookmarkStart w:id="926" w:name="bookmark926"/>
      <w:bookmarkStart w:id="927" w:name="bookmark927"/>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26"/>
      <w:bookmarkEnd w:id="927"/>
      <w:bookmarkEnd w:id="933"/>
    </w:p>
    <w:p>
      <w:pPr>
        <w:pStyle w:val="Style36"/>
        <w:keepNext w:val="0"/>
        <w:keepLines w:val="0"/>
        <w:widowControl w:val="0"/>
        <w:numPr>
          <w:ilvl w:val="0"/>
          <w:numId w:val="41"/>
        </w:numPr>
        <w:shd w:val="clear" w:color="auto" w:fill="auto"/>
        <w:tabs>
          <w:tab w:pos="417" w:val="left"/>
        </w:tabs>
        <w:bidi w:val="0"/>
        <w:spacing w:before="0" w:after="0" w:line="312" w:lineRule="exact"/>
        <w:ind w:left="0" w:right="0" w:firstLine="0"/>
        <w:jc w:val="both"/>
      </w:pPr>
      <w:bookmarkStart w:id="934" w:name="bookmark934"/>
      <w:bookmarkEnd w:id="934"/>
      <w:r>
        <w:rPr>
          <w:color w:val="000000"/>
          <w:spacing w:val="0"/>
          <w:w w:val="100"/>
          <w:position w:val="0"/>
        </w:rPr>
        <w:t>职工薪酬的范围</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职工薪酬，是指企业为获得职工提供的服务或解除劳动关系而给予的各种形式的报酬或补偿。职工薪酬包括短期薪酬、离 职后福利、辞退福利和其他长期职工福利。企业提供给职工配偶、子女、受赡养人、已故员工遗属及其他受益人等的福 利，也属于职工薪酬。</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根据流动性，职工薪酬分别列示于资产负债表的“应付职工薪酬”项目和“长期应付职工薪酬”项目。</w:t>
      </w:r>
    </w:p>
    <w:p>
      <w:pPr>
        <w:pStyle w:val="Style36"/>
        <w:keepNext w:val="0"/>
        <w:keepLines w:val="0"/>
        <w:widowControl w:val="0"/>
        <w:numPr>
          <w:ilvl w:val="0"/>
          <w:numId w:val="41"/>
        </w:numPr>
        <w:shd w:val="clear" w:color="auto" w:fill="auto"/>
        <w:tabs>
          <w:tab w:pos="417" w:val="left"/>
        </w:tabs>
        <w:bidi w:val="0"/>
        <w:spacing w:before="0" w:after="0" w:line="312" w:lineRule="exact"/>
        <w:ind w:left="0" w:right="0" w:firstLine="0"/>
        <w:jc w:val="both"/>
      </w:pPr>
      <w:bookmarkStart w:id="935" w:name="bookmark935"/>
      <w:bookmarkEnd w:id="935"/>
      <w:r>
        <w:rPr>
          <w:color w:val="000000"/>
          <w:spacing w:val="0"/>
          <w:w w:val="100"/>
          <w:position w:val="0"/>
        </w:rPr>
        <w:t>短期薪酬</w:t>
      </w:r>
    </w:p>
    <w:p>
      <w:pPr>
        <w:pStyle w:val="Style3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本集团在职工提供服务的会计期间，将实际发生的职工工资、奖金、按规定的基准和比例为职工缴纳的医疗保险费、工伤 保险费和生育保险费等社会保险费和住房公积金，确认为负债，并计入当期损益或相关资产成本。如果该负债预期在职工 提供相关服务的年度报告期结束后十二个月内不能完全支付，且财务影响重大的，则该负债将以折现后的金额计量。</w:t>
      </w:r>
    </w:p>
    <w:p>
      <w:pPr>
        <w:pStyle w:val="Style43"/>
        <w:keepNext/>
        <w:keepLines/>
        <w:widowControl w:val="0"/>
        <w:shd w:val="clear" w:color="auto" w:fill="auto"/>
        <w:tabs>
          <w:tab w:pos="493" w:val="left"/>
        </w:tabs>
        <w:bidi w:val="0"/>
        <w:spacing w:before="0" w:after="260" w:line="240" w:lineRule="auto"/>
        <w:ind w:left="0" w:right="0" w:firstLine="0"/>
        <w:jc w:val="both"/>
      </w:pPr>
      <w:bookmarkStart w:id="936" w:name="bookmark936"/>
      <w:bookmarkStart w:id="937" w:name="bookmark937"/>
      <w:bookmarkStart w:id="938" w:name="bookmark938"/>
      <w:bookmarkStart w:id="939" w:name="bookmark939"/>
      <w:r>
        <w:rPr>
          <w:color w:val="000000"/>
          <w:spacing w:val="0"/>
          <w:w w:val="100"/>
          <w:position w:val="0"/>
        </w:rPr>
        <w:t>（</w:t>
      </w:r>
      <w:bookmarkEnd w:id="93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36"/>
      <w:bookmarkEnd w:id="937"/>
      <w:bookmarkEnd w:id="939"/>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离职后福利计划包括设定提存计划和设定受益计划。其中，设定提存计划，是指向独立的基金缴存固定费用后，企业不再 承担进一步支付义务的离职后福利计划；设定受益计划，是指除设定提存计划以外的离职后福利计划，本集团无设定受益 计划。</w:t>
      </w:r>
    </w:p>
    <w:p>
      <w:pPr>
        <w:pStyle w:val="Style36"/>
        <w:keepNext w:val="0"/>
        <w:keepLines w:val="0"/>
        <w:widowControl w:val="0"/>
        <w:shd w:val="clear" w:color="auto" w:fill="auto"/>
        <w:bidi w:val="0"/>
        <w:spacing w:before="0" w:after="0" w:line="336" w:lineRule="exact"/>
        <w:ind w:left="0" w:right="0" w:firstLine="0"/>
        <w:jc w:val="both"/>
      </w:pPr>
      <w:r>
        <w:rPr>
          <w:color w:val="000000"/>
          <w:spacing w:val="0"/>
          <w:w w:val="100"/>
          <w:position w:val="0"/>
        </w:rPr>
        <w:t>设定提存计划</w:t>
      </w:r>
    </w:p>
    <w:p>
      <w:pPr>
        <w:pStyle w:val="Style36"/>
        <w:keepNext w:val="0"/>
        <w:keepLines w:val="0"/>
        <w:widowControl w:val="0"/>
        <w:shd w:val="clear" w:color="auto" w:fill="auto"/>
        <w:bidi w:val="0"/>
        <w:spacing w:before="0" w:after="0" w:line="336" w:lineRule="exact"/>
        <w:ind w:left="0" w:right="0" w:firstLine="0"/>
        <w:jc w:val="both"/>
      </w:pPr>
      <w:r>
        <w:rPr>
          <w:color w:val="000000"/>
          <w:spacing w:val="0"/>
          <w:w w:val="100"/>
          <w:position w:val="0"/>
        </w:rPr>
        <w:t>设定提存计划包括基本养老保险、失业保险等。</w:t>
      </w:r>
    </w:p>
    <w:p>
      <w:pPr>
        <w:pStyle w:val="Style36"/>
        <w:keepNext w:val="0"/>
        <w:keepLines w:val="0"/>
        <w:widowControl w:val="0"/>
        <w:shd w:val="clear" w:color="auto" w:fill="auto"/>
        <w:bidi w:val="0"/>
        <w:spacing w:before="0" w:after="0" w:line="336" w:lineRule="exact"/>
        <w:ind w:left="0" w:right="0" w:firstLine="0"/>
        <w:jc w:val="both"/>
      </w:pPr>
      <w:r>
        <w:rPr>
          <w:color w:val="000000"/>
          <w:spacing w:val="0"/>
          <w:w w:val="100"/>
          <w:position w:val="0"/>
        </w:rPr>
        <w:t>在职工提供服务的会计期间，根据设定提存计划计算的应缴存金额确认为负债，并计入当期损益或相关资产成本。 设定受益计划</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对于设定受益计划，在年度资产负债表日由独立精算师进行精算估值，以预期累积福利单位法确定提供福利的成本。本集 团设定受益计划导致的职工薪酬成本包括下列组成部分：</w:t>
      </w:r>
    </w:p>
    <w:p>
      <w:pPr>
        <w:pStyle w:val="Style36"/>
        <w:keepNext w:val="0"/>
        <w:keepLines w:val="0"/>
        <w:widowControl w:val="0"/>
        <w:numPr>
          <w:ilvl w:val="0"/>
          <w:numId w:val="43"/>
        </w:numPr>
        <w:shd w:val="clear" w:color="auto" w:fill="auto"/>
        <w:tabs>
          <w:tab w:pos="373" w:val="left"/>
        </w:tabs>
        <w:bidi w:val="0"/>
        <w:spacing w:before="0" w:after="0" w:line="312" w:lineRule="exact"/>
        <w:ind w:left="0" w:right="0" w:firstLine="0"/>
        <w:jc w:val="both"/>
      </w:pPr>
      <w:bookmarkStart w:id="940" w:name="bookmark940"/>
      <w:bookmarkEnd w:id="940"/>
      <w:r>
        <w:rPr>
          <w:color w:val="000000"/>
          <w:spacing w:val="0"/>
          <w:w w:val="100"/>
          <w:position w:val="0"/>
        </w:rPr>
        <w:t>服务成本，包括当期服务成本、过去服务成本和结算利得或损失。其中，当期服务成本，是指职工当期提供服务所导致 的设定受益计划义务现值的增加额；过去服务成本，是指设定受益计划修改所导致的与以前期间职工服务相关的设定受益 计划义务现值的增加或减少。</w:t>
      </w:r>
    </w:p>
    <w:p>
      <w:pPr>
        <w:pStyle w:val="Style36"/>
        <w:keepNext w:val="0"/>
        <w:keepLines w:val="0"/>
        <w:widowControl w:val="0"/>
        <w:numPr>
          <w:ilvl w:val="0"/>
          <w:numId w:val="43"/>
        </w:numPr>
        <w:shd w:val="clear" w:color="auto" w:fill="auto"/>
        <w:tabs>
          <w:tab w:pos="373" w:val="left"/>
        </w:tabs>
        <w:bidi w:val="0"/>
        <w:spacing w:before="0" w:after="0" w:line="307" w:lineRule="exact"/>
        <w:ind w:left="0" w:right="0" w:firstLine="0"/>
        <w:jc w:val="both"/>
      </w:pPr>
      <w:bookmarkStart w:id="941" w:name="bookmark941"/>
      <w:bookmarkEnd w:id="941"/>
      <w:r>
        <w:rPr>
          <w:color w:val="000000"/>
          <w:spacing w:val="0"/>
          <w:w w:val="100"/>
          <w:position w:val="0"/>
        </w:rPr>
        <w:t>设定受益计划净负债或净资产的利息净额，包括计划资产的利息收益、设定受益计划义务的利息费用以及资产上限影响 的利息。</w:t>
      </w:r>
    </w:p>
    <w:p>
      <w:pPr>
        <w:pStyle w:val="Style36"/>
        <w:keepNext w:val="0"/>
        <w:keepLines w:val="0"/>
        <w:widowControl w:val="0"/>
        <w:numPr>
          <w:ilvl w:val="0"/>
          <w:numId w:val="43"/>
        </w:numPr>
        <w:shd w:val="clear" w:color="auto" w:fill="auto"/>
        <w:tabs>
          <w:tab w:pos="373" w:val="left"/>
        </w:tabs>
        <w:bidi w:val="0"/>
        <w:spacing w:before="0" w:after="0" w:line="312" w:lineRule="exact"/>
        <w:ind w:left="0" w:right="0" w:firstLine="0"/>
        <w:jc w:val="both"/>
      </w:pPr>
      <w:bookmarkStart w:id="942" w:name="bookmark942"/>
      <w:bookmarkEnd w:id="942"/>
      <w:r>
        <w:rPr>
          <w:color w:val="000000"/>
          <w:spacing w:val="0"/>
          <w:w w:val="100"/>
          <w:position w:val="0"/>
        </w:rPr>
        <w:t>重新计量设定受益计划净负债或净资产所产生的变动。</w:t>
      </w:r>
    </w:p>
    <w:p>
      <w:pPr>
        <w:pStyle w:val="Style3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 xml:space="preserve">除非其他会计准则要求或允许职工福利成本计入资产成本，本集团将上述第①和②项计入当期损益；第③项计入其他综合 收益且不会在后续会计期间转回至损益，在原设定受益计划终止时在权益范围内将原计入其他综合收益的部分全部结转至 </w:t>
      </w:r>
      <w:r>
        <w:rPr>
          <w:color w:val="000000"/>
          <w:spacing w:val="0"/>
          <w:w w:val="100"/>
          <w:position w:val="0"/>
        </w:rPr>
        <w:t>未分配利润。</w:t>
      </w:r>
    </w:p>
    <w:p>
      <w:pPr>
        <w:pStyle w:val="Style39"/>
        <w:keepNext w:val="0"/>
        <w:keepLines w:val="0"/>
        <w:widowControl w:val="0"/>
        <w:numPr>
          <w:ilvl w:val="0"/>
          <w:numId w:val="45"/>
        </w:numPr>
        <w:shd w:val="clear" w:color="auto" w:fill="auto"/>
        <w:tabs>
          <w:tab w:pos="493" w:val="left"/>
        </w:tabs>
        <w:bidi w:val="0"/>
        <w:spacing w:before="0" w:after="280" w:line="240" w:lineRule="auto"/>
        <w:ind w:left="0" w:right="0" w:firstLine="0"/>
        <w:jc w:val="left"/>
        <w:rPr>
          <w:sz w:val="20"/>
          <w:szCs w:val="20"/>
        </w:rPr>
      </w:pPr>
      <w:bookmarkStart w:id="943" w:name="bookmark943"/>
      <w:bookmarkEnd w:id="943"/>
      <w:r>
        <w:rPr>
          <w:b/>
          <w:bCs/>
          <w:i w:val="0"/>
          <w:iCs w:val="0"/>
          <w:color w:val="000000"/>
          <w:spacing w:val="0"/>
          <w:w w:val="100"/>
          <w:position w:val="0"/>
          <w:sz w:val="20"/>
          <w:szCs w:val="20"/>
        </w:rPr>
        <w:t>辞退福利的会计处理方法</w:t>
      </w:r>
    </w:p>
    <w:p>
      <w:pPr>
        <w:pStyle w:val="Style3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本集团向职工提供辞退福利的，在下列两者孰早日确认辞退福利产生的职工薪酬负债，并计入当期损益：本集团不能单方 面撤回因解除劳动关系计划或裁减建议所提供的辞退福利时；本集团确认与涉及支付辞退福利的重组相关的成本或费用 时。</w:t>
      </w:r>
    </w:p>
    <w:p>
      <w:pPr>
        <w:pStyle w:val="Style3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实行职工内部退休计划的，在正式退休日之前的经济补偿，属于辞退福利，自职工停止提供服务日至正常退休日期间，拟 支付的内退职工工资和缴纳的社会保险费等一次性计入当期损益。正式退休日期之后的经济补偿(如正常养老退休金)，按 照离职后福利处理。</w:t>
      </w:r>
    </w:p>
    <w:p>
      <w:pPr>
        <w:pStyle w:val="Style39"/>
        <w:keepNext w:val="0"/>
        <w:keepLines w:val="0"/>
        <w:widowControl w:val="0"/>
        <w:numPr>
          <w:ilvl w:val="0"/>
          <w:numId w:val="45"/>
        </w:numPr>
        <w:shd w:val="clear" w:color="auto" w:fill="auto"/>
        <w:tabs>
          <w:tab w:pos="493" w:val="left"/>
        </w:tabs>
        <w:bidi w:val="0"/>
        <w:spacing w:before="0" w:after="280" w:line="240" w:lineRule="auto"/>
        <w:ind w:left="0" w:right="0" w:firstLine="0"/>
        <w:jc w:val="left"/>
        <w:rPr>
          <w:sz w:val="20"/>
          <w:szCs w:val="20"/>
        </w:rPr>
      </w:pPr>
      <w:bookmarkStart w:id="944" w:name="bookmark944"/>
      <w:bookmarkEnd w:id="944"/>
      <w:r>
        <w:rPr>
          <w:b/>
          <w:bCs/>
          <w:i w:val="0"/>
          <w:iCs w:val="0"/>
          <w:color w:val="000000"/>
          <w:spacing w:val="0"/>
          <w:w w:val="100"/>
          <w:position w:val="0"/>
          <w:sz w:val="20"/>
          <w:szCs w:val="20"/>
        </w:rPr>
        <w:t>其他长期职工福利的会计处理方法</w:t>
      </w:r>
    </w:p>
    <w:p>
      <w:pPr>
        <w:pStyle w:val="Style3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本集团向职工提供的其他长期职工福利，符合设定提存计划条件的，按照上述关于设定提存计划的有关规定进行处理。符 合设定受益计划的，按照上述关于设定受益计划的有关规定进行处理，但相关职工薪酬成本中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重新计量设定受益计划净负 债或净资产所产生的变动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部分计入当期损益或相关资产成本。</w:t>
      </w:r>
    </w:p>
    <w:p>
      <w:pPr>
        <w:pStyle w:val="Style39"/>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945" w:name="bookmark945"/>
      <w:r>
        <w:rPr>
          <w:rFonts w:ascii="Times New Roman" w:eastAsia="Times New Roman" w:hAnsi="Times New Roman" w:cs="Times New Roman"/>
          <w:b/>
          <w:bCs/>
          <w:i w:val="0"/>
          <w:iCs w:val="0"/>
          <w:color w:val="000000"/>
          <w:spacing w:val="0"/>
          <w:w w:val="100"/>
          <w:position w:val="0"/>
          <w:sz w:val="20"/>
          <w:szCs w:val="20"/>
        </w:rPr>
        <w:t>3</w:t>
      </w:r>
      <w:bookmarkEnd w:id="945"/>
      <w:r>
        <w:rPr>
          <w:rFonts w:ascii="Times New Roman" w:eastAsia="Times New Roman" w:hAnsi="Times New Roman" w:cs="Times New Roman"/>
          <w:b/>
          <w:bCs/>
          <w:i w:val="0"/>
          <w:iCs w:val="0"/>
          <w:color w:val="000000"/>
          <w:spacing w:val="0"/>
          <w:w w:val="100"/>
          <w:position w:val="0"/>
          <w:sz w:val="20"/>
          <w:szCs w:val="20"/>
        </w:rPr>
        <w:t>5</w:t>
      </w:r>
      <w:r>
        <w:rPr>
          <w:b/>
          <w:bCs/>
          <w:i w:val="0"/>
          <w:iCs w:val="0"/>
          <w:color w:val="000000"/>
          <w:spacing w:val="0"/>
          <w:w w:val="100"/>
          <w:position w:val="0"/>
          <w:sz w:val="20"/>
          <w:szCs w:val="20"/>
        </w:rPr>
        <w:t>、</w:t>
        <w:tab/>
        <w:t>租赁负债</w:t>
      </w:r>
    </w:p>
    <w:p>
      <w:pPr>
        <w:pStyle w:val="Style39"/>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946" w:name="bookmark946"/>
      <w:r>
        <w:rPr>
          <w:rFonts w:ascii="Times New Roman" w:eastAsia="Times New Roman" w:hAnsi="Times New Roman" w:cs="Times New Roman"/>
          <w:b/>
          <w:bCs/>
          <w:i w:val="0"/>
          <w:iCs w:val="0"/>
          <w:color w:val="000000"/>
          <w:spacing w:val="0"/>
          <w:w w:val="100"/>
          <w:position w:val="0"/>
          <w:sz w:val="20"/>
          <w:szCs w:val="20"/>
        </w:rPr>
        <w:t>3</w:t>
      </w:r>
      <w:bookmarkEnd w:id="946"/>
      <w:r>
        <w:rPr>
          <w:rFonts w:ascii="Times New Roman" w:eastAsia="Times New Roman" w:hAnsi="Times New Roman" w:cs="Times New Roman"/>
          <w:b/>
          <w:bCs/>
          <w:i w:val="0"/>
          <w:iCs w:val="0"/>
          <w:color w:val="000000"/>
          <w:spacing w:val="0"/>
          <w:w w:val="100"/>
          <w:position w:val="0"/>
          <w:sz w:val="20"/>
          <w:szCs w:val="20"/>
        </w:rPr>
        <w:t>6</w:t>
      </w:r>
      <w:r>
        <w:rPr>
          <w:b/>
          <w:bCs/>
          <w:i w:val="0"/>
          <w:iCs w:val="0"/>
          <w:color w:val="000000"/>
          <w:spacing w:val="0"/>
          <w:w w:val="100"/>
          <w:position w:val="0"/>
          <w:sz w:val="20"/>
          <w:szCs w:val="20"/>
        </w:rPr>
        <w:t>、</w:t>
        <w:tab/>
        <w:t>预计负债</w:t>
      </w:r>
    </w:p>
    <w:p>
      <w:pPr>
        <w:pStyle w:val="Style39"/>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947" w:name="bookmark947"/>
      <w:r>
        <w:rPr>
          <w:rFonts w:ascii="Times New Roman" w:eastAsia="Times New Roman" w:hAnsi="Times New Roman" w:cs="Times New Roman"/>
          <w:b/>
          <w:bCs/>
          <w:i w:val="0"/>
          <w:iCs w:val="0"/>
          <w:color w:val="000000"/>
          <w:spacing w:val="0"/>
          <w:w w:val="100"/>
          <w:position w:val="0"/>
          <w:sz w:val="20"/>
          <w:szCs w:val="20"/>
        </w:rPr>
        <w:t>3</w:t>
      </w:r>
      <w:bookmarkEnd w:id="947"/>
      <w:r>
        <w:rPr>
          <w:rFonts w:ascii="Times New Roman" w:eastAsia="Times New Roman" w:hAnsi="Times New Roman" w:cs="Times New Roman"/>
          <w:b/>
          <w:bCs/>
          <w:i w:val="0"/>
          <w:iCs w:val="0"/>
          <w:color w:val="000000"/>
          <w:spacing w:val="0"/>
          <w:w w:val="100"/>
          <w:position w:val="0"/>
          <w:sz w:val="20"/>
          <w:szCs w:val="20"/>
        </w:rPr>
        <w:t>7</w:t>
      </w:r>
      <w:r>
        <w:rPr>
          <w:b/>
          <w:bCs/>
          <w:i w:val="0"/>
          <w:iCs w:val="0"/>
          <w:color w:val="000000"/>
          <w:spacing w:val="0"/>
          <w:w w:val="100"/>
          <w:position w:val="0"/>
          <w:sz w:val="20"/>
          <w:szCs w:val="20"/>
        </w:rPr>
        <w:t>、</w:t>
        <w:tab/>
        <w:t>股份支付</w:t>
      </w:r>
    </w:p>
    <w:p>
      <w:pPr>
        <w:pStyle w:val="Style39"/>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948" w:name="bookmark948"/>
      <w:r>
        <w:rPr>
          <w:rFonts w:ascii="Times New Roman" w:eastAsia="Times New Roman" w:hAnsi="Times New Roman" w:cs="Times New Roman"/>
          <w:b/>
          <w:bCs/>
          <w:i w:val="0"/>
          <w:iCs w:val="0"/>
          <w:color w:val="000000"/>
          <w:spacing w:val="0"/>
          <w:w w:val="100"/>
          <w:position w:val="0"/>
          <w:sz w:val="20"/>
          <w:szCs w:val="20"/>
        </w:rPr>
        <w:t>3</w:t>
      </w:r>
      <w:bookmarkEnd w:id="948"/>
      <w:r>
        <w:rPr>
          <w:rFonts w:ascii="Times New Roman" w:eastAsia="Times New Roman" w:hAnsi="Times New Roman" w:cs="Times New Roman"/>
          <w:b/>
          <w:bCs/>
          <w:i w:val="0"/>
          <w:iCs w:val="0"/>
          <w:color w:val="000000"/>
          <w:spacing w:val="0"/>
          <w:w w:val="100"/>
          <w:position w:val="0"/>
          <w:sz w:val="20"/>
          <w:szCs w:val="20"/>
        </w:rPr>
        <w:t>8</w:t>
      </w:r>
      <w:r>
        <w:rPr>
          <w:b/>
          <w:bCs/>
          <w:i w:val="0"/>
          <w:iCs w:val="0"/>
          <w:color w:val="000000"/>
          <w:spacing w:val="0"/>
          <w:w w:val="100"/>
          <w:position w:val="0"/>
          <w:sz w:val="20"/>
          <w:szCs w:val="20"/>
        </w:rPr>
        <w:t>、</w:t>
        <w:tab/>
        <w:t>优先股、永续债等其他金融工具</w:t>
      </w:r>
    </w:p>
    <w:p>
      <w:pPr>
        <w:pStyle w:val="Style39"/>
        <w:keepNext w:val="0"/>
        <w:keepLines w:val="0"/>
        <w:widowControl w:val="0"/>
        <w:shd w:val="clear" w:color="auto" w:fill="auto"/>
        <w:tabs>
          <w:tab w:pos="483" w:val="left"/>
        </w:tabs>
        <w:bidi w:val="0"/>
        <w:spacing w:before="0" w:after="280" w:line="240" w:lineRule="auto"/>
        <w:ind w:left="0" w:right="0" w:firstLine="0"/>
        <w:jc w:val="left"/>
        <w:rPr>
          <w:sz w:val="20"/>
          <w:szCs w:val="20"/>
        </w:rPr>
      </w:pPr>
      <w:bookmarkStart w:id="949" w:name="bookmark949"/>
      <w:r>
        <w:rPr>
          <w:rFonts w:ascii="Times New Roman" w:eastAsia="Times New Roman" w:hAnsi="Times New Roman" w:cs="Times New Roman"/>
          <w:b/>
          <w:bCs/>
          <w:i w:val="0"/>
          <w:iCs w:val="0"/>
          <w:color w:val="000000"/>
          <w:spacing w:val="0"/>
          <w:w w:val="100"/>
          <w:position w:val="0"/>
          <w:sz w:val="20"/>
          <w:szCs w:val="20"/>
        </w:rPr>
        <w:t>3</w:t>
      </w:r>
      <w:bookmarkEnd w:id="949"/>
      <w:r>
        <w:rPr>
          <w:rFonts w:ascii="Times New Roman" w:eastAsia="Times New Roman" w:hAnsi="Times New Roman" w:cs="Times New Roman"/>
          <w:b/>
          <w:bCs/>
          <w:i w:val="0"/>
          <w:iCs w:val="0"/>
          <w:color w:val="000000"/>
          <w:spacing w:val="0"/>
          <w:w w:val="100"/>
          <w:position w:val="0"/>
          <w:sz w:val="20"/>
          <w:szCs w:val="20"/>
        </w:rPr>
        <w:t>9</w:t>
      </w:r>
      <w:r>
        <w:rPr>
          <w:b/>
          <w:bCs/>
          <w:i w:val="0"/>
          <w:iCs w:val="0"/>
          <w:color w:val="000000"/>
          <w:spacing w:val="0"/>
          <w:w w:val="100"/>
          <w:position w:val="0"/>
          <w:sz w:val="20"/>
          <w:szCs w:val="20"/>
        </w:rPr>
        <w:t>、</w:t>
        <w:tab/>
        <w:t>收入</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6"/>
        <w:keepNext w:val="0"/>
        <w:keepLines w:val="0"/>
        <w:widowControl w:val="0"/>
        <w:numPr>
          <w:ilvl w:val="0"/>
          <w:numId w:val="47"/>
        </w:numPr>
        <w:shd w:val="clear" w:color="auto" w:fill="auto"/>
        <w:tabs>
          <w:tab w:pos="445" w:val="left"/>
        </w:tabs>
        <w:bidi w:val="0"/>
        <w:spacing w:before="0" w:after="0" w:line="312" w:lineRule="exact"/>
        <w:ind w:left="0" w:right="0" w:firstLine="0"/>
        <w:jc w:val="left"/>
      </w:pPr>
      <w:bookmarkStart w:id="950" w:name="bookmark950"/>
      <w:bookmarkEnd w:id="950"/>
      <w:r>
        <w:rPr>
          <w:color w:val="000000"/>
          <w:spacing w:val="0"/>
          <w:w w:val="100"/>
          <w:position w:val="0"/>
        </w:rPr>
        <w:t>一般原则</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本集团在履行了合同中的履约义务，即在客户取得相关商品或服务的控制权时确认收入。</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合同中包含两项或多项履约义务的，本集团在合同开始日，按照各单项履约义务所承诺商品或服务的单独售价的相对比 例，将交易价格分摊至各单项履约义务，按照分摊至各单项履约义务的交易价格计量收入。</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满足下列条件之一时，本集团属于在某一时段内履行履约义务；否则，属于在某一时点履行履约义务：</w:t>
      </w:r>
    </w:p>
    <w:p>
      <w:pPr>
        <w:pStyle w:val="Style36"/>
        <w:keepNext w:val="0"/>
        <w:keepLines w:val="0"/>
        <w:widowControl w:val="0"/>
        <w:numPr>
          <w:ilvl w:val="0"/>
          <w:numId w:val="49"/>
        </w:numPr>
        <w:shd w:val="clear" w:color="auto" w:fill="auto"/>
        <w:tabs>
          <w:tab w:pos="373" w:val="left"/>
        </w:tabs>
        <w:bidi w:val="0"/>
        <w:spacing w:before="0" w:after="0" w:line="312" w:lineRule="exact"/>
        <w:ind w:left="0" w:right="0" w:firstLine="0"/>
        <w:jc w:val="left"/>
      </w:pPr>
      <w:bookmarkStart w:id="951" w:name="bookmark951"/>
      <w:bookmarkEnd w:id="951"/>
      <w:r>
        <w:rPr>
          <w:color w:val="000000"/>
          <w:spacing w:val="0"/>
          <w:w w:val="100"/>
          <w:position w:val="0"/>
        </w:rPr>
        <w:t>客户在本集团履约的同时即取得并消耗本集团履约所带来的经济利益。</w:t>
      </w:r>
    </w:p>
    <w:p>
      <w:pPr>
        <w:pStyle w:val="Style36"/>
        <w:keepNext w:val="0"/>
        <w:keepLines w:val="0"/>
        <w:widowControl w:val="0"/>
        <w:numPr>
          <w:ilvl w:val="0"/>
          <w:numId w:val="49"/>
        </w:numPr>
        <w:shd w:val="clear" w:color="auto" w:fill="auto"/>
        <w:tabs>
          <w:tab w:pos="373" w:val="left"/>
        </w:tabs>
        <w:bidi w:val="0"/>
        <w:spacing w:before="0" w:after="0" w:line="312" w:lineRule="exact"/>
        <w:ind w:left="0" w:right="0" w:firstLine="0"/>
        <w:jc w:val="left"/>
      </w:pPr>
      <w:bookmarkStart w:id="952" w:name="bookmark952"/>
      <w:bookmarkEnd w:id="952"/>
      <w:r>
        <w:rPr>
          <w:color w:val="000000"/>
          <w:spacing w:val="0"/>
          <w:w w:val="100"/>
          <w:position w:val="0"/>
        </w:rPr>
        <w:t>客户能够控制本集团履约过程中在建的商品。</w:t>
      </w:r>
    </w:p>
    <w:p>
      <w:pPr>
        <w:pStyle w:val="Style36"/>
        <w:keepNext w:val="0"/>
        <w:keepLines w:val="0"/>
        <w:widowControl w:val="0"/>
        <w:numPr>
          <w:ilvl w:val="0"/>
          <w:numId w:val="49"/>
        </w:numPr>
        <w:shd w:val="clear" w:color="auto" w:fill="auto"/>
        <w:tabs>
          <w:tab w:pos="373" w:val="left"/>
        </w:tabs>
        <w:bidi w:val="0"/>
        <w:spacing w:before="0" w:after="0" w:line="312" w:lineRule="exact"/>
        <w:ind w:left="0" w:right="0" w:firstLine="0"/>
        <w:jc w:val="left"/>
      </w:pPr>
      <w:bookmarkStart w:id="953" w:name="bookmark953"/>
      <w:bookmarkEnd w:id="953"/>
      <w:r>
        <w:rPr>
          <w:color w:val="000000"/>
          <w:spacing w:val="0"/>
          <w:w w:val="100"/>
          <w:position w:val="0"/>
        </w:rPr>
        <w:t>本集团履约过程中所产出的商品具有不可替代用途，且本集团在整个合同期间内有权就累计至今已完成的履约部分收取 款项。</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对于在某一时段内履行的履约义务，本集团在该段时间内按照履约进度确认收入。履约进度不能合理确定时，本集团已经 发生的成本预计能够得到补偿的，按照已经发生的成本金额确认收入，直到履约进度能够合理确定为止。</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对于在某一时点履行的履约义务，本集团在客户取得相关商品或服务控制权时点确认收入。在判断客户是否已取得商品或 服务控制权时，本集团会考虑下列迹象：</w:t>
      </w:r>
    </w:p>
    <w:p>
      <w:pPr>
        <w:pStyle w:val="Style36"/>
        <w:keepNext w:val="0"/>
        <w:keepLines w:val="0"/>
        <w:widowControl w:val="0"/>
        <w:numPr>
          <w:ilvl w:val="0"/>
          <w:numId w:val="51"/>
        </w:numPr>
        <w:shd w:val="clear" w:color="auto" w:fill="auto"/>
        <w:tabs>
          <w:tab w:pos="373" w:val="left"/>
        </w:tabs>
        <w:bidi w:val="0"/>
        <w:spacing w:before="0" w:after="0" w:line="312" w:lineRule="exact"/>
        <w:ind w:left="0" w:right="0" w:firstLine="0"/>
        <w:jc w:val="left"/>
      </w:pPr>
      <w:bookmarkStart w:id="954" w:name="bookmark954"/>
      <w:bookmarkEnd w:id="954"/>
      <w:r>
        <w:rPr>
          <w:color w:val="000000"/>
          <w:spacing w:val="0"/>
          <w:w w:val="100"/>
          <w:position w:val="0"/>
        </w:rPr>
        <w:t>本集团就该商品或服务享有现时收款权利，即客户就该商品负有现时付款义务。</w:t>
      </w:r>
    </w:p>
    <w:p>
      <w:pPr>
        <w:pStyle w:val="Style36"/>
        <w:keepNext w:val="0"/>
        <w:keepLines w:val="0"/>
        <w:widowControl w:val="0"/>
        <w:numPr>
          <w:ilvl w:val="0"/>
          <w:numId w:val="51"/>
        </w:numPr>
        <w:shd w:val="clear" w:color="auto" w:fill="auto"/>
        <w:tabs>
          <w:tab w:pos="373" w:val="left"/>
        </w:tabs>
        <w:bidi w:val="0"/>
        <w:spacing w:before="0" w:after="0" w:line="312" w:lineRule="exact"/>
        <w:ind w:left="0" w:right="0" w:firstLine="0"/>
        <w:jc w:val="left"/>
      </w:pPr>
      <w:bookmarkStart w:id="955" w:name="bookmark955"/>
      <w:bookmarkEnd w:id="955"/>
      <w:r>
        <w:rPr>
          <w:color w:val="000000"/>
          <w:spacing w:val="0"/>
          <w:w w:val="100"/>
          <w:position w:val="0"/>
        </w:rPr>
        <w:t>本集团已将该商品的法定所有权转移给客户，即客户已拥有该商品的法定所有权。</w:t>
      </w:r>
    </w:p>
    <w:p>
      <w:pPr>
        <w:pStyle w:val="Style36"/>
        <w:keepNext w:val="0"/>
        <w:keepLines w:val="0"/>
        <w:widowControl w:val="0"/>
        <w:numPr>
          <w:ilvl w:val="0"/>
          <w:numId w:val="51"/>
        </w:numPr>
        <w:shd w:val="clear" w:color="auto" w:fill="auto"/>
        <w:tabs>
          <w:tab w:pos="373" w:val="left"/>
        </w:tabs>
        <w:bidi w:val="0"/>
        <w:spacing w:before="0" w:line="312" w:lineRule="exact"/>
        <w:ind w:left="0" w:right="0" w:firstLine="0"/>
        <w:jc w:val="left"/>
      </w:pPr>
      <w:bookmarkStart w:id="956" w:name="bookmark956"/>
      <w:bookmarkEnd w:id="956"/>
      <w:r>
        <w:rPr>
          <w:color w:val="000000"/>
          <w:spacing w:val="0"/>
          <w:w w:val="100"/>
          <w:position w:val="0"/>
        </w:rPr>
        <w:t>本集团已将该商品的实物转移给客户，即客户已实物占有该商品。</w:t>
      </w:r>
    </w:p>
    <w:p>
      <w:pPr>
        <w:pStyle w:val="Style36"/>
        <w:keepNext w:val="0"/>
        <w:keepLines w:val="0"/>
        <w:widowControl w:val="0"/>
        <w:numPr>
          <w:ilvl w:val="0"/>
          <w:numId w:val="51"/>
        </w:numPr>
        <w:shd w:val="clear" w:color="auto" w:fill="auto"/>
        <w:tabs>
          <w:tab w:pos="373" w:val="left"/>
        </w:tabs>
        <w:bidi w:val="0"/>
        <w:spacing w:before="0" w:line="312" w:lineRule="exact"/>
        <w:ind w:left="0" w:right="0" w:firstLine="0"/>
        <w:jc w:val="left"/>
      </w:pPr>
      <w:bookmarkStart w:id="957" w:name="bookmark957"/>
      <w:bookmarkEnd w:id="957"/>
      <w:r>
        <w:rPr>
          <w:color w:val="000000"/>
          <w:spacing w:val="0"/>
          <w:w w:val="100"/>
          <w:position w:val="0"/>
        </w:rPr>
        <w:t>本集团已将该商品所有权上的主要风险和报酬转移给客户，即客户已取得该商品所有权上的主要风险和报酬。</w:t>
      </w:r>
    </w:p>
    <w:p>
      <w:pPr>
        <w:pStyle w:val="Style36"/>
        <w:keepNext w:val="0"/>
        <w:keepLines w:val="0"/>
        <w:widowControl w:val="0"/>
        <w:numPr>
          <w:ilvl w:val="0"/>
          <w:numId w:val="51"/>
        </w:numPr>
        <w:shd w:val="clear" w:color="auto" w:fill="auto"/>
        <w:tabs>
          <w:tab w:pos="373" w:val="left"/>
        </w:tabs>
        <w:bidi w:val="0"/>
        <w:spacing w:before="0" w:line="312" w:lineRule="exact"/>
        <w:ind w:left="0" w:right="0" w:firstLine="0"/>
        <w:jc w:val="left"/>
      </w:pPr>
      <w:bookmarkStart w:id="958" w:name="bookmark958"/>
      <w:bookmarkEnd w:id="958"/>
      <w:r>
        <w:rPr>
          <w:color w:val="000000"/>
          <w:spacing w:val="0"/>
          <w:w w:val="100"/>
          <w:position w:val="0"/>
        </w:rPr>
        <w:t>客户已接受该商品或服务。</w:t>
      </w:r>
    </w:p>
    <w:p>
      <w:pPr>
        <w:pStyle w:val="Style36"/>
        <w:keepNext w:val="0"/>
        <w:keepLines w:val="0"/>
        <w:widowControl w:val="0"/>
        <w:numPr>
          <w:ilvl w:val="0"/>
          <w:numId w:val="51"/>
        </w:numPr>
        <w:shd w:val="clear" w:color="auto" w:fill="auto"/>
        <w:tabs>
          <w:tab w:pos="373" w:val="left"/>
        </w:tabs>
        <w:bidi w:val="0"/>
        <w:spacing w:before="0" w:line="312" w:lineRule="exact"/>
        <w:ind w:left="0" w:right="0" w:firstLine="0"/>
        <w:jc w:val="left"/>
      </w:pPr>
      <w:bookmarkStart w:id="959" w:name="bookmark959"/>
      <w:bookmarkEnd w:id="959"/>
      <w:r>
        <w:rPr>
          <w:color w:val="000000"/>
          <w:spacing w:val="0"/>
          <w:w w:val="100"/>
          <w:position w:val="0"/>
        </w:rPr>
        <w:t>其他表明客户已取得商品控制权的迹象。</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本集团已向客户转让商品或服务而有权收取对价的权利（且该权利取决于时间流逝之外的其他因素）作为合同资产，合同 资产以预期信用损失为基础计提减值（参见附注三、</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））。本集团拥有的、无条件（仅取决于时间流逝）向客户收取对 价的权利作为应收款项列示。本集团已收或应收客户对价而应向客户转让商品或服务的义务作为合同负债。</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同一合同下的合同资产和合同负债以净额列示，净额为借方余额的，根据其流动性在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 中列示；净额为贷方余额的，根据其流动性在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6"/>
        <w:keepNext w:val="0"/>
        <w:keepLines w:val="0"/>
        <w:widowControl w:val="0"/>
        <w:shd w:val="clear" w:color="auto" w:fill="auto"/>
        <w:bidi w:val="0"/>
        <w:spacing w:before="0" w:line="312" w:lineRule="exact"/>
        <w:ind w:left="0" w:right="0" w:firstLine="0"/>
        <w:jc w:val="left"/>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）具体方法</w:t>
      </w:r>
    </w:p>
    <w:p>
      <w:pPr>
        <w:pStyle w:val="Style3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本集团收入确认的具体方法如下：</w:t>
      </w:r>
    </w:p>
    <w:p>
      <w:pPr>
        <w:pStyle w:val="Style36"/>
        <w:keepNext w:val="0"/>
        <w:keepLines w:val="0"/>
        <w:widowControl w:val="0"/>
        <w:shd w:val="clear" w:color="auto" w:fill="auto"/>
        <w:tabs>
          <w:tab w:pos="392" w:val="left"/>
        </w:tabs>
        <w:bidi w:val="0"/>
        <w:spacing w:before="0" w:after="0" w:line="360" w:lineRule="auto"/>
        <w:ind w:left="0" w:right="0" w:firstLine="0"/>
        <w:jc w:val="left"/>
      </w:pPr>
      <w:bookmarkStart w:id="961" w:name="bookmark961"/>
      <w:r>
        <w:rPr>
          <w:rFonts w:ascii="Times New Roman" w:eastAsia="Times New Roman" w:hAnsi="Times New Roman" w:cs="Times New Roman"/>
          <w:color w:val="000000"/>
          <w:spacing w:val="0"/>
          <w:w w:val="100"/>
          <w:position w:val="0"/>
          <w:sz w:val="18"/>
          <w:szCs w:val="18"/>
        </w:rPr>
        <w:t>A</w:t>
      </w:r>
      <w:bookmarkEnd w:id="961"/>
      <w:r>
        <w:rPr>
          <w:color w:val="000000"/>
          <w:spacing w:val="0"/>
          <w:w w:val="100"/>
          <w:position w:val="0"/>
        </w:rPr>
        <w:t>、</w:t>
        <w:tab/>
      </w:r>
      <w:r>
        <w:rPr>
          <w:color w:val="000000"/>
          <w:spacing w:val="0"/>
          <w:w w:val="100"/>
          <w:position w:val="0"/>
        </w:rPr>
        <w:t>自行开发软件销售收入的确认原则</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自行开发软件收入包括自制开发的软件产品收入和定制软件收入。</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自制开发的软件产品是指拥有自主知识产权，无差异化、可批量复制的软件产品，无需根据用户需求进行定制。本公司销 售的自制开发软件产品实质上就是销售不转让所有权的商品，公司在将软件产品移交给购买方时确认收入。</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定制软件是指根据与客户签订的技术开发、技术转让合同，对用户的业务进行充分实地调查，并根据用户的实际需求进行 专门的软件设计与开发，由此开发出来的软件不具有通用性。本公司在将软件产品移交给购买方并验收后确认收入。</w:t>
      </w:r>
    </w:p>
    <w:p>
      <w:pPr>
        <w:pStyle w:val="Style3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对系统集成中包含自行开发软件产品的销售收入，按以下系统集成的收入确认原则确认。</w:t>
      </w:r>
    </w:p>
    <w:p>
      <w:pPr>
        <w:pStyle w:val="Style36"/>
        <w:keepNext w:val="0"/>
        <w:keepLines w:val="0"/>
        <w:widowControl w:val="0"/>
        <w:shd w:val="clear" w:color="auto" w:fill="auto"/>
        <w:tabs>
          <w:tab w:pos="392" w:val="left"/>
        </w:tabs>
        <w:bidi w:val="0"/>
        <w:spacing w:before="0" w:after="0" w:line="360" w:lineRule="auto"/>
        <w:ind w:left="0" w:right="0" w:firstLine="0"/>
        <w:jc w:val="left"/>
      </w:pPr>
      <w:bookmarkStart w:id="962" w:name="bookmark962"/>
      <w:r>
        <w:rPr>
          <w:rFonts w:ascii="Times New Roman" w:eastAsia="Times New Roman" w:hAnsi="Times New Roman" w:cs="Times New Roman"/>
          <w:color w:val="000000"/>
          <w:spacing w:val="0"/>
          <w:w w:val="100"/>
          <w:position w:val="0"/>
          <w:sz w:val="18"/>
          <w:szCs w:val="18"/>
        </w:rPr>
        <w:t>B</w:t>
      </w:r>
      <w:bookmarkEnd w:id="962"/>
      <w:r>
        <w:rPr>
          <w:color w:val="000000"/>
          <w:spacing w:val="0"/>
          <w:w w:val="100"/>
          <w:position w:val="0"/>
        </w:rPr>
        <w:t>、</w:t>
        <w:tab/>
      </w:r>
      <w:r>
        <w:rPr>
          <w:color w:val="000000"/>
          <w:spacing w:val="0"/>
          <w:w w:val="100"/>
          <w:position w:val="0"/>
        </w:rPr>
        <w:t>系统集成收入确认原则</w:t>
      </w:r>
    </w:p>
    <w:p>
      <w:pPr>
        <w:pStyle w:val="Style3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系统集成包括外购商品、软件产品的销售与安装。公司在系统安装调试完毕已投入试运行或取得购货方的初验报告后确认 收入。</w:t>
      </w:r>
    </w:p>
    <w:p>
      <w:pPr>
        <w:pStyle w:val="Style36"/>
        <w:keepNext w:val="0"/>
        <w:keepLines w:val="0"/>
        <w:widowControl w:val="0"/>
        <w:shd w:val="clear" w:color="auto" w:fill="auto"/>
        <w:tabs>
          <w:tab w:pos="382" w:val="left"/>
        </w:tabs>
        <w:bidi w:val="0"/>
        <w:spacing w:before="0" w:after="0" w:line="360" w:lineRule="auto"/>
        <w:ind w:left="0" w:right="0" w:firstLine="0"/>
        <w:jc w:val="left"/>
      </w:pPr>
      <w:bookmarkStart w:id="963" w:name="bookmark963"/>
      <w:r>
        <w:rPr>
          <w:rFonts w:ascii="Times New Roman" w:eastAsia="Times New Roman" w:hAnsi="Times New Roman" w:cs="Times New Roman"/>
          <w:color w:val="000000"/>
          <w:spacing w:val="0"/>
          <w:w w:val="100"/>
          <w:position w:val="0"/>
          <w:sz w:val="18"/>
          <w:szCs w:val="18"/>
        </w:rPr>
        <w:t>C</w:t>
      </w:r>
      <w:bookmarkEnd w:id="963"/>
      <w:r>
        <w:rPr>
          <w:color w:val="000000"/>
          <w:spacing w:val="0"/>
          <w:w w:val="100"/>
          <w:position w:val="0"/>
        </w:rPr>
        <w:t>、</w:t>
        <w:tab/>
      </w:r>
      <w:r>
        <w:rPr>
          <w:color w:val="000000"/>
          <w:spacing w:val="0"/>
          <w:w w:val="100"/>
          <w:position w:val="0"/>
        </w:rPr>
        <w:t>技术支持与维护收入确认原则</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技术支持与维护主要指根据合同规定向用户提供的有偿后续服务，包括系统维护、技术应用与支持、产品升级等。</w:t>
      </w:r>
    </w:p>
    <w:p>
      <w:pPr>
        <w:pStyle w:val="Style3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公司根据与用户签订的相关合同规定的合同总额与服务期间，按提供服务的进度确认收入。</w:t>
      </w:r>
    </w:p>
    <w:p>
      <w:pPr>
        <w:pStyle w:val="Style36"/>
        <w:keepNext w:val="0"/>
        <w:keepLines w:val="0"/>
        <w:widowControl w:val="0"/>
        <w:shd w:val="clear" w:color="auto" w:fill="auto"/>
        <w:tabs>
          <w:tab w:pos="392" w:val="left"/>
        </w:tabs>
        <w:bidi w:val="0"/>
        <w:spacing w:before="0" w:after="0" w:line="360" w:lineRule="auto"/>
        <w:ind w:left="0" w:right="0" w:firstLine="0"/>
        <w:jc w:val="left"/>
      </w:pPr>
      <w:bookmarkStart w:id="964" w:name="bookmark964"/>
      <w:r>
        <w:rPr>
          <w:rFonts w:ascii="Times New Roman" w:eastAsia="Times New Roman" w:hAnsi="Times New Roman" w:cs="Times New Roman"/>
          <w:color w:val="000000"/>
          <w:spacing w:val="0"/>
          <w:w w:val="100"/>
          <w:position w:val="0"/>
          <w:sz w:val="18"/>
          <w:szCs w:val="18"/>
        </w:rPr>
        <w:t>D</w:t>
      </w:r>
      <w:bookmarkEnd w:id="964"/>
      <w:r>
        <w:rPr>
          <w:color w:val="000000"/>
          <w:spacing w:val="0"/>
          <w:w w:val="100"/>
          <w:position w:val="0"/>
        </w:rPr>
        <w:t>、</w:t>
        <w:tab/>
      </w:r>
      <w:r>
        <w:rPr>
          <w:color w:val="000000"/>
          <w:spacing w:val="0"/>
          <w:w w:val="100"/>
          <w:position w:val="0"/>
        </w:rPr>
        <w:t>技术开发收入</w:t>
      </w:r>
    </w:p>
    <w:p>
      <w:pPr>
        <w:pStyle w:val="Style3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技术开发收入是指根据用户的需求，对自行研究开发的软件产品再次开发取得的收入。公司在劳务已经提供，收到价款或 取得收款的依据，于技术开发项目投入用户试运行或取得用户的初验报告后确认收入实现。</w:t>
      </w:r>
    </w:p>
    <w:p>
      <w:pPr>
        <w:pStyle w:val="Style36"/>
        <w:keepNext w:val="0"/>
        <w:keepLines w:val="0"/>
        <w:widowControl w:val="0"/>
        <w:shd w:val="clear" w:color="auto" w:fill="auto"/>
        <w:tabs>
          <w:tab w:pos="373" w:val="left"/>
        </w:tabs>
        <w:bidi w:val="0"/>
        <w:spacing w:before="0" w:after="0" w:line="360" w:lineRule="auto"/>
        <w:ind w:left="0" w:right="0" w:firstLine="0"/>
        <w:jc w:val="left"/>
      </w:pPr>
      <w:bookmarkStart w:id="965" w:name="bookmark965"/>
      <w:r>
        <w:rPr>
          <w:rFonts w:ascii="Times New Roman" w:eastAsia="Times New Roman" w:hAnsi="Times New Roman" w:cs="Times New Roman"/>
          <w:color w:val="000000"/>
          <w:spacing w:val="0"/>
          <w:w w:val="100"/>
          <w:position w:val="0"/>
          <w:sz w:val="18"/>
          <w:szCs w:val="18"/>
        </w:rPr>
        <w:t>E</w:t>
      </w:r>
      <w:bookmarkEnd w:id="965"/>
      <w:r>
        <w:rPr>
          <w:color w:val="000000"/>
          <w:spacing w:val="0"/>
          <w:w w:val="100"/>
          <w:position w:val="0"/>
        </w:rPr>
        <w:t>、</w:t>
        <w:tab/>
      </w:r>
      <w:r>
        <w:rPr>
          <w:color w:val="000000"/>
          <w:spacing w:val="0"/>
          <w:w w:val="100"/>
          <w:position w:val="0"/>
        </w:rPr>
        <w:t>园区开发与运营收入</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公司园区租赁收入，在不扣除免租期的整个租赁期内，按直线法进行分摊，确认为租赁收入。</w:t>
      </w:r>
    </w:p>
    <w:p>
      <w:pPr>
        <w:pStyle w:val="Style3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公司园区销售收入，在房产完工并验收合格，达到销售合同约定的交付条件，在客户取得相关商品或服务控制权时点，确 认销售收入的实现。</w:t>
      </w:r>
    </w:p>
    <w:p>
      <w:pPr>
        <w:pStyle w:val="Style43"/>
        <w:keepNext/>
        <w:keepLines/>
        <w:widowControl w:val="0"/>
        <w:shd w:val="clear" w:color="auto" w:fill="auto"/>
        <w:bidi w:val="0"/>
        <w:spacing w:before="0" w:after="26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4</w:t>
      </w:r>
      <w:bookmarkEnd w:id="968"/>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66"/>
      <w:bookmarkEnd w:id="967"/>
      <w:bookmarkEnd w:id="969"/>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政府补助在满足政府补助所附条件并能够收到时确认。</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对于货币性资产的政府补助，按照收到或应收的金额计量。对于非货币性资产的政府补助，按照公允价值计量；公允价值 不能够可靠取得的，按照名义金额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与资产相关的政府补助，是指本集团取得的、用于购建或以其他方式形成长期资产的政府补助；除此之外，作为与收益相 关的政府补助。</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对于政府文件未明确规定补助对象的，能够形成长期资产的，与资产价值相对应的政府补助部分作为与资产相关的政府补 助，其余部分作为与收益相关的政府补助；难以区分的，将政府补助整体作为与收益相关的政府补助。 </w:t>
      </w:r>
      <w:r>
        <w:rPr>
          <w:color w:val="000000"/>
          <w:spacing w:val="0"/>
          <w:w w:val="100"/>
          <w:position w:val="0"/>
        </w:rPr>
        <w:t>与资产相关的政府补助，确认为递延收益在相关资产使用期限内按照合理、系统的方法分期计入损益。与收益相关的政府 补助，用于补偿已发生的相关成本费用或损失的，计入当期损益；用于补偿以后期间的相关成本费用或损失的，则计入递 延收益，于相关成本费用或损失确认期间计入当期损益。按照名义金额计量的政府补助，直接计入当期损益。本集团对相 同或类似的政府补助业务，采用一致的方法处理。</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与日常活动相关的政府补助，按照经济业务实质，计入其他收益。与日常活动无关的政府补助，计入营业外收支。</w:t>
      </w:r>
    </w:p>
    <w:p>
      <w:pPr>
        <w:pStyle w:val="Style3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已确认的政府补助需要返还时，初始确认时冲减相关资产账面价值的，调整资产账面价值；存在相关递延收益余额的，冲 减相关递延收益账面余额，超出部分计入当期损益；属于其他情况的，直接计入当期损益。</w:t>
      </w:r>
    </w:p>
    <w:p>
      <w:pPr>
        <w:pStyle w:val="Style43"/>
        <w:keepNext/>
        <w:keepLines/>
        <w:widowControl w:val="0"/>
        <w:shd w:val="clear" w:color="auto" w:fill="auto"/>
        <w:tabs>
          <w:tab w:pos="483" w:val="left"/>
        </w:tabs>
        <w:bidi w:val="0"/>
        <w:spacing w:before="0" w:after="280" w:line="240" w:lineRule="auto"/>
        <w:ind w:left="0" w:right="0" w:firstLine="0"/>
        <w:jc w:val="both"/>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4</w:t>
      </w:r>
      <w:bookmarkEnd w:id="972"/>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0"/>
      <w:bookmarkEnd w:id="971"/>
      <w:bookmarkEnd w:id="973"/>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所得税包括当期所得税和递延所得税。除由于企业合并产生的调整商誉，或与直接计入所有者权益的交易或者事项相关的 递延所得税计入所有者权益外，均作为所得税费用计入当期损益。</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本集团根据资产、负债于资产负债表日的账面价值与计税基础之间的暂时性差异，采用资产负债表债务法确认递延所得 税。</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各项应纳税暂时性差异均确认相关的递延所得税负债，除非该应纳税暂时性差异是在以下交易中产生的：</w:t>
      </w:r>
    </w:p>
    <w:p>
      <w:pPr>
        <w:pStyle w:val="Style36"/>
        <w:keepNext w:val="0"/>
        <w:keepLines w:val="0"/>
        <w:widowControl w:val="0"/>
        <w:shd w:val="clear" w:color="auto" w:fill="auto"/>
        <w:tabs>
          <w:tab w:pos="531" w:val="left"/>
        </w:tabs>
        <w:bidi w:val="0"/>
        <w:spacing w:before="0" w:after="0" w:line="312" w:lineRule="exact"/>
        <w:ind w:left="0" w:right="0" w:firstLine="0"/>
        <w:jc w:val="both"/>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商誉的初始确认，或者具有以下特征的交易中产生的资产或负债的初始确认：该交易不是企业合并，并且交易发生时 既不影响会计利润也不影响应纳税所得额；</w:t>
      </w:r>
    </w:p>
    <w:p>
      <w:pPr>
        <w:pStyle w:val="Style36"/>
        <w:keepNext w:val="0"/>
        <w:keepLines w:val="0"/>
        <w:widowControl w:val="0"/>
        <w:shd w:val="clear" w:color="auto" w:fill="auto"/>
        <w:tabs>
          <w:tab w:pos="541" w:val="left"/>
        </w:tabs>
        <w:bidi w:val="0"/>
        <w:spacing w:before="0" w:after="0" w:line="326" w:lineRule="exact"/>
        <w:ind w:left="0" w:right="0" w:firstLine="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对于与子公司、合营企业及联营企业投资相关的应纳税暂时性差异，该暂时性差异转回的时间能够控制并且该暂时性 差异在可预见的未来很可能不会转回。</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对于可抵扣暂时性差异、能够结转以后年度的可抵扣亏损和税款抵减，本集团以很可能取得用来抵扣可抵扣暂时性差异、 可抵扣亏损和税款抵减的未来应纳税所得额为限，确认由此产生的递延所得税资产，除非该可抵扣暂时性差异是在以下交 易中产生的：</w:t>
      </w:r>
    </w:p>
    <w:p>
      <w:pPr>
        <w:pStyle w:val="Style36"/>
        <w:keepNext w:val="0"/>
        <w:keepLines w:val="0"/>
        <w:widowControl w:val="0"/>
        <w:shd w:val="clear" w:color="auto" w:fill="auto"/>
        <w:tabs>
          <w:tab w:pos="445" w:val="left"/>
        </w:tabs>
        <w:bidi w:val="0"/>
        <w:spacing w:before="0" w:after="0" w:line="312" w:lineRule="exact"/>
        <w:ind w:left="0" w:right="0" w:firstLine="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该交易不是企业合并，并且交易发生时既不影响会计利润也不影响应纳税所得额；</w:t>
      </w:r>
    </w:p>
    <w:p>
      <w:pPr>
        <w:pStyle w:val="Style36"/>
        <w:keepNext w:val="0"/>
        <w:keepLines w:val="0"/>
        <w:widowControl w:val="0"/>
        <w:shd w:val="clear" w:color="auto" w:fill="auto"/>
        <w:tabs>
          <w:tab w:pos="541" w:val="left"/>
        </w:tabs>
        <w:bidi w:val="0"/>
        <w:spacing w:before="0" w:after="0" w:line="317" w:lineRule="exact"/>
        <w:ind w:left="0" w:right="0" w:firstLine="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对于与子公司、合营企业及联营企业投资相关的可抵扣暂时性差异，同时满足下列条件的，确认相应的递延所得税资 产：暂时性差异在可预见的未来很可能转回，且未来很可能获得用来抵扣可抵扣暂时性差异的应纳税所得额。</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于资产负债表日，本集团对递延所得税资产和递延所得税负债，按照预期收回该资产或清偿该负债期间的适用税率计量， 并反映资产负债表日预期收回资产或清偿负债方式的所得税影响。</w:t>
      </w:r>
    </w:p>
    <w:p>
      <w:pPr>
        <w:pStyle w:val="Style3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于资产负债表日，本集团对递延所得税资产的账面价值进行复核。如果未来期间很可能无法获得足够的应纳税所得额用以 抵扣递延所得税资产的利益，减记递延所得税资产的账面价值。在很可能获得足够的应纳税所得额时，减记的金额予以转 回。</w:t>
      </w:r>
    </w:p>
    <w:p>
      <w:pPr>
        <w:pStyle w:val="Style43"/>
        <w:keepNext/>
        <w:keepLines/>
        <w:widowControl w:val="0"/>
        <w:shd w:val="clear" w:color="auto" w:fill="auto"/>
        <w:tabs>
          <w:tab w:pos="483" w:val="left"/>
        </w:tabs>
        <w:bidi w:val="0"/>
        <w:spacing w:before="0" w:after="380" w:line="240" w:lineRule="auto"/>
        <w:ind w:left="0" w:right="0" w:firstLine="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4</w:t>
      </w:r>
      <w:bookmarkEnd w:id="980"/>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78"/>
      <w:bookmarkEnd w:id="979"/>
      <w:bookmarkEnd w:id="981"/>
    </w:p>
    <w:p>
      <w:pPr>
        <w:pStyle w:val="Style43"/>
        <w:keepNext/>
        <w:keepLines/>
        <w:widowControl w:val="0"/>
        <w:shd w:val="clear" w:color="auto" w:fill="auto"/>
        <w:bidi w:val="0"/>
        <w:spacing w:before="0" w:after="280" w:line="240" w:lineRule="auto"/>
        <w:ind w:left="0" w:right="0" w:firstLine="0"/>
        <w:jc w:val="both"/>
      </w:pPr>
      <w:bookmarkStart w:id="978" w:name="bookmark978"/>
      <w:bookmarkStart w:id="979" w:name="bookmark979"/>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78"/>
      <w:bookmarkEnd w:id="979"/>
      <w:bookmarkEnd w:id="983"/>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本集团将实质上转移了与资产所有权有关的全部风险和报酬的租赁确认为融资租赁，除融资租赁之外的其他租赁确认为经 营租赁。</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报告期内，本集团仅涉及经营租赁。</w:t>
      </w:r>
    </w:p>
    <w:p>
      <w:pPr>
        <w:pStyle w:val="Style36"/>
        <w:keepNext w:val="0"/>
        <w:keepLines w:val="0"/>
        <w:widowControl w:val="0"/>
        <w:shd w:val="clear" w:color="auto" w:fill="auto"/>
        <w:tabs>
          <w:tab w:pos="445" w:val="left"/>
        </w:tabs>
        <w:bidi w:val="0"/>
        <w:spacing w:before="0" w:after="0" w:line="312" w:lineRule="exact"/>
        <w:ind w:left="0" w:right="0" w:firstLine="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本集团作为出租人</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经营租赁中的租金，本集团在租赁期内各个期间按照直线法确认当期损益。发生的初始直接费用，计入当期损益。</w:t>
      </w:r>
    </w:p>
    <w:p>
      <w:pPr>
        <w:pStyle w:val="Style36"/>
        <w:keepNext w:val="0"/>
        <w:keepLines w:val="0"/>
        <w:widowControl w:val="0"/>
        <w:shd w:val="clear" w:color="auto" w:fill="auto"/>
        <w:tabs>
          <w:tab w:pos="445" w:val="left"/>
        </w:tabs>
        <w:bidi w:val="0"/>
        <w:spacing w:before="0" w:after="0" w:line="312" w:lineRule="exact"/>
        <w:ind w:left="0" w:right="0" w:firstLine="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本集团作为承租人</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经营租赁中的租金，本集团在租赁期内各个期间按照直线法计入相关资产成本或当期损益；发生的初始直接费用，计入当 </w:t>
      </w:r>
      <w:r>
        <w:rPr>
          <w:color w:val="000000"/>
          <w:spacing w:val="0"/>
          <w:w w:val="100"/>
          <w:position w:val="0"/>
        </w:rPr>
        <w:t>期损益。</w:t>
      </w:r>
    </w:p>
    <w:p>
      <w:pPr>
        <w:pStyle w:val="Style36"/>
        <w:keepNext w:val="0"/>
        <w:keepLines w:val="0"/>
        <w:widowControl w:val="0"/>
        <w:numPr>
          <w:ilvl w:val="0"/>
          <w:numId w:val="53"/>
        </w:numPr>
        <w:shd w:val="clear" w:color="auto" w:fill="auto"/>
        <w:bidi w:val="0"/>
        <w:spacing w:before="0" w:after="0" w:line="312" w:lineRule="exact"/>
        <w:ind w:left="0" w:right="0" w:firstLine="0"/>
        <w:jc w:val="left"/>
      </w:pPr>
      <w:bookmarkStart w:id="986" w:name="bookmark986"/>
      <w:bookmarkEnd w:id="986"/>
      <w:r>
        <w:rPr>
          <w:color w:val="000000"/>
          <w:spacing w:val="0"/>
          <w:w w:val="100"/>
          <w:position w:val="0"/>
        </w:rPr>
        <w:t>新冠肺炎疫情引发的租金减让</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对于由新冠肺炎疫情直接引发的、本集团与承租人或出租人就现有租赁合同达成的租金减免、延期支付等租金减让，同时 满足下列条件的，本集团对房屋及建筑物等类别租赁采用简化方法：</w:t>
      </w:r>
    </w:p>
    <w:p>
      <w:pPr>
        <w:pStyle w:val="Style36"/>
        <w:keepNext w:val="0"/>
        <w:keepLines w:val="0"/>
        <w:widowControl w:val="0"/>
        <w:numPr>
          <w:ilvl w:val="0"/>
          <w:numId w:val="55"/>
        </w:numPr>
        <w:shd w:val="clear" w:color="auto" w:fill="auto"/>
        <w:tabs>
          <w:tab w:pos="336" w:val="left"/>
        </w:tabs>
        <w:bidi w:val="0"/>
        <w:spacing w:before="0" w:after="0" w:line="312" w:lineRule="exact"/>
        <w:ind w:left="0" w:right="0" w:firstLine="0"/>
        <w:jc w:val="left"/>
      </w:pPr>
      <w:bookmarkStart w:id="987" w:name="bookmark987"/>
      <w:bookmarkEnd w:id="987"/>
      <w:r>
        <w:rPr>
          <w:color w:val="000000"/>
          <w:spacing w:val="0"/>
          <w:w w:val="100"/>
          <w:position w:val="0"/>
        </w:rPr>
        <w:t>减让后的租赁对价较减让前减少或基本不变，其中，租赁对价未折现或按减让前折现率折现均可；</w:t>
      </w:r>
    </w:p>
    <w:p>
      <w:pPr>
        <w:pStyle w:val="Style36"/>
        <w:keepNext w:val="0"/>
        <w:keepLines w:val="0"/>
        <w:widowControl w:val="0"/>
        <w:numPr>
          <w:ilvl w:val="0"/>
          <w:numId w:val="55"/>
        </w:numPr>
        <w:shd w:val="clear" w:color="auto" w:fill="auto"/>
        <w:tabs>
          <w:tab w:pos="336" w:val="left"/>
        </w:tabs>
        <w:bidi w:val="0"/>
        <w:spacing w:before="0" w:after="0" w:line="312" w:lineRule="exact"/>
        <w:ind w:left="0" w:right="0" w:firstLine="0"/>
        <w:jc w:val="left"/>
      </w:pPr>
      <w:bookmarkStart w:id="988" w:name="bookmark988"/>
      <w:bookmarkEnd w:id="988"/>
      <w:r>
        <w:rPr>
          <w:color w:val="000000"/>
          <w:spacing w:val="0"/>
          <w:w w:val="100"/>
          <w:position w:val="0"/>
        </w:rPr>
        <w:t>减让仅针对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日前的应付租赁付款额；</w:t>
      </w:r>
    </w:p>
    <w:p>
      <w:pPr>
        <w:pStyle w:val="Style36"/>
        <w:keepNext w:val="0"/>
        <w:keepLines w:val="0"/>
        <w:widowControl w:val="0"/>
        <w:numPr>
          <w:ilvl w:val="0"/>
          <w:numId w:val="55"/>
        </w:numPr>
        <w:shd w:val="clear" w:color="auto" w:fill="auto"/>
        <w:tabs>
          <w:tab w:pos="336" w:val="left"/>
        </w:tabs>
        <w:bidi w:val="0"/>
        <w:spacing w:before="0" w:after="0" w:line="312" w:lineRule="exact"/>
        <w:ind w:left="0" w:right="0" w:firstLine="0"/>
        <w:jc w:val="left"/>
      </w:pPr>
      <w:bookmarkStart w:id="989" w:name="bookmark989"/>
      <w:bookmarkEnd w:id="989"/>
      <w:r>
        <w:rPr>
          <w:color w:val="000000"/>
          <w:spacing w:val="0"/>
          <w:w w:val="100"/>
          <w:position w:val="0"/>
        </w:rPr>
        <w:t>综合考虑定性和定量因素后认定租赁的其他条款和条件无重大变化。</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本集团不评估是否发生租赁变更。</w:t>
      </w:r>
    </w:p>
    <w:p>
      <w:pPr>
        <w:pStyle w:val="Style36"/>
        <w:keepNext w:val="0"/>
        <w:keepLines w:val="0"/>
        <w:widowControl w:val="0"/>
        <w:shd w:val="clear" w:color="auto" w:fill="auto"/>
        <w:bidi w:val="0"/>
        <w:spacing w:before="0" w:after="0" w:line="311" w:lineRule="exact"/>
        <w:ind w:left="0" w:right="0" w:firstLine="0"/>
        <w:jc w:val="left"/>
      </w:pPr>
      <w:r>
        <w:rPr>
          <w:color w:val="000000"/>
          <w:spacing w:val="0"/>
          <w:w w:val="100"/>
          <w:position w:val="0"/>
        </w:rPr>
        <w:t>当本集团作为承租人时，对于经营租赁，本集团继续按照与减让前一致的方法将原合同租金计入相关资产成本或费用。发 生租金减免的，本集团将减免的租金作为或有租金，在减免期间冲减成本或费用；延期支付租金的，本集团在原支付期间 将应支付的租金确认为应付款项，在实际支付时冲减前期确认的应付款项。对于融资租赁，本集团继续按照与减让前一致 的折现率将未确认融资费用确认为当期融资费用，继续按照与减让前一致的方法对融资租入资产进行计提折旧等后续计 量。发生租金减免的，本集团将减免的租金作为或有租金，在达成减让协议等解除原租金支付义务时，冲减资产成本或费 用等科目，并相应调整长期应付款，按照减让前折现率折现计入当期损益的，还应调整未确认融资费用；延期支付租金 的，本集团在实际支付时冲减前期确认的长期应付款。</w:t>
      </w:r>
    </w:p>
    <w:p>
      <w:pPr>
        <w:pStyle w:val="Style3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当本集团作为出租人时，对于经营租赁，本集团继续按照与减让前一致的方法将原合同租金确认为租赁收入。发生租金减 免的，本集团将减免的租金作为或有租金，在减免期间冲减租赁收入；延期收取租金的，本集团在原收取期间将应收取的 租金确认为应收款项，并在实际收到时冲减前期确认的应收款项。对于融资租赁，本集团继续按照与减让前一致的租赁内 含利率将未实现融资收益确认为租赁收入。发生租金减免的，本集团将减免的租金作为或有租金，在达成减让协议等放弃 原租金收取权利时，冲减原确认的租赁收入，不足冲减的部分计入投资收益，同时相应调整长期应收款，按照减让前折现 率折现计入当期损益的，还应调整未实现融资收益；延期收取租金的，本集团在实际收到时冲减前期确认的长期应收款。</w:t>
      </w:r>
    </w:p>
    <w:p>
      <w:pPr>
        <w:pStyle w:val="Style43"/>
        <w:keepNext/>
        <w:keepLines/>
        <w:widowControl w:val="0"/>
        <w:numPr>
          <w:ilvl w:val="0"/>
          <w:numId w:val="47"/>
        </w:numPr>
        <w:shd w:val="clear" w:color="auto" w:fill="auto"/>
        <w:bidi w:val="0"/>
        <w:spacing w:before="0" w:after="280" w:line="240" w:lineRule="auto"/>
        <w:ind w:left="0" w:right="0" w:firstLine="0"/>
        <w:jc w:val="left"/>
      </w:pPr>
      <w:bookmarkStart w:id="990" w:name="bookmark990"/>
      <w:bookmarkStart w:id="991" w:name="bookmark991"/>
      <w:bookmarkStart w:id="992" w:name="bookmark992"/>
      <w:bookmarkStart w:id="993" w:name="bookmark993"/>
      <w:bookmarkEnd w:id="992"/>
      <w:r>
        <w:rPr>
          <w:color w:val="000000"/>
          <w:spacing w:val="0"/>
          <w:w w:val="100"/>
          <w:position w:val="0"/>
        </w:rPr>
        <w:t>融资租赁的会计处理方法</w:t>
      </w:r>
      <w:bookmarkEnd w:id="990"/>
      <w:bookmarkEnd w:id="991"/>
      <w:bookmarkEnd w:id="993"/>
    </w:p>
    <w:p>
      <w:pPr>
        <w:pStyle w:val="Style3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43"/>
        <w:keepNext/>
        <w:keepLines/>
        <w:widowControl w:val="0"/>
        <w:shd w:val="clear" w:color="auto" w:fill="auto"/>
        <w:bidi w:val="0"/>
        <w:spacing w:before="0" w:after="28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4</w:t>
      </w:r>
      <w:bookmarkEnd w:id="996"/>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994"/>
      <w:bookmarkEnd w:id="995"/>
      <w:bookmarkEnd w:id="997"/>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本集团根据历史经验和其它因素，包括对未来事项的合理预期，对所采用的重要会计估计和关键假设进行持续的评价。很 可能导致下一会计年度资产和负债的账面价值出现重大调整风险的重要会计估计和关键假设列示如下：</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金融资产的分类</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本集团在确定金融资产的分类时涉及的重大判断包括业务模式及合同现金流量特征的分析等。</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本集团在金融资产组合的层次上确定管理金融资产的业务模式，考虑的因素包括评价和向关键管理人员报告金融资产业绩 的方式、影响金融资产业绩的风险及其管理方式、以及相关业务管理人员获得报酬的方式等。</w:t>
      </w:r>
    </w:p>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本集团在评估金融资产的合同现金流量是否与基本借贷安排相一致时，存在以下主要判断：本金是否可能因提前还款等原 因导致在存续期内的时间分布或者金额发生变动；利息是否仅包括货币时间价值、信用风险、其他基本借贷风险以及与成 本和利润的对价。例如，提前偿付的金额是否仅反映了尚未支付的本金及以未偿付本金为基础的利息，以及因提前终止合 同而支付的合理补偿。</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应收账款预期信用损失的计量</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本集团通过应收账款违约风险敞口和预期信用损失率计算应收账款预期信用损失，并基于违约概率和违约损失率确定预期 信用损失率。在确定预期信用损失率时，本集团使用内部历史信用损失经验等数据，并结合当前状况和前瞻性信息对历史 数据进行调整。在考虑前瞻性信息时，本集团使用的指标包括经济下滑的风险、外部市场环境、技术环境和客户情况的变 化等。本集团定期监控并复核与预期信用损失计算相关的假设。</w:t>
      </w:r>
    </w:p>
    <w:p>
      <w:pPr>
        <w:pStyle w:val="Style36"/>
        <w:keepNext w:val="0"/>
        <w:keepLines w:val="0"/>
        <w:widowControl w:val="0"/>
        <w:shd w:val="clear" w:color="auto" w:fill="auto"/>
        <w:bidi w:val="0"/>
        <w:spacing w:before="0" w:after="0" w:line="321" w:lineRule="exact"/>
        <w:ind w:left="0" w:right="0" w:firstLine="0"/>
        <w:jc w:val="both"/>
      </w:pPr>
      <w:r>
        <w:rPr>
          <w:color w:val="000000"/>
          <w:spacing w:val="0"/>
          <w:w w:val="100"/>
          <w:position w:val="0"/>
        </w:rPr>
        <w:t>开发支出</w:t>
      </w:r>
    </w:p>
    <w:p>
      <w:pPr>
        <w:pStyle w:val="Style36"/>
        <w:keepNext w:val="0"/>
        <w:keepLines w:val="0"/>
        <w:widowControl w:val="0"/>
        <w:shd w:val="clear" w:color="auto" w:fill="auto"/>
        <w:bidi w:val="0"/>
        <w:spacing w:before="0" w:after="0" w:line="321" w:lineRule="exact"/>
        <w:ind w:left="0" w:right="0" w:firstLine="0"/>
        <w:jc w:val="both"/>
      </w:pPr>
      <w:r>
        <w:rPr>
          <w:color w:val="000000"/>
          <w:spacing w:val="0"/>
          <w:w w:val="100"/>
          <w:position w:val="0"/>
        </w:rPr>
        <w:t>确定资本化的金额时，管理层必须做出有关资产的预期未来现金的产生、应采用的折现率以及预计受益期间的假设。</w:t>
      </w:r>
    </w:p>
    <w:p>
      <w:pPr>
        <w:pStyle w:val="Style36"/>
        <w:keepNext w:val="0"/>
        <w:keepLines w:val="0"/>
        <w:widowControl w:val="0"/>
        <w:shd w:val="clear" w:color="auto" w:fill="auto"/>
        <w:bidi w:val="0"/>
        <w:spacing w:before="0" w:after="0" w:line="321" w:lineRule="exact"/>
        <w:ind w:left="0" w:right="0" w:firstLine="0"/>
        <w:jc w:val="both"/>
      </w:pPr>
      <w:r>
        <w:rPr>
          <w:color w:val="000000"/>
          <w:spacing w:val="0"/>
          <w:w w:val="100"/>
          <w:position w:val="0"/>
        </w:rPr>
        <w:t>递延所得税资产</w:t>
      </w:r>
    </w:p>
    <w:p>
      <w:pPr>
        <w:pStyle w:val="Style36"/>
        <w:keepNext w:val="0"/>
        <w:keepLines w:val="0"/>
        <w:widowControl w:val="0"/>
        <w:shd w:val="clear" w:color="auto" w:fill="auto"/>
        <w:bidi w:val="0"/>
        <w:spacing w:before="0" w:after="0" w:line="329" w:lineRule="exact"/>
        <w:ind w:left="0" w:right="0" w:firstLine="0"/>
        <w:jc w:val="both"/>
      </w:pPr>
      <w:r>
        <w:rPr>
          <w:color w:val="000000"/>
          <w:spacing w:val="0"/>
          <w:w w:val="100"/>
          <w:position w:val="0"/>
        </w:rPr>
        <w:t>在很有可能有足够的应纳税利润来抵扣亏损的限度内，应就所有未利用的税务亏损确认递延所得税资产。这需要管理层运 用大量的判断来估计未来应纳税利润发生的时间和金额，结合纳税筹划策略，以决定应确认的递延所得税资产的金额。 未上市权益投资的公允价值确定</w:t>
      </w:r>
    </w:p>
    <w:p>
      <w:pPr>
        <w:pStyle w:val="Style3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未上市的权益投资的公允价值是根据具有类似条款和风险特征的项目当前折现率折现的预计未来现金流量。这种估价要求 本集团估计预期未来现金流量和折现率，因此具有不确定性。在有限情况下，如果用以确定公允价值的信息不足，或者公 允价值的可能估计金额分布范围很广，而成本代表了该范围内对公允价值的最佳估计的，该成本可代表其在该分布范围内 对公允价值的恰当估计。</w:t>
      </w:r>
    </w:p>
    <w:p>
      <w:pPr>
        <w:pStyle w:val="Style43"/>
        <w:keepNext/>
        <w:keepLines/>
        <w:widowControl w:val="0"/>
        <w:shd w:val="clear" w:color="auto" w:fill="auto"/>
        <w:bidi w:val="0"/>
        <w:spacing w:before="0" w:after="380" w:line="240" w:lineRule="auto"/>
        <w:ind w:left="0" w:right="0" w:firstLine="0"/>
        <w:jc w:val="both"/>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4</w:t>
      </w:r>
      <w:bookmarkEnd w:id="1000"/>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01"/>
      <w:bookmarkEnd w:id="998"/>
      <w:bookmarkEnd w:id="999"/>
    </w:p>
    <w:p>
      <w:pPr>
        <w:pStyle w:val="Style43"/>
        <w:keepNext/>
        <w:keepLines/>
        <w:widowControl w:val="0"/>
        <w:shd w:val="clear" w:color="auto" w:fill="auto"/>
        <w:bidi w:val="0"/>
        <w:spacing w:before="0" w:after="380" w:line="240" w:lineRule="auto"/>
        <w:ind w:left="0" w:right="0" w:firstLine="0"/>
        <w:jc w:val="both"/>
      </w:pPr>
      <w:bookmarkStart w:id="1002" w:name="bookmark1002"/>
      <w:bookmarkStart w:id="1003" w:name="bookmark1003"/>
      <w:bookmarkStart w:id="998" w:name="bookmark998"/>
      <w:bookmarkStart w:id="999" w:name="bookmark999"/>
      <w:r>
        <w:rPr>
          <w:color w:val="000000"/>
          <w:spacing w:val="0"/>
          <w:w w:val="100"/>
          <w:position w:val="0"/>
        </w:rPr>
        <w:t>（</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03"/>
      <w:bookmarkEnd w:id="998"/>
      <w:bookmarkEnd w:id="999"/>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①财政部于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年颁布了《企业会计 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公司第五届董事会第二次会议决议</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②财政部于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月发布了《企业 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公司第五届董事会第八次会议决议</w:t>
            </w: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③财政部于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月发布了《关于 印发</w:t>
            </w:r>
            <w:r>
              <w:rPr>
                <w:color w:val="000000"/>
                <w:spacing w:val="0"/>
                <w:w w:val="100"/>
                <w:position w:val="0"/>
                <w:sz w:val="18"/>
                <w:szCs w:val="18"/>
              </w:rPr>
              <w:t>〈</w:t>
            </w:r>
            <w:r>
              <w:rPr>
                <w:color w:val="000000"/>
                <w:spacing w:val="0"/>
                <w:w w:val="100"/>
                <w:position w:val="0"/>
              </w:rPr>
              <w:t>新冠肺炎疫情相关租金减让会计 处理规定</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 xml:space="preserve">[2020]10 </w:t>
            </w:r>
            <w:r>
              <w:rPr>
                <w:color w:val="000000"/>
                <w:spacing w:val="0"/>
                <w:w w:val="100"/>
                <w:position w:val="0"/>
              </w:rPr>
              <w:t>号），可对新冠肺炎疫情相关租金减让 根据该会计处理规定选择采用简化方 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公司第五届董事会第八次会议决议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①新收入准则</w:t>
      </w:r>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），本公司经第五届董事会第二 次会议决议自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日起执行该准则，对会计政策相关内容进行了调整。</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本集团在履行了合同中的履约义务，即在客户取得相关商品或服务的控制权时，确认收入。在满足一定条件时，本集团属 于在某一时段内履行履约义务，否则，属于在某一时点履行履约义务。合同中包含两项或多项履约义务的，本集团在合同 开始日，按照各单项履约义务所承诺商品或服务的单独售价的相对比例，将交易价格分摊至各单项履约义务，按照分摊至 各单项履约义务的交易价格计量收入。</w:t>
      </w:r>
    </w:p>
    <w:p>
      <w:pPr>
        <w:pStyle w:val="Style3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本集团依据新收入准则有关特定事项或交易的具体规定调整了相关会计政策。例如：合同成本、质量保证、主要责任人和 代理人的区分、附有销售退回条款的销售、额外购买选择权、知识产权许可、回购安排、预收款项、无需退回的初始费的 处理等。</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本集团已向客户转让商品而有权收取对价的权利，且该权利取决于时间流逝之外的其他因素作为合同资产列示。本集团已 收或应收客户对价而应向客户转让商品的义务作为合同负债列示。</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本集团根据首次执行新收入准则的累积影响数，调整本集团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年年初留存收益及财务报表其他相关项目金额，未对比较 </w:t>
      </w:r>
      <w:r>
        <w:rPr>
          <w:color w:val="000000"/>
          <w:spacing w:val="0"/>
          <w:w w:val="100"/>
          <w:position w:val="0"/>
        </w:rPr>
        <w:t>财务报表数据进行调整。本集团仅对在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日尚未完成的合同的累积影响数调整本集团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年年初留存收益及 财务报表其他相关项目金额。</w:t>
      </w:r>
    </w:p>
    <w:p>
      <w:pPr>
        <w:pStyle w:val="Style36"/>
        <w:keepNext w:val="0"/>
        <w:keepLines w:val="0"/>
        <w:widowControl w:val="0"/>
        <w:shd w:val="clear" w:color="auto" w:fill="auto"/>
        <w:bidi w:val="0"/>
        <w:spacing w:before="0" w:after="100" w:line="322" w:lineRule="exact"/>
        <w:ind w:left="0" w:right="0" w:firstLine="0"/>
        <w:jc w:val="right"/>
      </w:pPr>
      <w:r>
        <w:rPr>
          <w:color w:val="000000"/>
          <w:spacing w:val="0"/>
          <w:w w:val="100"/>
          <w:position w:val="0"/>
        </w:rPr>
        <w:t>单位：元</w:t>
      </w:r>
    </w:p>
    <w:tbl>
      <w:tblPr>
        <w:tblOverlap w:val="never"/>
        <w:jc w:val="center"/>
        <w:tblLayout w:type="fixed"/>
      </w:tblPr>
      <w:tblGrid>
        <w:gridCol w:w="4555"/>
        <w:gridCol w:w="2222"/>
        <w:gridCol w:w="2318"/>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受影响的报表项目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影响金额（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因执行新收入准则，本集团将与销售商品及提供劳务相关、 不满足无条件收款权的收取对价的权利计入合同资产；将 与基建建设、部分制造与安装业务及提供劳务相关、不满 足无条件收款权的已完工未结算、长期应收款计入合同资 产和其他非流动资产；将与基建建设、部分制造与安装业 务相关的已结算未完工、销售商品及与提供劳务相关的预 收款项重分类至合同负债。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-23,056,370.97</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8,355,411.02</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14,700,959.95</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-163,640,989.43</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154,637,948.86</w:t>
            </w:r>
          </w:p>
        </w:tc>
      </w:tr>
      <w:tr>
        <w:trPr>
          <w:trHeight w:val="48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9,003,040.57</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w:t>
      </w:r>
    </w:p>
    <w:p>
      <w:pPr>
        <w:widowControl w:val="0"/>
        <w:spacing w:after="99" w:line="1" w:lineRule="exact"/>
      </w:pPr>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464"/>
        <w:gridCol w:w="4632"/>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受影响的资产负债表项目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-26,342,899.59</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8,566,251.22</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17,776,648.37</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-150,464,343.29</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142,494,386.44</w:t>
            </w:r>
          </w:p>
        </w:tc>
      </w:tr>
      <w:tr>
        <w:trPr>
          <w:trHeight w:val="37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7,969,956.85</w:t>
            </w:r>
          </w:p>
        </w:tc>
      </w:tr>
    </w:tbl>
    <w:p>
      <w:pPr>
        <w:pStyle w:val="Style36"/>
        <w:keepNext w:val="0"/>
        <w:keepLines w:val="0"/>
        <w:widowControl w:val="0"/>
        <w:numPr>
          <w:ilvl w:val="0"/>
          <w:numId w:val="57"/>
        </w:numPr>
        <w:shd w:val="clear" w:color="auto" w:fill="auto"/>
        <w:tabs>
          <w:tab w:pos="373" w:val="left"/>
        </w:tabs>
        <w:bidi w:val="0"/>
        <w:spacing w:before="0" w:after="0" w:line="320" w:lineRule="exact"/>
        <w:ind w:left="0" w:right="0" w:firstLine="0"/>
        <w:jc w:val="both"/>
      </w:pPr>
      <w:bookmarkStart w:id="1004" w:name="bookmark1004"/>
      <w:bookmarkEnd w:id="1004"/>
      <w:r>
        <w:rPr>
          <w:color w:val="000000"/>
          <w:spacing w:val="0"/>
          <w:w w:val="100"/>
          <w:position w:val="0"/>
        </w:rPr>
        <w:t>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36"/>
        <w:keepNext w:val="0"/>
        <w:keepLines w:val="0"/>
        <w:widowControl w:val="0"/>
        <w:shd w:val="clear" w:color="auto" w:fill="auto"/>
        <w:bidi w:val="0"/>
        <w:spacing w:before="0" w:after="0" w:line="320"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36"/>
        <w:keepNext w:val="0"/>
        <w:keepLines w:val="0"/>
        <w:widowControl w:val="0"/>
        <w:shd w:val="clear" w:color="auto" w:fill="auto"/>
        <w:bidi w:val="0"/>
        <w:spacing w:before="0" w:after="0" w:line="324" w:lineRule="exact"/>
        <w:ind w:left="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号修订了构成业务的三个要素，细化了业务的判断条件，对非同一控制下企业合并的购买方在判断取得的经营活 动或资产的组合是否构成一项业务时，引入了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集中度测试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的方法。</w:t>
      </w:r>
    </w:p>
    <w:p>
      <w:pPr>
        <w:pStyle w:val="Style36"/>
        <w:keepNext w:val="0"/>
        <w:keepLines w:val="0"/>
        <w:widowControl w:val="0"/>
        <w:shd w:val="clear" w:color="auto" w:fill="auto"/>
        <w:bidi w:val="0"/>
        <w:spacing w:before="0" w:after="0" w:line="324" w:lineRule="exact"/>
        <w:ind w:left="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号明确了企业的关联方包括企业所属企业集团的其他共同成员单位（包括母公司和子公司）的合营企业或联营企 业，以及对企业实施共同控制的投资方的企业合营企业或联营企业等。</w:t>
      </w:r>
    </w:p>
    <w:p>
      <w:pPr>
        <w:pStyle w:val="Style36"/>
        <w:keepNext w:val="0"/>
        <w:keepLines w:val="0"/>
        <w:widowControl w:val="0"/>
        <w:shd w:val="clear" w:color="auto" w:fill="auto"/>
        <w:bidi w:val="0"/>
        <w:spacing w:before="0" w:after="0" w:line="324" w:lineRule="exact"/>
        <w:ind w:left="0" w:right="0" w:firstLine="0"/>
        <w:jc w:val="both"/>
      </w:pP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日起实施，本集团采用未来适用法对上述会计政策变更进行会计处理。</w:t>
      </w:r>
    </w:p>
    <w:p>
      <w:pPr>
        <w:pStyle w:val="Style36"/>
        <w:keepNext w:val="0"/>
        <w:keepLines w:val="0"/>
        <w:widowControl w:val="0"/>
        <w:shd w:val="clear" w:color="auto" w:fill="auto"/>
        <w:bidi w:val="0"/>
        <w:spacing w:before="0" w:after="0" w:line="320" w:lineRule="exact"/>
        <w:ind w:left="0" w:right="0" w:firstLine="0"/>
        <w:jc w:val="both"/>
      </w:pPr>
      <w:r>
        <w:rPr>
          <w:color w:val="000000"/>
          <w:spacing w:val="0"/>
          <w:w w:val="100"/>
          <w:position w:val="0"/>
        </w:rPr>
        <w:t>采用解释第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号未对本集团财务状况、经营成果和关联方披露产生重大影响。</w:t>
      </w:r>
    </w:p>
    <w:p>
      <w:pPr>
        <w:pStyle w:val="Style36"/>
        <w:keepNext w:val="0"/>
        <w:keepLines w:val="0"/>
        <w:widowControl w:val="0"/>
        <w:numPr>
          <w:ilvl w:val="0"/>
          <w:numId w:val="57"/>
        </w:numPr>
        <w:shd w:val="clear" w:color="auto" w:fill="auto"/>
        <w:tabs>
          <w:tab w:pos="373" w:val="left"/>
        </w:tabs>
        <w:bidi w:val="0"/>
        <w:spacing w:before="0" w:after="0" w:line="317" w:lineRule="exact"/>
        <w:ind w:left="0" w:right="0" w:firstLine="0"/>
        <w:jc w:val="both"/>
      </w:pPr>
      <w:bookmarkStart w:id="1005" w:name="bookmark1005"/>
      <w:bookmarkEnd w:id="1005"/>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月发布了《关于印发</w:t>
      </w:r>
      <w:r>
        <w:rPr>
          <w:color w:val="000000"/>
          <w:spacing w:val="0"/>
          <w:w w:val="100"/>
          <w:position w:val="0"/>
          <w:sz w:val="18"/>
          <w:szCs w:val="18"/>
        </w:rPr>
        <w:t>〈</w:t>
      </w:r>
      <w:r>
        <w:rPr>
          <w:color w:val="000000"/>
          <w:spacing w:val="0"/>
          <w:w w:val="100"/>
          <w:position w:val="0"/>
        </w:rPr>
        <w:t>新冠肺炎疫情相关租金减让会计处理规定</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[2020]10</w:t>
      </w:r>
      <w:r>
        <w:rPr>
          <w:color w:val="000000"/>
          <w:spacing w:val="0"/>
          <w:w w:val="100"/>
          <w:position w:val="0"/>
        </w:rPr>
        <w:t>号），可对新 冠肺炎疫情相关租金减让根据该会计处理规定选择采用简化方法。</w:t>
      </w:r>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本集团对于自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日起发生的租赁的相关租金减让，采用了该会计处理规定中的简化方法（参见附注三、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p>
    <w:p>
      <w:pPr>
        <w:pStyle w:val="Style36"/>
        <w:keepNext w:val="0"/>
        <w:keepLines w:val="0"/>
        <w:widowControl w:val="0"/>
        <w:shd w:val="clear" w:color="auto" w:fill="auto"/>
        <w:bidi w:val="0"/>
        <w:spacing w:before="0" w:after="0" w:line="317" w:lineRule="exact"/>
        <w:ind w:left="0" w:right="0" w:firstLine="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））,在减免期间或在达成减让协议等解除并放弃相关权利义务时，将相关租金减让计入损益。上述简化方法对本期利润 的影响金额为</w:t>
      </w:r>
      <w:r>
        <w:rPr>
          <w:rFonts w:ascii="Times New Roman" w:eastAsia="Times New Roman" w:hAnsi="Times New Roman" w:cs="Times New Roman"/>
          <w:color w:val="000000"/>
          <w:spacing w:val="0"/>
          <w:w w:val="100"/>
          <w:position w:val="0"/>
          <w:sz w:val="18"/>
          <w:szCs w:val="18"/>
        </w:rPr>
        <w:t>192,350.56</w:t>
      </w:r>
      <w:r>
        <w:rPr>
          <w:color w:val="000000"/>
          <w:spacing w:val="0"/>
          <w:w w:val="100"/>
          <w:position w:val="0"/>
        </w:rPr>
        <w:t>元。</w:t>
      </w:r>
    </w:p>
    <w:p>
      <w:pPr>
        <w:pStyle w:val="Style36"/>
        <w:keepNext w:val="0"/>
        <w:keepLines w:val="0"/>
        <w:widowControl w:val="0"/>
        <w:shd w:val="clear" w:color="auto" w:fill="auto"/>
        <w:bidi w:val="0"/>
        <w:spacing w:before="0" w:after="0" w:line="320" w:lineRule="exact"/>
        <w:ind w:left="0" w:right="0" w:firstLine="0"/>
        <w:jc w:val="both"/>
      </w:pPr>
      <w:r>
        <w:rPr>
          <w:color w:val="000000"/>
          <w:spacing w:val="0"/>
          <w:w w:val="100"/>
          <w:position w:val="0"/>
        </w:rPr>
        <w:t>本集团对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日之前发生的租金减让不适用上述简化处理方法。</w:t>
      </w:r>
    </w:p>
    <w:p>
      <w:pPr>
        <w:pStyle w:val="Style36"/>
        <w:keepNext w:val="0"/>
        <w:keepLines w:val="0"/>
        <w:widowControl w:val="0"/>
        <w:shd w:val="clear" w:color="auto" w:fill="auto"/>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）重要会计估计变更</w:t>
      </w:r>
    </w:p>
    <w:p>
      <w:pPr>
        <w:pStyle w:val="Style36"/>
        <w:keepNext w:val="0"/>
        <w:keepLines w:val="0"/>
        <w:widowControl w:val="0"/>
        <w:shd w:val="clear" w:color="auto" w:fill="auto"/>
        <w:bidi w:val="0"/>
        <w:spacing w:before="0" w:after="380" w:line="320" w:lineRule="exact"/>
        <w:ind w:left="0" w:right="0" w:firstLine="0"/>
        <w:jc w:val="both"/>
      </w:pPr>
      <w:r>
        <w:rPr>
          <w:color w:val="000000"/>
          <w:spacing w:val="0"/>
          <w:w w:val="100"/>
          <w:position w:val="0"/>
        </w:rPr>
        <w:t>本报告期无重要会计估计变更。</w:t>
      </w:r>
    </w:p>
    <w:p>
      <w:pPr>
        <w:pStyle w:val="Style43"/>
        <w:keepNext/>
        <w:keepLines/>
        <w:widowControl w:val="0"/>
        <w:shd w:val="clear" w:color="auto" w:fill="auto"/>
        <w:bidi w:val="0"/>
        <w:spacing w:before="0" w:after="380" w:line="240" w:lineRule="auto"/>
        <w:ind w:left="0" w:right="0" w:firstLine="0"/>
        <w:jc w:val="both"/>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07"/>
      <w:bookmarkEnd w:id="1008"/>
      <w:bookmarkEnd w:id="1010"/>
    </w:p>
    <w:p>
      <w:pPr>
        <w:pStyle w:val="Style36"/>
        <w:keepNext w:val="0"/>
        <w:keepLines w:val="0"/>
        <w:widowControl w:val="0"/>
        <w:shd w:val="clear" w:color="auto" w:fill="auto"/>
        <w:bidi w:val="0"/>
        <w:spacing w:before="0" w:after="0" w:line="37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3"/>
        <w:keepNext/>
        <w:keepLines/>
        <w:widowControl w:val="0"/>
        <w:shd w:val="clear" w:color="auto" w:fill="auto"/>
        <w:tabs>
          <w:tab w:pos="493" w:val="left"/>
        </w:tabs>
        <w:bidi w:val="0"/>
        <w:spacing w:before="0" w:after="38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shd w:val="clear" w:color="auto" w:fill="FFFFFF"/>
        </w:rPr>
        <w:t>（</w:t>
      </w:r>
      <w:bookmarkEnd w:id="1013"/>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11"/>
      <w:bookmarkEnd w:id="1012"/>
      <w:bookmarkEnd w:id="1014"/>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364,482,457.37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364,482,457.37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320,820,000.00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320,820,000.00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10,367,217.87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10,367,217.87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176,705,675.62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153,649,304.65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-23,056,370.97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13,728,731.03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13,728,731.03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48,013,203.35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48,013,203.35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917,363,784.29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917,363,784.29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8,355,411.02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8,355,411.02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jc w:val="left"/>
            </w:pPr>
            <w:r>
              <w:rPr>
                <w:color w:val="000000"/>
                <w:spacing w:val="0"/>
                <w:w w:val="100"/>
                <w:position w:val="0"/>
              </w:rPr>
              <w:t>一年内到期的非流动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60,402,163.70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60,402,163.70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1,911,883,233.23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1,897,182,273.28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-14,700,959.95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117,527,819.80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117,527,819.80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95,906,363.50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95,906,363.50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75,814,987.47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75,814,987.47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21,666,791.10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21,666,791.10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326,713,347.82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326,713,347.82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169,936,434.19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169,936,434.19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12,798,193.41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12,798,193.41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3,449,561.86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3,449,561.86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22,757,653.08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22,757,653.08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227,559.63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14,928,519.58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14,700,959.95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846,798,711.86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861,499,671.81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14,700,959.95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2,758,681,945.09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2,758,681,945.09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501,557,343.75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501,557,343.75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55,490,588.10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55,490,588.10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219,055,618.78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219,055,618.78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164,196,135.11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555,145.68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-163,640,989.43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154,637,948.86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154,637,948.86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22,797,684.07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22,797,684.07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14,193,325.48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14,193,325.48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135,893,708.19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135,893,708.19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16,291,464.35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25,294,504.92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9,003,040.57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1,129,475,867.83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1,129,475,867.83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77,042,789.83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77,042,789.83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4,050,636.35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4,050,636.35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81,093,426.18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81,093,426.18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1,210,569,294.01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1,210,569,294.01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369,358,612.29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369,358,612.29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45,952,224.52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45,952,224.52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71,463,402.20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71,463,402.20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428,572,874.09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428,572,874.09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1,537,547,113.10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1,537,547,113.10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10,565,537.98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10,565,537.98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1,548,112,651.08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1,548,112,651.08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2,758,681,945.09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2,758,681,945.09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母公司资产负债表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136,113,602.94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136,113,602.94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9,567,217.87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9,567,217.87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141,750,093.41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123,627,784.50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-18,122,308.91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96,324,158.44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96,324,158.44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1,190,692,299.51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1,190,692,299.51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112,415,649.66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112,415,649.66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7,571,421.02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7,571,421.02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jc w:val="left"/>
            </w:pPr>
            <w:r>
              <w:rPr>
                <w:color w:val="000000"/>
                <w:spacing w:val="0"/>
                <w:w w:val="100"/>
                <w:position w:val="0"/>
              </w:rPr>
              <w:t>一年内到期的非流动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12,842,094.24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12,842,094.24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1,977,705,116.07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1,967,154,228.18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-10,550,887.89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692,074,115.51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692,074,115.51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83,906,363.50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83,906,363.50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9,662,490.64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9,662,490.64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28,523,955.08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28,523,955.08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12,798,193.41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12,798,193.41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3,105,906.01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3,105,906.01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3,341,464.61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3,341,464.61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10,550,887.89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10,550,887.89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833,412,488.76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843,963,376.65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10,550,887.89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2,811,117,604.83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2,811,117,604.83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501,557,343.75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501,557,343.75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3,613,752.00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3,613,752.00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214,304,056.42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214,304,056.42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120,361,644.95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-120,361,644.95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114,175,736.62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114,175,736.62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10,222,816.34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10,222,816.34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4,083,884.74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4,083,884.74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371,014,088.83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371,014,088.83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10,407,469.96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16,593,378.29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6,185,908.33</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1,235,565,056.99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1,235,565,056.99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548,333.33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548,333.33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4,050,636.35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4,050,636.35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4,598,969.68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4,598,969.68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1,240,164,026.67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1,240,164,026.67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364,193,237.65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364,193,237.65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36,455,727.15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36,455,727.15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71,463,402.20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71,463,402.20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476,641,211.16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476,641,211.16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1,570,953,578.16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1,570,953,578.16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2,811,117,604.83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2,811,117,604.83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3"/>
        <w:keepNext/>
        <w:keepLines/>
        <w:widowControl w:val="0"/>
        <w:shd w:val="clear" w:color="auto" w:fill="auto"/>
        <w:bidi w:val="0"/>
        <w:spacing w:before="0" w:after="38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15"/>
      <w:bookmarkEnd w:id="1016"/>
      <w:bookmarkEnd w:id="1018"/>
    </w:p>
    <w:p>
      <w:pPr>
        <w:pStyle w:val="Style36"/>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43"/>
        <w:keepNext/>
        <w:keepLines/>
        <w:widowControl w:val="0"/>
        <w:shd w:val="clear" w:color="auto" w:fill="auto"/>
        <w:bidi w:val="0"/>
        <w:spacing w:before="0" w:line="240" w:lineRule="auto"/>
        <w:ind w:left="0" w:right="0" w:firstLine="0"/>
        <w:jc w:val="left"/>
      </w:pPr>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19"/>
      <w:bookmarkEnd w:id="1020"/>
      <w:bookmarkEnd w:id="1021"/>
    </w:p>
    <w:p>
      <w:pPr>
        <w:pStyle w:val="Style32"/>
        <w:keepNext/>
        <w:keepLines/>
        <w:widowControl w:val="0"/>
        <w:shd w:val="clear" w:color="auto" w:fill="auto"/>
        <w:bidi w:val="0"/>
        <w:spacing w:before="0" w:after="36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六</w:t>
      </w:r>
      <w:bookmarkEnd w:id="1024"/>
      <w:r>
        <w:rPr>
          <w:color w:val="000000"/>
          <w:spacing w:val="0"/>
          <w:w w:val="100"/>
          <w:position w:val="0"/>
        </w:rPr>
        <w:t>、税项</w:t>
      </w:r>
      <w:bookmarkEnd w:id="1022"/>
      <w:bookmarkEnd w:id="1023"/>
      <w:bookmarkEnd w:id="1025"/>
    </w:p>
    <w:p>
      <w:pPr>
        <w:pStyle w:val="Style43"/>
        <w:keepNext/>
        <w:keepLines/>
        <w:widowControl w:val="0"/>
        <w:shd w:val="clear" w:color="auto" w:fill="auto"/>
        <w:bidi w:val="0"/>
        <w:spacing w:before="0" w:after="32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bookmarkEnd w:id="1028"/>
      <w:r>
        <w:rPr>
          <w:color w:val="000000"/>
          <w:spacing w:val="0"/>
          <w:w w:val="100"/>
          <w:position w:val="0"/>
        </w:rPr>
        <w:t>、主要税种及税率</w:t>
      </w:r>
      <w:bookmarkEnd w:id="1026"/>
      <w:bookmarkEnd w:id="1027"/>
      <w:bookmarkEnd w:id="102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35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上海榕基软件开发有限公司（以下简称上海榕基公司）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福州创华电气自动化系统有限公司（以下简称福州创华公 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浙江榕基信息技术有限公司（以下简称浙江榕基公司）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榕基五一（北京）信息技术有限公司（以下简称榕基五一公 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福建榕基软件工程有限公司（以下简称榕基软件工程公司）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河南榕基信息技术有限公司（以下简称河南榕基公司）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北京中榕基信息技术有限公司（以下简称北京中榕基公司）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马鞍山榕基软件信息科技有限公司（以下简称马鞍山软件信 息公司）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福建榕基投资有限公司（以下简称榕基投资公司）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马鞍山榕基置业投资有限公司（以下简称榕基置业公司）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信阳榕基信息技术有限公司（以下简称信阳榕基公司）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榕基国际控股有限公司（以下简称榕基国际公司）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河南豫础置业有限公司（以下简称豫础置业公司）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沈阳榕基信息技术有限公司（以下简称沈阳榕基公司）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河南裕信德置业有限公司（以下简称裕信德公司）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福州榕易付网络科技有限公司（以下简称福州榕易付公司）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福建星榕基信息科技有限责任公司（以下简称福建星榕基公 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福建容大物联网科技有限公司（以下简称容大物联网）</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43"/>
        <w:keepNext/>
        <w:keepLines/>
        <w:widowControl w:val="0"/>
        <w:shd w:val="clear" w:color="auto" w:fill="auto"/>
        <w:tabs>
          <w:tab w:pos="371" w:val="left"/>
        </w:tabs>
        <w:bidi w:val="0"/>
        <w:spacing w:before="0" w:after="28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2</w:t>
      </w:r>
      <w:bookmarkEnd w:id="1032"/>
      <w:r>
        <w:rPr>
          <w:color w:val="000000"/>
          <w:spacing w:val="0"/>
          <w:w w:val="100"/>
          <w:position w:val="0"/>
        </w:rPr>
        <w:t>、</w:t>
        <w:tab/>
        <w:t>税收优惠</w:t>
      </w:r>
      <w:bookmarkEnd w:id="1030"/>
      <w:bookmarkEnd w:id="1031"/>
      <w:bookmarkEnd w:id="1033"/>
    </w:p>
    <w:p>
      <w:pPr>
        <w:pStyle w:val="Style36"/>
        <w:keepNext w:val="0"/>
        <w:keepLines w:val="0"/>
        <w:widowControl w:val="0"/>
        <w:shd w:val="clear" w:color="auto" w:fill="auto"/>
        <w:tabs>
          <w:tab w:pos="438" w:val="left"/>
        </w:tabs>
        <w:bidi w:val="0"/>
        <w:spacing w:before="0" w:after="0" w:line="317" w:lineRule="exact"/>
        <w:ind w:left="0" w:right="0" w:firstLine="0"/>
        <w:jc w:val="left"/>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增值税</w:t>
      </w:r>
    </w:p>
    <w:p>
      <w:pPr>
        <w:pStyle w:val="Style36"/>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根据《财政部、国家税务总局关于软件产品增值税政策的通知》（财税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号），增值税一般纳税人销售其自行开 发生产的软件产品，对其增值税实际税负超过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36"/>
        <w:keepNext w:val="0"/>
        <w:keepLines w:val="0"/>
        <w:widowControl w:val="0"/>
        <w:shd w:val="clear" w:color="auto" w:fill="auto"/>
        <w:tabs>
          <w:tab w:pos="438" w:val="left"/>
        </w:tabs>
        <w:bidi w:val="0"/>
        <w:spacing w:before="0" w:after="0" w:line="317" w:lineRule="exact"/>
        <w:ind w:left="0" w:right="0" w:firstLine="0"/>
        <w:jc w:val="left"/>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企业所得税</w:t>
      </w:r>
    </w:p>
    <w:p>
      <w:pPr>
        <w:pStyle w:val="Style36"/>
        <w:keepNext w:val="0"/>
        <w:keepLines w:val="0"/>
        <w:widowControl w:val="0"/>
        <w:numPr>
          <w:ilvl w:val="0"/>
          <w:numId w:val="59"/>
        </w:numPr>
        <w:shd w:val="clear" w:color="auto" w:fill="auto"/>
        <w:tabs>
          <w:tab w:pos="366" w:val="left"/>
        </w:tabs>
        <w:bidi w:val="0"/>
        <w:spacing w:before="0" w:after="0" w:line="317" w:lineRule="exact"/>
        <w:ind w:left="0" w:right="0" w:firstLine="0"/>
        <w:jc w:val="left"/>
      </w:pPr>
      <w:bookmarkStart w:id="1036" w:name="bookmark1036"/>
      <w:bookmarkEnd w:id="1036"/>
      <w:r>
        <w:rPr>
          <w:color w:val="000000"/>
          <w:spacing w:val="0"/>
          <w:w w:val="100"/>
          <w:position w:val="0"/>
        </w:rPr>
        <w:t>高新技术企业所得税优惠</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根据《中华人民共和国企业所得税法》（主席令第</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号），科技部、财政部、国家税务总局下发的《高新技术企业认定管理 办法（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修订）》（国科发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号）的规定，国家需要重点扶持的高新技术企业，减按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 税。</w:t>
      </w:r>
    </w:p>
    <w:p>
      <w:pPr>
        <w:pStyle w:val="Style3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日，榕基软件工程公司取得由福建省科学技术厅、福建省财政厅、福建省国家税务局、福建省地方税务局 颁发的《高新技术企业证书》，证书编号</w:t>
      </w:r>
      <w:r>
        <w:rPr>
          <w:rFonts w:ascii="Times New Roman" w:eastAsia="Times New Roman" w:hAnsi="Times New Roman" w:cs="Times New Roman"/>
          <w:color w:val="000000"/>
          <w:spacing w:val="0"/>
          <w:w w:val="100"/>
          <w:position w:val="0"/>
          <w:sz w:val="18"/>
          <w:szCs w:val="18"/>
        </w:rPr>
        <w:t>GR201835000471</w:t>
      </w:r>
      <w:r>
        <w:rPr>
          <w:color w:val="000000"/>
          <w:spacing w:val="0"/>
          <w:w w:val="100"/>
          <w:position w:val="0"/>
        </w:rPr>
        <w:t>，该证书的有效期从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日，信阳榕基公司取得由河南省科学技术厅、河南省财政厅、国家税务总局河南省税务局颁发的《高新技 术企业证书》，证书编号</w:t>
      </w:r>
      <w:r>
        <w:rPr>
          <w:rFonts w:ascii="Times New Roman" w:eastAsia="Times New Roman" w:hAnsi="Times New Roman" w:cs="Times New Roman"/>
          <w:color w:val="000000"/>
          <w:spacing w:val="0"/>
          <w:w w:val="100"/>
          <w:position w:val="0"/>
          <w:sz w:val="18"/>
          <w:szCs w:val="18"/>
        </w:rPr>
        <w:t>GR201941000194</w:t>
      </w:r>
      <w:r>
        <w:rPr>
          <w:color w:val="000000"/>
          <w:spacing w:val="0"/>
          <w:w w:val="100"/>
          <w:position w:val="0"/>
        </w:rPr>
        <w:t>，</w:t>
      </w:r>
      <w:r>
        <w:rPr>
          <w:color w:val="000000"/>
          <w:spacing w:val="0"/>
          <w:w w:val="100"/>
          <w:position w:val="0"/>
        </w:rPr>
        <w:t>该证书的有效期从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日，上海榕基公司取得由上海市科学技术委员会、上海市财政局、国家税务总局上海市税务局颁发的《高 新技术企业证书》，证书编号</w:t>
      </w:r>
      <w:r>
        <w:rPr>
          <w:rFonts w:ascii="Times New Roman" w:eastAsia="Times New Roman" w:hAnsi="Times New Roman" w:cs="Times New Roman"/>
          <w:color w:val="000000"/>
          <w:spacing w:val="0"/>
          <w:w w:val="100"/>
          <w:position w:val="0"/>
          <w:sz w:val="18"/>
          <w:szCs w:val="18"/>
        </w:rPr>
        <w:t>GR20203100322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,该证书的有效期从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3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日，浙江榕基公司取得由浙江省科学技术厅、浙江省财政厅、国家税务总局浙江省税务局颁发的《高新技 术企业证书》，证书编号</w:t>
      </w:r>
      <w:r>
        <w:rPr>
          <w:rFonts w:ascii="Times New Roman" w:eastAsia="Times New Roman" w:hAnsi="Times New Roman" w:cs="Times New Roman"/>
          <w:color w:val="000000"/>
          <w:spacing w:val="0"/>
          <w:w w:val="100"/>
          <w:position w:val="0"/>
          <w:sz w:val="18"/>
          <w:szCs w:val="18"/>
        </w:rPr>
        <w:t>GR202033000691</w:t>
      </w:r>
      <w:r>
        <w:rPr>
          <w:color w:val="000000"/>
          <w:spacing w:val="0"/>
          <w:w w:val="100"/>
          <w:position w:val="0"/>
        </w:rPr>
        <w:t>，</w:t>
      </w:r>
      <w:r>
        <w:rPr>
          <w:color w:val="000000"/>
          <w:spacing w:val="0"/>
          <w:w w:val="100"/>
          <w:position w:val="0"/>
        </w:rPr>
        <w:t>该证书的有效期从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36"/>
        <w:keepNext w:val="0"/>
        <w:keepLines w:val="0"/>
        <w:widowControl w:val="0"/>
        <w:numPr>
          <w:ilvl w:val="0"/>
          <w:numId w:val="59"/>
        </w:numPr>
        <w:shd w:val="clear" w:color="auto" w:fill="auto"/>
        <w:tabs>
          <w:tab w:pos="366" w:val="left"/>
        </w:tabs>
        <w:bidi w:val="0"/>
        <w:spacing w:before="0" w:after="0" w:line="319" w:lineRule="exact"/>
        <w:ind w:left="0" w:right="0" w:firstLine="0"/>
        <w:jc w:val="left"/>
      </w:pPr>
      <w:bookmarkStart w:id="1037" w:name="bookmark1037"/>
      <w:bookmarkEnd w:id="1037"/>
      <w:r>
        <w:rPr>
          <w:color w:val="000000"/>
          <w:spacing w:val="0"/>
          <w:w w:val="100"/>
          <w:position w:val="0"/>
        </w:rPr>
        <w:t>新办软件企业所得税优惠</w:t>
      </w:r>
    </w:p>
    <w:p>
      <w:pPr>
        <w:pStyle w:val="Style36"/>
        <w:keepNext w:val="0"/>
        <w:keepLines w:val="0"/>
        <w:widowControl w:val="0"/>
        <w:shd w:val="clear" w:color="auto" w:fill="auto"/>
        <w:bidi w:val="0"/>
        <w:spacing w:before="0" w:after="0" w:line="319" w:lineRule="exact"/>
        <w:ind w:left="0" w:right="0" w:firstLine="0"/>
        <w:jc w:val="left"/>
      </w:pPr>
      <w:r>
        <w:rPr>
          <w:color w:val="000000"/>
          <w:spacing w:val="0"/>
          <w:w w:val="100"/>
          <w:position w:val="0"/>
        </w:rPr>
        <w:t>根据财政部、国家税务总局《关于企业所得税若干优惠政策》（财税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号）规定：我国境内新办软件生产企业经认 定后，自获利年度起，第一年和第二年免征企业所得税，第三年至第五年减半征收企业所得税。</w:t>
      </w:r>
    </w:p>
    <w:p>
      <w:pPr>
        <w:pStyle w:val="Style3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月，马鞍山软件信息公司被认定为软件企业，自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年起享受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免二减三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的税收优惠；其自成立以来尚未盈 利，未享受过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免二减三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税收优惠，故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年度该公司企业所得税税率为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6"/>
        <w:keepNext w:val="0"/>
        <w:keepLines w:val="0"/>
        <w:widowControl w:val="0"/>
        <w:shd w:val="clear" w:color="auto" w:fill="auto"/>
        <w:bidi w:val="0"/>
        <w:spacing w:before="0" w:after="360" w:line="325" w:lineRule="exact"/>
        <w:ind w:left="0" w:right="0" w:firstLine="0"/>
        <w:jc w:val="left"/>
      </w:pPr>
      <w:r>
        <w:rPr>
          <w:color w:val="000000"/>
          <w:spacing w:val="0"/>
          <w:w w:val="100"/>
          <w:position w:val="0"/>
        </w:rPr>
        <w:t>福建星榕基公司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年成立，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年度经逐条对照，符合《财政部、国家税务总局、发展改革委、工业化信息部关于软 件和集成电路产业企业所得税优惠政策有关问题的通知》（财税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号）规定的软件企业的条件，按规定向税务机 关备案，取得软件企业证书，自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年起享受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免二减三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的税收优惠，故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年度该公司企业所得税税率为</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 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43"/>
        <w:keepNext/>
        <w:keepLines/>
        <w:widowControl w:val="0"/>
        <w:shd w:val="clear" w:color="auto" w:fill="auto"/>
        <w:tabs>
          <w:tab w:pos="371" w:val="left"/>
        </w:tabs>
        <w:bidi w:val="0"/>
        <w:spacing w:before="0" w:after="28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w:t>
      </w:r>
      <w:bookmarkEnd w:id="1040"/>
      <w:r>
        <w:rPr>
          <w:color w:val="000000"/>
          <w:spacing w:val="0"/>
          <w:w w:val="100"/>
          <w:position w:val="0"/>
        </w:rPr>
        <w:t>、</w:t>
        <w:tab/>
        <w:t>其他</w:t>
      </w:r>
      <w:bookmarkEnd w:id="1038"/>
      <w:bookmarkEnd w:id="1039"/>
      <w:bookmarkEnd w:id="1041"/>
    </w:p>
    <w:p>
      <w:pPr>
        <w:pStyle w:val="Style3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说明：榕基国际公司注册地在香港，根据香港《</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年税务（修订）（第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号）条例》（《修订条例》），企业每年首</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 元（港币）的利润，其所缴利得税率由现时标准税率</w:t>
      </w:r>
      <w:r>
        <w:rPr>
          <w:rFonts w:ascii="Times New Roman" w:eastAsia="Times New Roman" w:hAnsi="Times New Roman" w:cs="Times New Roman"/>
          <w:color w:val="000000"/>
          <w:spacing w:val="0"/>
          <w:w w:val="100"/>
          <w:position w:val="0"/>
          <w:sz w:val="18"/>
          <w:szCs w:val="18"/>
        </w:rPr>
        <w:t>16.50%</w:t>
      </w:r>
      <w:r>
        <w:rPr>
          <w:color w:val="000000"/>
          <w:spacing w:val="0"/>
          <w:w w:val="100"/>
          <w:position w:val="0"/>
        </w:rPr>
        <w:t>削半至</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，若企业每年利润超过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万元（港币），其后 利润按标准税率</w:t>
      </w:r>
      <w:r>
        <w:rPr>
          <w:rFonts w:ascii="Times New Roman" w:eastAsia="Times New Roman" w:hAnsi="Times New Roman" w:cs="Times New Roman"/>
          <w:color w:val="000000"/>
          <w:spacing w:val="0"/>
          <w:w w:val="100"/>
          <w:position w:val="0"/>
          <w:sz w:val="18"/>
          <w:szCs w:val="18"/>
        </w:rPr>
        <w:t>16.50%</w:t>
      </w:r>
      <w:r>
        <w:rPr>
          <w:color w:val="000000"/>
          <w:spacing w:val="0"/>
          <w:w w:val="100"/>
          <w:position w:val="0"/>
        </w:rPr>
        <w:t>计算。</w:t>
      </w:r>
    </w:p>
    <w:p>
      <w:pPr>
        <w:pStyle w:val="Style32"/>
        <w:keepNext/>
        <w:keepLines/>
        <w:widowControl w:val="0"/>
        <w:shd w:val="clear" w:color="auto" w:fill="auto"/>
        <w:bidi w:val="0"/>
        <w:spacing w:before="0" w:after="36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七</w:t>
      </w:r>
      <w:bookmarkEnd w:id="1044"/>
      <w:r>
        <w:rPr>
          <w:color w:val="000000"/>
          <w:spacing w:val="0"/>
          <w:w w:val="100"/>
          <w:position w:val="0"/>
        </w:rPr>
        <w:t>、合并财务报表项目注释</w:t>
      </w:r>
      <w:bookmarkEnd w:id="1042"/>
      <w:bookmarkEnd w:id="1043"/>
      <w:bookmarkEnd w:id="1045"/>
    </w:p>
    <w:p>
      <w:pPr>
        <w:pStyle w:val="Style43"/>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1</w:t>
      </w:r>
      <w:bookmarkEnd w:id="1048"/>
      <w:r>
        <w:rPr>
          <w:color w:val="000000"/>
          <w:spacing w:val="0"/>
          <w:w w:val="100"/>
          <w:position w:val="0"/>
        </w:rPr>
        <w:t>、货币资金</w:t>
      </w:r>
      <w:bookmarkEnd w:id="1046"/>
      <w:bookmarkEnd w:id="1047"/>
      <w:bookmarkEnd w:id="104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780,973.90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624,735.82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454,175,004.71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344,728,941.80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14,583,913.66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19,128,779.75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469,539,892.27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364,482,457.37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90,152,021.87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95,664,484.07</w:t>
            </w:r>
          </w:p>
        </w:tc>
      </w:tr>
    </w:tbl>
    <w:p>
      <w:pPr>
        <w:pStyle w:val="Style36"/>
        <w:keepNext w:val="0"/>
        <w:keepLines w:val="0"/>
        <w:widowControl w:val="0"/>
        <w:shd w:val="clear" w:color="auto" w:fill="auto"/>
        <w:bidi w:val="0"/>
        <w:spacing w:before="0" w:after="80" w:line="307" w:lineRule="exact"/>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期末，银行存款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应计利息</w:t>
      </w:r>
      <w:r>
        <w:rPr>
          <w:rFonts w:ascii="Times New Roman" w:eastAsia="Times New Roman" w:hAnsi="Times New Roman" w:cs="Times New Roman"/>
          <w:color w:val="000000"/>
          <w:spacing w:val="0"/>
          <w:w w:val="100"/>
          <w:position w:val="0"/>
          <w:sz w:val="18"/>
          <w:szCs w:val="18"/>
        </w:rPr>
        <w:t>118,518.75</w:t>
      </w:r>
      <w:r>
        <w:rPr>
          <w:color w:val="000000"/>
          <w:spacing w:val="0"/>
          <w:w w:val="100"/>
          <w:position w:val="0"/>
        </w:rPr>
        <w:t>元、其他货币资金中保函保证金及履约保证金</w:t>
      </w:r>
      <w:r>
        <w:rPr>
          <w:rFonts w:ascii="Times New Roman" w:eastAsia="Times New Roman" w:hAnsi="Times New Roman" w:cs="Times New Roman"/>
          <w:color w:val="000000"/>
          <w:spacing w:val="0"/>
          <w:w w:val="100"/>
          <w:position w:val="0"/>
          <w:sz w:val="18"/>
          <w:szCs w:val="18"/>
        </w:rPr>
        <w:t>12,508,792.14</w:t>
      </w:r>
      <w:r>
        <w:rPr>
          <w:color w:val="000000"/>
          <w:spacing w:val="0"/>
          <w:w w:val="100"/>
          <w:position w:val="0"/>
        </w:rPr>
        <w:t>元及银行承兑汇票保证 金</w:t>
      </w:r>
      <w:r>
        <w:rPr>
          <w:rFonts w:ascii="Times New Roman" w:eastAsia="Times New Roman" w:hAnsi="Times New Roman" w:cs="Times New Roman"/>
          <w:color w:val="000000"/>
          <w:spacing w:val="0"/>
          <w:w w:val="100"/>
          <w:position w:val="0"/>
          <w:sz w:val="18"/>
          <w:szCs w:val="18"/>
        </w:rPr>
        <w:t>2,075,121.52</w:t>
      </w:r>
      <w:r>
        <w:rPr>
          <w:color w:val="000000"/>
          <w:spacing w:val="0"/>
          <w:w w:val="100"/>
          <w:position w:val="0"/>
        </w:rPr>
        <w:t>元，本集团在编制现金流量表时未将其作为现金或现金等价物。</w:t>
      </w:r>
    </w:p>
    <w:p>
      <w:pPr>
        <w:pStyle w:val="Style43"/>
        <w:keepNext/>
        <w:keepLines/>
        <w:widowControl w:val="0"/>
        <w:shd w:val="clear" w:color="auto" w:fill="auto"/>
        <w:bidi w:val="0"/>
        <w:spacing w:before="0" w:after="38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2</w:t>
      </w:r>
      <w:bookmarkEnd w:id="1052"/>
      <w:r>
        <w:rPr>
          <w:color w:val="000000"/>
          <w:spacing w:val="0"/>
          <w:w w:val="100"/>
          <w:position w:val="0"/>
        </w:rPr>
        <w:t>、交易性金融资产</w:t>
      </w:r>
      <w:bookmarkEnd w:id="1050"/>
      <w:bookmarkEnd w:id="1051"/>
      <w:bookmarkEnd w:id="105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86,650,000.00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320,820,000.00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86,650,000.00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320,820,000.00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86,650,000.00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320,820,000.00</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3</w:t>
      </w:r>
      <w:bookmarkEnd w:id="1056"/>
      <w:r>
        <w:rPr>
          <w:color w:val="000000"/>
          <w:spacing w:val="0"/>
          <w:w w:val="100"/>
          <w:position w:val="0"/>
        </w:rPr>
        <w:t>、衍生金融资产</w:t>
      </w:r>
      <w:bookmarkEnd w:id="1054"/>
      <w:bookmarkEnd w:id="1055"/>
      <w:bookmarkEnd w:id="105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4</w:t>
      </w:r>
      <w:bookmarkEnd w:id="1060"/>
      <w:r>
        <w:rPr>
          <w:color w:val="000000"/>
          <w:spacing w:val="0"/>
          <w:w w:val="100"/>
          <w:position w:val="0"/>
        </w:rPr>
        <w:t>、应收票据</w:t>
      </w:r>
      <w:bookmarkEnd w:id="1058"/>
      <w:bookmarkEnd w:id="1059"/>
      <w:bookmarkEnd w:id="1061"/>
    </w:p>
    <w:p>
      <w:pPr>
        <w:pStyle w:val="Style43"/>
        <w:keepNext/>
        <w:keepLines/>
        <w:widowControl w:val="0"/>
        <w:shd w:val="clear" w:color="auto" w:fill="auto"/>
        <w:bidi w:val="0"/>
        <w:spacing w:before="0" w:after="380" w:line="240" w:lineRule="auto"/>
        <w:ind w:left="0" w:right="0" w:firstLine="0"/>
        <w:jc w:val="left"/>
      </w:pPr>
      <w:bookmarkStart w:id="1058" w:name="bookmark1058"/>
      <w:bookmarkStart w:id="1059" w:name="bookmark1059"/>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58"/>
      <w:bookmarkEnd w:id="1059"/>
      <w:bookmarkEnd w:id="1063"/>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11,000,239.63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9,766,611.47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600,606.40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11,000,239.63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10,367,217.87</w:t>
            </w: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keepLines/>
        <w:widowControl w:val="0"/>
        <w:numPr>
          <w:ilvl w:val="0"/>
          <w:numId w:val="61"/>
        </w:numPr>
        <w:shd w:val="clear" w:color="auto" w:fill="auto"/>
        <w:bidi w:val="0"/>
        <w:spacing w:before="0" w:after="380" w:line="240" w:lineRule="auto"/>
        <w:ind w:left="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本期计提、收回或转回的坏账准备情况</w:t>
      </w:r>
      <w:bookmarkEnd w:id="1064"/>
      <w:bookmarkEnd w:id="1065"/>
      <w:bookmarkEnd w:id="1067"/>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3"/>
        <w:keepNext/>
        <w:keepLines/>
        <w:widowControl w:val="0"/>
        <w:numPr>
          <w:ilvl w:val="0"/>
          <w:numId w:val="61"/>
        </w:numPr>
        <w:shd w:val="clear" w:color="auto" w:fill="auto"/>
        <w:bidi w:val="0"/>
        <w:spacing w:before="0" w:after="380" w:line="240" w:lineRule="auto"/>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期末公司已质押的应收票据</w:t>
      </w:r>
      <w:bookmarkEnd w:id="1068"/>
      <w:bookmarkEnd w:id="1069"/>
      <w:bookmarkEnd w:id="1071"/>
    </w:p>
    <w:p>
      <w:pPr>
        <w:pStyle w:val="Style3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3"/>
        <w:keepNext/>
        <w:keepLines/>
        <w:widowControl w:val="0"/>
        <w:numPr>
          <w:ilvl w:val="0"/>
          <w:numId w:val="61"/>
        </w:numPr>
        <w:shd w:val="clear" w:color="auto" w:fill="auto"/>
        <w:bidi w:val="0"/>
        <w:spacing w:before="0" w:after="380" w:line="24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期末公司已背书或贴现且在资产负债表日尚未到期的应收票据</w:t>
      </w:r>
      <w:bookmarkEnd w:id="1072"/>
      <w:bookmarkEnd w:id="1073"/>
      <w:bookmarkEnd w:id="1075"/>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3"/>
        <w:keepNext/>
        <w:keepLines/>
        <w:widowControl w:val="0"/>
        <w:shd w:val="clear" w:color="auto" w:fill="auto"/>
        <w:bidi w:val="0"/>
        <w:spacing w:before="0" w:after="38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w:t>
      </w:r>
      <w:bookmarkEnd w:id="1078"/>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76"/>
      <w:bookmarkEnd w:id="1077"/>
      <w:bookmarkEnd w:id="1079"/>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用于背书或贴现的银行承兑汇票是由信用等级较高的银行承兑，信用风险和延期付款风险很小，并且票据相关的利率风险 已转移给银行，可以判断票据所有权上的主要风险和报酬已经转移，故终止确认。</w:t>
      </w:r>
    </w:p>
    <w:p>
      <w:pPr>
        <w:pStyle w:val="Style43"/>
        <w:keepNext/>
        <w:keepLines/>
        <w:widowControl w:val="0"/>
        <w:shd w:val="clear" w:color="auto" w:fill="auto"/>
        <w:bidi w:val="0"/>
        <w:spacing w:before="0" w:after="38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80"/>
      <w:bookmarkEnd w:id="1081"/>
      <w:bookmarkEnd w:id="1083"/>
    </w:p>
    <w:p>
      <w:pPr>
        <w:pStyle w:val="Style34"/>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单位：元</w:t>
      </w:r>
    </w:p>
    <w:tbl>
      <w:tblPr>
        <w:tblOverlap w:val="never"/>
        <w:jc w:val="center"/>
        <w:tblLayout w:type="fixed"/>
      </w:tblPr>
      <w:tblGrid>
        <w:gridCol w:w="1618"/>
        <w:gridCol w:w="1594"/>
        <w:gridCol w:w="1594"/>
        <w:gridCol w:w="1594"/>
        <w:gridCol w:w="1594"/>
        <w:gridCol w:w="1632"/>
      </w:tblGrid>
      <w:tr>
        <w:trPr>
          <w:trHeight w:val="408"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379" w:line="1" w:lineRule="exact"/>
      </w:pPr>
    </w:p>
    <w:p>
      <w:pPr>
        <w:pStyle w:val="Style43"/>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5</w:t>
      </w:r>
      <w:bookmarkEnd w:id="1086"/>
      <w:r>
        <w:rPr>
          <w:color w:val="000000"/>
          <w:spacing w:val="0"/>
          <w:w w:val="100"/>
          <w:position w:val="0"/>
        </w:rPr>
        <w:t>、应收账款</w:t>
      </w:r>
      <w:bookmarkEnd w:id="1084"/>
      <w:bookmarkEnd w:id="1085"/>
      <w:bookmarkEnd w:id="1087"/>
    </w:p>
    <w:p>
      <w:pPr>
        <w:pStyle w:val="Style43"/>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84"/>
      <w:bookmarkEnd w:id="1085"/>
      <w:bookmarkEnd w:id="1089"/>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188,422,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29,730,3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158,692,0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178,056,2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24,406,94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153,649,30</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386.64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应收政府部门、事</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业单位客户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97,893,2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83,047,49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78,123,79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13,921,77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64,202,023.</w:t>
            </w:r>
          </w:p>
        </w:tc>
      </w:tr>
      <w:tr>
        <w:trPr>
          <w:trHeight w:val="28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437"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应收其他客户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90,529,0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14,884,5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75,644,57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99,932,45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89,447,280.</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09.77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437"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188,422,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29,730,3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158,692,0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178,056,2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24,406,94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153,649,30</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386.64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11.61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right"/>
        <w:sectPr>
          <w:footnotePr>
            <w:pos w:val="pageBottom"/>
            <w:numFmt w:val="decimal"/>
            <w:numRestart w:val="continuous"/>
          </w:footnotePr>
          <w:pgSz w:w="11900" w:h="16840"/>
          <w:pgMar w:top="1369" w:right="1062" w:bottom="1441" w:left="1065" w:header="0" w:footer="3" w:gutter="0"/>
          <w:cols w:space="720"/>
          <w:noEndnote/>
          <w:rtlGutter w:val="0"/>
          <w:docGrid w:linePitch="360"/>
        </w:sectPr>
      </w:pPr>
      <w:r>
        <w:rPr>
          <w:color w:val="000000"/>
          <w:spacing w:val="0"/>
          <w:w w:val="100"/>
          <w:position w:val="0"/>
        </w:rPr>
        <w:t>单位：元</w:t>
      </w:r>
    </w:p>
    <w:p>
      <w:pPr>
        <w:widowControl w:val="0"/>
        <w:spacing w:after="399" w:line="1" w:lineRule="exact"/>
      </w:pPr>
    </w:p>
    <w:p>
      <w:pPr>
        <w:widowControl w:val="0"/>
        <w:jc w:val="center"/>
        <w:rPr>
          <w:sz w:val="2"/>
          <w:szCs w:val="2"/>
        </w:rPr>
      </w:pPr>
      <w:r>
        <w:drawing>
          <wp:inline>
            <wp:extent cx="6096000" cy="168275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a:stretch/>
                  </pic:blipFill>
                  <pic:spPr>
                    <a:xfrm>
                      <a:ext cx="6096000" cy="1682750"/>
                    </a:xfrm>
                    <a:prstGeom prst="rect"/>
                  </pic:spPr>
                </pic:pic>
              </a:graphicData>
            </a:graphic>
          </wp:inline>
        </w:drawing>
      </w:r>
    </w:p>
    <w:p>
      <w:pPr>
        <w:widowControl w:val="0"/>
        <w:spacing w:after="13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105,852,083.12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44,249,251.64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22,568,353.75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15,752,698.13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7,088,714.16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4,725,809.44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3,938,174.53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188,422,386.64</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39" w:line="1" w:lineRule="exact"/>
      </w:pPr>
    </w:p>
    <w:p>
      <w:pPr>
        <w:pStyle w:val="Style43"/>
        <w:keepNext/>
        <w:keepLines/>
        <w:widowControl w:val="0"/>
        <w:shd w:val="clear" w:color="auto" w:fill="auto"/>
        <w:bidi w:val="0"/>
        <w:spacing w:before="0" w:after="40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90"/>
      <w:bookmarkEnd w:id="1091"/>
      <w:bookmarkEnd w:id="1093"/>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24,406,942.76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5,323,368.85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29,730,311.61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24,406,942.76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5,323,368.85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29,730,311.61</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43"/>
        <w:keepNext/>
        <w:keepLines/>
        <w:widowControl w:val="0"/>
        <w:shd w:val="clear" w:color="auto" w:fill="auto"/>
        <w:bidi w:val="0"/>
        <w:spacing w:before="0" w:after="14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94"/>
      <w:bookmarkEnd w:id="1095"/>
      <w:bookmarkEnd w:id="1097"/>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3"/>
        <w:keepNext/>
        <w:keepLines/>
        <w:widowControl w:val="0"/>
        <w:shd w:val="clear" w:color="auto" w:fill="auto"/>
        <w:bidi w:val="0"/>
        <w:spacing w:before="0" w:after="38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98"/>
      <w:bookmarkEnd w:id="1099"/>
      <w:bookmarkEnd w:id="1101"/>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福建省人民检察院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10,250,274.06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643,251.70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福州市大数据服务中心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10,002,366.35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618,146.24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华润建筑有限公司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7,392,762.57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274,271.49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信阳市政务服务中心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5,348,154.40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330,515.94</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深圳市国信互联科技有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4,958,000.00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697,094.80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37,951,557.38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w:t>
      </w:r>
      <w:bookmarkEnd w:id="1104"/>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102"/>
      <w:bookmarkEnd w:id="1103"/>
      <w:bookmarkEnd w:id="1105"/>
    </w:p>
    <w:p>
      <w:pPr>
        <w:pStyle w:val="Style43"/>
        <w:keepNext/>
        <w:keepLines/>
        <w:widowControl w:val="0"/>
        <w:shd w:val="clear" w:color="auto" w:fill="auto"/>
        <w:bidi w:val="0"/>
        <w:spacing w:before="0" w:after="380" w:line="240" w:lineRule="auto"/>
        <w:ind w:left="0" w:right="0" w:firstLine="0"/>
        <w:jc w:val="left"/>
      </w:pPr>
      <w:bookmarkStart w:id="1102" w:name="bookmark1102"/>
      <w:bookmarkStart w:id="1103" w:name="bookmark1103"/>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102"/>
      <w:bookmarkEnd w:id="1103"/>
      <w:bookmarkEnd w:id="1107"/>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6</w:t>
      </w:r>
      <w:bookmarkEnd w:id="1110"/>
      <w:r>
        <w:rPr>
          <w:color w:val="000000"/>
          <w:spacing w:val="0"/>
          <w:w w:val="100"/>
          <w:position w:val="0"/>
        </w:rPr>
        <w:t>、应收款项融资</w:t>
      </w:r>
      <w:bookmarkEnd w:id="1108"/>
      <w:bookmarkEnd w:id="1109"/>
      <w:bookmarkEnd w:id="1111"/>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r>
        <w:br w:type="page"/>
      </w:r>
    </w:p>
    <w:p>
      <w:pPr>
        <w:pStyle w:val="Style43"/>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7</w:t>
      </w:r>
      <w:bookmarkEnd w:id="1114"/>
      <w:r>
        <w:rPr>
          <w:color w:val="000000"/>
          <w:spacing w:val="0"/>
          <w:w w:val="100"/>
          <w:position w:val="0"/>
        </w:rPr>
        <w:t>、预付款项</w:t>
      </w:r>
      <w:bookmarkEnd w:id="1112"/>
      <w:bookmarkEnd w:id="1113"/>
      <w:bookmarkEnd w:id="1115"/>
    </w:p>
    <w:p>
      <w:pPr>
        <w:pStyle w:val="Style43"/>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12"/>
      <w:bookmarkEnd w:id="1113"/>
      <w:bookmarkEnd w:id="111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23,769,188.51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10,844,326.29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959,247.84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951,927.04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842,616.18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388,803.21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1,319,450.68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1,543,674.49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26,890,503.21</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13,728,731.03</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3"/>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8"/>
      <w:bookmarkEnd w:id="1119"/>
      <w:bookmarkEnd w:id="1121"/>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2549"/>
        <w:gridCol w:w="2568"/>
      </w:tblGrid>
      <w:tr>
        <w:trPr>
          <w:trHeight w:val="67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预付款项 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占预付款项期末余额 合计数的比例</w:t>
            </w:r>
            <w:r>
              <w:rPr>
                <w:color w:val="000000"/>
                <w:spacing w:val="0"/>
                <w:w w:val="100"/>
                <w:position w:val="0"/>
                <w:sz w:val="18"/>
                <w:szCs w:val="18"/>
              </w:rPr>
              <w:t>％</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信阳锦林市政工程有限公司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17,748,770.64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福建省科威技术发展有限公司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703,840.00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卡涂秀秀（福建）科技有限公司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518,867.92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武汉索维天成信息技术有限公司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396,480.00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北京中创博通科技有限公司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309,331.86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36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19,677,290.42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8</w:t>
      </w:r>
      <w:bookmarkEnd w:id="1124"/>
      <w:r>
        <w:rPr>
          <w:color w:val="000000"/>
          <w:spacing w:val="0"/>
          <w:w w:val="100"/>
          <w:position w:val="0"/>
        </w:rPr>
        <w:t>、其他应收款</w:t>
      </w:r>
      <w:bookmarkEnd w:id="1122"/>
      <w:bookmarkEnd w:id="1123"/>
      <w:bookmarkEnd w:id="1125"/>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32,270,641.26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38,408,203.35</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41,875,641.26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48,013,203.35</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26"/>
      <w:bookmarkEnd w:id="1127"/>
      <w:bookmarkEnd w:id="1129"/>
    </w:p>
    <w:p>
      <w:pPr>
        <w:pStyle w:val="Style43"/>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30" w:name="bookmark1130"/>
      <w:bookmarkStart w:id="1131" w:name="bookmark1131"/>
      <w:r>
        <w:rPr>
          <w:rFonts w:ascii="Times New Roman" w:eastAsia="Times New Roman" w:hAnsi="Times New Roman" w:cs="Times New Roman"/>
          <w:color w:val="000000"/>
          <w:spacing w:val="0"/>
          <w:w w:val="100"/>
          <w:position w:val="0"/>
        </w:rPr>
        <w:t>1</w:t>
      </w:r>
      <w:bookmarkEnd w:id="1130"/>
      <w:r>
        <w:rPr>
          <w:color w:val="000000"/>
          <w:spacing w:val="0"/>
          <w:w w:val="100"/>
          <w:position w:val="0"/>
        </w:rPr>
        <w:t>）应收利息分类</w:t>
      </w:r>
      <w:bookmarkEnd w:id="1126"/>
      <w:bookmarkEnd w:id="1127"/>
      <w:bookmarkEnd w:id="1131"/>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2</w:t>
      </w:r>
      <w:bookmarkEnd w:id="1134"/>
      <w:r>
        <w:rPr>
          <w:color w:val="000000"/>
          <w:spacing w:val="0"/>
          <w:w w:val="100"/>
          <w:position w:val="0"/>
        </w:rPr>
        <w:t>）重要逾期利息</w:t>
      </w:r>
      <w:bookmarkEnd w:id="1132"/>
      <w:bookmarkEnd w:id="1133"/>
      <w:bookmarkEnd w:id="1135"/>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3</w:t>
      </w:r>
      <w:bookmarkEnd w:id="1138"/>
      <w:r>
        <w:rPr>
          <w:color w:val="000000"/>
          <w:spacing w:val="0"/>
          <w:w w:val="100"/>
          <w:position w:val="0"/>
        </w:rPr>
        <w:t>）坏账准备计提情况</w:t>
      </w:r>
      <w:bookmarkEnd w:id="1136"/>
      <w:bookmarkEnd w:id="1137"/>
      <w:bookmarkEnd w:id="1139"/>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40"/>
      <w:bookmarkEnd w:id="1141"/>
      <w:bookmarkEnd w:id="1143"/>
    </w:p>
    <w:p>
      <w:pPr>
        <w:pStyle w:val="Style43"/>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4" w:name="bookmark1144"/>
      <w:bookmarkStart w:id="1145" w:name="bookmark1145"/>
      <w:r>
        <w:rPr>
          <w:rFonts w:ascii="Times New Roman" w:eastAsia="Times New Roman" w:hAnsi="Times New Roman" w:cs="Times New Roman"/>
          <w:color w:val="000000"/>
          <w:spacing w:val="0"/>
          <w:w w:val="100"/>
          <w:position w:val="0"/>
        </w:rPr>
        <w:t>1</w:t>
      </w:r>
      <w:bookmarkEnd w:id="1144"/>
      <w:r>
        <w:rPr>
          <w:color w:val="000000"/>
          <w:spacing w:val="0"/>
          <w:w w:val="100"/>
          <w:position w:val="0"/>
        </w:rPr>
        <w:t>）应收股利分类</w:t>
      </w:r>
      <w:bookmarkEnd w:id="1140"/>
      <w:bookmarkEnd w:id="1141"/>
      <w:bookmarkEnd w:id="1145"/>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2</w:t>
      </w:r>
      <w:bookmarkEnd w:id="114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46"/>
      <w:bookmarkEnd w:id="1147"/>
      <w:bookmarkEnd w:id="1149"/>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福建亿榕信息技术有限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被投资单位尚未支付股 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否，公司正常经营</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3</w:t>
      </w:r>
      <w:bookmarkEnd w:id="1152"/>
      <w:r>
        <w:rPr>
          <w:color w:val="000000"/>
          <w:spacing w:val="0"/>
          <w:w w:val="100"/>
          <w:position w:val="0"/>
        </w:rPr>
        <w:t>）坏账准备计提情况</w:t>
      </w:r>
      <w:bookmarkEnd w:id="1150"/>
      <w:bookmarkEnd w:id="1151"/>
      <w:bookmarkEnd w:id="1153"/>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54"/>
      <w:bookmarkEnd w:id="1155"/>
      <w:bookmarkEnd w:id="1157"/>
    </w:p>
    <w:p>
      <w:pPr>
        <w:pStyle w:val="Style43"/>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8" w:name="bookmark1158"/>
      <w:bookmarkStart w:id="1159" w:name="bookmark1159"/>
      <w:r>
        <w:rPr>
          <w:rFonts w:ascii="Times New Roman" w:eastAsia="Times New Roman" w:hAnsi="Times New Roman" w:cs="Times New Roman"/>
          <w:color w:val="000000"/>
          <w:spacing w:val="0"/>
          <w:w w:val="100"/>
          <w:position w:val="0"/>
        </w:rPr>
        <w:t>1</w:t>
      </w:r>
      <w:bookmarkEnd w:id="1158"/>
      <w:r>
        <w:rPr>
          <w:color w:val="000000"/>
          <w:spacing w:val="0"/>
          <w:w w:val="100"/>
          <w:position w:val="0"/>
        </w:rPr>
        <w:t>）其他应收款按款项性质分类情况</w:t>
      </w:r>
      <w:bookmarkEnd w:id="1154"/>
      <w:bookmarkEnd w:id="1155"/>
      <w:bookmarkEnd w:id="1159"/>
    </w:p>
    <w:p>
      <w:pPr>
        <w:pStyle w:val="Style36"/>
        <w:keepNext w:val="0"/>
        <w:keepLines w:val="0"/>
        <w:widowControl w:val="0"/>
        <w:shd w:val="clear" w:color="auto" w:fill="auto"/>
        <w:bidi w:val="0"/>
        <w:spacing w:before="0" w:after="360" w:line="240" w:lineRule="auto"/>
        <w:ind w:left="0" w:right="0" w:firstLine="0"/>
        <w:jc w:val="right"/>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398" w:right="1105" w:bottom="1483" w:left="1109"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33,310,365.53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39,375,501.11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7,870,357.55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11,212,458.67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4,632,161.28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4,563,063.05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45,812,884.36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55,151,022.83</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2</w:t>
      </w:r>
      <w:bookmarkEnd w:id="1162"/>
      <w:r>
        <w:rPr>
          <w:color w:val="000000"/>
          <w:spacing w:val="0"/>
          <w:w w:val="100"/>
          <w:position w:val="0"/>
        </w:rPr>
        <w:t>）坏账准备计提情况</w:t>
      </w:r>
      <w:bookmarkEnd w:id="1160"/>
      <w:bookmarkEnd w:id="1161"/>
      <w:bookmarkEnd w:id="116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16,742,819.48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16,742,819.48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-3,200,576.38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-3,200,576.38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13,542,243.10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13,542,243.10</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17,238,959.34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6,795,501.49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6,817,220.50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14,961,203.03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6,732,541.36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4,488,360.91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3,740,300.76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45,812,884.36</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3</w:t>
      </w:r>
      <w:bookmarkEnd w:id="1166"/>
      <w:r>
        <w:rPr>
          <w:color w:val="000000"/>
          <w:spacing w:val="0"/>
          <w:w w:val="100"/>
          <w:position w:val="0"/>
        </w:rPr>
        <w:t>）本期计提、收回或转回的坏账准备情况</w:t>
      </w:r>
      <w:bookmarkEnd w:id="1164"/>
      <w:bookmarkEnd w:id="1165"/>
      <w:bookmarkEnd w:id="1167"/>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195"/>
        <w:gridCol w:w="1301"/>
        <w:gridCol w:w="1094"/>
        <w:gridCol w:w="1738"/>
        <w:gridCol w:w="173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其中本期坏账准备转回或收回金额重要的：</w:t>
      </w:r>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both"/>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4</w:t>
      </w:r>
      <w:bookmarkEnd w:id="1170"/>
      <w:r>
        <w:rPr>
          <w:color w:val="000000"/>
          <w:spacing w:val="0"/>
          <w:w w:val="100"/>
          <w:position w:val="0"/>
        </w:rPr>
        <w:t>）本期实际核销的其他应收款情况</w:t>
      </w:r>
      <w:bookmarkEnd w:id="1168"/>
      <w:bookmarkEnd w:id="1169"/>
      <w:bookmarkEnd w:id="117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594"/>
        <w:gridCol w:w="1594"/>
        <w:gridCol w:w="1594"/>
        <w:gridCol w:w="1594"/>
        <w:gridCol w:w="1632"/>
      </w:tblGrid>
      <w:tr>
        <w:trPr>
          <w:trHeight w:val="408"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其他应收款核销说明：</w:t>
      </w:r>
    </w:p>
    <w:p>
      <w:pPr>
        <w:pStyle w:val="Style43"/>
        <w:keepNext/>
        <w:keepLines/>
        <w:widowControl w:val="0"/>
        <w:shd w:val="clear" w:color="auto" w:fill="auto"/>
        <w:bidi w:val="0"/>
        <w:spacing w:before="0" w:line="240" w:lineRule="auto"/>
        <w:ind w:left="0" w:right="0" w:firstLine="0"/>
        <w:jc w:val="both"/>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5</w:t>
      </w:r>
      <w:bookmarkEnd w:id="1174"/>
      <w:r>
        <w:rPr>
          <w:color w:val="000000"/>
          <w:spacing w:val="0"/>
          <w:w w:val="100"/>
          <w:position w:val="0"/>
        </w:rPr>
        <w:t>）按欠款方归集的期末余额前五名的其他应收款情况</w:t>
      </w:r>
      <w:bookmarkEnd w:id="1172"/>
      <w:bookmarkEnd w:id="1173"/>
      <w:bookmarkEnd w:id="1175"/>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郑州市金水区杨金 产业园区管委会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中华人民共和国昆 明海关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3,062,086.00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2,644,880.00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417,206.00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432,561.24</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福州市人民政府机 关事务管理局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129,168.00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信阳职业技术学院 附属医院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979,384.00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415,748.51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福建省闽江针织有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946,650.00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113,219.34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11,068,120.00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2,090,697.09</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both"/>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6</w:t>
      </w:r>
      <w:bookmarkEnd w:id="1178"/>
      <w:r>
        <w:rPr>
          <w:color w:val="000000"/>
          <w:spacing w:val="0"/>
          <w:w w:val="100"/>
          <w:position w:val="0"/>
        </w:rPr>
        <w:t>）涉及政府补助的应收款项</w:t>
      </w:r>
      <w:bookmarkEnd w:id="1176"/>
      <w:bookmarkEnd w:id="1177"/>
      <w:bookmarkEnd w:id="1179"/>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43"/>
        <w:keepNext/>
        <w:keepLines/>
        <w:widowControl w:val="0"/>
        <w:shd w:val="clear" w:color="auto" w:fill="auto"/>
        <w:tabs>
          <w:tab w:pos="387" w:val="left"/>
        </w:tabs>
        <w:bidi w:val="0"/>
        <w:spacing w:before="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7</w:t>
      </w:r>
      <w:bookmarkEnd w:id="1182"/>
      <w:r>
        <w:rPr>
          <w:color w:val="000000"/>
          <w:spacing w:val="0"/>
          <w:w w:val="100"/>
          <w:position w:val="0"/>
        </w:rPr>
        <w:t>）</w:t>
        <w:tab/>
        <w:t>因金融资产转移而终止确认的其他应收款</w:t>
      </w:r>
      <w:bookmarkEnd w:id="1180"/>
      <w:bookmarkEnd w:id="1181"/>
      <w:bookmarkEnd w:id="1183"/>
    </w:p>
    <w:p>
      <w:pPr>
        <w:pStyle w:val="Style43"/>
        <w:keepNext/>
        <w:keepLines/>
        <w:widowControl w:val="0"/>
        <w:shd w:val="clear" w:color="auto" w:fill="auto"/>
        <w:tabs>
          <w:tab w:pos="392" w:val="left"/>
        </w:tabs>
        <w:bidi w:val="0"/>
        <w:spacing w:before="0" w:line="240" w:lineRule="auto"/>
        <w:ind w:left="0" w:right="0" w:firstLine="0"/>
        <w:jc w:val="left"/>
      </w:pPr>
      <w:bookmarkStart w:id="1180" w:name="bookmark1180"/>
      <w:bookmarkStart w:id="1181" w:name="bookmark1181"/>
      <w:bookmarkStart w:id="1184" w:name="bookmark1184"/>
      <w:bookmarkStart w:id="1185" w:name="bookmark1185"/>
      <w:r>
        <w:rPr>
          <w:rFonts w:ascii="Times New Roman" w:eastAsia="Times New Roman" w:hAnsi="Times New Roman" w:cs="Times New Roman"/>
          <w:color w:val="000000"/>
          <w:spacing w:val="0"/>
          <w:w w:val="100"/>
          <w:position w:val="0"/>
        </w:rPr>
        <w:t>8</w:t>
      </w:r>
      <w:bookmarkEnd w:id="1184"/>
      <w:r>
        <w:rPr>
          <w:color w:val="000000"/>
          <w:spacing w:val="0"/>
          <w:w w:val="100"/>
          <w:position w:val="0"/>
        </w:rPr>
        <w:t>）</w:t>
        <w:tab/>
        <w:t>转移其他应收款且继续涉入形成的资产、负债金额</w:t>
      </w:r>
      <w:bookmarkEnd w:id="1180"/>
      <w:bookmarkEnd w:id="1181"/>
      <w:bookmarkEnd w:id="1185"/>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9</w:t>
      </w:r>
      <w:bookmarkEnd w:id="1188"/>
      <w:r>
        <w:rPr>
          <w:color w:val="000000"/>
          <w:spacing w:val="0"/>
          <w:w w:val="100"/>
          <w:position w:val="0"/>
        </w:rPr>
        <w:t>、存货</w:t>
      </w:r>
      <w:bookmarkEnd w:id="1186"/>
      <w:bookmarkEnd w:id="1187"/>
      <w:bookmarkEnd w:id="1189"/>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3"/>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90"/>
      <w:bookmarkEnd w:id="1191"/>
      <w:bookmarkEnd w:id="119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9,448,662.54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942,476.56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8,506,185.98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8,557,426.04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520,873.05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8,036,552.99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44,895,060.12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44,895,060.12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144,847,943.36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544,695.02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144,303,248.34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109,309,047.81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544,695.02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108,764,352.79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233,599,903.27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233,599,903.27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694,718,224.16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694,718,224.16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646,833,274.07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646,833,274.07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45,655,539.07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45,655,539.07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60,189,115.28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60,189,115.28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1,079,624,843.36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1,487,171.58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1,078,137,671.78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918,429,352.36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1,065,568.07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917,363,784.29</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14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94"/>
      <w:bookmarkEnd w:id="1195"/>
      <w:bookmarkEnd w:id="119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520,873.05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421,603.51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942,476.56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544,695.02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544,695.02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1,065,568.07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421,603.51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1,487,171.58</w:t>
            </w:r>
          </w:p>
        </w:tc>
      </w:tr>
    </w:tbl>
    <w:p>
      <w:pPr>
        <w:spacing w:lineRule="exact" w:line="1"/>
        <w:rPr>
          <w:sz w:val="2"/>
          <w:szCs w:val="2"/>
        </w:rPr>
      </w:pPr>
      <w:r>
        <w:br w:type="page"/>
      </w:r>
    </w:p>
    <w:p>
      <w:pPr>
        <w:pStyle w:val="Style43"/>
        <w:keepNext/>
        <w:keepLines/>
        <w:widowControl w:val="0"/>
        <w:shd w:val="clear" w:color="auto" w:fill="auto"/>
        <w:tabs>
          <w:tab w:pos="493" w:val="left"/>
        </w:tabs>
        <w:bidi w:val="0"/>
        <w:spacing w:before="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98"/>
      <w:bookmarkEnd w:id="1199"/>
      <w:bookmarkEnd w:id="1201"/>
    </w:p>
    <w:p>
      <w:pPr>
        <w:pStyle w:val="Style43"/>
        <w:keepNext/>
        <w:keepLines/>
        <w:widowControl w:val="0"/>
        <w:shd w:val="clear" w:color="auto" w:fill="auto"/>
        <w:tabs>
          <w:tab w:pos="493" w:val="left"/>
        </w:tabs>
        <w:bidi w:val="0"/>
        <w:spacing w:before="0" w:line="240" w:lineRule="auto"/>
        <w:ind w:left="0" w:right="0" w:firstLine="0"/>
        <w:jc w:val="left"/>
      </w:pPr>
      <w:bookmarkStart w:id="1198" w:name="bookmark1198"/>
      <w:bookmarkStart w:id="1199" w:name="bookmark1199"/>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98"/>
      <w:bookmarkEnd w:id="1199"/>
      <w:bookmarkEnd w:id="1203"/>
    </w:p>
    <w:p>
      <w:pPr>
        <w:pStyle w:val="Style43"/>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98"/>
      <w:bookmarkEnd w:id="1199"/>
      <w:bookmarkEnd w:id="120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应收政府部门、事业单位 客户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7,180,587.59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1,123,183.16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6,057,404.43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8,664,618.61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1,738,217.97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6,926,400.64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应收其他客户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4,025,014.40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1,516,167.61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2,508,846.79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1,909,212.85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480,202.47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1,429,010.38</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11,205,601.99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2,639,350.77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8,566,251.22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10,573,831.46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2,218,420.44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8,355,411.02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应收政府部门、事业单 位客户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应收其他客户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1,035,965.14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420,930.33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06"/>
      <w:bookmarkEnd w:id="1207"/>
      <w:bookmarkEnd w:id="1209"/>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3"/>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w:t>
      </w:r>
      <w:bookmarkEnd w:id="121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10"/>
      <w:bookmarkEnd w:id="1211"/>
      <w:bookmarkEnd w:id="1213"/>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55"/>
        <w:gridCol w:w="960"/>
        <w:gridCol w:w="955"/>
        <w:gridCol w:w="965"/>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14"/>
      <w:bookmarkEnd w:id="1215"/>
      <w:bookmarkEnd w:id="1217"/>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18,462,268.99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21,802,261.52</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850,172.46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412,938.31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45,165,455.52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37,653,746.52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107,642.60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33,217.35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未终止确认的已转移的银行承兑汇票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64,585,539.57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60,402,163.70</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18"/>
      <w:bookmarkEnd w:id="1219"/>
      <w:bookmarkEnd w:id="1221"/>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55"/>
        <w:gridCol w:w="960"/>
        <w:gridCol w:w="955"/>
        <w:gridCol w:w="96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22"/>
      <w:bookmarkEnd w:id="1223"/>
      <w:bookmarkEnd w:id="1225"/>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2"/>
      </w:tblGrid>
      <w:tr>
        <w:trPr>
          <w:trHeight w:val="135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累计在其他 综合收益中 确认的损失</w:t>
            </w:r>
          </w:p>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55"/>
        <w:gridCol w:w="960"/>
        <w:gridCol w:w="955"/>
        <w:gridCol w:w="96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w:t>
      </w:r>
      <w:bookmarkEnd w:id="122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26"/>
      <w:bookmarkEnd w:id="1227"/>
      <w:bookmarkEnd w:id="1229"/>
    </w:p>
    <w:p>
      <w:pPr>
        <w:pStyle w:val="Style43"/>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26"/>
      <w:bookmarkEnd w:id="1227"/>
      <w:bookmarkEnd w:id="1231"/>
    </w:p>
    <w:p>
      <w:pPr>
        <w:pStyle w:val="Style34"/>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单位：元</w:t>
      </w:r>
    </w:p>
    <w:tbl>
      <w:tblPr>
        <w:tblOverlap w:val="never"/>
        <w:jc w:val="center"/>
        <w:tblLayout w:type="fixed"/>
      </w:tblPr>
      <w:tblGrid>
        <w:gridCol w:w="1426"/>
        <w:gridCol w:w="1166"/>
        <w:gridCol w:w="1166"/>
        <w:gridCol w:w="1166"/>
        <w:gridCol w:w="1166"/>
        <w:gridCol w:w="1171"/>
        <w:gridCol w:w="1162"/>
        <w:gridCol w:w="120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63" w:hRule="exact"/>
        </w:trPr>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坏账准备减值情况</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bl>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37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keepLines/>
        <w:widowControl w:val="0"/>
        <w:shd w:val="clear" w:color="auto" w:fill="auto"/>
        <w:tabs>
          <w:tab w:pos="493" w:val="left"/>
        </w:tabs>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32"/>
      <w:bookmarkEnd w:id="1233"/>
      <w:bookmarkEnd w:id="1235"/>
    </w:p>
    <w:p>
      <w:pPr>
        <w:pStyle w:val="Style43"/>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232"/>
      <w:bookmarkEnd w:id="1233"/>
      <w:bookmarkEnd w:id="1237"/>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38"/>
      <w:bookmarkEnd w:id="1239"/>
      <w:bookmarkEnd w:id="124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福建亿榕</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82,678,62</w:t>
            </w:r>
          </w:p>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4,851,430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87,530,05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福建文鑫 莲业有限 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25,914,48</w:t>
            </w:r>
          </w:p>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244,057.3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25,670,42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建宁县日 升投资有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2,787,139</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2,780,299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福建闽光 软件股份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6,147,578</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2,105,647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8,253,225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117,527,8</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6,706,180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124,234,0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117,527,8</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6,706,180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124,234,0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42"/>
      <w:bookmarkEnd w:id="1243"/>
      <w:bookmarkEnd w:id="1245"/>
    </w:p>
    <w:p>
      <w:pPr>
        <w:pStyle w:val="Style3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厦门国际银行股份有限公司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86,289,758.61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83,906,363.50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智润科技有限公司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福水智联技术有限公司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深圳易股天下信息技术服务有限公司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98,289,758.61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95,906,363.50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其他综合收益转</w:t>
            </w:r>
          </w:p>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入留存收益的金</w:t>
            </w:r>
          </w:p>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厦门国际银行股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8,409,659.09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智润科技有限公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福水智联技术有</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深圳易股天下信 息技术服务有限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46"/>
      <w:bookmarkEnd w:id="1247"/>
      <w:bookmarkEnd w:id="124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50"/>
      <w:bookmarkEnd w:id="1251"/>
      <w:bookmarkEnd w:id="1253"/>
    </w:p>
    <w:p>
      <w:pPr>
        <w:pStyle w:val="Style43"/>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50"/>
      <w:bookmarkEnd w:id="1251"/>
      <w:bookmarkEnd w:id="1255"/>
    </w:p>
    <w:p>
      <w:pPr>
        <w:pStyle w:val="Style3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84,538,610.16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84,538,610.16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2,109,416.11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2,109,416.11</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2,109,416.11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2,109,416.11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86,648,026.27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86,648,026.27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8,723,622.69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8,723,622.69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3,966,924.42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3,966,924.42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3,966,924.42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3,966,924.42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12,690,547.11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12,690,547.11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73,957,479.16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73,957,479.16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75,814,987.47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75,814,987.47</w:t>
            </w:r>
          </w:p>
        </w:tc>
      </w:tr>
    </w:tbl>
    <w:p>
      <w:pPr>
        <w:spacing w:lineRule="exact" w:line="1"/>
        <w:rPr>
          <w:sz w:val="2"/>
          <w:szCs w:val="2"/>
        </w:rPr>
      </w:pPr>
      <w:r>
        <w:br w:type="page"/>
      </w:r>
    </w:p>
    <w:p>
      <w:pPr>
        <w:pStyle w:val="Style43"/>
        <w:keepNext/>
        <w:keepLines/>
        <w:widowControl w:val="0"/>
        <w:numPr>
          <w:ilvl w:val="0"/>
          <w:numId w:val="63"/>
        </w:numPr>
        <w:shd w:val="clear" w:color="auto" w:fill="auto"/>
        <w:tabs>
          <w:tab w:pos="493" w:val="left"/>
        </w:tabs>
        <w:bidi w:val="0"/>
        <w:spacing w:before="0" w:line="240" w:lineRule="auto"/>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采用公允价值计量模式的投资性房地产</w:t>
      </w:r>
      <w:bookmarkEnd w:id="1256"/>
      <w:bookmarkEnd w:id="1257"/>
      <w:bookmarkEnd w:id="1259"/>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63"/>
        </w:numPr>
        <w:shd w:val="clear" w:color="auto" w:fill="auto"/>
        <w:tabs>
          <w:tab w:pos="493" w:val="left"/>
        </w:tabs>
        <w:bidi w:val="0"/>
        <w:spacing w:before="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未办妥产权证书的投资性房地产情况</w:t>
      </w:r>
      <w:bookmarkEnd w:id="1260"/>
      <w:bookmarkEnd w:id="1261"/>
      <w:bookmarkEnd w:id="126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马鞍山智慧园项目一期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73,957,479.16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64"/>
      <w:bookmarkEnd w:id="1265"/>
      <w:bookmarkEnd w:id="126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19,527,745.16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21,666,791.10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19,527,745.16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21,666,791.10</w:t>
            </w:r>
          </w:p>
        </w:tc>
      </w:tr>
    </w:tbl>
    <w:p>
      <w:pPr>
        <w:widowControl w:val="0"/>
        <w:spacing w:after="359" w:line="1" w:lineRule="exact"/>
      </w:pPr>
    </w:p>
    <w:p>
      <w:pPr>
        <w:pStyle w:val="Style43"/>
        <w:keepNext/>
        <w:keepLines/>
        <w:widowControl w:val="0"/>
        <w:numPr>
          <w:ilvl w:val="0"/>
          <w:numId w:val="65"/>
        </w:numPr>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固定资产情况</w:t>
      </w:r>
      <w:bookmarkEnd w:id="1268"/>
      <w:bookmarkEnd w:id="1269"/>
      <w:bookmarkEnd w:id="1271"/>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6,021,598.88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18,378,108.35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37,820,658.05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5,790,729.61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68,011,094.89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303,938.05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2,743,341.31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138,845.66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3,186,125.02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303,938.05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2,743,341.31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138,845.66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3,186,125.02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232,257.26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344,257.26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232,257.26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344,257.26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6,021,598.88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18,570,046.40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40,331,742.10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5,929,575.27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70,852,962.65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3,301,160.30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9,718,783.67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29,675,491.53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3,648,868.29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46,344,303.79</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286,026.00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1,847,728.77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2,406,185.07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693,588.45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5,233,528.29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286,026.00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1,847,728.77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2,406,185.07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693,588.45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5,233,528.29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220,644.40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252,614.59</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220,644.40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252,614.59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3,587,186.30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11,534,542.25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31,861,032.20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4,342,456.74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51,325,217.49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2,434,412.58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7,035,504.15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8,470,709.90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1,587,118.53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19,527,745.16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2,720,438.58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8,659,324.68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8,145,166.52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2,141,861.32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21,666,791.10</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72"/>
      <w:bookmarkEnd w:id="1273"/>
      <w:bookmarkEnd w:id="127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76"/>
      <w:bookmarkEnd w:id="1277"/>
      <w:bookmarkEnd w:id="1279"/>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w:t>
      </w:r>
      <w:bookmarkEnd w:id="1282"/>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80"/>
      <w:bookmarkEnd w:id="1281"/>
      <w:bookmarkEnd w:id="1283"/>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spacing w:lineRule="exact" w:line="1"/>
        <w:rPr>
          <w:sz w:val="2"/>
          <w:szCs w:val="2"/>
        </w:rPr>
      </w:pPr>
      <w:r>
        <w:br w:type="page"/>
      </w:r>
    </w:p>
    <w:p>
      <w:pPr>
        <w:pStyle w:val="Style43"/>
        <w:keepNext/>
        <w:keepLines/>
        <w:widowControl w:val="0"/>
        <w:numPr>
          <w:ilvl w:val="0"/>
          <w:numId w:val="67"/>
        </w:numPr>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未办妥产权证书的固定资产情况</w:t>
      </w:r>
      <w:bookmarkEnd w:id="1284"/>
      <w:bookmarkEnd w:id="1285"/>
      <w:bookmarkEnd w:id="128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马鞍山智慧园项目一期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1,900,051.06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r>
    </w:tbl>
    <w:p>
      <w:pPr>
        <w:widowControl w:val="0"/>
        <w:spacing w:after="7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numPr>
          <w:ilvl w:val="0"/>
          <w:numId w:val="67"/>
        </w:numPr>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固定资产清理</w:t>
      </w:r>
      <w:bookmarkEnd w:id="1288"/>
      <w:bookmarkEnd w:id="1289"/>
      <w:bookmarkEnd w:id="1291"/>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92"/>
      <w:bookmarkEnd w:id="1293"/>
      <w:bookmarkEnd w:id="1295"/>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393,812,377.40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326,713,347.82</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393,812,377.40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326,713,347.82</w:t>
            </w:r>
          </w:p>
        </w:tc>
      </w:tr>
    </w:tbl>
    <w:p>
      <w:pPr>
        <w:widowControl w:val="0"/>
        <w:spacing w:after="359" w:line="1" w:lineRule="exact"/>
      </w:pPr>
    </w:p>
    <w:p>
      <w:pPr>
        <w:pStyle w:val="Style43"/>
        <w:keepNext/>
        <w:keepLines/>
        <w:widowControl w:val="0"/>
        <w:numPr>
          <w:ilvl w:val="0"/>
          <w:numId w:val="69"/>
        </w:numPr>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在建工程情况</w:t>
      </w:r>
      <w:bookmarkEnd w:id="1296"/>
      <w:bookmarkEnd w:id="1297"/>
      <w:bookmarkEnd w:id="1299"/>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上海榕基软件园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279,136,355.99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279,136,355.99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274,287,822.01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274,287,822.01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软件及服务外包</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产业基地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114,676,021.41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114,676,021.41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52,425,525.81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52,425,525.81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393,812,377.40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393,812,377.40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326,713,347.82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326,713,347.82</w:t>
            </w:r>
          </w:p>
        </w:tc>
      </w:tr>
    </w:tbl>
    <w:p>
      <w:pPr>
        <w:widowControl w:val="0"/>
        <w:spacing w:after="359" w:line="1" w:lineRule="exact"/>
      </w:pPr>
    </w:p>
    <w:p>
      <w:pPr>
        <w:pStyle w:val="Style43"/>
        <w:keepNext/>
        <w:keepLines/>
        <w:widowControl w:val="0"/>
        <w:numPr>
          <w:ilvl w:val="0"/>
          <w:numId w:val="69"/>
        </w:numPr>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重要在建工程项目本期变动情况</w:t>
      </w:r>
      <w:bookmarkEnd w:id="1300"/>
      <w:bookmarkEnd w:id="1301"/>
      <w:bookmarkEnd w:id="1303"/>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本期增 加金额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 本期利 息资本 化金额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上海榕 基软件 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417,067,</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274,287,</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822.01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4,848,53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279,136,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建设过</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left"/>
            </w:pPr>
            <w:r>
              <w:rPr>
                <w:color w:val="000000"/>
                <w:spacing w:val="0"/>
                <w:w w:val="100"/>
                <w:position w:val="0"/>
              </w:rPr>
              <w:t>软件及 服务外 包产业 基地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290,000,</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52,425,5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62,250,4</w:t>
            </w:r>
          </w:p>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114,676,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建设过</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707,067,</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326,713,</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347.82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67,099,0</w:t>
            </w:r>
          </w:p>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393,812,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w:t>
      </w:r>
      <w:bookmarkEnd w:id="1306"/>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04"/>
      <w:bookmarkEnd w:id="1305"/>
      <w:bookmarkEnd w:id="1307"/>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08"/>
      <w:bookmarkEnd w:id="1309"/>
      <w:bookmarkEnd w:id="1311"/>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3"/>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312"/>
      <w:bookmarkEnd w:id="1313"/>
      <w:bookmarkEnd w:id="1315"/>
    </w:p>
    <w:p>
      <w:pPr>
        <w:pStyle w:val="Style43"/>
        <w:keepNext/>
        <w:keepLines/>
        <w:widowControl w:val="0"/>
        <w:shd w:val="clear" w:color="auto" w:fill="auto"/>
        <w:tabs>
          <w:tab w:pos="493" w:val="left"/>
        </w:tabs>
        <w:bidi w:val="0"/>
        <w:spacing w:before="0" w:after="380" w:line="240" w:lineRule="auto"/>
        <w:ind w:left="0" w:right="0" w:firstLine="0"/>
        <w:jc w:val="left"/>
      </w:pPr>
      <w:bookmarkStart w:id="1312" w:name="bookmark1312"/>
      <w:bookmarkStart w:id="1313" w:name="bookmark1313"/>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12"/>
      <w:bookmarkEnd w:id="1313"/>
      <w:bookmarkEnd w:id="1317"/>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18"/>
      <w:bookmarkEnd w:id="1319"/>
      <w:bookmarkEnd w:id="1321"/>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bookmarkEnd w:id="1324"/>
      <w:r>
        <w:rPr>
          <w:rFonts w:ascii="Times New Roman" w:eastAsia="Times New Roman" w:hAnsi="Times New Roman" w:cs="Times New Roman"/>
          <w:color w:val="000000"/>
          <w:spacing w:val="0"/>
          <w:w w:val="100"/>
          <w:position w:val="0"/>
        </w:rPr>
        <w:t>4</w:t>
      </w:r>
      <w:r>
        <w:rPr>
          <w:color w:val="000000"/>
          <w:spacing w:val="0"/>
          <w:w w:val="100"/>
          <w:position w:val="0"/>
        </w:rPr>
        <w:t>、油气资产</w:t>
      </w:r>
      <w:bookmarkEnd w:id="1322"/>
      <w:bookmarkEnd w:id="1323"/>
      <w:bookmarkEnd w:id="1325"/>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326"/>
      <w:bookmarkEnd w:id="1327"/>
      <w:bookmarkEnd w:id="1329"/>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3"/>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30"/>
      <w:bookmarkEnd w:id="1331"/>
      <w:bookmarkEnd w:id="1333"/>
    </w:p>
    <w:p>
      <w:pPr>
        <w:pStyle w:val="Style43"/>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30"/>
      <w:bookmarkEnd w:id="1331"/>
      <w:bookmarkEnd w:id="133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计算机软件</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自行开发软件</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93,970,020.10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37,058,617.00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260,181,908.99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391,210,546.09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780,936.28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19,793,387.81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20,574,324.09</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780,936.28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780,936.28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19,793,387.81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19,793,387.81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93,970,020.10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37,839,553.28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279,975,296.80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411,784,870.18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8,487,227.56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23,702,934.31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189,083,950.03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221,274,111.90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1,885,375.20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3,427,021.37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40,122,872.43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45,435,269.00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1,885,375.20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3,427,021.37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40,122,872.43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45,435,269.00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10,372,602.76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27,129,955.68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229,206,822.46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266,709,380.90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83,597,417.34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10,709,597.60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50,768,474.34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145,075,489.28</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85,482,792.54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13,355,682.69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71,097,958.96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169,936,434.19</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67.99%</w:t>
      </w:r>
      <w:r>
        <w:rPr>
          <w:color w:val="000000"/>
          <w:spacing w:val="0"/>
          <w:w w:val="100"/>
          <w:position w:val="0"/>
        </w:rPr>
        <w:t>。</w:t>
      </w:r>
    </w:p>
    <w:p>
      <w:pPr>
        <w:widowControl w:val="0"/>
        <w:spacing w:after="359" w:line="1" w:lineRule="exact"/>
      </w:pPr>
    </w:p>
    <w:p>
      <w:pPr>
        <w:pStyle w:val="Style43"/>
        <w:keepNext/>
        <w:keepLines/>
        <w:widowControl w:val="0"/>
        <w:shd w:val="clear" w:color="auto" w:fill="auto"/>
        <w:bidi w:val="0"/>
        <w:spacing w:before="0" w:after="400" w:line="240" w:lineRule="auto"/>
        <w:ind w:left="0" w:right="0" w:firstLine="14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w:t>
      </w:r>
      <w:bookmarkEnd w:id="133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36"/>
      <w:bookmarkEnd w:id="1337"/>
      <w:bookmarkEnd w:id="1339"/>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numPr>
          <w:ilvl w:val="0"/>
          <w:numId w:val="71"/>
        </w:numPr>
        <w:shd w:val="clear" w:color="auto" w:fill="auto"/>
        <w:tabs>
          <w:tab w:pos="373" w:val="left"/>
        </w:tabs>
        <w:bidi w:val="0"/>
        <w:spacing w:before="0" w:after="100" w:line="240" w:lineRule="auto"/>
        <w:ind w:left="0" w:right="0" w:firstLine="0"/>
        <w:jc w:val="left"/>
      </w:pPr>
      <w:bookmarkStart w:id="1340" w:name="bookmark1340"/>
      <w:bookmarkEnd w:id="1340"/>
      <w:r>
        <w:rPr>
          <w:color w:val="000000"/>
          <w:spacing w:val="0"/>
          <w:w w:val="100"/>
          <w:position w:val="0"/>
        </w:rPr>
        <w:t>期末，本公司无抵押、担保或未办妥产权证书的土地使用权。</w:t>
      </w:r>
    </w:p>
    <w:p>
      <w:pPr>
        <w:pStyle w:val="Style36"/>
        <w:keepNext w:val="0"/>
        <w:keepLines w:val="0"/>
        <w:widowControl w:val="0"/>
        <w:numPr>
          <w:ilvl w:val="0"/>
          <w:numId w:val="71"/>
        </w:numPr>
        <w:shd w:val="clear" w:color="auto" w:fill="auto"/>
        <w:tabs>
          <w:tab w:pos="373" w:val="left"/>
        </w:tabs>
        <w:bidi w:val="0"/>
        <w:spacing w:before="0" w:after="120" w:line="240" w:lineRule="auto"/>
        <w:ind w:left="0" w:right="0" w:firstLine="0"/>
        <w:jc w:val="left"/>
      </w:pPr>
      <w:bookmarkStart w:id="1341" w:name="bookmark1341"/>
      <w:bookmarkEnd w:id="1341"/>
      <w:r>
        <w:rPr>
          <w:color w:val="000000"/>
          <w:spacing w:val="0"/>
          <w:w w:val="100"/>
          <w:position w:val="0"/>
        </w:rPr>
        <w:t>期末无形资产不存在减值情形。</w:t>
      </w:r>
      <w:r>
        <w:br w:type="page"/>
      </w:r>
    </w:p>
    <w:p>
      <w:pPr>
        <w:pStyle w:val="Style43"/>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42"/>
      <w:bookmarkEnd w:id="1343"/>
      <w:bookmarkEnd w:id="134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33"/>
        <w:gridCol w:w="1277"/>
        <w:gridCol w:w="566"/>
        <w:gridCol w:w="427"/>
        <w:gridCol w:w="1133"/>
        <w:gridCol w:w="1133"/>
        <w:gridCol w:w="427"/>
        <w:gridCol w:w="135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内部开发支出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政务内部事项联合审批系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4,652,467.05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4,652,467.05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便民服务大数据研判系统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4,631,850.95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4,631,850.95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移动会议智能一体化平台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3,255,832.47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3,255,832.47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榕基微商城销售平台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3,206,238.66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3,206,238.66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外贸智能证单自助打印平</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3,130,979.78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3,130,979.78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驾驶舱平台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2,996,656.32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2,996,656.32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智慧法院智能审判业务系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2,804,178.17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2,804,178.17</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离退休老干部服务管理系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2,542,110.51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2,542,110.51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榕基电子公文归档一体化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2,334,803.29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2,334,803.29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榕基政务数据共享利用平</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2,222,848.65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2,222,848.65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就业促进服务管理平台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2,153,183.04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2,153,183.04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繁简分流和速裁办案平台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2,084,725.51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2,084,725.51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榕基多元化协同纠纷综合 治理平台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6,419,812.66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818,791.35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7,238,604.01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榕基安全可靠分布式全文 检索系统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6,378,380.75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873,276.86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7,251,657.61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榕基政务信息查询平台软</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件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1,813,371.83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1,813,371.83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榕基数据交换与共享中心</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系统软件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1,522,831.87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1,522,831.87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榕基基于业务中台的最多 跑一次事项联合审批系统 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1,373,040.87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1,373,040.87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榕基电子归档章公共技术 服务组件软件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593,881.62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593,881.62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12,798,193.41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43,011,068.80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19,793,387.81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36,015,874.40</w:t>
            </w:r>
          </w:p>
        </w:tc>
      </w:tr>
    </w:tbl>
    <w:p>
      <w:pPr>
        <w:spacing w:lineRule="exact" w:line="1"/>
        <w:rPr>
          <w:sz w:val="2"/>
          <w:szCs w:val="2"/>
        </w:rPr>
      </w:pPr>
      <w:r>
        <w:br w:type="page"/>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center"/>
        <w:tblLayout w:type="fixed"/>
      </w:tblPr>
      <w:tblGrid>
        <w:gridCol w:w="4339"/>
        <w:gridCol w:w="1560"/>
        <w:gridCol w:w="1699"/>
        <w:gridCol w:w="1925"/>
      </w:tblGrid>
      <w:tr>
        <w:trPr>
          <w:trHeight w:val="36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资本化开始时点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资本化的具体依据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截至期末的研发进度</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政务内部事项联合审批系统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在研</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便民服务大数据研判系统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在研</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移动会议智能一体化平台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在研</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榕基微商城销售平台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在研</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外贸智能证单自助打印平台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在研</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驾驶舱平台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在研</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智慧法院智能审判业务系统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在研</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离退休老干部服务管理系统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在研</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榕基电子公文归档一体化平台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在研</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榕基政务数据共享利用平台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在研</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就业促进服务管理平台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在研</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繁简分流和速裁办案平台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color w:val="000000"/>
                <w:spacing w:val="0"/>
                <w:w w:val="100"/>
                <w:position w:val="0"/>
              </w:rPr>
              <w:t>在研</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榕基多元化协同纠纷综合治理平台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已完工</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榕基安全可靠分布式全文检索系统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已完工</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榕基政务信息查询平台软件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已完工</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榕基数据交换与共享中心系统软件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已完工</w:t>
            </w: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 xml:space="preserve">榕基基于业务中台的最多跑一次事项联合审批系统软 件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600"/>
              <w:jc w:val="both"/>
            </w:pPr>
            <w:r>
              <w:rPr>
                <w:color w:val="000000"/>
                <w:spacing w:val="0"/>
                <w:w w:val="100"/>
                <w:position w:val="0"/>
              </w:rPr>
              <w:t>研发节点报告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pPr>
            <w:r>
              <w:rPr>
                <w:color w:val="000000"/>
                <w:spacing w:val="0"/>
                <w:w w:val="100"/>
                <w:position w:val="0"/>
              </w:rPr>
              <w:t>已完工</w:t>
            </w:r>
          </w:p>
        </w:tc>
      </w:tr>
      <w:tr>
        <w:trPr>
          <w:trHeight w:val="37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榕基电子归档章公共技术服务组件软件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研发节点报告</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已完工</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46"/>
      <w:bookmarkEnd w:id="1347"/>
      <w:bookmarkEnd w:id="1348"/>
    </w:p>
    <w:p>
      <w:pPr>
        <w:pStyle w:val="Style43"/>
        <w:keepNext/>
        <w:keepLines/>
        <w:widowControl w:val="0"/>
        <w:numPr>
          <w:ilvl w:val="0"/>
          <w:numId w:val="73"/>
        </w:numPr>
        <w:shd w:val="clear" w:color="auto" w:fill="auto"/>
        <w:bidi w:val="0"/>
        <w:spacing w:before="0" w:after="380" w:line="240" w:lineRule="auto"/>
        <w:ind w:left="0" w:right="0" w:firstLine="0"/>
        <w:jc w:val="left"/>
      </w:pPr>
      <w:bookmarkStart w:id="1346" w:name="bookmark1346"/>
      <w:bookmarkStart w:id="1347" w:name="bookmark1347"/>
      <w:bookmarkStart w:id="1349" w:name="bookmark1349"/>
      <w:bookmarkStart w:id="1350" w:name="bookmark1350"/>
      <w:bookmarkEnd w:id="1349"/>
      <w:r>
        <w:rPr>
          <w:color w:val="000000"/>
          <w:spacing w:val="0"/>
          <w:w w:val="100"/>
          <w:position w:val="0"/>
        </w:rPr>
        <w:t>商誉账面原值</w:t>
      </w:r>
      <w:bookmarkEnd w:id="1346"/>
      <w:bookmarkEnd w:id="1347"/>
      <w:bookmarkEnd w:id="135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numPr>
          <w:ilvl w:val="0"/>
          <w:numId w:val="73"/>
        </w:numPr>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商誉减值准备</w:t>
      </w:r>
      <w:bookmarkEnd w:id="1351"/>
      <w:bookmarkEnd w:id="1352"/>
      <w:bookmarkEnd w:id="135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商誉所在资产组或资产组组合的相关信息</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 期等)及商誉减值损失的确认方法：</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商誉减值测试的影响</w:t>
      </w:r>
    </w:p>
    <w:p>
      <w:pPr>
        <w:pStyle w:val="Style3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55"/>
      <w:bookmarkEnd w:id="1356"/>
      <w:bookmarkEnd w:id="13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3,449,561.86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1,248,938.00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2,200,623.86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3,449,561.86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1,248,938.00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2,200,623.86</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3</w:t>
      </w:r>
      <w:bookmarkEnd w:id="1361"/>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59"/>
      <w:bookmarkEnd w:id="1360"/>
      <w:bookmarkEnd w:id="1362"/>
    </w:p>
    <w:p>
      <w:pPr>
        <w:pStyle w:val="Style43"/>
        <w:keepNext/>
        <w:keepLines/>
        <w:widowControl w:val="0"/>
        <w:numPr>
          <w:ilvl w:val="0"/>
          <w:numId w:val="75"/>
        </w:numPr>
        <w:shd w:val="clear" w:color="auto" w:fill="auto"/>
        <w:bidi w:val="0"/>
        <w:spacing w:before="0" w:after="380" w:line="240" w:lineRule="auto"/>
        <w:ind w:left="0" w:right="0" w:firstLine="140"/>
        <w:jc w:val="left"/>
      </w:pPr>
      <w:bookmarkStart w:id="1359" w:name="bookmark1359"/>
      <w:bookmarkStart w:id="1360" w:name="bookmark1360"/>
      <w:bookmarkStart w:id="1363" w:name="bookmark1363"/>
      <w:bookmarkStart w:id="1364" w:name="bookmark1364"/>
      <w:bookmarkEnd w:id="1363"/>
      <w:r>
        <w:rPr>
          <w:color w:val="000000"/>
          <w:spacing w:val="0"/>
          <w:w w:val="100"/>
          <w:position w:val="0"/>
        </w:rPr>
        <w:t>未经抵销的递延所得税资产</w:t>
      </w:r>
      <w:bookmarkEnd w:id="1359"/>
      <w:bookmarkEnd w:id="1360"/>
      <w:bookmarkEnd w:id="1364"/>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48,558,368.02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7,895,597.29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45,204,543.38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5,577,782.89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12,095,174.73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2,522,296.17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7,509,405.74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1,863,483.36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50,918,013.55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11,636,170.70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64,363,480.24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15,261,553.50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208,333.33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548,333.33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54,833.33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111,779,889.63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22,085,314.16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117,625,762.69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22,757,653.08</w:t>
            </w:r>
          </w:p>
        </w:tc>
      </w:tr>
    </w:tbl>
    <w:p>
      <w:pPr>
        <w:widowControl w:val="0"/>
        <w:spacing w:after="319" w:line="1" w:lineRule="exact"/>
      </w:pPr>
    </w:p>
    <w:p>
      <w:pPr>
        <w:pStyle w:val="Style43"/>
        <w:keepNext/>
        <w:keepLines/>
        <w:widowControl w:val="0"/>
        <w:numPr>
          <w:ilvl w:val="0"/>
          <w:numId w:val="75"/>
        </w:numPr>
        <w:shd w:val="clear" w:color="auto" w:fill="auto"/>
        <w:bidi w:val="0"/>
        <w:spacing w:before="0" w:after="380" w:line="240" w:lineRule="auto"/>
        <w:ind w:left="0" w:right="0" w:firstLine="14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未经抵销的递延所得税负债</w:t>
      </w:r>
      <w:bookmarkEnd w:id="1365"/>
      <w:bookmarkEnd w:id="1366"/>
      <w:bookmarkEnd w:id="1368"/>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计入其他综合收益的其 他权益工具投资公允价 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42,889,758.61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6,433,463.79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40,506,363.50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4,050,636.35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42,889,758.61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6,433,463.79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40,506,363.50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4,050,636.35</w:t>
            </w:r>
          </w:p>
        </w:tc>
      </w:tr>
    </w:tbl>
    <w:p>
      <w:pPr>
        <w:spacing w:lineRule="exact" w:line="1"/>
        <w:rPr>
          <w:sz w:val="2"/>
          <w:szCs w:val="2"/>
        </w:rPr>
      </w:pPr>
      <w:r>
        <w:br w:type="page"/>
      </w:r>
    </w:p>
    <w:p>
      <w:pPr>
        <w:pStyle w:val="Style43"/>
        <w:keepNext/>
        <w:keepLines/>
        <w:widowControl w:val="0"/>
        <w:numPr>
          <w:ilvl w:val="0"/>
          <w:numId w:val="75"/>
        </w:numPr>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以抵销后净额列示的递延所得税资产或负债</w:t>
      </w:r>
      <w:bookmarkEnd w:id="1369"/>
      <w:bookmarkEnd w:id="1370"/>
      <w:bookmarkEnd w:id="137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22,085,314.16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22,757,653.08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6,433,463.79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4,050,636.35</w:t>
            </w:r>
          </w:p>
        </w:tc>
      </w:tr>
    </w:tbl>
    <w:p>
      <w:pPr>
        <w:widowControl w:val="0"/>
        <w:spacing w:after="319" w:line="1" w:lineRule="exact"/>
      </w:pPr>
    </w:p>
    <w:p>
      <w:pPr>
        <w:pStyle w:val="Style43"/>
        <w:keepNext/>
        <w:keepLines/>
        <w:widowControl w:val="0"/>
        <w:numPr>
          <w:ilvl w:val="0"/>
          <w:numId w:val="75"/>
        </w:numPr>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未确认递延所得税资产明细</w:t>
      </w:r>
      <w:bookmarkEnd w:id="1373"/>
      <w:bookmarkEnd w:id="1374"/>
      <w:bookmarkEnd w:id="137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1,138,657.04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590,984.90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74,415,939.80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86,982,520.72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75,554,596.84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87,573,505.62</w:t>
            </w:r>
          </w:p>
        </w:tc>
      </w:tr>
    </w:tbl>
    <w:p>
      <w:pPr>
        <w:widowControl w:val="0"/>
        <w:spacing w:after="319" w:line="1" w:lineRule="exact"/>
      </w:pPr>
    </w:p>
    <w:p>
      <w:pPr>
        <w:pStyle w:val="Style43"/>
        <w:keepNext/>
        <w:keepLines/>
        <w:widowControl w:val="0"/>
        <w:numPr>
          <w:ilvl w:val="0"/>
          <w:numId w:val="75"/>
        </w:numPr>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未确认递延所得税资产的可抵扣亏损将于以下年度到期</w:t>
      </w:r>
      <w:bookmarkEnd w:id="1377"/>
      <w:bookmarkEnd w:id="1378"/>
      <w:bookmarkEnd w:id="138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19,726,699.86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10,945,441.45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14,550,438.28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3,720,200.29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13,450,488.29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20,572,779.24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16,154,370.37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23,093,754.69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23,100,523.92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16,083,764.13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74,415,939.80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86,982,520.72</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3</w:t>
      </w:r>
      <w:bookmarkEnd w:id="1383"/>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81"/>
      <w:bookmarkEnd w:id="1382"/>
      <w:bookmarkEnd w:id="1384"/>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20,074,596.3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2,297,948.00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17,776,648.3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16,062,737.4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1,361,777.53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14,700,959.9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7,850,191.13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7,850,191.13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227,559.63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227,559.63</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27,924,787.5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2,297,948.00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25,626,839.5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16,290,297.1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1,361,777.53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14,928,519.5</w:t>
            </w:r>
          </w:p>
        </w:tc>
      </w:tr>
    </w:tbl>
    <w:p>
      <w:pPr>
        <w:spacing w:lineRule="exact" w:line="1"/>
        <w:rPr>
          <w:sz w:val="2"/>
          <w:szCs w:val="2"/>
        </w:rPr>
      </w:pPr>
      <w:r>
        <w:br w:type="page"/>
      </w:r>
    </w:p>
    <w:tbl>
      <w:tblPr>
        <w:tblOverlap w:val="never"/>
        <w:jc w:val="center"/>
        <w:tblLayout w:type="fixed"/>
      </w:tblPr>
      <w:tblGrid>
        <w:gridCol w:w="3197"/>
        <w:gridCol w:w="1061"/>
        <w:gridCol w:w="1066"/>
        <w:gridCol w:w="1066"/>
        <w:gridCol w:w="1061"/>
        <w:gridCol w:w="1066"/>
        <w:gridCol w:w="107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both"/>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3</w:t>
      </w:r>
      <w:bookmarkEnd w:id="1387"/>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85"/>
      <w:bookmarkEnd w:id="1386"/>
      <w:bookmarkEnd w:id="1388"/>
    </w:p>
    <w:p>
      <w:pPr>
        <w:pStyle w:val="Style43"/>
        <w:keepNext/>
        <w:keepLines/>
        <w:widowControl w:val="0"/>
        <w:shd w:val="clear" w:color="auto" w:fill="auto"/>
        <w:bidi w:val="0"/>
        <w:spacing w:before="0" w:after="380" w:line="240" w:lineRule="auto"/>
        <w:ind w:left="0" w:right="0" w:firstLine="0"/>
        <w:jc w:val="both"/>
      </w:pPr>
      <w:bookmarkStart w:id="1385" w:name="bookmark1385"/>
      <w:bookmarkStart w:id="1386" w:name="bookmark1386"/>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85"/>
      <w:bookmarkEnd w:id="1386"/>
      <w:bookmarkEnd w:id="139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520,509,887.50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501,557,343.75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信用证贴现借款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570,509,887.50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501,557,343.75</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短期借款分类的说明：</w:t>
      </w:r>
    </w:p>
    <w:p>
      <w:pPr>
        <w:pStyle w:val="Style43"/>
        <w:keepNext/>
        <w:keepLines/>
        <w:widowControl w:val="0"/>
        <w:shd w:val="clear" w:color="auto" w:fill="auto"/>
        <w:bidi w:val="0"/>
        <w:spacing w:before="0" w:after="380" w:line="240" w:lineRule="auto"/>
        <w:ind w:left="0" w:right="0" w:firstLine="0"/>
        <w:jc w:val="both"/>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91"/>
      <w:bookmarkEnd w:id="1392"/>
      <w:bookmarkEnd w:id="1394"/>
    </w:p>
    <w:p>
      <w:pPr>
        <w:pStyle w:val="Style3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本期末已逾期未偿还的短期借款总额为元，其中重要的已逾期未偿还的短期借款情况如下:</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both"/>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3</w:t>
      </w:r>
      <w:bookmarkEnd w:id="1397"/>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395"/>
      <w:bookmarkEnd w:id="1396"/>
      <w:bookmarkEnd w:id="1398"/>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both"/>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3</w:t>
      </w:r>
      <w:bookmarkEnd w:id="1401"/>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399"/>
      <w:bookmarkEnd w:id="1400"/>
      <w:bookmarkEnd w:id="1402"/>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03"/>
      <w:bookmarkEnd w:id="1404"/>
      <w:bookmarkEnd w:id="1406"/>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51,448,276.10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6,536,970.00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4,042,312.00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6,536,970.00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55,490,588.10</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43"/>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3</w:t>
      </w:r>
      <w:bookmarkEnd w:id="1409"/>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07"/>
      <w:bookmarkEnd w:id="1408"/>
      <w:bookmarkEnd w:id="1410"/>
    </w:p>
    <w:p>
      <w:pPr>
        <w:pStyle w:val="Style43"/>
        <w:keepNext/>
        <w:keepLines/>
        <w:widowControl w:val="0"/>
        <w:numPr>
          <w:ilvl w:val="0"/>
          <w:numId w:val="77"/>
        </w:numPr>
        <w:shd w:val="clear" w:color="auto" w:fill="auto"/>
        <w:bidi w:val="0"/>
        <w:spacing w:before="0" w:line="240" w:lineRule="auto"/>
        <w:ind w:left="0" w:right="0" w:firstLine="140"/>
        <w:jc w:val="left"/>
      </w:pPr>
      <w:bookmarkStart w:id="1407" w:name="bookmark1407"/>
      <w:bookmarkStart w:id="1408" w:name="bookmark1408"/>
      <w:bookmarkStart w:id="1411" w:name="bookmark1411"/>
      <w:bookmarkStart w:id="1412" w:name="bookmark1412"/>
      <w:bookmarkEnd w:id="1411"/>
      <w:r>
        <w:rPr>
          <w:color w:val="000000"/>
          <w:spacing w:val="0"/>
          <w:w w:val="100"/>
          <w:position w:val="0"/>
        </w:rPr>
        <w:t>应付账款列示</w:t>
      </w:r>
      <w:bookmarkEnd w:id="1407"/>
      <w:bookmarkEnd w:id="1408"/>
      <w:bookmarkEnd w:id="141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249,227,971.06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170,414,172.74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139,807,461.39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48,641,446.04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389,035,432.45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219,055,618.78</w:t>
            </w:r>
          </w:p>
        </w:tc>
      </w:tr>
    </w:tbl>
    <w:p>
      <w:pPr>
        <w:widowControl w:val="0"/>
        <w:spacing w:after="359" w:line="1" w:lineRule="exact"/>
      </w:pPr>
    </w:p>
    <w:p>
      <w:pPr>
        <w:pStyle w:val="Style43"/>
        <w:keepNext/>
        <w:keepLines/>
        <w:widowControl w:val="0"/>
        <w:numPr>
          <w:ilvl w:val="0"/>
          <w:numId w:val="77"/>
        </w:numPr>
        <w:shd w:val="clear" w:color="auto" w:fill="auto"/>
        <w:bidi w:val="0"/>
        <w:spacing w:before="0" w:line="240" w:lineRule="auto"/>
        <w:ind w:left="0" w:right="0" w:firstLine="14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13"/>
      <w:bookmarkEnd w:id="1414"/>
      <w:bookmarkEnd w:id="141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睿至科技集团有限公司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华迪计算机集团有限公司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4,541,684.15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河南中天亿科电子科技有限公司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3,517,490.00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武汉东湖大数据交易中心股份有限公司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3,184,905.65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3,152,980.00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22,397,059.80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3</w:t>
      </w:r>
      <w:bookmarkEnd w:id="1419"/>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17"/>
      <w:bookmarkEnd w:id="1418"/>
      <w:bookmarkEnd w:id="1420"/>
    </w:p>
    <w:p>
      <w:pPr>
        <w:pStyle w:val="Style43"/>
        <w:keepNext/>
        <w:keepLines/>
        <w:widowControl w:val="0"/>
        <w:numPr>
          <w:ilvl w:val="0"/>
          <w:numId w:val="79"/>
        </w:numPr>
        <w:shd w:val="clear" w:color="auto" w:fill="auto"/>
        <w:bidi w:val="0"/>
        <w:spacing w:before="0" w:line="240" w:lineRule="auto"/>
        <w:ind w:left="0" w:right="0" w:firstLine="140"/>
        <w:jc w:val="left"/>
      </w:pPr>
      <w:bookmarkStart w:id="1417" w:name="bookmark1417"/>
      <w:bookmarkStart w:id="1418" w:name="bookmark1418"/>
      <w:bookmarkStart w:id="1421" w:name="bookmark1421"/>
      <w:bookmarkStart w:id="1422" w:name="bookmark1422"/>
      <w:bookmarkEnd w:id="1421"/>
      <w:r>
        <w:rPr>
          <w:color w:val="000000"/>
          <w:spacing w:val="0"/>
          <w:w w:val="100"/>
          <w:position w:val="0"/>
        </w:rPr>
        <w:t>预收款项列示</w:t>
      </w:r>
      <w:bookmarkEnd w:id="1417"/>
      <w:bookmarkEnd w:id="1418"/>
      <w:bookmarkEnd w:id="1422"/>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915,043.57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555,145.68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915,043.57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555,145.68</w:t>
            </w:r>
          </w:p>
        </w:tc>
      </w:tr>
    </w:tbl>
    <w:p>
      <w:pPr>
        <w:widowControl w:val="0"/>
        <w:spacing w:after="359" w:line="1" w:lineRule="exact"/>
      </w:pPr>
    </w:p>
    <w:p>
      <w:pPr>
        <w:pStyle w:val="Style43"/>
        <w:keepNext/>
        <w:keepLines/>
        <w:widowControl w:val="0"/>
        <w:numPr>
          <w:ilvl w:val="0"/>
          <w:numId w:val="79"/>
        </w:numPr>
        <w:shd w:val="clear" w:color="auto" w:fill="auto"/>
        <w:bidi w:val="0"/>
        <w:spacing w:before="0" w:line="240" w:lineRule="auto"/>
        <w:ind w:left="0" w:right="0" w:firstLine="14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23"/>
      <w:bookmarkEnd w:id="1424"/>
      <w:bookmarkEnd w:id="1426"/>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43"/>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27"/>
      <w:bookmarkEnd w:id="1428"/>
      <w:bookmarkEnd w:id="143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125,726,938.52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151,491,673.42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预收房产销售款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16,767,447.92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3,146,275.44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142,494,386.44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154,637,948.86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31"/>
      <w:bookmarkEnd w:id="1432"/>
      <w:bookmarkEnd w:id="1434"/>
    </w:p>
    <w:p>
      <w:pPr>
        <w:pStyle w:val="Style43"/>
        <w:keepNext/>
        <w:keepLines/>
        <w:widowControl w:val="0"/>
        <w:numPr>
          <w:ilvl w:val="0"/>
          <w:numId w:val="81"/>
        </w:numPr>
        <w:shd w:val="clear" w:color="auto" w:fill="auto"/>
        <w:bidi w:val="0"/>
        <w:spacing w:before="0" w:after="380" w:line="240" w:lineRule="auto"/>
        <w:ind w:left="0" w:right="0" w:firstLine="0"/>
        <w:jc w:val="left"/>
      </w:pPr>
      <w:bookmarkStart w:id="1431" w:name="bookmark1431"/>
      <w:bookmarkStart w:id="1432" w:name="bookmark1432"/>
      <w:bookmarkStart w:id="1435" w:name="bookmark1435"/>
      <w:bookmarkStart w:id="1436" w:name="bookmark1436"/>
      <w:bookmarkEnd w:id="1435"/>
      <w:r>
        <w:rPr>
          <w:color w:val="000000"/>
          <w:spacing w:val="0"/>
          <w:w w:val="100"/>
          <w:position w:val="0"/>
        </w:rPr>
        <w:t>应付职工薪酬列示</w:t>
      </w:r>
      <w:bookmarkEnd w:id="1431"/>
      <w:bookmarkEnd w:id="1432"/>
      <w:bookmarkEnd w:id="143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22,797,683.27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141,027,299.18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142,198,097.63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21,626,884.82</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2,294,290.29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2,294,290.29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820,179.10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820,179.10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22,797,684.07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144,141,768.57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145,312,567.02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21,626,885.62</w:t>
            </w:r>
          </w:p>
        </w:tc>
      </w:tr>
    </w:tbl>
    <w:p>
      <w:pPr>
        <w:widowControl w:val="0"/>
        <w:spacing w:after="319" w:line="1" w:lineRule="exact"/>
      </w:pPr>
    </w:p>
    <w:p>
      <w:pPr>
        <w:pStyle w:val="Style43"/>
        <w:keepNext/>
        <w:keepLines/>
        <w:widowControl w:val="0"/>
        <w:numPr>
          <w:ilvl w:val="0"/>
          <w:numId w:val="81"/>
        </w:numPr>
        <w:shd w:val="clear" w:color="auto" w:fill="auto"/>
        <w:bidi w:val="0"/>
        <w:spacing w:before="0" w:after="380" w:line="240" w:lineRule="auto"/>
        <w:ind w:left="0" w:right="0" w:firstLine="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短期薪酬列示</w:t>
      </w:r>
      <w:bookmarkEnd w:id="1437"/>
      <w:bookmarkEnd w:id="1438"/>
      <w:bookmarkEnd w:id="144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22,097,520.23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126,466,739.28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127,448,810.45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21,115,449.06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4,710,521.09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4,710,521.09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3,484,007.40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3,426,696.82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57,324.06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3,232,196.77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3,174,872.71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57,324.06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213,348.91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213,348.91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5,878,811.24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5,878,951.24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700,009.56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430,645.69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676,543.55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454,111.70</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非货币性福利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56,574.48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56,574.48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398" w:right="1105" w:bottom="1483" w:left="1109" w:header="0" w:footer="3" w:gutter="0"/>
          <w:cols w:space="720"/>
          <w:noEndnote/>
          <w:rtlGutter w:val="0"/>
          <w:docGrid w:linePitch="360"/>
        </w:sectPr>
      </w:pP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22,797,683.27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141,027,299.18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142,198,097.63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21,626,884.82</w:t>
            </w:r>
          </w:p>
        </w:tc>
      </w:tr>
    </w:tbl>
    <w:p>
      <w:pPr>
        <w:widowControl w:val="0"/>
        <w:spacing w:after="319" w:line="1" w:lineRule="exact"/>
      </w:pPr>
    </w:p>
    <w:p>
      <w:pPr>
        <w:pStyle w:val="Style43"/>
        <w:keepNext/>
        <w:keepLines/>
        <w:widowControl w:val="0"/>
        <w:numPr>
          <w:ilvl w:val="0"/>
          <w:numId w:val="83"/>
        </w:numPr>
        <w:shd w:val="clear" w:color="auto" w:fill="auto"/>
        <w:bidi w:val="0"/>
        <w:spacing w:before="0" w:after="380" w:line="240" w:lineRule="auto"/>
        <w:ind w:left="0" w:right="0" w:firstLine="14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设定提存计划列示</w:t>
      </w:r>
      <w:bookmarkEnd w:id="1441"/>
      <w:bookmarkEnd w:id="1442"/>
      <w:bookmarkEnd w:id="144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2,223,762.35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2,223,762.35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70,527.94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70,527.94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2,294,290.29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2,294,290.29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4</w:t>
      </w:r>
      <w:bookmarkEnd w:id="144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45"/>
      <w:bookmarkEnd w:id="1446"/>
      <w:bookmarkEnd w:id="144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3,020,448.12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9,495,649.86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1,456,391.61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2,884,520.88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368,843.14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316,555.53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69,289.62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223,143.86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55,125.44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166,228.64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985,508.32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500,832.16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60,063.98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464,949.72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505,913.24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381,969.25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355,810.71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179,923.66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185,438.78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7,483,281.04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14,193,325.48</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4</w:t>
      </w:r>
      <w:bookmarkEnd w:id="145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49"/>
      <w:bookmarkEnd w:id="1450"/>
      <w:bookmarkEnd w:id="1452"/>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30,368,087.71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135,893,708.19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30,368,087.71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135,893,708.19</w:t>
            </w:r>
          </w:p>
        </w:tc>
      </w:tr>
    </w:tbl>
    <w:p>
      <w:pPr>
        <w:widowControl w:val="0"/>
        <w:spacing w:after="319" w:line="1" w:lineRule="exact"/>
      </w:pPr>
    </w:p>
    <w:p>
      <w:pPr>
        <w:pStyle w:val="Style43"/>
        <w:keepNext/>
        <w:keepLines/>
        <w:widowControl w:val="0"/>
        <w:numPr>
          <w:ilvl w:val="0"/>
          <w:numId w:val="85"/>
        </w:numPr>
        <w:shd w:val="clear" w:color="auto" w:fill="auto"/>
        <w:bidi w:val="0"/>
        <w:spacing w:before="0" w:after="380" w:line="240" w:lineRule="auto"/>
        <w:ind w:left="0" w:right="0" w:firstLine="140"/>
        <w:jc w:val="lef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98" w:right="1105" w:bottom="1483" w:left="1109" w:header="0" w:footer="3" w:gutter="0"/>
          <w:cols w:space="720"/>
          <w:noEndnote/>
          <w:rtlGutter w:val="0"/>
          <w:docGrid w:linePitch="360"/>
        </w:sectPr>
      </w:pPr>
      <w:bookmarkStart w:id="1453" w:name="bookmark1453"/>
      <w:bookmarkStart w:id="1454" w:name="bookmark1454"/>
      <w:bookmarkStart w:id="1455" w:name="bookmark1455"/>
      <w:bookmarkStart w:id="1456" w:name="bookmark1456"/>
      <w:bookmarkEnd w:id="1455"/>
      <w:r>
        <w:rPr>
          <w:color w:val="000000"/>
          <w:spacing w:val="0"/>
          <w:w w:val="100"/>
          <w:position w:val="0"/>
        </w:rPr>
        <w:t>应付利息</w:t>
      </w:r>
      <w:bookmarkEnd w:id="1453"/>
      <w:bookmarkEnd w:id="1454"/>
      <w:bookmarkEnd w:id="1456"/>
    </w:p>
    <w:p>
      <w:pPr>
        <w:widowControl w:val="0"/>
        <w:spacing w:after="519"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重要的已逾期未支付的利息情况：</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3"/>
        <w:keepNext/>
        <w:keepLines/>
        <w:widowControl w:val="0"/>
        <w:numPr>
          <w:ilvl w:val="0"/>
          <w:numId w:val="85"/>
        </w:numPr>
        <w:shd w:val="clear" w:color="auto" w:fill="auto"/>
        <w:bidi w:val="0"/>
        <w:spacing w:before="0" w:after="400" w:line="240" w:lineRule="auto"/>
        <w:ind w:left="0" w:right="0" w:firstLine="0"/>
        <w:jc w:val="both"/>
      </w:pPr>
      <w:bookmarkStart w:id="1457" w:name="bookmark1457"/>
      <w:bookmarkStart w:id="1458" w:name="bookmark1458"/>
      <w:bookmarkStart w:id="1459" w:name="bookmark1459"/>
      <w:bookmarkStart w:id="1460" w:name="bookmark1460"/>
      <w:bookmarkEnd w:id="1459"/>
      <w:r>
        <w:rPr>
          <w:color w:val="000000"/>
          <w:spacing w:val="0"/>
          <w:w w:val="100"/>
          <w:position w:val="0"/>
        </w:rPr>
        <w:t>应付股利</w:t>
      </w:r>
      <w:bookmarkEnd w:id="1457"/>
      <w:bookmarkEnd w:id="1458"/>
      <w:bookmarkEnd w:id="1460"/>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3"/>
        <w:keepNext/>
        <w:keepLines/>
        <w:widowControl w:val="0"/>
        <w:numPr>
          <w:ilvl w:val="0"/>
          <w:numId w:val="85"/>
        </w:numPr>
        <w:shd w:val="clear" w:color="auto" w:fill="auto"/>
        <w:bidi w:val="0"/>
        <w:spacing w:before="0" w:after="400" w:line="240" w:lineRule="auto"/>
        <w:ind w:left="0" w:right="0" w:firstLine="0"/>
        <w:jc w:val="left"/>
      </w:pPr>
      <w:bookmarkStart w:id="1461" w:name="bookmark1461"/>
      <w:bookmarkStart w:id="1462" w:name="bookmark1462"/>
      <w:bookmarkStart w:id="1463" w:name="bookmark1463"/>
      <w:bookmarkStart w:id="1464" w:name="bookmark1464"/>
      <w:bookmarkEnd w:id="1463"/>
      <w:r>
        <w:rPr>
          <w:color w:val="000000"/>
          <w:spacing w:val="0"/>
          <w:w w:val="100"/>
          <w:position w:val="0"/>
        </w:rPr>
        <w:t>其他应付款</w:t>
      </w:r>
      <w:bookmarkEnd w:id="1461"/>
      <w:bookmarkEnd w:id="1462"/>
      <w:bookmarkEnd w:id="1464"/>
    </w:p>
    <w:p>
      <w:pPr>
        <w:pStyle w:val="Style43"/>
        <w:keepNext/>
        <w:keepLines/>
        <w:widowControl w:val="0"/>
        <w:numPr>
          <w:ilvl w:val="0"/>
          <w:numId w:val="87"/>
        </w:numPr>
        <w:shd w:val="clear" w:color="auto" w:fill="auto"/>
        <w:bidi w:val="0"/>
        <w:spacing w:before="0" w:line="240" w:lineRule="auto"/>
        <w:ind w:left="0" w:right="0" w:firstLine="0"/>
        <w:jc w:val="left"/>
      </w:pPr>
      <w:bookmarkStart w:id="1461" w:name="bookmark1461"/>
      <w:bookmarkStart w:id="1462" w:name="bookmark1462"/>
      <w:bookmarkStart w:id="1465" w:name="bookmark1465"/>
      <w:bookmarkStart w:id="1466" w:name="bookmark1466"/>
      <w:bookmarkEnd w:id="1465"/>
      <w:r>
        <w:rPr>
          <w:color w:val="000000"/>
          <w:spacing w:val="0"/>
          <w:w w:val="100"/>
          <w:position w:val="0"/>
        </w:rPr>
        <w:t>按款项性质列示其他应付款</w:t>
      </w:r>
      <w:bookmarkEnd w:id="1461"/>
      <w:bookmarkEnd w:id="1462"/>
      <w:bookmarkEnd w:id="1466"/>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9,555,735.38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21,122,075.56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16,312,352.33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12,271,632.63</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30,368,087.71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135,893,708.19</w:t>
            </w:r>
          </w:p>
        </w:tc>
      </w:tr>
    </w:tbl>
    <w:p>
      <w:pPr>
        <w:widowControl w:val="0"/>
        <w:spacing w:after="359" w:line="1" w:lineRule="exact"/>
      </w:pPr>
    </w:p>
    <w:p>
      <w:pPr>
        <w:pStyle w:val="Style43"/>
        <w:keepNext/>
        <w:keepLines/>
        <w:widowControl w:val="0"/>
        <w:numPr>
          <w:ilvl w:val="0"/>
          <w:numId w:val="87"/>
        </w:numPr>
        <w:shd w:val="clear" w:color="auto" w:fill="auto"/>
        <w:bidi w:val="0"/>
        <w:spacing w:before="0" w:line="240" w:lineRule="auto"/>
        <w:ind w:left="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67"/>
      <w:bookmarkEnd w:id="1468"/>
      <w:bookmarkEnd w:id="1470"/>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智润科技有限公司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福建天和建设工程有限公司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北京华奥世纪科技发展有限公司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1,325,900.00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马鞍山市秀山投资有限公司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8,825,900.00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471"/>
      <w:bookmarkEnd w:id="1472"/>
      <w:bookmarkEnd w:id="1474"/>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4</w:t>
      </w:r>
      <w:bookmarkEnd w:id="1477"/>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75"/>
      <w:bookmarkEnd w:id="1476"/>
      <w:bookmarkEnd w:id="1478"/>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4</w:t>
      </w:r>
      <w:bookmarkEnd w:id="148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79"/>
      <w:bookmarkEnd w:id="1480"/>
      <w:bookmarkEnd w:id="148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25,803,310.57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24,794,504.92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25,803,310.57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25,294,504.92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806"/>
        <w:gridCol w:w="797"/>
        <w:gridCol w:w="797"/>
        <w:gridCol w:w="802"/>
        <w:gridCol w:w="797"/>
        <w:gridCol w:w="797"/>
        <w:gridCol w:w="797"/>
        <w:gridCol w:w="802"/>
        <w:gridCol w:w="797"/>
        <w:gridCol w:w="797"/>
        <w:gridCol w:w="797"/>
        <w:gridCol w:w="811"/>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4</w:t>
      </w:r>
      <w:bookmarkEnd w:id="148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83"/>
      <w:bookmarkEnd w:id="1484"/>
      <w:bookmarkEnd w:id="1486"/>
    </w:p>
    <w:p>
      <w:pPr>
        <w:pStyle w:val="Style43"/>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7" w:name="bookmark1487"/>
      <w:bookmarkStart w:id="1488" w:name="bookmark1488"/>
      <w:r>
        <w:rPr>
          <w:color w:val="000000"/>
          <w:spacing w:val="0"/>
          <w:w w:val="100"/>
          <w:position w:val="0"/>
        </w:rPr>
        <w:t>（</w:t>
      </w:r>
      <w:bookmarkEnd w:id="1487"/>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83"/>
      <w:bookmarkEnd w:id="1484"/>
      <w:bookmarkEnd w:id="1488"/>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43"/>
        <w:keepNext/>
        <w:keepLines/>
        <w:widowControl w:val="0"/>
        <w:shd w:val="clear" w:color="auto" w:fill="auto"/>
        <w:bidi w:val="0"/>
        <w:spacing w:before="0" w:after="380" w:line="240" w:lineRule="auto"/>
        <w:ind w:left="0" w:right="0" w:firstLine="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4</w:t>
      </w:r>
      <w:bookmarkEnd w:id="149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89"/>
      <w:bookmarkEnd w:id="1490"/>
      <w:bookmarkEnd w:id="1492"/>
    </w:p>
    <w:p>
      <w:pPr>
        <w:pStyle w:val="Style43"/>
        <w:keepNext/>
        <w:keepLines/>
        <w:widowControl w:val="0"/>
        <w:shd w:val="clear" w:color="auto" w:fill="auto"/>
        <w:bidi w:val="0"/>
        <w:spacing w:before="0" w:after="380" w:line="240" w:lineRule="auto"/>
        <w:ind w:left="0" w:right="0" w:firstLine="0"/>
        <w:jc w:val="both"/>
      </w:pPr>
      <w:bookmarkStart w:id="1489" w:name="bookmark1489"/>
      <w:bookmarkStart w:id="1490" w:name="bookmark1490"/>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89"/>
      <w:bookmarkEnd w:id="1490"/>
      <w:bookmarkEnd w:id="1494"/>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43"/>
        <w:keepNext/>
        <w:keepLines/>
        <w:widowControl w:val="0"/>
        <w:numPr>
          <w:ilvl w:val="0"/>
          <w:numId w:val="89"/>
        </w:numPr>
        <w:shd w:val="clear" w:color="auto" w:fill="auto"/>
        <w:bidi w:val="0"/>
        <w:spacing w:before="0" w:line="240" w:lineRule="auto"/>
        <w:ind w:left="0" w:right="0" w:firstLine="14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应付债券的增减变动(不包括划分为金融负债的优先股、永续债等其他金融工具)</w:t>
      </w:r>
      <w:bookmarkEnd w:id="1495"/>
      <w:bookmarkEnd w:id="1496"/>
      <w:bookmarkEnd w:id="149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802"/>
        <w:gridCol w:w="797"/>
        <w:gridCol w:w="797"/>
        <w:gridCol w:w="797"/>
        <w:gridCol w:w="802"/>
        <w:gridCol w:w="797"/>
        <w:gridCol w:w="797"/>
        <w:gridCol w:w="797"/>
        <w:gridCol w:w="811"/>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3"/>
        <w:keepNext/>
        <w:keepLines/>
        <w:widowControl w:val="0"/>
        <w:numPr>
          <w:ilvl w:val="0"/>
          <w:numId w:val="89"/>
        </w:numPr>
        <w:shd w:val="clear" w:color="auto" w:fill="auto"/>
        <w:bidi w:val="0"/>
        <w:spacing w:before="0" w:line="240" w:lineRule="auto"/>
        <w:ind w:left="0" w:right="0" w:firstLine="140"/>
        <w:jc w:val="left"/>
      </w:pPr>
      <w:bookmarkStart w:id="1499" w:name="bookmark1499"/>
      <w:bookmarkStart w:id="1500" w:name="bookmark1500"/>
      <w:bookmarkStart w:id="1501" w:name="bookmark1501"/>
      <w:bookmarkStart w:id="1502" w:name="bookmark1502"/>
      <w:bookmarkEnd w:id="1501"/>
      <w:r>
        <w:rPr>
          <w:color w:val="000000"/>
          <w:spacing w:val="0"/>
          <w:w w:val="100"/>
          <w:position w:val="0"/>
        </w:rPr>
        <w:t>可转换公司债券的转股条件、转股时间说明</w:t>
      </w:r>
      <w:bookmarkEnd w:id="1499"/>
      <w:bookmarkEnd w:id="1500"/>
      <w:bookmarkEnd w:id="1502"/>
    </w:p>
    <w:p>
      <w:pPr>
        <w:pStyle w:val="Style43"/>
        <w:keepNext/>
        <w:keepLines/>
        <w:widowControl w:val="0"/>
        <w:numPr>
          <w:ilvl w:val="0"/>
          <w:numId w:val="89"/>
        </w:numPr>
        <w:shd w:val="clear" w:color="auto" w:fill="auto"/>
        <w:bidi w:val="0"/>
        <w:spacing w:before="0" w:line="240" w:lineRule="auto"/>
        <w:ind w:left="0" w:right="0" w:firstLine="140"/>
        <w:jc w:val="left"/>
      </w:pPr>
      <w:bookmarkStart w:id="1499" w:name="bookmark1499"/>
      <w:bookmarkStart w:id="1500" w:name="bookmark1500"/>
      <w:bookmarkStart w:id="1503" w:name="bookmark1503"/>
      <w:bookmarkStart w:id="1504" w:name="bookmark1504"/>
      <w:bookmarkEnd w:id="1503"/>
      <w:r>
        <w:rPr>
          <w:color w:val="000000"/>
          <w:spacing w:val="0"/>
          <w:w w:val="100"/>
          <w:position w:val="0"/>
        </w:rPr>
        <w:t>划分为金融负债的其他金融工具说明</w:t>
      </w:r>
      <w:bookmarkEnd w:id="1499"/>
      <w:bookmarkEnd w:id="1500"/>
      <w:bookmarkEnd w:id="1504"/>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期末发行在外的优先股、永续债等金融工具变动情况表</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1"/>
        <w:gridCol w:w="1066"/>
        <w:gridCol w:w="1061"/>
        <w:gridCol w:w="107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4</w:t>
      </w:r>
      <w:bookmarkEnd w:id="1507"/>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05"/>
      <w:bookmarkEnd w:id="1506"/>
      <w:bookmarkEnd w:id="1508"/>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4</w:t>
      </w:r>
      <w:bookmarkEnd w:id="1511"/>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09"/>
      <w:bookmarkEnd w:id="1510"/>
      <w:bookmarkEnd w:id="1512"/>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221"/>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127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)按款项性质列示长期应付款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numPr>
          <w:ilvl w:val="0"/>
          <w:numId w:val="91"/>
        </w:numPr>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专项应付款</w:t>
      </w:r>
      <w:bookmarkEnd w:id="1513"/>
      <w:bookmarkEnd w:id="1514"/>
      <w:bookmarkEnd w:id="1516"/>
      <w:r>
        <w:br w:type="page"/>
      </w:r>
    </w:p>
    <w:tbl>
      <w:tblPr>
        <w:tblOverlap w:val="never"/>
        <w:jc w:val="center"/>
        <w:tblLayout w:type="fixed"/>
      </w:tblPr>
      <w:tblGrid>
        <w:gridCol w:w="1661"/>
        <w:gridCol w:w="1594"/>
        <w:gridCol w:w="1594"/>
        <w:gridCol w:w="1598"/>
        <w:gridCol w:w="1589"/>
        <w:gridCol w:w="1670"/>
      </w:tblGrid>
      <w:tr>
        <w:trPr>
          <w:trHeight w:val="341" w:hRule="exact"/>
        </w:trPr>
        <w:tc>
          <w:tcPr>
            <w:gridSpan w:val="6"/>
            <w:tcBorders>
              <w:top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2237" w:hRule="exact"/>
        </w:trPr>
        <w:tc>
          <w:tcPr>
            <w:gridSpan w:val="2"/>
            <w:tcBorders>
              <w:top w:val="single" w:sz="4"/>
            </w:tcBorders>
            <w:shd w:val="clear" w:color="auto" w:fill="FFFFFF"/>
            <w:vAlign w:val="top"/>
          </w:tcPr>
          <w:p>
            <w:pPr>
              <w:pStyle w:val="Style29"/>
              <w:keepNext w:val="0"/>
              <w:keepLines w:val="0"/>
              <w:widowControl w:val="0"/>
              <w:shd w:val="clear" w:color="auto" w:fill="auto"/>
              <w:bidi w:val="0"/>
              <w:spacing w:before="100" w:after="38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49</w:t>
            </w:r>
            <w:r>
              <w:rPr>
                <w:b/>
                <w:bCs/>
                <w:color w:val="000000"/>
                <w:spacing w:val="0"/>
                <w:w w:val="100"/>
                <w:position w:val="0"/>
                <w:sz w:val="20"/>
                <w:szCs w:val="20"/>
              </w:rPr>
              <w:t>、长期应付职工薪酬</w:t>
            </w:r>
          </w:p>
          <w:p>
            <w:pPr>
              <w:pStyle w:val="Style29"/>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)长期应付职工薪酬表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both"/>
      </w:pPr>
      <w:bookmarkStart w:id="1517" w:name="bookmark1517"/>
      <w:bookmarkStart w:id="1518" w:name="bookmark1518"/>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17"/>
      <w:bookmarkEnd w:id="1518"/>
      <w:bookmarkEnd w:id="1519"/>
    </w:p>
    <w:p>
      <w:pPr>
        <w:pStyle w:val="Style36"/>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设定受益计划义务现值：</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2"/>
        <w:gridCol w:w="3221"/>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6"/>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36"/>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设定受益计划重大精算假设及敏感性分析结果说明：</w:t>
      </w: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20"/>
      <w:bookmarkEnd w:id="1521"/>
      <w:bookmarkEnd w:id="1523"/>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43"/>
        <w:keepNext/>
        <w:keepLines/>
        <w:widowControl w:val="0"/>
        <w:shd w:val="clear" w:color="auto" w:fill="auto"/>
        <w:bidi w:val="0"/>
        <w:spacing w:before="0" w:after="380" w:line="240" w:lineRule="auto"/>
        <w:ind w:left="0" w:right="0" w:firstLine="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24"/>
      <w:bookmarkEnd w:id="1525"/>
      <w:bookmarkEnd w:id="1527"/>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77,042,789.83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22,327,269.46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4,395,274.72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94,974,784.57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77,042,789.83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22,327,269.46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4,395,274.72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94,974,784.57</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6"/>
        <w:keepNext w:val="0"/>
        <w:keepLines w:val="0"/>
        <w:widowControl w:val="0"/>
        <w:shd w:val="clear" w:color="auto" w:fill="auto"/>
        <w:bidi w:val="0"/>
        <w:spacing w:before="0" w:after="240" w:line="240" w:lineRule="auto"/>
        <w:ind w:left="8940" w:right="0" w:firstLine="0"/>
        <w:jc w:val="left"/>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021" w:right="1100" w:bottom="1860" w:left="1095"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1018"/>
        <w:gridCol w:w="1253"/>
        <w:gridCol w:w="1008"/>
        <w:gridCol w:w="1013"/>
        <w:gridCol w:w="1008"/>
        <w:gridCol w:w="1008"/>
        <w:gridCol w:w="1013"/>
        <w:gridCol w:w="1248"/>
        <w:gridCol w:w="1018"/>
      </w:tblGrid>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信阳榕基 软件园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 目补助资金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22,327,269.4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1,886,771.52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68,440,497.94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榕基马鞍 山智慧园</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项目补助资 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26,966,678.66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1,168,503.24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25,798,175.42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年福建 省互联网经 济新增引导 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星榕 基中小企业 信息化公共 服务平台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777,777.86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666,666.60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111,111.26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年福建 省数字经济 发展专项资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星榕基 教育物联网 示范工程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749,999.98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416,666.62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年福州 市软件产业 发展专项资 金项目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首届福州市 政府质量奖 奖励金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123,333.33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83,333.33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3"/>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5</w:t>
      </w:r>
      <w:bookmarkEnd w:id="153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28"/>
      <w:bookmarkEnd w:id="1529"/>
      <w:bookmarkEnd w:id="1531"/>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109" w:bottom="2031" w:left="1104" w:header="0" w:footer="3" w:gutter="0"/>
          <w:cols w:space="720"/>
          <w:noEndnote/>
          <w:rtlGutter w:val="0"/>
          <w:docGrid w:linePitch="360"/>
        </w:sectPr>
      </w:pPr>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32"/>
      <w:bookmarkEnd w:id="1533"/>
      <w:bookmarkEnd w:id="1534"/>
    </w:p>
    <w:tbl>
      <w:tblPr>
        <w:tblOverlap w:val="never"/>
        <w:jc w:val="center"/>
        <w:tblLayout w:type="fixed"/>
      </w:tblPr>
      <w:tblGrid>
        <w:gridCol w:w="1205"/>
        <w:gridCol w:w="1195"/>
        <w:gridCol w:w="1195"/>
        <w:gridCol w:w="1195"/>
        <w:gridCol w:w="1195"/>
        <w:gridCol w:w="1200"/>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622,200,000.00</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5</w:t>
      </w:r>
      <w:bookmarkEnd w:id="153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35"/>
      <w:bookmarkEnd w:id="1536"/>
      <w:bookmarkEnd w:id="1538"/>
    </w:p>
    <w:p>
      <w:pPr>
        <w:pStyle w:val="Style43"/>
        <w:keepNext/>
        <w:keepLines/>
        <w:widowControl w:val="0"/>
        <w:shd w:val="clear" w:color="auto" w:fill="auto"/>
        <w:tabs>
          <w:tab w:pos="633" w:val="left"/>
        </w:tabs>
        <w:bidi w:val="0"/>
        <w:spacing w:before="0" w:after="380" w:line="240" w:lineRule="auto"/>
        <w:ind w:left="0" w:right="0" w:firstLine="140"/>
        <w:jc w:val="left"/>
      </w:pPr>
      <w:bookmarkStart w:id="1535" w:name="bookmark1535"/>
      <w:bookmarkStart w:id="1536" w:name="bookmark1536"/>
      <w:bookmarkStart w:id="1539" w:name="bookmark1539"/>
      <w:bookmarkStart w:id="1540" w:name="bookmark1540"/>
      <w:r>
        <w:rPr>
          <w:color w:val="000000"/>
          <w:spacing w:val="0"/>
          <w:w w:val="100"/>
          <w:position w:val="0"/>
        </w:rPr>
        <w:t>（</w:t>
      </w:r>
      <w:bookmarkEnd w:id="1539"/>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35"/>
      <w:bookmarkEnd w:id="1536"/>
      <w:bookmarkEnd w:id="1540"/>
    </w:p>
    <w:p>
      <w:pPr>
        <w:pStyle w:val="Style43"/>
        <w:keepNext/>
        <w:keepLines/>
        <w:widowControl w:val="0"/>
        <w:shd w:val="clear" w:color="auto" w:fill="auto"/>
        <w:tabs>
          <w:tab w:pos="633" w:val="left"/>
        </w:tabs>
        <w:bidi w:val="0"/>
        <w:spacing w:before="0" w:after="380" w:line="240" w:lineRule="auto"/>
        <w:ind w:left="0" w:right="0" w:firstLine="140"/>
        <w:jc w:val="left"/>
      </w:pPr>
      <w:bookmarkStart w:id="1535" w:name="bookmark1535"/>
      <w:bookmarkStart w:id="1536" w:name="bookmark1536"/>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35"/>
      <w:bookmarkEnd w:id="1536"/>
      <w:bookmarkEnd w:id="154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1"/>
        <w:gridCol w:w="1066"/>
        <w:gridCol w:w="1061"/>
        <w:gridCol w:w="1070"/>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5</w:t>
      </w:r>
      <w:bookmarkEnd w:id="1545"/>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43"/>
      <w:bookmarkEnd w:id="1544"/>
      <w:bookmarkEnd w:id="15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362,926,508.93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362,926,508.93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6,432,103.36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6,432,103.36</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369,358,612.29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369,358,612.29</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43"/>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5</w:t>
      </w:r>
      <w:bookmarkEnd w:id="154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47"/>
      <w:bookmarkEnd w:id="1548"/>
      <w:bookmarkEnd w:id="1550"/>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43"/>
        <w:keepNext/>
        <w:keepLines/>
        <w:widowControl w:val="0"/>
        <w:shd w:val="clear" w:color="auto" w:fill="auto"/>
        <w:bidi w:val="0"/>
        <w:spacing w:before="0" w:after="38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5</w:t>
      </w:r>
      <w:bookmarkEnd w:id="155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51"/>
      <w:bookmarkEnd w:id="1552"/>
      <w:bookmarkEnd w:id="1554"/>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1349" w:hRule="exact"/>
        </w:trPr>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入其他综合 收益当期转 入损益</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tcBorders>
              <w:left w:val="single" w:sz="4"/>
              <w:bottom w:val="single" w:sz="4"/>
              <w:right w:val="single" w:sz="4"/>
            </w:tcBorders>
            <w:shd w:val="clear" w:color="auto" w:fill="D3D3D3"/>
            <w:vAlign w:val="top"/>
          </w:tcPr>
          <w:p>
            <w:pPr>
              <w:pStyle w:val="Style29"/>
              <w:keepNext w:val="0"/>
              <w:keepLines w:val="0"/>
              <w:widowControl w:val="0"/>
              <w:shd w:val="clear" w:color="auto" w:fill="auto"/>
              <w:bidi w:val="0"/>
              <w:spacing w:before="100" w:after="0" w:line="307" w:lineRule="exact"/>
              <w:ind w:left="0" w:right="0" w:firstLine="0"/>
              <w:jc w:val="center"/>
            </w:pPr>
            <w:r>
              <w:rPr>
                <w:color w:val="000000"/>
                <w:spacing w:val="0"/>
                <w:w w:val="100"/>
                <w:position w:val="0"/>
              </w:rPr>
              <w:t>期末余 额</w:t>
            </w:r>
          </w:p>
        </w:tc>
      </w:tr>
    </w:tbl>
    <w:p>
      <w:pPr>
        <w:spacing w:lineRule="exact" w:line="1"/>
        <w:rPr>
          <w:sz w:val="2"/>
          <w:szCs w:val="2"/>
        </w:rPr>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留存收益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36,455,727.</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2,383,395.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2,382,827.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36,456,2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36,455,727.</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2,383,395.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2,382,827.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36,456,2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w:t>
            </w: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9,496,497.3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5,809,940.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5,809,940.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3,686,55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9,496,497.3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5,809,940.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5,809,940.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3,686,55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45,952,224.</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3,426,545.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2,382,827.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5,809,373.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40,142,8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说明：其他综合收益的税后净额本期发生额为</w:t>
      </w:r>
      <w:r>
        <w:rPr>
          <w:rFonts w:ascii="Times New Roman" w:eastAsia="Times New Roman" w:hAnsi="Times New Roman" w:cs="Times New Roman"/>
          <w:color w:val="000000"/>
          <w:spacing w:val="0"/>
          <w:w w:val="100"/>
          <w:position w:val="0"/>
          <w:sz w:val="18"/>
          <w:szCs w:val="18"/>
        </w:rPr>
        <w:t>-5,809,373.28</w:t>
      </w:r>
      <w:r>
        <w:rPr>
          <w:color w:val="000000"/>
          <w:spacing w:val="0"/>
          <w:w w:val="100"/>
          <w:position w:val="0"/>
        </w:rPr>
        <w:t>。其中，归属于母公司股东的其他综合收益的税后净额本期发</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生额为</w:t>
      </w:r>
      <w:r>
        <w:rPr>
          <w:rFonts w:ascii="Times New Roman" w:eastAsia="Times New Roman" w:hAnsi="Times New Roman" w:cs="Times New Roman"/>
          <w:color w:val="000000"/>
          <w:spacing w:val="0"/>
          <w:w w:val="100"/>
          <w:position w:val="0"/>
          <w:sz w:val="18"/>
          <w:szCs w:val="18"/>
        </w:rPr>
        <w:t>-5,809,373.28</w:t>
      </w:r>
      <w:r>
        <w:rPr>
          <w:color w:val="000000"/>
          <w:spacing w:val="0"/>
          <w:w w:val="100"/>
          <w:position w:val="0"/>
        </w:rPr>
        <w:t>；归属于少数股东的其他综合收益的税后净额的本期发生额为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43"/>
        <w:keepNext/>
        <w:keepLines/>
        <w:widowControl w:val="0"/>
        <w:shd w:val="clear" w:color="auto" w:fill="auto"/>
        <w:bidi w:val="0"/>
        <w:spacing w:before="0" w:after="38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5</w:t>
      </w:r>
      <w:bookmarkEnd w:id="1557"/>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55"/>
      <w:bookmarkEnd w:id="1556"/>
      <w:bookmarkEnd w:id="1558"/>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43"/>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5</w:t>
      </w:r>
      <w:bookmarkEnd w:id="1561"/>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59"/>
      <w:bookmarkEnd w:id="1560"/>
      <w:bookmarkEnd w:id="156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71,463,402.20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74,211,619.05</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71,463,402.20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2,748,216.85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74,211,619.05</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本期盈余公积增加系按本公司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w:t>
      </w:r>
    </w:p>
    <w:p>
      <w:pPr>
        <w:pStyle w:val="Style43"/>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6</w:t>
      </w:r>
      <w:bookmarkEnd w:id="156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63"/>
      <w:bookmarkEnd w:id="1564"/>
      <w:bookmarkEnd w:id="1566"/>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428,572,874.09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388,870,542.81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428,572,874.09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388,870,542.81</w:t>
            </w:r>
          </w:p>
        </w:tc>
      </w:tr>
    </w:tbl>
    <w:p>
      <w:pPr>
        <w:spacing w:lineRule="exact" w:line="1"/>
        <w:rPr>
          <w:sz w:val="2"/>
          <w:szCs w:val="2"/>
        </w:rPr>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49,598,630.03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49,816,021.80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2,748,216.85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3,891,690.52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475,423,287.27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428,572,874.09</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调整期初未分配利润明细：</w:t>
      </w:r>
    </w:p>
    <w:p>
      <w:pPr>
        <w:pStyle w:val="Style36"/>
        <w:keepNext w:val="0"/>
        <w:keepLines w:val="0"/>
        <w:widowControl w:val="0"/>
        <w:shd w:val="clear" w:color="auto" w:fill="auto"/>
        <w:tabs>
          <w:tab w:pos="330" w:val="left"/>
        </w:tabs>
        <w:bidi w:val="0"/>
        <w:spacing w:before="0" w:after="120" w:line="240" w:lineRule="auto"/>
        <w:ind w:left="0" w:right="0" w:firstLine="0"/>
        <w:jc w:val="both"/>
      </w:pPr>
      <w:bookmarkStart w:id="1567" w:name="bookmark1567"/>
      <w:r>
        <w:rPr>
          <w:rFonts w:ascii="Times New Roman" w:eastAsia="Times New Roman" w:hAnsi="Times New Roman" w:cs="Times New Roman"/>
          <w:color w:val="000000"/>
          <w:spacing w:val="0"/>
          <w:w w:val="100"/>
          <w:position w:val="0"/>
          <w:sz w:val="18"/>
          <w:szCs w:val="18"/>
        </w:rPr>
        <w:t>1</w:t>
      </w:r>
      <w:bookmarkEnd w:id="156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6"/>
        <w:keepNext w:val="0"/>
        <w:keepLines w:val="0"/>
        <w:widowControl w:val="0"/>
        <w:shd w:val="clear" w:color="auto" w:fill="auto"/>
        <w:tabs>
          <w:tab w:pos="349" w:val="left"/>
        </w:tabs>
        <w:bidi w:val="0"/>
        <w:spacing w:before="0" w:after="120" w:line="240" w:lineRule="auto"/>
        <w:ind w:left="0" w:right="0" w:firstLine="0"/>
        <w:jc w:val="both"/>
      </w:pPr>
      <w:bookmarkStart w:id="1568" w:name="bookmark1568"/>
      <w:r>
        <w:rPr>
          <w:rFonts w:ascii="Times New Roman" w:eastAsia="Times New Roman" w:hAnsi="Times New Roman" w:cs="Times New Roman"/>
          <w:color w:val="000000"/>
          <w:spacing w:val="0"/>
          <w:w w:val="100"/>
          <w:position w:val="0"/>
          <w:sz w:val="18"/>
          <w:szCs w:val="18"/>
        </w:rPr>
        <w:t>2</w:t>
      </w:r>
      <w:bookmarkEnd w:id="15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6"/>
        <w:keepNext w:val="0"/>
        <w:keepLines w:val="0"/>
        <w:widowControl w:val="0"/>
        <w:shd w:val="clear" w:color="auto" w:fill="auto"/>
        <w:tabs>
          <w:tab w:pos="349" w:val="left"/>
        </w:tabs>
        <w:bidi w:val="0"/>
        <w:spacing w:before="0" w:after="120" w:line="240" w:lineRule="auto"/>
        <w:ind w:left="0" w:right="0" w:firstLine="0"/>
        <w:jc w:val="both"/>
      </w:pPr>
      <w:bookmarkStart w:id="1569" w:name="bookmark1569"/>
      <w:r>
        <w:rPr>
          <w:rFonts w:ascii="Times New Roman" w:eastAsia="Times New Roman" w:hAnsi="Times New Roman" w:cs="Times New Roman"/>
          <w:color w:val="000000"/>
          <w:spacing w:val="0"/>
          <w:w w:val="100"/>
          <w:position w:val="0"/>
          <w:sz w:val="18"/>
          <w:szCs w:val="18"/>
        </w:rPr>
        <w:t>3</w:t>
      </w:r>
      <w:bookmarkEnd w:id="15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6"/>
        <w:keepNext w:val="0"/>
        <w:keepLines w:val="0"/>
        <w:widowControl w:val="0"/>
        <w:shd w:val="clear" w:color="auto" w:fill="auto"/>
        <w:tabs>
          <w:tab w:pos="349" w:val="left"/>
        </w:tabs>
        <w:bidi w:val="0"/>
        <w:spacing w:before="0" w:after="120" w:line="240" w:lineRule="auto"/>
        <w:ind w:left="0" w:right="0" w:firstLine="0"/>
        <w:jc w:val="both"/>
      </w:pPr>
      <w:bookmarkStart w:id="1570" w:name="bookmark1570"/>
      <w:r>
        <w:rPr>
          <w:rFonts w:ascii="Times New Roman" w:eastAsia="Times New Roman" w:hAnsi="Times New Roman" w:cs="Times New Roman"/>
          <w:color w:val="000000"/>
          <w:spacing w:val="0"/>
          <w:w w:val="100"/>
          <w:position w:val="0"/>
          <w:sz w:val="18"/>
          <w:szCs w:val="18"/>
        </w:rPr>
        <w:t>4</w:t>
      </w:r>
      <w:bookmarkEnd w:id="15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6"/>
        <w:keepNext w:val="0"/>
        <w:keepLines w:val="0"/>
        <w:widowControl w:val="0"/>
        <w:shd w:val="clear" w:color="auto" w:fill="auto"/>
        <w:tabs>
          <w:tab w:pos="349" w:val="left"/>
        </w:tabs>
        <w:bidi w:val="0"/>
        <w:spacing w:before="0" w:after="380" w:line="240" w:lineRule="auto"/>
        <w:ind w:left="0" w:right="0" w:firstLine="0"/>
        <w:jc w:val="both"/>
      </w:pPr>
      <w:bookmarkStart w:id="1571" w:name="bookmark1571"/>
      <w:r>
        <w:rPr>
          <w:rFonts w:ascii="Times New Roman" w:eastAsia="Times New Roman" w:hAnsi="Times New Roman" w:cs="Times New Roman"/>
          <w:color w:val="000000"/>
          <w:spacing w:val="0"/>
          <w:w w:val="100"/>
          <w:position w:val="0"/>
          <w:sz w:val="18"/>
          <w:szCs w:val="18"/>
        </w:rPr>
        <w:t>5</w:t>
      </w:r>
      <w:bookmarkEnd w:id="15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43"/>
        <w:keepNext/>
        <w:keepLines/>
        <w:widowControl w:val="0"/>
        <w:shd w:val="clear" w:color="auto" w:fill="auto"/>
        <w:bidi w:val="0"/>
        <w:spacing w:before="0" w:after="380" w:line="240" w:lineRule="auto"/>
        <w:ind w:left="0" w:right="0" w:firstLine="0"/>
        <w:jc w:val="both"/>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6</w:t>
      </w:r>
      <w:bookmarkEnd w:id="157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72"/>
      <w:bookmarkEnd w:id="1573"/>
      <w:bookmarkEnd w:id="157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730,475,517.25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461,861,374.64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727,322,833.38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456,312,306.03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730,475,517.25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461,861,374.64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727,322,833.38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456,312,306.03</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经审计扣除非经常损益前后净利润孰低是否为负值</w:t>
      </w:r>
    </w:p>
    <w:p>
      <w:pPr>
        <w:pStyle w:val="Style3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收入相关信息：</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与履约义务相关的信息：</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除系统集成业务、软件产品及服务业务、园区开发与运营业务外，本集团未经营其他对经营成果有重大影响的业务。同 时，由于本集团仅于一个地域内经营业务，收入主要来自中国境内，其主要资产亦位于中国境内，因此本集团无需披露分 部数据。</w:t>
      </w:r>
    </w:p>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与分摊至剩余履约义务的交易价格相关的信息：</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6"/>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其他说明</w:t>
      </w:r>
      <w:r>
        <w:br w:type="page"/>
      </w:r>
    </w:p>
    <w:p>
      <w:pPr>
        <w:pStyle w:val="Style43"/>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6</w:t>
      </w:r>
      <w:bookmarkEnd w:id="157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76"/>
      <w:bookmarkEnd w:id="1577"/>
      <w:bookmarkEnd w:id="157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362,823.54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879,258.60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281,218.38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653,696.60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590,263.90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370,374.65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1,269,093.30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1,482,959.32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516,376.14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536,569.16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1,509,979.27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646,778.84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703,465.19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16,329.96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450,771.20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5,192,863.33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5,077,094.72</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6</w:t>
      </w:r>
      <w:bookmarkEnd w:id="158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80"/>
      <w:bookmarkEnd w:id="1581"/>
      <w:bookmarkEnd w:id="158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20,187,532.87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18,463,168.54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6,309,212.84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5,952,179.97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3,349,053.89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3,887,443.96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4,295,815.41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3,141,892.79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1,270,074.69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1,460,025.77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1,008,103.57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566,760.74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342,582.48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388,400.81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289,598.83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286,804.40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209,172.07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4,511,834.23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5,539,289.59</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41,165,489.88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40,293,457.57</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6</w:t>
      </w:r>
      <w:bookmarkEnd w:id="158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84"/>
      <w:bookmarkEnd w:id="1585"/>
      <w:bookmarkEnd w:id="1587"/>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41,782,827.56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46,715,170.86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9,094,338.59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11,369,355.76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11,291,183.23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10,499,791.22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3,997,900.40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4,862,594.99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2,039,322.79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4,164,260.79</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4,121,929.68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4,135,047.93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1,902,132.17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2,966,190.14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1,880,854.63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1,996,661.41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3,617,089.37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1,652,462.81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3,685,688.28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5,365,379.90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83,413,266.70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93,726,915.81</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6</w:t>
      </w:r>
      <w:bookmarkEnd w:id="1590"/>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88"/>
      <w:bookmarkEnd w:id="1589"/>
      <w:bookmarkEnd w:id="159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34,540,724.28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50,031,585.84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40,122,872.43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31,934,261.97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28,802,943.55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17,902,159.20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536,464.10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1,177,131.96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423,458.96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837,216.48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研发设备及材料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39,422.59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347,113.82</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222,405.87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338,934.95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125,787.73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218,299.85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62,933.87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93,672.06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70,261.74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36,903.92</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104,947,275.12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102,917,280.05</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6</w:t>
      </w:r>
      <w:bookmarkEnd w:id="1594"/>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92"/>
      <w:bookmarkEnd w:id="1593"/>
      <w:bookmarkEnd w:id="159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25,720,105.37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23,814,608.03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2,179,116.60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4,210,182.79</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768,787.27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484,060.93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542,554.04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594,185.49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24,852,330.08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20,682,671.66</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both"/>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6</w:t>
      </w:r>
      <w:bookmarkEnd w:id="1598"/>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96"/>
      <w:bookmarkEnd w:id="1597"/>
      <w:bookmarkEnd w:id="15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4,395,274.72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7,048,763.86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19,043,255.70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7,069,652.90</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23,438,530.42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14,118,416.76</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both"/>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6</w:t>
      </w:r>
      <w:bookmarkEnd w:id="160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00"/>
      <w:bookmarkEnd w:id="1601"/>
      <w:bookmarkEnd w:id="160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6,706,180.80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1,440,859.15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-49,504.09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14,698,136.77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19,433,133.13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21,404,317.57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20,824,488.19</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“其他”系购买银行短期理财产品的收益</w:t>
      </w:r>
    </w:p>
    <w:p>
      <w:pPr>
        <w:pStyle w:val="Style43"/>
        <w:keepNext/>
        <w:keepLines/>
        <w:widowControl w:val="0"/>
        <w:shd w:val="clear" w:color="auto" w:fill="auto"/>
        <w:bidi w:val="0"/>
        <w:spacing w:before="0" w:after="380" w:line="240" w:lineRule="auto"/>
        <w:ind w:left="0" w:right="0" w:firstLine="0"/>
        <w:jc w:val="both"/>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6</w:t>
      </w:r>
      <w:bookmarkEnd w:id="1606"/>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04"/>
      <w:bookmarkEnd w:id="1605"/>
      <w:bookmarkEnd w:id="1607"/>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both"/>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7</w:t>
      </w:r>
      <w:bookmarkEnd w:id="1610"/>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08"/>
      <w:bookmarkEnd w:id="1609"/>
      <w:bookmarkEnd w:id="1611"/>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both"/>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7</w:t>
      </w:r>
      <w:bookmarkEnd w:id="1614"/>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12"/>
      <w:bookmarkEnd w:id="1613"/>
      <w:bookmarkEnd w:id="1615"/>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3,200,576.38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-5,221,157.48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-5,323,368.85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-4,466,244.09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-2,122,792.47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-9,687,401.57</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7</w:t>
      </w:r>
      <w:bookmarkEnd w:id="161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16"/>
      <w:bookmarkEnd w:id="1617"/>
      <w:bookmarkEnd w:id="161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-421,603.51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-1,357,100.80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-1,778,704.31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7</w:t>
      </w:r>
      <w:bookmarkEnd w:id="1622"/>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20"/>
      <w:bookmarkEnd w:id="1621"/>
      <w:bookmarkEnd w:id="162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12,660.23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-353,303.23</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7</w:t>
      </w:r>
      <w:bookmarkEnd w:id="162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24"/>
      <w:bookmarkEnd w:id="1625"/>
      <w:bookmarkEnd w:id="1627"/>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35,309.36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50,698.78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35,309.36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35,309.36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23,050,698.78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35,309.36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075"/>
        <w:gridCol w:w="1061"/>
        <w:gridCol w:w="1061"/>
        <w:gridCol w:w="1066"/>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7</w:t>
      </w:r>
      <w:bookmarkEnd w:id="1630"/>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28"/>
      <w:bookmarkEnd w:id="1629"/>
      <w:bookmarkEnd w:id="1631"/>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计入当期非经常性损益的金</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148,451.32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347,435.43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148,451.32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53,015.34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37,841.40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218,666.66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385,276.83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218,666.66</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7</w:t>
      </w:r>
      <w:bookmarkEnd w:id="1634"/>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32"/>
      <w:bookmarkEnd w:id="1633"/>
      <w:bookmarkEnd w:id="1635"/>
    </w:p>
    <w:p>
      <w:pPr>
        <w:pStyle w:val="Style43"/>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6" w:name="bookmark16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32"/>
      <w:bookmarkEnd w:id="1633"/>
      <w:bookmarkEnd w:id="163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862,727.68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2,047,548.53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672,338.92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131,616.47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1,535,066.60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2,179,165.00</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37"/>
      <w:bookmarkEnd w:id="1638"/>
      <w:bookmarkEnd w:id="163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49,813,571.64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12,453,392.91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-1,457,137.89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-407,225.70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2,911,509.41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-1,676,545.20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-1,356,981.58</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利用以前年度未确认可抵扣亏损和可抵扣暂时性差异的纳税 影响（以填列）</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-5,808,181.28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未确认可抵扣亏损和可抵扣暂时性差异的纳税影响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6,568,306.78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-9,692,070.85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1,535,066.60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1,535,066.60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3"/>
        <w:keepNext/>
        <w:keepLines/>
        <w:widowControl w:val="0"/>
        <w:shd w:val="clear" w:color="auto" w:fill="auto"/>
        <w:tabs>
          <w:tab w:pos="478" w:val="left"/>
        </w:tabs>
        <w:bidi w:val="0"/>
        <w:spacing w:before="0" w:after="38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7</w:t>
      </w:r>
      <w:bookmarkEnd w:id="164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40"/>
      <w:bookmarkEnd w:id="1641"/>
      <w:bookmarkEnd w:id="1643"/>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43"/>
        <w:keepNext/>
        <w:keepLines/>
        <w:widowControl w:val="0"/>
        <w:shd w:val="clear" w:color="auto" w:fill="auto"/>
        <w:tabs>
          <w:tab w:pos="478" w:val="left"/>
        </w:tabs>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7</w:t>
      </w:r>
      <w:bookmarkEnd w:id="164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44"/>
      <w:bookmarkEnd w:id="1645"/>
      <w:bookmarkEnd w:id="1647"/>
    </w:p>
    <w:p>
      <w:pPr>
        <w:pStyle w:val="Style43"/>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8" w:name="bookmark16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44"/>
      <w:bookmarkEnd w:id="1645"/>
      <w:bookmarkEnd w:id="164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38,393,683.61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22,302,496.60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2,179,116.60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4,210,182.79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备用金及其他单位往来款等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11,009,185.14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17,482,417.68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51,581,985.35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43,995,097.07</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43"/>
        <w:keepNext/>
        <w:keepLines/>
        <w:widowControl w:val="0"/>
        <w:shd w:val="clear" w:color="auto" w:fill="auto"/>
        <w:bidi w:val="0"/>
        <w:spacing w:before="0" w:after="380" w:line="240" w:lineRule="auto"/>
        <w:ind w:left="0" w:right="0" w:firstLine="0"/>
        <w:jc w:val="left"/>
      </w:pPr>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49"/>
      <w:bookmarkEnd w:id="1650"/>
      <w:bookmarkEnd w:id="165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销售费用付现支出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20,917,266.73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21,830,289.03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管理费用付现支出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32,642,482.09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41,224,234.21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研发费用付现支出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29,860,219.45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20,114,215.76</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保证金、备用金及其他单位往来款等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109,739,324.70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16,808,240.09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193,159,292.97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99,976,979.09</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3"/>
        <w:keepNext/>
        <w:keepLines/>
        <w:widowControl w:val="0"/>
        <w:shd w:val="clear" w:color="auto" w:fill="auto"/>
        <w:bidi w:val="0"/>
        <w:spacing w:before="0" w:after="38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52"/>
      <w:bookmarkEnd w:id="1653"/>
      <w:bookmarkEnd w:id="1655"/>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3"/>
        <w:keepNext/>
        <w:keepLines/>
        <w:widowControl w:val="0"/>
        <w:shd w:val="clear" w:color="auto" w:fill="auto"/>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w:t>
      </w:r>
      <w:bookmarkEnd w:id="165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56"/>
      <w:bookmarkEnd w:id="1657"/>
      <w:bookmarkEnd w:id="1659"/>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43"/>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60"/>
      <w:bookmarkEnd w:id="1661"/>
      <w:bookmarkEnd w:id="1663"/>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3"/>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w:t>
      </w:r>
      <w:bookmarkEnd w:id="166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64"/>
      <w:bookmarkEnd w:id="1665"/>
      <w:bookmarkEnd w:id="1667"/>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43"/>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7</w:t>
      </w:r>
      <w:bookmarkEnd w:id="167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68"/>
      <w:bookmarkEnd w:id="1669"/>
      <w:bookmarkEnd w:id="1671"/>
    </w:p>
    <w:p>
      <w:pPr>
        <w:pStyle w:val="Style43"/>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2" w:name="bookmark16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68"/>
      <w:bookmarkEnd w:id="1669"/>
      <w:bookmarkEnd w:id="1672"/>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48,278,505.04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53,701,564.64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3,901,496.78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9,687,401.57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8,640,177.03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9,081,238.34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43,739,961.80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33,586,724.79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1,248,938.00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1,276,923.98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-12,660.23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353,303.23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26,488,892.64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24,298,668.96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-21,404,317.57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-20,824,488.19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740"/>
              <w:jc w:val="both"/>
            </w:pPr>
            <w:r>
              <w:rPr>
                <w:color w:val="000000"/>
                <w:spacing w:val="0"/>
                <w:w w:val="100"/>
                <w:position w:val="0"/>
              </w:rPr>
              <w:t>递延所得税资产减少（增加以</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672,338.92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131,616.47</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-21,136,076.89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14,824,292.09</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-2,697,129.15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-6,564,611.55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-15,495,547.74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-11,308,668.00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72,224,578.63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108,243,966.33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454,837,459.86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345,270,298.91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345,270,298.91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244,109,281.19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109,567,160.95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101,161,017.72</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73"/>
      <w:bookmarkEnd w:id="1674"/>
      <w:bookmarkEnd w:id="167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w:t>
      </w:r>
      <w:bookmarkEnd w:id="167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76"/>
      <w:bookmarkEnd w:id="1677"/>
      <w:bookmarkEnd w:id="1679"/>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3"/>
        <w:keepNext/>
        <w:keepLines/>
        <w:widowControl w:val="0"/>
        <w:numPr>
          <w:ilvl w:val="0"/>
          <w:numId w:val="85"/>
        </w:numPr>
        <w:shd w:val="clear" w:color="auto" w:fill="auto"/>
        <w:bidi w:val="0"/>
        <w:spacing w:before="0" w:after="380" w:line="240" w:lineRule="auto"/>
        <w:ind w:left="0" w:right="0" w:firstLine="140"/>
        <w:jc w:val="left"/>
      </w:pPr>
      <w:bookmarkStart w:id="1680" w:name="bookmark1680"/>
      <w:bookmarkStart w:id="1681" w:name="bookmark1681"/>
      <w:bookmarkStart w:id="1682" w:name="bookmark1682"/>
      <w:bookmarkStart w:id="1683" w:name="bookmark1683"/>
      <w:bookmarkEnd w:id="1682"/>
      <w:r>
        <w:rPr>
          <w:color w:val="000000"/>
          <w:spacing w:val="0"/>
          <w:w w:val="100"/>
          <w:position w:val="0"/>
        </w:rPr>
        <w:t>现金和现金等价物的构成</w:t>
      </w:r>
      <w:bookmarkEnd w:id="1680"/>
      <w:bookmarkEnd w:id="1681"/>
      <w:bookmarkEnd w:id="168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454,837,459.86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345,270,298.91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780,973.90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624,735.82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454,056,485.96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344,645,563.09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454,837,459.86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345,270,298.91</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8</w:t>
      </w:r>
      <w:bookmarkEnd w:id="1686"/>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684"/>
      <w:bookmarkEnd w:id="1685"/>
      <w:bookmarkEnd w:id="1687"/>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43"/>
        <w:keepNext/>
        <w:keepLines/>
        <w:widowControl w:val="0"/>
        <w:shd w:val="clear" w:color="auto" w:fill="auto"/>
        <w:bidi w:val="0"/>
        <w:spacing w:before="0" w:after="38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8</w:t>
      </w:r>
      <w:bookmarkEnd w:id="1690"/>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688"/>
      <w:bookmarkEnd w:id="1689"/>
      <w:bookmarkEnd w:id="1691"/>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118,518.75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应计利息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12,508,792.14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保函保证金、履约保证金</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2,075,121.52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14,702,432.41</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8</w:t>
      </w:r>
      <w:bookmarkEnd w:id="169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92"/>
      <w:bookmarkEnd w:id="1693"/>
      <w:bookmarkEnd w:id="1695"/>
    </w:p>
    <w:p>
      <w:pPr>
        <w:pStyle w:val="Style43"/>
        <w:keepNext/>
        <w:keepLines/>
        <w:widowControl w:val="0"/>
        <w:shd w:val="clear" w:color="auto" w:fill="auto"/>
        <w:bidi w:val="0"/>
        <w:spacing w:before="0" w:after="380" w:line="240" w:lineRule="auto"/>
        <w:ind w:left="0" w:right="0" w:firstLine="140"/>
        <w:jc w:val="left"/>
      </w:pPr>
      <w:bookmarkStart w:id="1692" w:name="bookmark1692"/>
      <w:bookmarkStart w:id="1693" w:name="bookmark1693"/>
      <w:bookmarkStart w:id="1696" w:name="bookmark1696"/>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92"/>
      <w:bookmarkEnd w:id="1693"/>
      <w:bookmarkEnd w:id="1696"/>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14,620,891.84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95,399,857.16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16,882.26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331" w:lineRule="exact"/>
        <w:ind w:left="0" w:right="0" w:firstLine="0"/>
        <w:jc w:val="left"/>
      </w:pPr>
      <w:bookmarkStart w:id="1697" w:name="bookmark1697"/>
      <w:bookmarkStart w:id="1698" w:name="bookmark1698"/>
      <w:bookmarkStart w:id="1699" w:name="bookmark16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97"/>
      <w:bookmarkEnd w:id="1698"/>
      <w:bookmarkEnd w:id="1699"/>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本公司之子公司榕基国际控股有限公司注册于香港，境外主要经营地为香港，记账本位币为港币。</w:t>
      </w:r>
    </w:p>
    <w:p>
      <w:pPr>
        <w:pStyle w:val="Style43"/>
        <w:keepNext/>
        <w:keepLines/>
        <w:widowControl w:val="0"/>
        <w:shd w:val="clear" w:color="auto" w:fill="auto"/>
        <w:tabs>
          <w:tab w:pos="483" w:val="left"/>
        </w:tabs>
        <w:bidi w:val="0"/>
        <w:spacing w:before="0" w:after="380" w:line="331" w:lineRule="exact"/>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8</w:t>
      </w:r>
      <w:bookmarkEnd w:id="1702"/>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00"/>
      <w:bookmarkEnd w:id="1701"/>
      <w:bookmarkEnd w:id="1703"/>
    </w:p>
    <w:p>
      <w:pPr>
        <w:pStyle w:val="Style3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43"/>
        <w:keepNext/>
        <w:keepLines/>
        <w:widowControl w:val="0"/>
        <w:shd w:val="clear" w:color="auto" w:fill="auto"/>
        <w:tabs>
          <w:tab w:pos="483" w:val="left"/>
        </w:tabs>
        <w:bidi w:val="0"/>
        <w:spacing w:before="0" w:after="280" w:line="331" w:lineRule="exact"/>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8</w:t>
      </w:r>
      <w:bookmarkEnd w:id="1706"/>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04"/>
      <w:bookmarkEnd w:id="1705"/>
      <w:bookmarkEnd w:id="1707"/>
    </w:p>
    <w:p>
      <w:pPr>
        <w:pStyle w:val="Style43"/>
        <w:keepNext/>
        <w:keepLines/>
        <w:widowControl w:val="0"/>
        <w:shd w:val="clear" w:color="auto" w:fill="auto"/>
        <w:bidi w:val="0"/>
        <w:spacing w:before="0" w:after="1060" w:line="331" w:lineRule="exact"/>
        <w:ind w:left="0" w:right="0" w:firstLine="0"/>
        <w:jc w:val="left"/>
      </w:pPr>
      <w:bookmarkStart w:id="1704" w:name="bookmark1704"/>
      <w:bookmarkStart w:id="1705" w:name="bookmark1705"/>
      <w:bookmarkStart w:id="1708" w:name="bookmark17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04"/>
      <w:bookmarkEnd w:id="1705"/>
      <w:bookmarkEnd w:id="170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1382"/>
        <w:gridCol w:w="2395"/>
        <w:gridCol w:w="240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信阳榕基软件园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项目补助资金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68,440,497.94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1,886,771.52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榕基马鞍山智慧园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项目补助资金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25,798,175.42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1,168,503.24</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年福建省互联网经济新增引导资金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榕基中小企业信息化公共服务平台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111,111.26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666,666.60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年福建省数字经济发展专项资金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星榕 基教育物联网示范工程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416,666.62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333,333.36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年福州市软件产业发展专项资金项目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首届福州市政府质量奖奖励金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年福建数字经济发展专项资金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2,935,539.94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2,935,539.94</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2,237,618.11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2,237,618.11</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年新认定国家企业技术中心市级奖励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bl>
    <w:p>
      <w:pPr>
        <w:spacing w:lineRule="exact" w:line="1"/>
        <w:rPr>
          <w:sz w:val="2"/>
          <w:szCs w:val="2"/>
        </w:rPr>
      </w:pPr>
      <w:r>
        <w:br w:type="page"/>
      </w:r>
    </w:p>
    <w:tbl>
      <w:tblPr>
        <w:tblOverlap w:val="never"/>
        <w:jc w:val="center"/>
        <w:tblLayout w:type="fixed"/>
      </w:tblPr>
      <w:tblGrid>
        <w:gridCol w:w="3408"/>
        <w:gridCol w:w="1382"/>
        <w:gridCol w:w="2395"/>
        <w:gridCol w:w="2400"/>
      </w:tblGrid>
      <w:tr>
        <w:trPr>
          <w:trHeight w:val="36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奖金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年第一批省级预算内投资计划经费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增值税税收返还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1,341,104.24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1,341,104.24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年企业提升规模奖励金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1,149,300.00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1,149,300.00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年数字化示范应用工程项目资金（市 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年度企业研发投入分段补助省级承担 部分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511,360.00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年度企业研发投入分段补助市级承担 部分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511,360.00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年省级新型研发机构一次性奖励补助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年软件产业发展专项资金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年高水平科技研发创新平台补助经费</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浙江省省级企业研发后补助资金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273,065.25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273,065.25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河南省首次认定高新技术企业奖补资金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工业企业结构调整专项奖补资金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年度企业研发经费投入分段预补助省 级承担部分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182,070.00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年度企业研发经费投入分段预补助市 级承担部分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182,070.00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年产学研配套奖励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年度区级高新技术企业扶持资金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十五万元以下零星补助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648,168.16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648,168.16</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09"/>
      <w:bookmarkEnd w:id="1710"/>
      <w:bookmarkEnd w:id="1711"/>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12"/>
      <w:bookmarkEnd w:id="1713"/>
      <w:bookmarkEnd w:id="1714"/>
    </w:p>
    <w:p>
      <w:pPr>
        <w:pStyle w:val="Style32"/>
        <w:keepNext/>
        <w:keepLines/>
        <w:widowControl w:val="0"/>
        <w:shd w:val="clear" w:color="auto" w:fill="auto"/>
        <w:bidi w:val="0"/>
        <w:spacing w:before="0" w:after="360" w:line="240" w:lineRule="auto"/>
        <w:ind w:left="0" w:right="0" w:firstLine="0"/>
        <w:jc w:val="left"/>
      </w:pPr>
      <w:bookmarkStart w:id="1715" w:name="bookmark1715"/>
      <w:bookmarkStart w:id="1716" w:name="bookmark1716"/>
      <w:bookmarkStart w:id="1717" w:name="bookmark1717"/>
      <w:bookmarkStart w:id="1718" w:name="bookmark1718"/>
      <w:r>
        <w:rPr>
          <w:color w:val="000000"/>
          <w:spacing w:val="0"/>
          <w:w w:val="100"/>
          <w:position w:val="0"/>
        </w:rPr>
        <w:t>八</w:t>
      </w:r>
      <w:bookmarkEnd w:id="1717"/>
      <w:r>
        <w:rPr>
          <w:color w:val="000000"/>
          <w:spacing w:val="0"/>
          <w:w w:val="100"/>
          <w:position w:val="0"/>
        </w:rPr>
        <w:t>、合并范围的变更</w:t>
      </w:r>
      <w:bookmarkEnd w:id="1715"/>
      <w:bookmarkEnd w:id="1716"/>
      <w:bookmarkEnd w:id="1718"/>
    </w:p>
    <w:p>
      <w:pPr>
        <w:pStyle w:val="Style43"/>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1</w:t>
      </w:r>
      <w:bookmarkEnd w:id="1721"/>
      <w:r>
        <w:rPr>
          <w:color w:val="000000"/>
          <w:spacing w:val="0"/>
          <w:w w:val="100"/>
          <w:position w:val="0"/>
        </w:rPr>
        <w:t>、非同一控制下企业合并</w:t>
      </w:r>
      <w:bookmarkEnd w:id="1719"/>
      <w:bookmarkEnd w:id="1720"/>
      <w:bookmarkEnd w:id="1722"/>
    </w:p>
    <w:p>
      <w:pPr>
        <w:pStyle w:val="Style43"/>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3" w:name="bookmark17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19"/>
      <w:bookmarkEnd w:id="1720"/>
      <w:bookmarkEnd w:id="1723"/>
    </w:p>
    <w:p>
      <w:pPr>
        <w:pStyle w:val="Style3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6"/>
        <w:gridCol w:w="1061"/>
        <w:gridCol w:w="1066"/>
        <w:gridCol w:w="1061"/>
        <w:gridCol w:w="1070"/>
      </w:tblGrid>
      <w:tr>
        <w:trPr>
          <w:trHeight w:val="10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380" w:line="240" w:lineRule="auto"/>
        <w:ind w:left="0" w:right="0" w:firstLine="0"/>
        <w:jc w:val="left"/>
        <w:rPr>
          <w:sz w:val="20"/>
          <w:szCs w:val="20"/>
        </w:rPr>
      </w:pPr>
      <w:r>
        <w:rPr>
          <w:b/>
          <w:bCs/>
          <w:i w:val="0"/>
          <w:iCs w:val="0"/>
          <w:color w:val="000000"/>
          <w:spacing w:val="0"/>
          <w:w w:val="100"/>
          <w:position w:val="0"/>
          <w:sz w:val="20"/>
          <w:szCs w:val="20"/>
        </w:rPr>
        <w:t>(</w:t>
      </w:r>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)合并成本及商誉</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6"/>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3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9"/>
        <w:keepNext w:val="0"/>
        <w:keepLines w:val="0"/>
        <w:widowControl w:val="0"/>
        <w:numPr>
          <w:ilvl w:val="0"/>
          <w:numId w:val="91"/>
        </w:numPr>
        <w:shd w:val="clear" w:color="auto" w:fill="auto"/>
        <w:bidi w:val="0"/>
        <w:spacing w:before="0" w:after="380" w:line="240" w:lineRule="auto"/>
        <w:ind w:left="0" w:right="0" w:firstLine="0"/>
        <w:jc w:val="left"/>
        <w:rPr>
          <w:sz w:val="20"/>
          <w:szCs w:val="20"/>
        </w:rPr>
      </w:pPr>
      <w:bookmarkStart w:id="1724" w:name="bookmark1724"/>
      <w:bookmarkEnd w:id="1724"/>
      <w:r>
        <w:rPr>
          <w:b/>
          <w:bCs/>
          <w:i w:val="0"/>
          <w:iCs w:val="0"/>
          <w:color w:val="000000"/>
          <w:spacing w:val="0"/>
          <w:w w:val="100"/>
          <w:position w:val="0"/>
          <w:sz w:val="20"/>
          <w:szCs w:val="20"/>
        </w:rPr>
        <w:t>被购买方于购买日可辨认资产、负债</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val="0"/>
        <w:keepLines w:val="0"/>
        <w:widowControl w:val="0"/>
        <w:numPr>
          <w:ilvl w:val="0"/>
          <w:numId w:val="91"/>
        </w:numPr>
        <w:shd w:val="clear" w:color="auto" w:fill="auto"/>
        <w:bidi w:val="0"/>
        <w:spacing w:before="0" w:after="380" w:line="240" w:lineRule="auto"/>
        <w:ind w:left="0" w:right="0" w:firstLine="0"/>
        <w:jc w:val="left"/>
        <w:rPr>
          <w:sz w:val="20"/>
          <w:szCs w:val="20"/>
        </w:rPr>
      </w:pPr>
      <w:bookmarkStart w:id="1725" w:name="bookmark1725"/>
      <w:bookmarkEnd w:id="1725"/>
      <w:r>
        <w:rPr>
          <w:b/>
          <w:bCs/>
          <w:i w:val="0"/>
          <w:iCs w:val="0"/>
          <w:color w:val="000000"/>
          <w:spacing w:val="0"/>
          <w:w w:val="100"/>
          <w:position w:val="0"/>
          <w:sz w:val="20"/>
          <w:szCs w:val="20"/>
        </w:rPr>
        <w:t>购买日之前持有的股权按照公允价值重新计量产生的利得或损失</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numPr>
          <w:ilvl w:val="0"/>
          <w:numId w:val="91"/>
        </w:numPr>
        <w:shd w:val="clear" w:color="auto" w:fill="auto"/>
        <w:bidi w:val="0"/>
        <w:spacing w:before="0" w:after="380" w:line="240" w:lineRule="auto"/>
        <w:ind w:left="0" w:right="0" w:firstLine="0"/>
        <w:jc w:val="left"/>
        <w:rPr>
          <w:sz w:val="20"/>
          <w:szCs w:val="20"/>
        </w:rPr>
      </w:pPr>
      <w:bookmarkStart w:id="1726" w:name="bookmark1726"/>
      <w:bookmarkEnd w:id="1726"/>
      <w:r>
        <w:rPr>
          <w:b/>
          <w:bCs/>
          <w:i w:val="0"/>
          <w:iCs w:val="0"/>
          <w:color w:val="000000"/>
          <w:spacing w:val="0"/>
          <w:w w:val="100"/>
          <w:position w:val="0"/>
          <w:sz w:val="20"/>
          <w:szCs w:val="20"/>
        </w:rPr>
        <w:t xml:space="preserve"> 购买日或合并当期期末无法合理确定合并对价或被购买方可辨认资产、负债公允价值的相关说明</w:t>
      </w:r>
    </w:p>
    <w:p>
      <w:pPr>
        <w:pStyle w:val="Style39"/>
        <w:keepNext w:val="0"/>
        <w:keepLines w:val="0"/>
        <w:widowControl w:val="0"/>
        <w:numPr>
          <w:ilvl w:val="0"/>
          <w:numId w:val="91"/>
        </w:numPr>
        <w:shd w:val="clear" w:color="auto" w:fill="auto"/>
        <w:tabs>
          <w:tab w:pos="493" w:val="left"/>
        </w:tabs>
        <w:bidi w:val="0"/>
        <w:spacing w:before="0" w:after="380" w:line="240" w:lineRule="auto"/>
        <w:ind w:left="0" w:right="0" w:firstLine="0"/>
        <w:jc w:val="left"/>
        <w:rPr>
          <w:sz w:val="20"/>
          <w:szCs w:val="20"/>
        </w:rPr>
      </w:pPr>
      <w:bookmarkStart w:id="1727" w:name="bookmark1727"/>
      <w:bookmarkEnd w:id="1727"/>
      <w:r>
        <w:rPr>
          <w:b/>
          <w:bCs/>
          <w:i w:val="0"/>
          <w:iCs w:val="0"/>
          <w:color w:val="000000"/>
          <w:spacing w:val="0"/>
          <w:w w:val="100"/>
          <w:position w:val="0"/>
          <w:sz w:val="20"/>
          <w:szCs w:val="20"/>
        </w:rPr>
        <w:t>其他说明</w:t>
      </w:r>
    </w:p>
    <w:p>
      <w:pPr>
        <w:pStyle w:val="Style39"/>
        <w:keepNext w:val="0"/>
        <w:keepLines w:val="0"/>
        <w:widowControl w:val="0"/>
        <w:shd w:val="clear" w:color="auto" w:fill="auto"/>
        <w:bidi w:val="0"/>
        <w:spacing w:before="0" w:after="380" w:line="240" w:lineRule="auto"/>
        <w:ind w:left="0" w:right="0" w:firstLine="0"/>
        <w:jc w:val="left"/>
        <w:rPr>
          <w:sz w:val="20"/>
          <w:szCs w:val="20"/>
        </w:rPr>
      </w:pPr>
      <w:bookmarkStart w:id="1728" w:name="bookmark1728"/>
      <w:r>
        <w:rPr>
          <w:rFonts w:ascii="Times New Roman" w:eastAsia="Times New Roman" w:hAnsi="Times New Roman" w:cs="Times New Roman"/>
          <w:b/>
          <w:bCs/>
          <w:i w:val="0"/>
          <w:iCs w:val="0"/>
          <w:color w:val="000000"/>
          <w:spacing w:val="0"/>
          <w:w w:val="100"/>
          <w:position w:val="0"/>
          <w:sz w:val="20"/>
          <w:szCs w:val="20"/>
        </w:rPr>
        <w:t>2</w:t>
      </w:r>
      <w:bookmarkEnd w:id="1728"/>
      <w:r>
        <w:rPr>
          <w:b/>
          <w:bCs/>
          <w:i w:val="0"/>
          <w:iCs w:val="0"/>
          <w:color w:val="000000"/>
          <w:spacing w:val="0"/>
          <w:w w:val="100"/>
          <w:position w:val="0"/>
          <w:sz w:val="20"/>
          <w:szCs w:val="20"/>
        </w:rPr>
        <w:t>、同一控制下企业合并</w:t>
      </w:r>
    </w:p>
    <w:p>
      <w:pPr>
        <w:pStyle w:val="Style39"/>
        <w:keepNext w:val="0"/>
        <w:keepLines w:val="0"/>
        <w:widowControl w:val="0"/>
        <w:shd w:val="clear" w:color="auto" w:fill="auto"/>
        <w:bidi w:val="0"/>
        <w:spacing w:before="0" w:after="380" w:line="240" w:lineRule="auto"/>
        <w:ind w:left="0" w:right="0" w:firstLine="0"/>
        <w:jc w:val="left"/>
        <w:rPr>
          <w:sz w:val="20"/>
          <w:szCs w:val="20"/>
        </w:rPr>
      </w:pPr>
      <w:r>
        <w:rPr>
          <w:b/>
          <w:bCs/>
          <w:i w:val="0"/>
          <w:iCs w:val="0"/>
          <w:color w:val="000000"/>
          <w:spacing w:val="0"/>
          <w:w w:val="100"/>
          <w:position w:val="0"/>
          <w:sz w:val="20"/>
          <w:szCs w:val="20"/>
        </w:rPr>
        <w:t>(</w:t>
      </w: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)本期发生的同一控制下企业合并</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140"/>
        <w:jc w:val="left"/>
      </w:pPr>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29"/>
      <w:bookmarkEnd w:id="1730"/>
      <w:bookmarkEnd w:id="1731"/>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rPr>
        <w:t>（</w:t>
      </w:r>
      <w:bookmarkEnd w:id="173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32"/>
      <w:bookmarkEnd w:id="1733"/>
      <w:bookmarkEnd w:id="173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tabs>
          <w:tab w:pos="378" w:val="left"/>
        </w:tabs>
        <w:bidi w:val="0"/>
        <w:spacing w:before="0" w:after="38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3</w:t>
      </w:r>
      <w:bookmarkEnd w:id="1738"/>
      <w:r>
        <w:rPr>
          <w:color w:val="000000"/>
          <w:spacing w:val="0"/>
          <w:w w:val="100"/>
          <w:position w:val="0"/>
        </w:rPr>
        <w:t>、</w:t>
        <w:tab/>
        <w:t>反向购买</w:t>
      </w:r>
      <w:bookmarkEnd w:id="1736"/>
      <w:bookmarkEnd w:id="1737"/>
      <w:bookmarkEnd w:id="1739"/>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益性交易处理时调整权益的金额及其计算：</w:t>
      </w:r>
    </w:p>
    <w:p>
      <w:pPr>
        <w:pStyle w:val="Style43"/>
        <w:keepNext/>
        <w:keepLines/>
        <w:widowControl w:val="0"/>
        <w:shd w:val="clear" w:color="auto" w:fill="auto"/>
        <w:tabs>
          <w:tab w:pos="378" w:val="left"/>
        </w:tabs>
        <w:bidi w:val="0"/>
        <w:spacing w:before="0" w:after="38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4</w:t>
      </w:r>
      <w:bookmarkEnd w:id="1742"/>
      <w:r>
        <w:rPr>
          <w:color w:val="000000"/>
          <w:spacing w:val="0"/>
          <w:w w:val="100"/>
          <w:position w:val="0"/>
        </w:rPr>
        <w:t>、</w:t>
        <w:tab/>
        <w:t>处置子公司</w:t>
      </w:r>
      <w:bookmarkEnd w:id="1740"/>
      <w:bookmarkEnd w:id="1741"/>
      <w:bookmarkEnd w:id="1743"/>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keepLines/>
        <w:widowControl w:val="0"/>
        <w:shd w:val="clear" w:color="auto" w:fill="auto"/>
        <w:tabs>
          <w:tab w:pos="378" w:val="left"/>
        </w:tabs>
        <w:bidi w:val="0"/>
        <w:spacing w:before="0" w:after="38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5</w:t>
      </w:r>
      <w:bookmarkEnd w:id="1746"/>
      <w:r>
        <w:rPr>
          <w:color w:val="000000"/>
          <w:spacing w:val="0"/>
          <w:w w:val="100"/>
          <w:position w:val="0"/>
        </w:rPr>
        <w:t>、</w:t>
        <w:tab/>
        <w:t>其他原因的合并范围变动</w:t>
      </w:r>
      <w:bookmarkEnd w:id="1744"/>
      <w:bookmarkEnd w:id="1745"/>
      <w:bookmarkEnd w:id="1747"/>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43"/>
        <w:keepNext/>
        <w:keepLines/>
        <w:widowControl w:val="0"/>
        <w:shd w:val="clear" w:color="auto" w:fill="auto"/>
        <w:tabs>
          <w:tab w:pos="378" w:val="left"/>
        </w:tabs>
        <w:bidi w:val="0"/>
        <w:spacing w:before="0" w:after="38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6</w:t>
      </w:r>
      <w:bookmarkEnd w:id="1750"/>
      <w:r>
        <w:rPr>
          <w:color w:val="000000"/>
          <w:spacing w:val="0"/>
          <w:w w:val="100"/>
          <w:position w:val="0"/>
        </w:rPr>
        <w:t>、</w:t>
        <w:tab/>
        <w:t>其他</w:t>
      </w:r>
      <w:bookmarkEnd w:id="1748"/>
      <w:bookmarkEnd w:id="1749"/>
      <w:bookmarkEnd w:id="1751"/>
    </w:p>
    <w:p>
      <w:pPr>
        <w:pStyle w:val="Style32"/>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九</w:t>
      </w:r>
      <w:bookmarkEnd w:id="1754"/>
      <w:r>
        <w:rPr>
          <w:color w:val="000000"/>
          <w:spacing w:val="0"/>
          <w:w w:val="100"/>
          <w:position w:val="0"/>
        </w:rPr>
        <w:t>、在其他主体中的权益</w:t>
      </w:r>
      <w:bookmarkEnd w:id="1752"/>
      <w:bookmarkEnd w:id="1753"/>
      <w:bookmarkEnd w:id="1755"/>
    </w:p>
    <w:p>
      <w:pPr>
        <w:pStyle w:val="Style43"/>
        <w:keepNext/>
        <w:keepLines/>
        <w:widowControl w:val="0"/>
        <w:shd w:val="clear" w:color="auto" w:fill="auto"/>
        <w:bidi w:val="0"/>
        <w:spacing w:before="0" w:after="380" w:line="240" w:lineRule="auto"/>
        <w:ind w:left="0" w:right="0" w:firstLine="0"/>
        <w:jc w:val="left"/>
      </w:pPr>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56"/>
      <w:bookmarkEnd w:id="1757"/>
      <w:bookmarkEnd w:id="1758"/>
    </w:p>
    <w:p>
      <w:pPr>
        <w:pStyle w:val="Style43"/>
        <w:keepNext/>
        <w:keepLines/>
        <w:widowControl w:val="0"/>
        <w:shd w:val="clear" w:color="auto" w:fill="auto"/>
        <w:bidi w:val="0"/>
        <w:spacing w:before="0" w:after="380" w:line="240" w:lineRule="auto"/>
        <w:ind w:left="0" w:right="0" w:firstLine="0"/>
        <w:jc w:val="left"/>
      </w:pPr>
      <w:bookmarkStart w:id="1756" w:name="bookmark1756"/>
      <w:bookmarkStart w:id="1757" w:name="bookmark1757"/>
      <w:bookmarkStart w:id="1759" w:name="bookmark17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56"/>
      <w:bookmarkEnd w:id="1757"/>
      <w:bookmarkEnd w:id="1759"/>
    </w:p>
    <w:tbl>
      <w:tblPr>
        <w:tblOverlap w:val="never"/>
        <w:jc w:val="center"/>
        <w:tblLayout w:type="fixed"/>
      </w:tblPr>
      <w:tblGrid>
        <w:gridCol w:w="1378"/>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取得方式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浙江榕基信息技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3"/>
        <w:gridCol w:w="1368"/>
        <w:gridCol w:w="1378"/>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上海榕基软件开 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榕基五一（北 京）信息技术有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河南榕基信息技 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马鞍山榕基软件 信息科技有限公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北京中榕基信息 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福建榕基软件工 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福建榕基投资有</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实业投资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信阳榕基信息技 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信阳市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信阳市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榕基国际控股有</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实业投资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河南豫础置业有</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福州榕易付网络 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福建星榕基信息 科技有限责任公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福州创华电气自 动化系统有限公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福建容大物联网 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马鞍山榕基置业 投资有限公司</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（孙公司）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沈阳榕基信息技 术有限公司（孙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tbl>
      <w:tblPr>
        <w:tblOverlap w:val="never"/>
        <w:jc w:val="center"/>
        <w:tblLayout w:type="fixed"/>
      </w:tblPr>
      <w:tblGrid>
        <w:gridCol w:w="1378"/>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河南裕信德置业 有限公司（孙公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760" w:name="bookmark1760"/>
      <w:bookmarkStart w:id="1761" w:name="bookmark1761"/>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60"/>
      <w:bookmarkEnd w:id="1761"/>
      <w:bookmarkEnd w:id="1762"/>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0"/>
      </w:tblGrid>
      <w:tr>
        <w:trPr>
          <w:trHeight w:val="77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本期归属于少数股东的</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期末少数股东权益余额</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w:t>
      </w:r>
      <w:bookmarkEnd w:id="176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63"/>
      <w:bookmarkEnd w:id="1764"/>
      <w:bookmarkEnd w:id="1766"/>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p>
      <w:pPr>
        <w:widowControl w:val="0"/>
        <w:spacing w:after="79"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3"/>
        <w:keepNext/>
        <w:keepLines/>
        <w:widowControl w:val="0"/>
        <w:shd w:val="clear" w:color="auto" w:fill="auto"/>
        <w:tabs>
          <w:tab w:pos="493" w:val="left"/>
        </w:tabs>
        <w:bidi w:val="0"/>
        <w:spacing w:before="0" w:after="380" w:line="240" w:lineRule="auto"/>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rPr>
        <w:t>（</w:t>
      </w:r>
      <w:bookmarkEnd w:id="176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67"/>
      <w:bookmarkEnd w:id="1768"/>
      <w:bookmarkEnd w:id="1770"/>
    </w:p>
    <w:p>
      <w:pPr>
        <w:pStyle w:val="Style43"/>
        <w:keepNext/>
        <w:keepLines/>
        <w:widowControl w:val="0"/>
        <w:shd w:val="clear" w:color="auto" w:fill="auto"/>
        <w:tabs>
          <w:tab w:pos="493" w:val="left"/>
        </w:tabs>
        <w:bidi w:val="0"/>
        <w:spacing w:before="0" w:after="380" w:line="240" w:lineRule="auto"/>
        <w:ind w:left="0" w:right="0" w:firstLine="0"/>
        <w:jc w:val="left"/>
      </w:pPr>
      <w:bookmarkStart w:id="1767" w:name="bookmark1767"/>
      <w:bookmarkStart w:id="1768" w:name="bookmark1768"/>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67"/>
      <w:bookmarkEnd w:id="1768"/>
      <w:bookmarkEnd w:id="1772"/>
    </w:p>
    <w:p>
      <w:pPr>
        <w:pStyle w:val="Style36"/>
        <w:keepNext w:val="0"/>
        <w:keepLines w:val="0"/>
        <w:widowControl w:val="0"/>
        <w:shd w:val="clear" w:color="auto" w:fill="auto"/>
        <w:bidi w:val="0"/>
        <w:spacing w:before="0" w:after="140" w:line="240" w:lineRule="auto"/>
        <w:ind w:left="0" w:right="0" w:firstLine="0"/>
        <w:jc w:val="left"/>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441" w:right="1107" w:bottom="1427" w:left="1101" w:header="0" w:footer="3" w:gutter="0"/>
          <w:cols w:space="720"/>
          <w:noEndnote/>
          <w:rtlGutter w:val="0"/>
          <w:docGrid w:linePitch="360"/>
        </w:sectPr>
      </w:pPr>
      <w:r>
        <w:rPr>
          <w:color w:val="000000"/>
          <w:spacing w:val="0"/>
          <w:w w:val="100"/>
          <w:position w:val="0"/>
        </w:rPr>
        <w:t>其他说明：</w:t>
      </w:r>
    </w:p>
    <w:p>
      <w:pPr>
        <w:pStyle w:val="Style43"/>
        <w:keepNext/>
        <w:keepLines/>
        <w:widowControl w:val="0"/>
        <w:shd w:val="clear" w:color="auto" w:fill="auto"/>
        <w:bidi w:val="0"/>
        <w:spacing w:before="8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2</w:t>
      </w:r>
      <w:bookmarkEnd w:id="1775"/>
      <w:r>
        <w:rPr>
          <w:color w:val="000000"/>
          <w:spacing w:val="0"/>
          <w:w w:val="100"/>
          <w:position w:val="0"/>
        </w:rPr>
        <w:t>、在子公司的所有者权益份额发生变化且仍控制子公司的交易</w:t>
      </w:r>
      <w:bookmarkEnd w:id="1773"/>
      <w:bookmarkEnd w:id="1774"/>
      <w:bookmarkEnd w:id="1776"/>
    </w:p>
    <w:p>
      <w:pPr>
        <w:pStyle w:val="Style43"/>
        <w:keepNext/>
        <w:keepLines/>
        <w:widowControl w:val="0"/>
        <w:shd w:val="clear" w:color="auto" w:fill="auto"/>
        <w:tabs>
          <w:tab w:pos="493" w:val="left"/>
        </w:tabs>
        <w:bidi w:val="0"/>
        <w:spacing w:before="0" w:line="240" w:lineRule="auto"/>
        <w:ind w:left="0" w:right="0" w:firstLine="0"/>
        <w:jc w:val="left"/>
      </w:pPr>
      <w:bookmarkStart w:id="1773" w:name="bookmark1773"/>
      <w:bookmarkStart w:id="1774" w:name="bookmark1774"/>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73"/>
      <w:bookmarkEnd w:id="1774"/>
      <w:bookmarkEnd w:id="1778"/>
    </w:p>
    <w:p>
      <w:pPr>
        <w:pStyle w:val="Style43"/>
        <w:keepNext/>
        <w:keepLines/>
        <w:widowControl w:val="0"/>
        <w:shd w:val="clear" w:color="auto" w:fill="auto"/>
        <w:tabs>
          <w:tab w:pos="493" w:val="left"/>
        </w:tabs>
        <w:bidi w:val="0"/>
        <w:spacing w:before="0" w:line="240" w:lineRule="auto"/>
        <w:ind w:left="0" w:right="0" w:firstLine="0"/>
        <w:jc w:val="left"/>
      </w:pPr>
      <w:bookmarkStart w:id="1773" w:name="bookmark1773"/>
      <w:bookmarkStart w:id="1774" w:name="bookmark1774"/>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73"/>
      <w:bookmarkEnd w:id="1774"/>
      <w:bookmarkEnd w:id="1780"/>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3</w:t>
      </w:r>
      <w:bookmarkEnd w:id="1783"/>
      <w:r>
        <w:rPr>
          <w:color w:val="000000"/>
          <w:spacing w:val="0"/>
          <w:w w:val="100"/>
          <w:position w:val="0"/>
        </w:rPr>
        <w:t>、在合营安排或联营企业中的权益</w:t>
      </w:r>
      <w:bookmarkEnd w:id="1781"/>
      <w:bookmarkEnd w:id="1782"/>
      <w:bookmarkEnd w:id="1784"/>
    </w:p>
    <w:p>
      <w:pPr>
        <w:pStyle w:val="Style43"/>
        <w:keepNext/>
        <w:keepLines/>
        <w:widowControl w:val="0"/>
        <w:shd w:val="clear" w:color="auto" w:fill="auto"/>
        <w:bidi w:val="0"/>
        <w:spacing w:before="0" w:line="240" w:lineRule="auto"/>
        <w:ind w:left="0" w:right="0" w:firstLine="0"/>
        <w:jc w:val="left"/>
      </w:pPr>
      <w:bookmarkStart w:id="1781" w:name="bookmark1781"/>
      <w:bookmarkStart w:id="1782" w:name="bookmark1782"/>
      <w:bookmarkStart w:id="1785" w:name="bookmark17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81"/>
      <w:bookmarkEnd w:id="1782"/>
      <w:bookmarkEnd w:id="1785"/>
    </w:p>
    <w:tbl>
      <w:tblPr>
        <w:tblOverlap w:val="never"/>
        <w:jc w:val="center"/>
        <w:tblLayout w:type="fixed"/>
      </w:tblPr>
      <w:tblGrid>
        <w:gridCol w:w="1378"/>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福建亿榕信息技 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福建文鑫莲业有 限责任公司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建宁县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建宁县将屯工业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权益法（说明）</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福建文鑫莲业有限责任公司董事会成员中的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人由本公司委派，本公司对其具有重大影响。</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3"/>
        <w:keepNext/>
        <w:keepLines/>
        <w:widowControl w:val="0"/>
        <w:shd w:val="clear" w:color="auto" w:fill="auto"/>
        <w:bidi w:val="0"/>
        <w:spacing w:before="0" w:line="240" w:lineRule="auto"/>
        <w:ind w:left="0" w:right="0" w:firstLine="140"/>
        <w:jc w:val="left"/>
      </w:pPr>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86"/>
      <w:bookmarkEnd w:id="1787"/>
      <w:bookmarkEnd w:id="1788"/>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3"/>
        <w:keepNext/>
        <w:keepLines/>
        <w:widowControl w:val="0"/>
        <w:shd w:val="clear" w:color="auto" w:fill="auto"/>
        <w:bidi w:val="0"/>
        <w:spacing w:before="0" w:line="240" w:lineRule="auto"/>
        <w:ind w:left="0" w:right="0" w:firstLine="14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w:t>
      </w:r>
      <w:bookmarkEnd w:id="1791"/>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789"/>
      <w:bookmarkEnd w:id="1790"/>
      <w:bookmarkEnd w:id="1792"/>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福建亿榕信息技术有限 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福建文鑫莲业有限责任 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福建亿榕信息技术有限 公司</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福建文鑫莲业有限责任 公司</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714,042,576.69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138,655,364.28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715,962,208.71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128,999,521.21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87,368,815.24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66,616,782.51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88,173,941.01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65,877,269.75</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801,411,391.93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205,272,146.79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804,136,149.72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194,876,790.96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586,349,840.90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69,803,287.99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600,994,575.28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58,424,381.43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46,716,389.83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45,759,898.05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586,349,840.90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116,519,677.82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600,994,575.28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104,184,279.48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215,061,551.03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88,752,468.97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203,141,574.44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90,692,511.48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2,106,826.89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2,106,826.89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215,061,551.03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86,645,642.08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203,141,574.44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88,585,684.59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87,530,051.27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10,900,021.77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82,678,620.80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11,144,079.12</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87,530,051.27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25,670,424.13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82,678,620.80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25,914,481.48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227,295,979.93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15,556,256.71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326,296,059.16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19,460,821.22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11,919,976.59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-1,940,042.51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2,496,027.46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-7,371,013.23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11,919,976.59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-1,940,042.51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2,496,027.46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-7,371,013.23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3"/>
        <w:keepNext/>
        <w:keepLines/>
        <w:widowControl w:val="0"/>
        <w:numPr>
          <w:ilvl w:val="0"/>
          <w:numId w:val="83"/>
        </w:numPr>
        <w:shd w:val="clear" w:color="auto" w:fill="auto"/>
        <w:bidi w:val="0"/>
        <w:spacing w:before="0" w:line="240" w:lineRule="auto"/>
        <w:ind w:left="0" w:right="0" w:firstLine="0"/>
        <w:jc w:val="left"/>
      </w:pPr>
      <w:bookmarkStart w:id="1793" w:name="bookmark1793"/>
      <w:bookmarkStart w:id="1794" w:name="bookmark1794"/>
      <w:bookmarkStart w:id="1795" w:name="bookmark1795"/>
      <w:bookmarkStart w:id="1796" w:name="bookmark1796"/>
      <w:bookmarkEnd w:id="1795"/>
      <w:r>
        <w:rPr>
          <w:color w:val="000000"/>
          <w:spacing w:val="0"/>
          <w:w w:val="100"/>
          <w:position w:val="0"/>
        </w:rPr>
        <w:t>不重要的合营企业和联营企业的汇总财务信息</w:t>
      </w:r>
      <w:bookmarkEnd w:id="1793"/>
      <w:bookmarkEnd w:id="1794"/>
      <w:bookmarkEnd w:id="179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11,033,525.20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8,934,717.52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5,970,536.22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1,344,183.66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5,970,536.22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1,344,183.66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3"/>
        <w:keepNext/>
        <w:keepLines/>
        <w:widowControl w:val="0"/>
        <w:numPr>
          <w:ilvl w:val="0"/>
          <w:numId w:val="83"/>
        </w:numPr>
        <w:shd w:val="clear" w:color="auto" w:fill="auto"/>
        <w:tabs>
          <w:tab w:pos="493" w:val="left"/>
        </w:tabs>
        <w:bidi w:val="0"/>
        <w:spacing w:before="0" w:line="240" w:lineRule="auto"/>
        <w:ind w:left="0" w:right="0" w:firstLine="0"/>
        <w:jc w:val="left"/>
      </w:pPr>
      <w:bookmarkStart w:id="1797" w:name="bookmark1797"/>
      <w:bookmarkStart w:id="1798" w:name="bookmark1798"/>
      <w:bookmarkStart w:id="1799" w:name="bookmark1799"/>
      <w:bookmarkStart w:id="1800" w:name="bookmark1800"/>
      <w:bookmarkEnd w:id="1799"/>
      <w:r>
        <w:rPr>
          <w:color w:val="000000"/>
          <w:spacing w:val="0"/>
          <w:w w:val="100"/>
          <w:position w:val="0"/>
        </w:rPr>
        <w:t>合营企业或联营企业向本公司转移资金的能力存在重大限制的说明</w:t>
      </w:r>
      <w:bookmarkEnd w:id="1797"/>
      <w:bookmarkEnd w:id="1798"/>
      <w:bookmarkEnd w:id="1800"/>
    </w:p>
    <w:p>
      <w:pPr>
        <w:pStyle w:val="Style43"/>
        <w:keepNext/>
        <w:keepLines/>
        <w:widowControl w:val="0"/>
        <w:numPr>
          <w:ilvl w:val="0"/>
          <w:numId w:val="83"/>
        </w:numPr>
        <w:shd w:val="clear" w:color="auto" w:fill="auto"/>
        <w:tabs>
          <w:tab w:pos="493" w:val="left"/>
        </w:tabs>
        <w:bidi w:val="0"/>
        <w:spacing w:before="0" w:line="240" w:lineRule="auto"/>
        <w:ind w:left="0" w:right="0" w:firstLine="0"/>
        <w:jc w:val="left"/>
      </w:pPr>
      <w:bookmarkStart w:id="1797" w:name="bookmark1797"/>
      <w:bookmarkStart w:id="1798" w:name="bookmark1798"/>
      <w:bookmarkStart w:id="1801" w:name="bookmark1801"/>
      <w:bookmarkStart w:id="1802" w:name="bookmark1802"/>
      <w:bookmarkEnd w:id="1801"/>
      <w:r>
        <w:rPr>
          <w:color w:val="000000"/>
          <w:spacing w:val="0"/>
          <w:w w:val="100"/>
          <w:position w:val="0"/>
        </w:rPr>
        <w:t>合营企业或联营企业发生的超额亏损</w:t>
      </w:r>
      <w:bookmarkEnd w:id="1797"/>
      <w:bookmarkEnd w:id="1798"/>
      <w:bookmarkEnd w:id="1802"/>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3"/>
        <w:keepNext/>
        <w:keepLines/>
        <w:widowControl w:val="0"/>
        <w:shd w:val="clear" w:color="auto" w:fill="auto"/>
        <w:tabs>
          <w:tab w:pos="493" w:val="left"/>
        </w:tabs>
        <w:bidi w:val="0"/>
        <w:spacing w:before="0" w:line="240" w:lineRule="auto"/>
        <w:ind w:left="0" w:right="0" w:firstLine="0"/>
        <w:jc w:val="left"/>
      </w:pPr>
      <w:bookmarkStart w:id="1803" w:name="bookmark1803"/>
      <w:bookmarkStart w:id="1804" w:name="bookmark1804"/>
      <w:bookmarkStart w:id="1805" w:name="bookmark1805"/>
      <w:bookmarkStart w:id="1806" w:name="bookmark1806"/>
      <w:r>
        <w:rPr>
          <w:color w:val="000000"/>
          <w:spacing w:val="0"/>
          <w:w w:val="100"/>
          <w:position w:val="0"/>
        </w:rPr>
        <w:t>（</w:t>
      </w:r>
      <w:bookmarkEnd w:id="1805"/>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03"/>
      <w:bookmarkEnd w:id="1804"/>
      <w:bookmarkEnd w:id="1806"/>
    </w:p>
    <w:p>
      <w:pPr>
        <w:pStyle w:val="Style43"/>
        <w:keepNext/>
        <w:keepLines/>
        <w:widowControl w:val="0"/>
        <w:shd w:val="clear" w:color="auto" w:fill="auto"/>
        <w:tabs>
          <w:tab w:pos="493" w:val="left"/>
        </w:tabs>
        <w:bidi w:val="0"/>
        <w:spacing w:before="0" w:line="240" w:lineRule="auto"/>
        <w:ind w:left="0" w:right="0" w:firstLine="0"/>
        <w:jc w:val="left"/>
      </w:pPr>
      <w:bookmarkStart w:id="1803" w:name="bookmark1803"/>
      <w:bookmarkStart w:id="1804" w:name="bookmark1804"/>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03"/>
      <w:bookmarkEnd w:id="1804"/>
      <w:bookmarkEnd w:id="1808"/>
    </w:p>
    <w:p>
      <w:pPr>
        <w:pStyle w:val="Style43"/>
        <w:keepNext/>
        <w:keepLines/>
        <w:widowControl w:val="0"/>
        <w:shd w:val="clear" w:color="auto" w:fill="auto"/>
        <w:bidi w:val="0"/>
        <w:spacing w:before="0" w:line="240" w:lineRule="auto"/>
        <w:ind w:left="0" w:right="0" w:firstLine="0"/>
        <w:jc w:val="left"/>
      </w:pPr>
      <w:bookmarkStart w:id="1803" w:name="bookmark1803"/>
      <w:bookmarkStart w:id="1804" w:name="bookmark1804"/>
      <w:bookmarkStart w:id="1809" w:name="bookmark1809"/>
      <w:bookmarkStart w:id="1810" w:name="bookmark1810"/>
      <w:r>
        <w:rPr>
          <w:rFonts w:ascii="Times New Roman" w:eastAsia="Times New Roman" w:hAnsi="Times New Roman" w:cs="Times New Roman"/>
          <w:color w:val="000000"/>
          <w:spacing w:val="0"/>
          <w:w w:val="100"/>
          <w:position w:val="0"/>
        </w:rPr>
        <w:t>4</w:t>
      </w:r>
      <w:bookmarkEnd w:id="1809"/>
      <w:r>
        <w:rPr>
          <w:color w:val="000000"/>
          <w:spacing w:val="0"/>
          <w:w w:val="100"/>
          <w:position w:val="0"/>
        </w:rPr>
        <w:t>、重要的共同经营</w:t>
      </w:r>
      <w:bookmarkEnd w:id="1803"/>
      <w:bookmarkEnd w:id="1804"/>
      <w:bookmarkEnd w:id="1810"/>
    </w:p>
    <w:tbl>
      <w:tblPr>
        <w:tblOverlap w:val="never"/>
        <w:jc w:val="center"/>
        <w:tblLayout w:type="fixed"/>
      </w:tblPr>
      <w:tblGrid>
        <w:gridCol w:w="1603"/>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6"/>
        <w:keepNext w:val="0"/>
        <w:keepLines w:val="0"/>
        <w:widowControl w:val="0"/>
        <w:shd w:val="clear" w:color="auto" w:fill="auto"/>
        <w:bidi w:val="0"/>
        <w:spacing w:before="0" w:line="311" w:lineRule="exact"/>
        <w:ind w:left="0" w:right="0" w:firstLine="0"/>
        <w:jc w:val="left"/>
      </w:pPr>
      <w:r>
        <w:rPr>
          <w:color w:val="000000"/>
          <w:spacing w:val="0"/>
          <w:w w:val="100"/>
          <w:position w:val="0"/>
        </w:rPr>
        <w:t>在共同经营中的持股比例或享有的份额不同于表决权比例的说明：</w:t>
      </w:r>
    </w:p>
    <w:p>
      <w:pPr>
        <w:pStyle w:val="Style36"/>
        <w:keepNext w:val="0"/>
        <w:keepLines w:val="0"/>
        <w:widowControl w:val="0"/>
        <w:shd w:val="clear" w:color="auto" w:fill="auto"/>
        <w:bidi w:val="0"/>
        <w:spacing w:before="0" w:line="311" w:lineRule="exact"/>
        <w:ind w:left="0" w:right="0" w:firstLine="0"/>
        <w:jc w:val="left"/>
      </w:pPr>
      <w:r>
        <w:rPr>
          <w:color w:val="000000"/>
          <w:spacing w:val="0"/>
          <w:w w:val="100"/>
          <w:position w:val="0"/>
        </w:rPr>
        <w:t>共同经营为单独主体的，分类为共同经营的依据：</w:t>
      </w:r>
    </w:p>
    <w:p>
      <w:pPr>
        <w:pStyle w:val="Style36"/>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其他说明</w:t>
      </w:r>
    </w:p>
    <w:p>
      <w:pPr>
        <w:pStyle w:val="Style43"/>
        <w:keepNext/>
        <w:keepLines/>
        <w:widowControl w:val="0"/>
        <w:shd w:val="clear" w:color="auto" w:fill="auto"/>
        <w:tabs>
          <w:tab w:pos="378" w:val="left"/>
        </w:tabs>
        <w:bidi w:val="0"/>
        <w:spacing w:before="0" w:after="260" w:line="240" w:lineRule="auto"/>
        <w:ind w:left="0" w:right="0" w:firstLine="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5</w:t>
      </w:r>
      <w:bookmarkEnd w:id="1813"/>
      <w:r>
        <w:rPr>
          <w:color w:val="000000"/>
          <w:spacing w:val="0"/>
          <w:w w:val="100"/>
          <w:position w:val="0"/>
        </w:rPr>
        <w:t>、</w:t>
        <w:tab/>
        <w:t>在未纳入合并财务报表范围的结构化主体中的权益</w:t>
      </w:r>
      <w:bookmarkEnd w:id="1811"/>
      <w:bookmarkEnd w:id="1812"/>
      <w:bookmarkEnd w:id="1814"/>
    </w:p>
    <w:p>
      <w:pPr>
        <w:pStyle w:val="Style36"/>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未纳入合并财务报表范围的结构化主体的相关说明：</w:t>
      </w:r>
    </w:p>
    <w:p>
      <w:pPr>
        <w:pStyle w:val="Style43"/>
        <w:keepNext/>
        <w:keepLines/>
        <w:widowControl w:val="0"/>
        <w:shd w:val="clear" w:color="auto" w:fill="auto"/>
        <w:tabs>
          <w:tab w:pos="378" w:val="left"/>
        </w:tabs>
        <w:bidi w:val="0"/>
        <w:spacing w:before="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6</w:t>
      </w:r>
      <w:bookmarkEnd w:id="1817"/>
      <w:r>
        <w:rPr>
          <w:color w:val="000000"/>
          <w:spacing w:val="0"/>
          <w:w w:val="100"/>
          <w:position w:val="0"/>
        </w:rPr>
        <w:t>、</w:t>
        <w:tab/>
        <w:t>其他</w:t>
      </w:r>
      <w:bookmarkEnd w:id="1815"/>
      <w:bookmarkEnd w:id="1816"/>
      <w:bookmarkEnd w:id="1818"/>
    </w:p>
    <w:p>
      <w:pPr>
        <w:pStyle w:val="Style32"/>
        <w:keepNext/>
        <w:keepLines/>
        <w:widowControl w:val="0"/>
        <w:shd w:val="clear" w:color="auto" w:fill="auto"/>
        <w:bidi w:val="0"/>
        <w:spacing w:before="0" w:after="260" w:line="240" w:lineRule="auto"/>
        <w:ind w:left="0" w:right="0" w:firstLine="0"/>
        <w:jc w:val="left"/>
      </w:pPr>
      <w:bookmarkStart w:id="1819" w:name="bookmark1819"/>
      <w:bookmarkStart w:id="1820" w:name="bookmark1820"/>
      <w:bookmarkStart w:id="1821" w:name="bookmark1821"/>
      <w:r>
        <w:rPr>
          <w:color w:val="000000"/>
          <w:spacing w:val="0"/>
          <w:w w:val="100"/>
          <w:position w:val="0"/>
        </w:rPr>
        <w:t>十、与金融工具相关的风险</w:t>
      </w:r>
      <w:bookmarkEnd w:id="1819"/>
      <w:bookmarkEnd w:id="1820"/>
      <w:bookmarkEnd w:id="1821"/>
    </w:p>
    <w:p>
      <w:pPr>
        <w:pStyle w:val="Style36"/>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本集团的主要金融工具包括货币资金、应收票据、应收账款、其他应收款、其他流动资产、其他权益工具投资、应付票 据、应付账款、其他应付款及短期借款。各项金融工具的详细情况已于相关附注内披露。与这些金融工具有关的风险，以 及本集团为降低这些风险所采取的风险管理政策如下所述。本集团管理层对这些风险敞口进行管理和监控以确保将上述风 险控制在限定的范围之内。</w:t>
      </w:r>
    </w:p>
    <w:p>
      <w:pPr>
        <w:pStyle w:val="Style3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、风险管理目标和政策</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本集团从事风险管理的目标是在风险和收益之间取得适当的平衡，力求降低金融风险对本集团财务业绩的不利影响。基于 该风险管理目标，本集团已制定风险管理政策以辨别和分析本集团所面临的风险，设定适当的风险可接受水平并设计相应 的内部控制程序，以监控本集团的风险水平。本集团会定期审阅这些风险管理政策及有关内部控制系统，以适应市场情况 或本集团经营活动的改变。本集团的内部审计部门也定期或随机检查内部控制系统的执行是否符合风险管理政策。</w:t>
      </w:r>
    </w:p>
    <w:p>
      <w:pPr>
        <w:pStyle w:val="Style36"/>
        <w:keepNext w:val="0"/>
        <w:keepLines w:val="0"/>
        <w:widowControl w:val="0"/>
        <w:shd w:val="clear" w:color="auto" w:fill="auto"/>
        <w:bidi w:val="0"/>
        <w:spacing w:before="0" w:line="311" w:lineRule="exact"/>
        <w:ind w:left="0" w:right="0" w:firstLine="0"/>
        <w:jc w:val="left"/>
      </w:pPr>
      <w:r>
        <w:rPr>
          <w:color w:val="000000"/>
          <w:spacing w:val="0"/>
          <w:w w:val="100"/>
          <w:position w:val="0"/>
        </w:rPr>
        <w:t>本集团的金融工具导致的主要风险是信用风险、流动性风险、市场风险（包括汇率风险和利率风险）。</w:t>
      </w:r>
    </w:p>
    <w:p>
      <w:pPr>
        <w:pStyle w:val="Style36"/>
        <w:keepNext w:val="0"/>
        <w:keepLines w:val="0"/>
        <w:widowControl w:val="0"/>
        <w:shd w:val="clear" w:color="auto" w:fill="auto"/>
        <w:bidi w:val="0"/>
        <w:spacing w:before="0" w:line="311" w:lineRule="exact"/>
        <w:ind w:left="0" w:right="0" w:firstLine="0"/>
        <w:jc w:val="left"/>
      </w:pPr>
      <w:r>
        <w:rPr>
          <w:color w:val="000000"/>
          <w:spacing w:val="0"/>
          <w:w w:val="100"/>
          <w:position w:val="0"/>
        </w:rPr>
        <w:t>董事会负责规划并建立本集团的风险管理架构，制定本集团的风险管理政策和相关指引并监督风险管理措施的执行情况。 本集团已制定风险管理政策以识别和分析本集团所面临的风险，这些风险管理政策对特定风险进行了明确规定，涵盖了市 场风险、信用风险和流动性风险管理等诸多方面。本集团定期评估市场环境及本集团经营活动的变化以决定是否对风险管 理政策及系统进行更新。本集团的风险管理由风险管理委员会按照董事会批准的政策开展。风险管理委员会通过与本集团 其他业务部门的紧密合作来识别、评价和规避相关风险。本集团内部审计部门就风险管理控制及程序进行定期的审核，并 将审核结果上报本集团的审计委员会。</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本集团通过适当的多样化投资及业务组合来分散金融工具风险，并通过制定相应的风险管理政策减少集中于单一行业、特 定地区或特定交易对手的风险。</w:t>
      </w:r>
    </w:p>
    <w:p>
      <w:pPr>
        <w:pStyle w:val="Style36"/>
        <w:keepNext w:val="0"/>
        <w:keepLines w:val="0"/>
        <w:widowControl w:val="0"/>
        <w:shd w:val="clear" w:color="auto" w:fill="auto"/>
        <w:bidi w:val="0"/>
        <w:spacing w:before="0" w:line="311" w:lineRule="exact"/>
        <w:ind w:left="0" w:right="0" w:firstLine="0"/>
        <w:jc w:val="left"/>
      </w:pPr>
      <w:bookmarkStart w:id="1822" w:name="bookmark1822"/>
      <w:r>
        <w:rPr>
          <w:color w:val="000000"/>
          <w:spacing w:val="0"/>
          <w:w w:val="100"/>
          <w:position w:val="0"/>
        </w:rPr>
        <w:t>（</w:t>
      </w:r>
      <w:bookmarkEnd w:id="18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）信用风险</w:t>
      </w:r>
    </w:p>
    <w:p>
      <w:pPr>
        <w:pStyle w:val="Style36"/>
        <w:keepNext w:val="0"/>
        <w:keepLines w:val="0"/>
        <w:widowControl w:val="0"/>
        <w:shd w:val="clear" w:color="auto" w:fill="auto"/>
        <w:bidi w:val="0"/>
        <w:spacing w:before="0" w:line="311" w:lineRule="exact"/>
        <w:ind w:left="0" w:right="0" w:firstLine="0"/>
        <w:jc w:val="left"/>
      </w:pPr>
      <w:r>
        <w:rPr>
          <w:color w:val="000000"/>
          <w:spacing w:val="0"/>
          <w:w w:val="100"/>
          <w:position w:val="0"/>
        </w:rPr>
        <w:t>信用风险，是指交易对手未能履行合同义务而导致本集团产生财务损失的风险。</w:t>
      </w:r>
    </w:p>
    <w:p>
      <w:pPr>
        <w:pStyle w:val="Style36"/>
        <w:keepNext w:val="0"/>
        <w:keepLines w:val="0"/>
        <w:widowControl w:val="0"/>
        <w:shd w:val="clear" w:color="auto" w:fill="auto"/>
        <w:bidi w:val="0"/>
        <w:spacing w:before="0" w:line="311" w:lineRule="exact"/>
        <w:ind w:left="0" w:right="0" w:firstLine="0"/>
        <w:jc w:val="left"/>
      </w:pPr>
      <w:r>
        <w:rPr>
          <w:color w:val="000000"/>
          <w:spacing w:val="0"/>
          <w:w w:val="100"/>
          <w:position w:val="0"/>
        </w:rPr>
        <w:t>本集团对信用风险按组合分类进行管理。信用风险主要产生于银行存款、应收票据、应收账款、其他应收款等。</w:t>
      </w:r>
    </w:p>
    <w:p>
      <w:pPr>
        <w:pStyle w:val="Style36"/>
        <w:keepNext w:val="0"/>
        <w:keepLines w:val="0"/>
        <w:widowControl w:val="0"/>
        <w:shd w:val="clear" w:color="auto" w:fill="auto"/>
        <w:bidi w:val="0"/>
        <w:spacing w:before="0" w:line="311" w:lineRule="exact"/>
        <w:ind w:left="0" w:right="0" w:firstLine="0"/>
        <w:jc w:val="left"/>
      </w:pPr>
      <w:r>
        <w:rPr>
          <w:color w:val="000000"/>
          <w:spacing w:val="0"/>
          <w:w w:val="100"/>
          <w:position w:val="0"/>
        </w:rPr>
        <w:t xml:space="preserve">本集团银行存款主要存放于国有银行和其它大中型上市银行，本集团预期银行存款不存在重大的信用风险。 </w:t>
      </w:r>
      <w:r>
        <w:rPr>
          <w:color w:val="000000"/>
          <w:spacing w:val="0"/>
          <w:w w:val="100"/>
          <w:position w:val="0"/>
        </w:rPr>
        <w:t>对于应收票据、应收账款、其他应收款，本集团设定相关政策以控制信用风险敞口。本集团基于对客户的财务状况、信用 记录及其他因素诸如目前市场状况等评估客户的信用资质并设置相应信用期。本集团会定期对客户信用记录进行监控，对 于信用记录不良的客户，本集团会采用书面催款、缩短信用期或取消信用期等方式，以确保本集团的整体信用风险在可控 的范围内。</w:t>
      </w:r>
    </w:p>
    <w:p>
      <w:pPr>
        <w:pStyle w:val="Style36"/>
        <w:keepNext w:val="0"/>
        <w:keepLines w:val="0"/>
        <w:widowControl w:val="0"/>
        <w:shd w:val="clear" w:color="auto" w:fill="auto"/>
        <w:bidi w:val="0"/>
        <w:spacing w:before="0" w:line="312" w:lineRule="exact"/>
        <w:ind w:left="0" w:right="0" w:firstLine="0"/>
        <w:jc w:val="both"/>
      </w:pPr>
      <w:r>
        <w:rPr>
          <w:color w:val="000000"/>
          <w:spacing w:val="0"/>
          <w:w w:val="100"/>
          <w:position w:val="0"/>
        </w:rPr>
        <w:t>本集团应收账款的债务人为分布于不同行业和地区的客户。本集团持续对应收账款的财务状况实施信用评估，并在适当时 购买信用担保保险。</w:t>
      </w:r>
    </w:p>
    <w:p>
      <w:pPr>
        <w:pStyle w:val="Style36"/>
        <w:keepNext w:val="0"/>
        <w:keepLines w:val="0"/>
        <w:widowControl w:val="0"/>
        <w:shd w:val="clear" w:color="auto" w:fill="auto"/>
        <w:bidi w:val="0"/>
        <w:spacing w:before="0" w:line="312" w:lineRule="exact"/>
        <w:ind w:left="0" w:right="0" w:firstLine="0"/>
        <w:jc w:val="both"/>
      </w:pPr>
      <w:r>
        <w:rPr>
          <w:color w:val="000000"/>
          <w:spacing w:val="0"/>
          <w:w w:val="100"/>
          <w:position w:val="0"/>
        </w:rPr>
        <w:t>本集团所承受的最大信用风险敞口为资产负债表中每项金融资产的账面金额。本集团没有提供任何其他可能令本集团承受 信用风险的担保。</w:t>
      </w:r>
    </w:p>
    <w:p>
      <w:pPr>
        <w:pStyle w:val="Style36"/>
        <w:keepNext w:val="0"/>
        <w:keepLines w:val="0"/>
        <w:widowControl w:val="0"/>
        <w:shd w:val="clear" w:color="auto" w:fill="auto"/>
        <w:bidi w:val="0"/>
        <w:spacing w:before="0" w:line="312" w:lineRule="exact"/>
        <w:ind w:left="0" w:right="0" w:firstLine="0"/>
        <w:jc w:val="both"/>
      </w:pPr>
      <w:r>
        <w:rPr>
          <w:color w:val="000000"/>
          <w:spacing w:val="0"/>
          <w:w w:val="100"/>
          <w:position w:val="0"/>
        </w:rPr>
        <w:t>本集团应收账款中，前五大客户的应收账款占本集团应收账款总额的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21.49%</w:t>
      </w:r>
      <w:r>
        <w:rPr>
          <w:color w:val="000000"/>
          <w:spacing w:val="0"/>
          <w:w w:val="100"/>
          <w:position w:val="0"/>
        </w:rPr>
        <w:t>）；本集团其他应收款中， 欠款金额前五大公司的其他应收款占本集团其他应收款总额的</w:t>
      </w:r>
      <w:r>
        <w:rPr>
          <w:rFonts w:ascii="Times New Roman" w:eastAsia="Times New Roman" w:hAnsi="Times New Roman" w:cs="Times New Roman"/>
          <w:color w:val="000000"/>
          <w:spacing w:val="0"/>
          <w:w w:val="100"/>
          <w:position w:val="0"/>
          <w:sz w:val="18"/>
          <w:szCs w:val="18"/>
        </w:rPr>
        <w:t>24.16%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25.15%</w:t>
      </w:r>
      <w:r>
        <w:rPr>
          <w:color w:val="000000"/>
          <w:spacing w:val="0"/>
          <w:w w:val="100"/>
          <w:position w:val="0"/>
        </w:rPr>
        <w:t>）。</w:t>
      </w:r>
    </w:p>
    <w:p>
      <w:pPr>
        <w:pStyle w:val="Style36"/>
        <w:keepNext w:val="0"/>
        <w:keepLines w:val="0"/>
        <w:widowControl w:val="0"/>
        <w:shd w:val="clear" w:color="auto" w:fill="auto"/>
        <w:bidi w:val="0"/>
        <w:spacing w:before="0" w:line="312" w:lineRule="exact"/>
        <w:ind w:left="0" w:right="0" w:firstLine="0"/>
        <w:jc w:val="both"/>
      </w:pPr>
      <w:bookmarkStart w:id="1823" w:name="bookmark1823"/>
      <w:r>
        <w:rPr>
          <w:color w:val="000000"/>
          <w:spacing w:val="0"/>
          <w:w w:val="100"/>
          <w:position w:val="0"/>
        </w:rPr>
        <w:t>（</w:t>
      </w:r>
      <w:bookmarkEnd w:id="18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）流动性风险</w:t>
      </w:r>
    </w:p>
    <w:p>
      <w:pPr>
        <w:pStyle w:val="Style36"/>
        <w:keepNext w:val="0"/>
        <w:keepLines w:val="0"/>
        <w:widowControl w:val="0"/>
        <w:shd w:val="clear" w:color="auto" w:fill="auto"/>
        <w:bidi w:val="0"/>
        <w:spacing w:before="0" w:line="312" w:lineRule="exact"/>
        <w:ind w:left="0" w:right="0" w:firstLine="0"/>
        <w:jc w:val="both"/>
      </w:pPr>
      <w:r>
        <w:rPr>
          <w:color w:val="000000"/>
          <w:spacing w:val="0"/>
          <w:w w:val="100"/>
          <w:position w:val="0"/>
        </w:rPr>
        <w:t>流动性风险，是指本集团在履行以交付现金或其他金融资产结算的义务时遇到资金短缺的风险。</w:t>
      </w:r>
    </w:p>
    <w:p>
      <w:pPr>
        <w:pStyle w:val="Style36"/>
        <w:keepNext w:val="0"/>
        <w:keepLines w:val="0"/>
        <w:widowControl w:val="0"/>
        <w:shd w:val="clear" w:color="auto" w:fill="auto"/>
        <w:bidi w:val="0"/>
        <w:spacing w:before="0" w:line="312" w:lineRule="exact"/>
        <w:ind w:left="0" w:right="0" w:firstLine="0"/>
        <w:jc w:val="both"/>
      </w:pPr>
      <w:r>
        <w:rPr>
          <w:color w:val="000000"/>
          <w:spacing w:val="0"/>
          <w:w w:val="100"/>
          <w:position w:val="0"/>
        </w:rPr>
        <w:t>管理流动风险时，本集团保持管理层认为充分的现金及现金等价物并对其进行监控，以满足本集团经营需要，并降低现金 流量波动的影响。本集团管理层对银行借款的使用情况进行监控并确保遵守借款协议。同时从主要金融机构获得提供足够 备用资金的承诺，以满足短期和长期的资金需求。</w:t>
      </w:r>
    </w:p>
    <w:p>
      <w:pPr>
        <w:pStyle w:val="Style36"/>
        <w:keepNext w:val="0"/>
        <w:keepLines w:val="0"/>
        <w:widowControl w:val="0"/>
        <w:shd w:val="clear" w:color="auto" w:fill="auto"/>
        <w:bidi w:val="0"/>
        <w:spacing w:before="0" w:after="140" w:line="307" w:lineRule="exact"/>
        <w:ind w:left="0" w:right="0" w:firstLine="0"/>
        <w:jc w:val="both"/>
      </w:pPr>
      <w:r>
        <w:rPr>
          <w:color w:val="000000"/>
          <w:spacing w:val="0"/>
          <w:w w:val="100"/>
          <w:position w:val="0"/>
        </w:rPr>
        <w:t>本集团通过经营业务产生的资金及银行及其他借款来筹措营运资金。于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日，本集团尚未使用的银行借款额 度为 </w:t>
      </w:r>
      <w:r>
        <w:rPr>
          <w:rFonts w:ascii="Times New Roman" w:eastAsia="Times New Roman" w:hAnsi="Times New Roman" w:cs="Times New Roman"/>
          <w:color w:val="000000"/>
          <w:spacing w:val="0"/>
          <w:w w:val="100"/>
          <w:position w:val="0"/>
          <w:sz w:val="18"/>
          <w:szCs w:val="18"/>
        </w:rPr>
        <w:t xml:space="preserve">219,000.00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208,400.00 </w:t>
      </w:r>
      <w:r>
        <w:rPr>
          <w:color w:val="000000"/>
          <w:spacing w:val="0"/>
          <w:w w:val="100"/>
          <w:position w:val="0"/>
        </w:rPr>
        <w:t>万元）。</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期末，本集团持有的金融负债和表外担保项目按未折现剩余合同现金流量的到期期限分析如下（单位：人民币万元）:</w:t>
      </w:r>
    </w:p>
    <w:tbl>
      <w:tblPr>
        <w:tblOverlap w:val="never"/>
        <w:jc w:val="center"/>
        <w:tblLayout w:type="fixed"/>
      </w:tblPr>
      <w:tblGrid>
        <w:gridCol w:w="2002"/>
        <w:gridCol w:w="1766"/>
        <w:gridCol w:w="1771"/>
        <w:gridCol w:w="1771"/>
        <w:gridCol w:w="1781"/>
      </w:tblGrid>
      <w:tr>
        <w:trPr>
          <w:trHeight w:val="360"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2020.12.31</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一年以内</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一年至五年以内</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五年以上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57,050.99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57,050.99</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653.70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653.70</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24,922.80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38,903.55</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3,036.81</w:t>
            </w:r>
          </w:p>
        </w:tc>
      </w:tr>
      <w:tr>
        <w:trPr>
          <w:trHeight w:val="37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85,664.30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99,645.05</w:t>
            </w:r>
          </w:p>
        </w:tc>
      </w:tr>
    </w:tbl>
    <w:p>
      <w:pPr>
        <w:widowControl w:val="0"/>
        <w:spacing w:after="39"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期初，本集团持有的金融负债和表外担保项目按未折现剩余合同现金流量的到期期限分析如下（单位：人民币万元）:</w:t>
      </w:r>
    </w:p>
    <w:tbl>
      <w:tblPr>
        <w:tblOverlap w:val="never"/>
        <w:jc w:val="center"/>
        <w:tblLayout w:type="fixed"/>
      </w:tblPr>
      <w:tblGrid>
        <w:gridCol w:w="2002"/>
        <w:gridCol w:w="1766"/>
        <w:gridCol w:w="1771"/>
        <w:gridCol w:w="1771"/>
        <w:gridCol w:w="1781"/>
      </w:tblGrid>
      <w:tr>
        <w:trPr>
          <w:trHeight w:val="365"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2019.12.31</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一年以内</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一年至五年以内</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五年以上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50,155.73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50,155.73</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5,549.06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5,549.06</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17,041.42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21,905.56</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13,589.37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13,589.37</w:t>
            </w:r>
          </w:p>
        </w:tc>
      </w:tr>
      <w:tr>
        <w:trPr>
          <w:trHeight w:val="36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86,335.58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91,199.72</w:t>
            </w:r>
          </w:p>
        </w:tc>
      </w:tr>
    </w:tbl>
    <w:p>
      <w:pPr>
        <w:pStyle w:val="Style36"/>
        <w:keepNext w:val="0"/>
        <w:keepLines w:val="0"/>
        <w:widowControl w:val="0"/>
        <w:shd w:val="clear" w:color="auto" w:fill="auto"/>
        <w:bidi w:val="0"/>
        <w:spacing w:before="0" w:line="312" w:lineRule="exact"/>
        <w:ind w:left="0" w:right="0" w:firstLine="0"/>
        <w:jc w:val="both"/>
      </w:pPr>
      <w:bookmarkStart w:id="1824" w:name="bookmark1824"/>
      <w:r>
        <w:rPr>
          <w:color w:val="000000"/>
          <w:spacing w:val="0"/>
          <w:w w:val="100"/>
          <w:position w:val="0"/>
        </w:rPr>
        <w:t>（</w:t>
      </w:r>
      <w:bookmarkEnd w:id="18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）市场风险</w:t>
      </w:r>
    </w:p>
    <w:p>
      <w:pPr>
        <w:pStyle w:val="Style36"/>
        <w:keepNext w:val="0"/>
        <w:keepLines w:val="0"/>
        <w:widowControl w:val="0"/>
        <w:shd w:val="clear" w:color="auto" w:fill="auto"/>
        <w:bidi w:val="0"/>
        <w:spacing w:before="0" w:line="312" w:lineRule="exact"/>
        <w:ind w:left="0" w:right="0" w:firstLine="0"/>
        <w:jc w:val="both"/>
      </w:pPr>
      <w:r>
        <w:rPr>
          <w:color w:val="000000"/>
          <w:spacing w:val="0"/>
          <w:w w:val="100"/>
          <w:position w:val="0"/>
        </w:rPr>
        <w:t>金融工具的市场风险，是指金融工具的公允价值或未来现金流量因市场价格变动而发生波动的风险，包括利率风险和汇率 风险。</w:t>
      </w:r>
    </w:p>
    <w:p>
      <w:pPr>
        <w:pStyle w:val="Style36"/>
        <w:keepNext w:val="0"/>
        <w:keepLines w:val="0"/>
        <w:widowControl w:val="0"/>
        <w:shd w:val="clear" w:color="auto" w:fill="auto"/>
        <w:bidi w:val="0"/>
        <w:spacing w:before="0" w:line="312" w:lineRule="exact"/>
        <w:ind w:left="0" w:right="0" w:firstLine="0"/>
        <w:jc w:val="both"/>
      </w:pPr>
      <w:r>
        <w:rPr>
          <w:color w:val="000000"/>
          <w:spacing w:val="0"/>
          <w:w w:val="100"/>
          <w:position w:val="0"/>
        </w:rPr>
        <w:t>利率风险</w:t>
      </w:r>
    </w:p>
    <w:p>
      <w:pPr>
        <w:pStyle w:val="Style36"/>
        <w:keepNext w:val="0"/>
        <w:keepLines w:val="0"/>
        <w:widowControl w:val="0"/>
        <w:shd w:val="clear" w:color="auto" w:fill="auto"/>
        <w:bidi w:val="0"/>
        <w:spacing w:before="0" w:line="312" w:lineRule="exact"/>
        <w:ind w:left="0" w:right="0" w:firstLine="0"/>
        <w:jc w:val="both"/>
      </w:pPr>
      <w:r>
        <w:rPr>
          <w:color w:val="000000"/>
          <w:spacing w:val="0"/>
          <w:w w:val="100"/>
          <w:position w:val="0"/>
        </w:rPr>
        <w:t xml:space="preserve">利率风险，是指金融工具的公允价值或未来现金流量因市场利率变动而发生波动的风险。利率风险可源于已确认的计息金 </w:t>
      </w:r>
      <w:r>
        <w:rPr>
          <w:color w:val="000000"/>
          <w:spacing w:val="0"/>
          <w:w w:val="100"/>
          <w:position w:val="0"/>
        </w:rPr>
        <w:t>融工具和未确认的金融工具（如某些贷款承诺）。</w:t>
      </w:r>
    </w:p>
    <w:p>
      <w:pPr>
        <w:pStyle w:val="Style36"/>
        <w:keepNext w:val="0"/>
        <w:keepLines w:val="0"/>
        <w:widowControl w:val="0"/>
        <w:shd w:val="clear" w:color="auto" w:fill="auto"/>
        <w:bidi w:val="0"/>
        <w:spacing w:before="0" w:line="307" w:lineRule="exact"/>
        <w:ind w:left="0" w:right="0" w:firstLine="0"/>
        <w:jc w:val="left"/>
      </w:pPr>
      <w:r>
        <w:rPr>
          <w:color w:val="000000"/>
          <w:spacing w:val="0"/>
          <w:w w:val="100"/>
          <w:position w:val="0"/>
        </w:rPr>
        <w:t>本集团所承担的利率变动风险不重大。</w:t>
      </w:r>
    </w:p>
    <w:p>
      <w:pPr>
        <w:pStyle w:val="Style36"/>
        <w:keepNext w:val="0"/>
        <w:keepLines w:val="0"/>
        <w:widowControl w:val="0"/>
        <w:shd w:val="clear" w:color="auto" w:fill="auto"/>
        <w:bidi w:val="0"/>
        <w:spacing w:before="0" w:line="307" w:lineRule="exact"/>
        <w:ind w:left="0" w:right="0" w:firstLine="0"/>
        <w:jc w:val="left"/>
      </w:pPr>
      <w:r>
        <w:rPr>
          <w:color w:val="000000"/>
          <w:spacing w:val="0"/>
          <w:w w:val="100"/>
          <w:position w:val="0"/>
        </w:rPr>
        <w:t>汇率风险</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汇率风险，是指金融工具的公允价值或未来现金流量因外汇汇率变动而发生波动的风险。汇率风险可源于以记账本位币之 外的外币进行计价的金融工具。</w:t>
      </w:r>
    </w:p>
    <w:p>
      <w:pPr>
        <w:pStyle w:val="Style36"/>
        <w:keepNext w:val="0"/>
        <w:keepLines w:val="0"/>
        <w:widowControl w:val="0"/>
        <w:shd w:val="clear" w:color="auto" w:fill="auto"/>
        <w:bidi w:val="0"/>
        <w:spacing w:before="0" w:line="307" w:lineRule="exact"/>
        <w:ind w:left="0" w:right="0" w:firstLine="0"/>
        <w:jc w:val="left"/>
      </w:pPr>
      <w:r>
        <w:rPr>
          <w:color w:val="000000"/>
          <w:spacing w:val="0"/>
          <w:w w:val="100"/>
          <w:position w:val="0"/>
        </w:rPr>
        <w:t>本集团的主要经营位于中国境内，主要业务以人民币结算。因此，本集团面临的汇率风险并不重大。</w:t>
      </w:r>
    </w:p>
    <w:p>
      <w:pPr>
        <w:pStyle w:val="Style36"/>
        <w:keepNext w:val="0"/>
        <w:keepLines w:val="0"/>
        <w:widowControl w:val="0"/>
        <w:shd w:val="clear" w:color="auto" w:fill="auto"/>
        <w:bidi w:val="0"/>
        <w:spacing w:before="0" w:after="140" w:line="307" w:lineRule="exact"/>
        <w:ind w:left="0" w:right="0" w:firstLine="0"/>
        <w:jc w:val="left"/>
      </w:pPr>
      <w:r>
        <w:rPr>
          <w:color w:val="000000"/>
          <w:spacing w:val="0"/>
          <w:w w:val="100"/>
          <w:position w:val="0"/>
        </w:rPr>
        <w:t>本集团期末外币金融资产和外币金融负债列示见本附注五之</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、外币货币性项目。</w:t>
      </w:r>
    </w:p>
    <w:p>
      <w:pPr>
        <w:pStyle w:val="Style3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、资本管理</w:t>
      </w:r>
    </w:p>
    <w:p>
      <w:pPr>
        <w:pStyle w:val="Style36"/>
        <w:keepNext w:val="0"/>
        <w:keepLines w:val="0"/>
        <w:widowControl w:val="0"/>
        <w:shd w:val="clear" w:color="auto" w:fill="auto"/>
        <w:bidi w:val="0"/>
        <w:spacing w:before="0" w:line="307" w:lineRule="exact"/>
        <w:ind w:left="0" w:right="0" w:firstLine="0"/>
        <w:jc w:val="left"/>
      </w:pPr>
      <w:r>
        <w:rPr>
          <w:color w:val="000000"/>
          <w:spacing w:val="0"/>
          <w:w w:val="100"/>
          <w:position w:val="0"/>
        </w:rPr>
        <w:t>本集团资本管理政策的目标是为了保障本集团能够持续经营，从而为股东提供回报，并使其他利益相关者获益，同时维持 最佳的资本结构以降低资本成本。</w:t>
      </w:r>
    </w:p>
    <w:p>
      <w:pPr>
        <w:pStyle w:val="Style36"/>
        <w:keepNext w:val="0"/>
        <w:keepLines w:val="0"/>
        <w:widowControl w:val="0"/>
        <w:shd w:val="clear" w:color="auto" w:fill="auto"/>
        <w:bidi w:val="0"/>
        <w:spacing w:before="0" w:line="307" w:lineRule="exact"/>
        <w:ind w:left="0" w:right="0" w:firstLine="0"/>
        <w:jc w:val="left"/>
      </w:pPr>
      <w:r>
        <w:rPr>
          <w:color w:val="000000"/>
          <w:spacing w:val="0"/>
          <w:w w:val="100"/>
          <w:position w:val="0"/>
        </w:rPr>
        <w:t>为了维持或调整资本结构，本集团可能会调整融资方式、调整支付给股东的股利金额、向股东返还资本、发行新股与其他 权益工具或出售资产以减低债务。</w:t>
      </w:r>
    </w:p>
    <w:p>
      <w:pPr>
        <w:pStyle w:val="Style36"/>
        <w:keepNext w:val="0"/>
        <w:keepLines w:val="0"/>
        <w:widowControl w:val="0"/>
        <w:shd w:val="clear" w:color="auto" w:fill="auto"/>
        <w:bidi w:val="0"/>
        <w:spacing w:before="0" w:after="380" w:line="302" w:lineRule="exact"/>
        <w:ind w:left="0" w:right="0" w:firstLine="0"/>
        <w:jc w:val="left"/>
      </w:pPr>
      <w:r>
        <w:rPr>
          <w:color w:val="000000"/>
          <w:spacing w:val="0"/>
          <w:w w:val="100"/>
          <w:position w:val="0"/>
        </w:rPr>
        <w:t>本集团以资产负债率（即总负债除以总资产）为基础对资本结构进行监控。于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日，本集团的资产负债率为 </w:t>
      </w:r>
      <w:r>
        <w:rPr>
          <w:rFonts w:ascii="Times New Roman" w:eastAsia="Times New Roman" w:hAnsi="Times New Roman" w:cs="Times New Roman"/>
          <w:color w:val="000000"/>
          <w:spacing w:val="0"/>
          <w:w w:val="100"/>
          <w:position w:val="0"/>
          <w:sz w:val="18"/>
          <w:szCs w:val="18"/>
        </w:rPr>
        <w:t>44.90%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43.88%</w:t>
      </w:r>
      <w:r>
        <w:rPr>
          <w:color w:val="000000"/>
          <w:spacing w:val="0"/>
          <w:w w:val="100"/>
          <w:position w:val="0"/>
        </w:rPr>
        <w:t>）。</w:t>
      </w:r>
    </w:p>
    <w:p>
      <w:pPr>
        <w:pStyle w:val="Style32"/>
        <w:keepNext/>
        <w:keepLines/>
        <w:widowControl w:val="0"/>
        <w:shd w:val="clear" w:color="auto" w:fill="auto"/>
        <w:bidi w:val="0"/>
        <w:spacing w:before="0" w:line="240" w:lineRule="auto"/>
        <w:ind w:left="0" w:right="0" w:firstLine="0"/>
        <w:jc w:val="left"/>
      </w:pPr>
      <w:bookmarkStart w:id="1825" w:name="bookmark1825"/>
      <w:bookmarkStart w:id="1826" w:name="bookmark1826"/>
      <w:bookmarkStart w:id="1827" w:name="bookmark1827"/>
      <w:r>
        <w:rPr>
          <w:color w:val="000000"/>
          <w:spacing w:val="0"/>
          <w:w w:val="100"/>
          <w:position w:val="0"/>
        </w:rPr>
        <w:t>十一、公允价值的披露</w:t>
      </w:r>
      <w:bookmarkEnd w:id="1825"/>
      <w:bookmarkEnd w:id="1826"/>
      <w:bookmarkEnd w:id="1827"/>
    </w:p>
    <w:p>
      <w:pPr>
        <w:pStyle w:val="Style43"/>
        <w:keepNext/>
        <w:keepLines/>
        <w:widowControl w:val="0"/>
        <w:shd w:val="clear" w:color="auto" w:fill="auto"/>
        <w:bidi w:val="0"/>
        <w:spacing w:before="0" w:after="380" w:line="240" w:lineRule="auto"/>
        <w:ind w:left="0" w:right="0" w:firstLine="0"/>
        <w:jc w:val="left"/>
      </w:pPr>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28"/>
      <w:bookmarkEnd w:id="1829"/>
      <w:bookmarkEnd w:id="183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86,650,000.00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98,289,758.61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98,289,758.61</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43"/>
        <w:keepNext/>
        <w:keepLines/>
        <w:widowControl w:val="0"/>
        <w:shd w:val="clear" w:color="auto" w:fill="auto"/>
        <w:bidi w:val="0"/>
        <w:spacing w:before="0" w:after="380" w:line="240" w:lineRule="auto"/>
        <w:ind w:left="0" w:right="0" w:firstLine="0"/>
        <w:jc w:val="left"/>
      </w:pPr>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831"/>
      <w:bookmarkEnd w:id="1832"/>
      <w:bookmarkEnd w:id="1833"/>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相同资产或负债在活跃市场中的报价（未经调整的）。</w:t>
      </w:r>
    </w:p>
    <w:p>
      <w:pPr>
        <w:pStyle w:val="Style43"/>
        <w:keepNext/>
        <w:keepLines/>
        <w:widowControl w:val="0"/>
        <w:shd w:val="clear" w:color="auto" w:fill="auto"/>
        <w:bidi w:val="0"/>
        <w:spacing w:before="0" w:after="38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3</w:t>
      </w:r>
      <w:bookmarkEnd w:id="1836"/>
      <w:r>
        <w:rPr>
          <w:color w:val="000000"/>
          <w:spacing w:val="0"/>
          <w:w w:val="100"/>
          <w:position w:val="0"/>
        </w:rPr>
        <w:t>、持续和非持续第二层次公允价值计量项目，采用的估值技术和重要参数的定性及定量信息</w:t>
      </w:r>
      <w:bookmarkEnd w:id="1834"/>
      <w:bookmarkEnd w:id="1835"/>
      <w:bookmarkEnd w:id="1837"/>
    </w:p>
    <w:p>
      <w:pPr>
        <w:pStyle w:val="Style36"/>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直接（即价格）或间接（即从价格推导出）地使用除第一层次中的资产或负债的市场报价之外的可观察输入值。</w:t>
      </w:r>
    </w:p>
    <w:p>
      <w:pPr>
        <w:pStyle w:val="Style39"/>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838" w:name="bookmark1838"/>
      <w:r>
        <w:rPr>
          <w:rFonts w:ascii="Times New Roman" w:eastAsia="Times New Roman" w:hAnsi="Times New Roman" w:cs="Times New Roman"/>
          <w:b/>
          <w:bCs/>
          <w:i w:val="0"/>
          <w:iCs w:val="0"/>
          <w:color w:val="000000"/>
          <w:spacing w:val="0"/>
          <w:w w:val="100"/>
          <w:position w:val="0"/>
          <w:sz w:val="20"/>
          <w:szCs w:val="20"/>
        </w:rPr>
        <w:t>4</w:t>
      </w:r>
      <w:bookmarkEnd w:id="1838"/>
      <w:r>
        <w:rPr>
          <w:b/>
          <w:bCs/>
          <w:i w:val="0"/>
          <w:iCs w:val="0"/>
          <w:color w:val="000000"/>
          <w:spacing w:val="0"/>
          <w:w w:val="100"/>
          <w:position w:val="0"/>
          <w:sz w:val="20"/>
          <w:szCs w:val="20"/>
        </w:rPr>
        <w:t>、</w:t>
        <w:tab/>
        <w:t>持续和非持续第三层次公允价值计量项目，采用的估值技术和重要参数的定性及定量信息</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资产或负债使用了任何非基于可观察市场数据的输入值（不可观察输入值）。</w:t>
      </w:r>
    </w:p>
    <w:p>
      <w:pPr>
        <w:pStyle w:val="Style39"/>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839" w:name="bookmark1839"/>
      <w:r>
        <w:rPr>
          <w:rFonts w:ascii="Times New Roman" w:eastAsia="Times New Roman" w:hAnsi="Times New Roman" w:cs="Times New Roman"/>
          <w:b/>
          <w:bCs/>
          <w:i w:val="0"/>
          <w:iCs w:val="0"/>
          <w:color w:val="000000"/>
          <w:spacing w:val="0"/>
          <w:w w:val="100"/>
          <w:position w:val="0"/>
          <w:sz w:val="20"/>
          <w:szCs w:val="20"/>
        </w:rPr>
        <w:t>5</w:t>
      </w:r>
      <w:bookmarkEnd w:id="1839"/>
      <w:r>
        <w:rPr>
          <w:b/>
          <w:bCs/>
          <w:i w:val="0"/>
          <w:iCs w:val="0"/>
          <w:color w:val="000000"/>
          <w:spacing w:val="0"/>
          <w:w w:val="100"/>
          <w:position w:val="0"/>
          <w:sz w:val="20"/>
          <w:szCs w:val="20"/>
        </w:rPr>
        <w:t>、</w:t>
        <w:tab/>
        <w:t>持续的第三层次公允价值计量项目，期初与期末账面价值间的调节信息及不可观察参数敏感性分析</w:t>
      </w:r>
    </w:p>
    <w:p>
      <w:pPr>
        <w:pStyle w:val="Style39"/>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840" w:name="bookmark1840"/>
      <w:r>
        <w:rPr>
          <w:rFonts w:ascii="Times New Roman" w:eastAsia="Times New Roman" w:hAnsi="Times New Roman" w:cs="Times New Roman"/>
          <w:b/>
          <w:bCs/>
          <w:i w:val="0"/>
          <w:iCs w:val="0"/>
          <w:color w:val="000000"/>
          <w:spacing w:val="0"/>
          <w:w w:val="100"/>
          <w:position w:val="0"/>
          <w:sz w:val="20"/>
          <w:szCs w:val="20"/>
        </w:rPr>
        <w:t>6</w:t>
      </w:r>
      <w:bookmarkEnd w:id="1840"/>
      <w:r>
        <w:rPr>
          <w:b/>
          <w:bCs/>
          <w:i w:val="0"/>
          <w:iCs w:val="0"/>
          <w:color w:val="000000"/>
          <w:spacing w:val="0"/>
          <w:w w:val="100"/>
          <w:position w:val="0"/>
          <w:sz w:val="20"/>
          <w:szCs w:val="20"/>
        </w:rPr>
        <w:t>、</w:t>
        <w:tab/>
        <w:t>持续的公允价值计量项目，本期内发生各层级之间转换的，转换的原因及确定转换时点的政策</w:t>
      </w:r>
    </w:p>
    <w:p>
      <w:pPr>
        <w:pStyle w:val="Style39"/>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841" w:name="bookmark1841"/>
      <w:r>
        <w:rPr>
          <w:rFonts w:ascii="Times New Roman" w:eastAsia="Times New Roman" w:hAnsi="Times New Roman" w:cs="Times New Roman"/>
          <w:b/>
          <w:bCs/>
          <w:i w:val="0"/>
          <w:iCs w:val="0"/>
          <w:color w:val="000000"/>
          <w:spacing w:val="0"/>
          <w:w w:val="100"/>
          <w:position w:val="0"/>
          <w:sz w:val="20"/>
          <w:szCs w:val="20"/>
        </w:rPr>
        <w:t>7</w:t>
      </w:r>
      <w:bookmarkEnd w:id="1841"/>
      <w:r>
        <w:rPr>
          <w:b/>
          <w:bCs/>
          <w:i w:val="0"/>
          <w:iCs w:val="0"/>
          <w:color w:val="000000"/>
          <w:spacing w:val="0"/>
          <w:w w:val="100"/>
          <w:position w:val="0"/>
          <w:sz w:val="20"/>
          <w:szCs w:val="20"/>
        </w:rPr>
        <w:t>、</w:t>
        <w:tab/>
        <w:t>本期内发生的估值技术变更及变更原因</w:t>
      </w:r>
    </w:p>
    <w:p>
      <w:pPr>
        <w:pStyle w:val="Style39"/>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842" w:name="bookmark1842"/>
      <w:r>
        <w:rPr>
          <w:rFonts w:ascii="Times New Roman" w:eastAsia="Times New Roman" w:hAnsi="Times New Roman" w:cs="Times New Roman"/>
          <w:b/>
          <w:bCs/>
          <w:i w:val="0"/>
          <w:iCs w:val="0"/>
          <w:color w:val="000000"/>
          <w:spacing w:val="0"/>
          <w:w w:val="100"/>
          <w:position w:val="0"/>
          <w:sz w:val="20"/>
          <w:szCs w:val="20"/>
        </w:rPr>
        <w:t>8</w:t>
      </w:r>
      <w:bookmarkEnd w:id="1842"/>
      <w:r>
        <w:rPr>
          <w:b/>
          <w:bCs/>
          <w:i w:val="0"/>
          <w:iCs w:val="0"/>
          <w:color w:val="000000"/>
          <w:spacing w:val="0"/>
          <w:w w:val="100"/>
          <w:position w:val="0"/>
          <w:sz w:val="20"/>
          <w:szCs w:val="20"/>
        </w:rPr>
        <w:t>、</w:t>
        <w:tab/>
        <w:t>不以公允价值计量的金融资产和金融负债的公允价值情况</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本集团以摊余成本计量的金融资产和金融负债主要包括：货币资金、应收票据、应收账款、其他应收款、短期借款、应付</w:t>
      </w: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票据、应付账款、其他应付款等。</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本集团上述不以公允价值计量的金融资产和金融负债的账面价值与公允价值相差很小。</w:t>
      </w:r>
    </w:p>
    <w:p>
      <w:pPr>
        <w:pStyle w:val="Style39"/>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843" w:name="bookmark1843"/>
      <w:r>
        <w:rPr>
          <w:rFonts w:ascii="Times New Roman" w:eastAsia="Times New Roman" w:hAnsi="Times New Roman" w:cs="Times New Roman"/>
          <w:b/>
          <w:bCs/>
          <w:i w:val="0"/>
          <w:iCs w:val="0"/>
          <w:color w:val="000000"/>
          <w:spacing w:val="0"/>
          <w:w w:val="100"/>
          <w:position w:val="0"/>
          <w:sz w:val="20"/>
          <w:szCs w:val="20"/>
        </w:rPr>
        <w:t>9</w:t>
      </w:r>
      <w:bookmarkEnd w:id="1843"/>
      <w:r>
        <w:rPr>
          <w:b/>
          <w:bCs/>
          <w:i w:val="0"/>
          <w:iCs w:val="0"/>
          <w:color w:val="000000"/>
          <w:spacing w:val="0"/>
          <w:w w:val="100"/>
          <w:position w:val="0"/>
          <w:sz w:val="20"/>
          <w:szCs w:val="20"/>
        </w:rPr>
        <w:t>、</w:t>
        <w:tab/>
        <w:t>其他</w:t>
      </w:r>
    </w:p>
    <w:p>
      <w:pPr>
        <w:pStyle w:val="Style32"/>
        <w:keepNext/>
        <w:keepLines/>
        <w:widowControl w:val="0"/>
        <w:shd w:val="clear" w:color="auto" w:fill="auto"/>
        <w:bidi w:val="0"/>
        <w:spacing w:before="0" w:line="240" w:lineRule="auto"/>
        <w:ind w:left="0" w:right="0" w:firstLine="0"/>
        <w:jc w:val="left"/>
      </w:pPr>
      <w:bookmarkStart w:id="1844" w:name="bookmark1844"/>
      <w:bookmarkStart w:id="1845" w:name="bookmark1845"/>
      <w:bookmarkStart w:id="1846" w:name="bookmark1846"/>
      <w:r>
        <w:rPr>
          <w:color w:val="000000"/>
          <w:spacing w:val="0"/>
          <w:w w:val="100"/>
          <w:position w:val="0"/>
        </w:rPr>
        <w:t>十二、关联方及关联交易</w:t>
      </w:r>
      <w:bookmarkEnd w:id="1844"/>
      <w:bookmarkEnd w:id="1845"/>
      <w:bookmarkEnd w:id="1846"/>
    </w:p>
    <w:p>
      <w:pPr>
        <w:pStyle w:val="Style39"/>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、本企业的母公司情况</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w:t>
            </w:r>
          </w:p>
        </w:tc>
      </w:tr>
    </w:tbl>
    <w:p>
      <w:pPr>
        <w:widowControl w:val="0"/>
        <w:spacing w:after="9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本企业最终控制方是鲁峰。</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847" w:name="bookmark1847"/>
      <w:r>
        <w:rPr>
          <w:rFonts w:ascii="Times New Roman" w:eastAsia="Times New Roman" w:hAnsi="Times New Roman" w:cs="Times New Roman"/>
          <w:b/>
          <w:bCs/>
          <w:i w:val="0"/>
          <w:iCs w:val="0"/>
          <w:color w:val="000000"/>
          <w:spacing w:val="0"/>
          <w:w w:val="100"/>
          <w:position w:val="0"/>
          <w:sz w:val="20"/>
          <w:szCs w:val="20"/>
        </w:rPr>
        <w:t>2</w:t>
      </w:r>
      <w:bookmarkEnd w:id="1847"/>
      <w:r>
        <w:rPr>
          <w:b/>
          <w:bCs/>
          <w:i w:val="0"/>
          <w:iCs w:val="0"/>
          <w:color w:val="000000"/>
          <w:spacing w:val="0"/>
          <w:w w:val="100"/>
          <w:position w:val="0"/>
          <w:sz w:val="20"/>
          <w:szCs w:val="20"/>
        </w:rPr>
        <w:t>、</w:t>
        <w:tab/>
        <w:t>本企业的子公司情况</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9"/>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848" w:name="bookmark1848"/>
      <w:r>
        <w:rPr>
          <w:rFonts w:ascii="Times New Roman" w:eastAsia="Times New Roman" w:hAnsi="Times New Roman" w:cs="Times New Roman"/>
          <w:b/>
          <w:bCs/>
          <w:i w:val="0"/>
          <w:iCs w:val="0"/>
          <w:color w:val="000000"/>
          <w:spacing w:val="0"/>
          <w:w w:val="100"/>
          <w:position w:val="0"/>
          <w:sz w:val="20"/>
          <w:szCs w:val="20"/>
        </w:rPr>
        <w:t>3</w:t>
      </w:r>
      <w:bookmarkEnd w:id="1848"/>
      <w:r>
        <w:rPr>
          <w:b/>
          <w:bCs/>
          <w:i w:val="0"/>
          <w:iCs w:val="0"/>
          <w:color w:val="000000"/>
          <w:spacing w:val="0"/>
          <w:w w:val="100"/>
          <w:position w:val="0"/>
          <w:sz w:val="20"/>
          <w:szCs w:val="20"/>
        </w:rPr>
        <w:t>、</w:t>
        <w:tab/>
        <w:t>本企业合营和联营企业情况</w:t>
      </w: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本集团持股</w:t>
            </w:r>
            <w:r>
              <w:rPr>
                <w:rFonts w:ascii="Times New Roman" w:eastAsia="Times New Roman" w:hAnsi="Times New Roman" w:cs="Times New Roman"/>
                <w:color w:val="000000"/>
                <w:spacing w:val="0"/>
                <w:w w:val="100"/>
                <w:position w:val="0"/>
                <w:sz w:val="18"/>
                <w:szCs w:val="18"/>
              </w:rPr>
              <w:t>40.70%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福建文鑫莲业有限责任公司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本集团持股</w:t>
            </w:r>
            <w:r>
              <w:rPr>
                <w:rFonts w:ascii="Times New Roman" w:eastAsia="Times New Roman" w:hAnsi="Times New Roman" w:cs="Times New Roman"/>
                <w:color w:val="000000"/>
                <w:spacing w:val="0"/>
                <w:w w:val="100"/>
                <w:position w:val="0"/>
                <w:sz w:val="18"/>
                <w:szCs w:val="18"/>
              </w:rPr>
              <w:t>12.58%</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建宁县日升投资有限公司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本集团持股</w:t>
            </w:r>
            <w:r>
              <w:rPr>
                <w:rFonts w:ascii="Times New Roman" w:eastAsia="Times New Roman" w:hAnsi="Times New Roman" w:cs="Times New Roman"/>
                <w:color w:val="000000"/>
                <w:spacing w:val="0"/>
                <w:w w:val="100"/>
                <w:position w:val="0"/>
                <w:sz w:val="18"/>
                <w:szCs w:val="18"/>
              </w:rPr>
              <w:t>15.00%</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福建闽光软件股份有限公司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本集团持股</w:t>
            </w:r>
            <w:r>
              <w:rPr>
                <w:rFonts w:ascii="Times New Roman" w:eastAsia="Times New Roman" w:hAnsi="Times New Roman" w:cs="Times New Roman"/>
                <w:color w:val="000000"/>
                <w:spacing w:val="0"/>
                <w:w w:val="100"/>
                <w:position w:val="0"/>
                <w:sz w:val="18"/>
                <w:szCs w:val="18"/>
              </w:rPr>
              <w:t>35.00%</w:t>
            </w:r>
          </w:p>
        </w:tc>
      </w:tr>
    </w:tbl>
    <w:p>
      <w:pPr>
        <w:spacing w:lineRule="exact" w:line="1"/>
        <w:rPr>
          <w:sz w:val="2"/>
          <w:szCs w:val="2"/>
        </w:rPr>
      </w:pPr>
      <w:r>
        <w:br w:type="page"/>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2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4</w:t>
      </w:r>
      <w:bookmarkEnd w:id="1851"/>
      <w:r>
        <w:rPr>
          <w:color w:val="000000"/>
          <w:spacing w:val="0"/>
          <w:w w:val="100"/>
          <w:position w:val="0"/>
        </w:rPr>
        <w:t>、其他关联方情况</w:t>
      </w:r>
      <w:bookmarkEnd w:id="1849"/>
      <w:bookmarkEnd w:id="1850"/>
      <w:bookmarkEnd w:id="185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福建省星云大数据应用服务有限公司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子公司福建星榕基信息科技有限责任公司的参股股东（持股</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widowControl w:val="0"/>
        <w:spacing w:after="11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5</w:t>
      </w:r>
      <w:bookmarkEnd w:id="1855"/>
      <w:r>
        <w:rPr>
          <w:color w:val="000000"/>
          <w:spacing w:val="0"/>
          <w:w w:val="100"/>
          <w:position w:val="0"/>
        </w:rPr>
        <w:t>、关联交易情况</w:t>
      </w:r>
      <w:bookmarkEnd w:id="1853"/>
      <w:bookmarkEnd w:id="1854"/>
      <w:bookmarkEnd w:id="1856"/>
    </w:p>
    <w:p>
      <w:pPr>
        <w:pStyle w:val="Style43"/>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53"/>
      <w:bookmarkEnd w:id="1854"/>
      <w:bookmarkEnd w:id="1857"/>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9"/>
        <w:gridCol w:w="171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福建省星云大数据 应用服务有限公司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3,815,044.25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福建省星云大数据应用服务有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550,160.96</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福建省星云大数据应用服务有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874,528.30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福建闽光软件股份有限公司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4,242,504.99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4,103,735.90</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福建闽光软件股份有限公司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软件及技术服务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858,490.57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3"/>
        <w:keepNext/>
        <w:keepLines/>
        <w:widowControl w:val="0"/>
        <w:shd w:val="clear" w:color="auto" w:fill="auto"/>
        <w:bidi w:val="0"/>
        <w:spacing w:before="0" w:after="380" w:line="240" w:lineRule="auto"/>
        <w:ind w:left="0" w:right="0" w:firstLine="0"/>
        <w:jc w:val="left"/>
      </w:pPr>
      <w:bookmarkStart w:id="1858" w:name="bookmark1858"/>
      <w:bookmarkStart w:id="1859" w:name="bookmark1859"/>
      <w:bookmarkStart w:id="1860" w:name="bookmark18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58"/>
      <w:bookmarkEnd w:id="1859"/>
      <w:bookmarkEnd w:id="1860"/>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3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3"/>
        <w:gridCol w:w="1368"/>
        <w:gridCol w:w="1368"/>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3"/>
        <w:keepNext/>
        <w:keepLines/>
        <w:widowControl w:val="0"/>
        <w:shd w:val="clear" w:color="auto" w:fill="auto"/>
        <w:bidi w:val="0"/>
        <w:spacing w:before="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61"/>
      <w:bookmarkEnd w:id="1862"/>
      <w:bookmarkEnd w:id="1864"/>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本公司作为出租方：</w:t>
      </w:r>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福建省星云大数据应用服务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272,797.00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w:t>
      </w:r>
      <w:bookmarkEnd w:id="1867"/>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65"/>
      <w:bookmarkEnd w:id="1866"/>
      <w:bookmarkEnd w:id="1868"/>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本公司作为担保方</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w:t>
      </w:r>
      <w:bookmarkEnd w:id="187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69"/>
      <w:bookmarkEnd w:id="1870"/>
      <w:bookmarkEnd w:id="1872"/>
    </w:p>
    <w:p>
      <w:pPr>
        <w:widowControl w:val="0"/>
        <w:jc w:val="center"/>
        <w:rPr>
          <w:sz w:val="2"/>
          <w:szCs w:val="2"/>
        </w:rPr>
      </w:pPr>
      <w:r>
        <w:drawing>
          <wp:inline>
            <wp:extent cx="6102350" cy="951230"/>
            <wp:docPr id="90" name="Picutre 90"/>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39"/>
                    <a:stretch/>
                  </pic:blipFill>
                  <pic:spPr>
                    <a:xfrm>
                      <a:ext cx="6102350" cy="951230"/>
                    </a:xfrm>
                    <a:prstGeom prst="rect"/>
                  </pic:spPr>
                </pic:pic>
              </a:graphicData>
            </a:graphic>
          </wp:inline>
        </w:drawing>
      </w:r>
    </w:p>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73"/>
      <w:bookmarkEnd w:id="1874"/>
      <w:bookmarkEnd w:id="1876"/>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p>
      <w:pPr>
        <w:pStyle w:val="Style43"/>
        <w:keepNext/>
        <w:keepLines/>
        <w:widowControl w:val="0"/>
        <w:numPr>
          <w:ilvl w:val="0"/>
          <w:numId w:val="93"/>
        </w:numPr>
        <w:shd w:val="clear" w:color="auto" w:fill="auto"/>
        <w:bidi w:val="0"/>
        <w:spacing w:before="0" w:after="340" w:line="240" w:lineRule="auto"/>
        <w:ind w:left="0" w:right="0" w:firstLine="140"/>
        <w:jc w:val="left"/>
      </w:pPr>
      <w:bookmarkStart w:id="1877" w:name="bookmark1877"/>
      <w:bookmarkStart w:id="1878" w:name="bookmark1878"/>
      <w:bookmarkStart w:id="1879" w:name="bookmark1879"/>
      <w:bookmarkStart w:id="1880" w:name="bookmark1880"/>
      <w:bookmarkEnd w:id="1879"/>
      <w:r>
        <w:rPr>
          <w:color w:val="000000"/>
          <w:spacing w:val="0"/>
          <w:w w:val="100"/>
          <w:position w:val="0"/>
        </w:rPr>
        <w:t>关键管理人员报酬</w:t>
      </w:r>
      <w:bookmarkEnd w:id="1877"/>
      <w:bookmarkEnd w:id="1878"/>
      <w:bookmarkEnd w:id="188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5,490,000.00</w:t>
            </w:r>
          </w:p>
        </w:tc>
      </w:tr>
    </w:tbl>
    <w:p>
      <w:pPr>
        <w:widowControl w:val="0"/>
        <w:spacing w:after="339" w:line="1" w:lineRule="exact"/>
      </w:pPr>
    </w:p>
    <w:p>
      <w:pPr>
        <w:pStyle w:val="Style43"/>
        <w:keepNext/>
        <w:keepLines/>
        <w:widowControl w:val="0"/>
        <w:numPr>
          <w:ilvl w:val="0"/>
          <w:numId w:val="93"/>
        </w:numPr>
        <w:shd w:val="clear" w:color="auto" w:fill="auto"/>
        <w:bidi w:val="0"/>
        <w:spacing w:before="0" w:after="340" w:line="240" w:lineRule="auto"/>
        <w:ind w:left="0" w:right="0" w:firstLine="0"/>
        <w:jc w:val="left"/>
      </w:pPr>
      <w:bookmarkStart w:id="1881" w:name="bookmark1881"/>
      <w:bookmarkStart w:id="1882" w:name="bookmark1882"/>
      <w:bookmarkStart w:id="1883" w:name="bookmark1883"/>
      <w:bookmarkStart w:id="1884" w:name="bookmark1884"/>
      <w:bookmarkEnd w:id="1883"/>
      <w:r>
        <w:rPr>
          <w:color w:val="000000"/>
          <w:spacing w:val="0"/>
          <w:w w:val="100"/>
          <w:position w:val="0"/>
        </w:rPr>
        <w:t>其他关联交易</w:t>
      </w:r>
      <w:bookmarkEnd w:id="1881"/>
      <w:bookmarkEnd w:id="1882"/>
      <w:bookmarkEnd w:id="1884"/>
    </w:p>
    <w:p>
      <w:pPr>
        <w:pStyle w:val="Style43"/>
        <w:keepNext/>
        <w:keepLines/>
        <w:widowControl w:val="0"/>
        <w:shd w:val="clear" w:color="auto" w:fill="auto"/>
        <w:bidi w:val="0"/>
        <w:spacing w:before="0" w:after="340" w:line="240" w:lineRule="auto"/>
        <w:ind w:left="0" w:right="0" w:firstLine="0"/>
        <w:jc w:val="left"/>
      </w:pPr>
      <w:bookmarkStart w:id="1881" w:name="bookmark1881"/>
      <w:bookmarkStart w:id="1882" w:name="bookmark1882"/>
      <w:bookmarkStart w:id="1885" w:name="bookmark1885"/>
      <w:bookmarkStart w:id="1886" w:name="bookmark1886"/>
      <w:r>
        <w:rPr>
          <w:rFonts w:ascii="Times New Roman" w:eastAsia="Times New Roman" w:hAnsi="Times New Roman" w:cs="Times New Roman"/>
          <w:color w:val="000000"/>
          <w:spacing w:val="0"/>
          <w:w w:val="100"/>
          <w:position w:val="0"/>
        </w:rPr>
        <w:t>6</w:t>
      </w:r>
      <w:bookmarkEnd w:id="1885"/>
      <w:r>
        <w:rPr>
          <w:color w:val="000000"/>
          <w:spacing w:val="0"/>
          <w:w w:val="100"/>
          <w:position w:val="0"/>
        </w:rPr>
        <w:t>、关联方应收应付款项</w:t>
      </w:r>
      <w:bookmarkEnd w:id="1881"/>
      <w:bookmarkEnd w:id="1882"/>
      <w:bookmarkEnd w:id="1886"/>
    </w:p>
    <w:p>
      <w:pPr>
        <w:pStyle w:val="Style43"/>
        <w:keepNext/>
        <w:keepLines/>
        <w:widowControl w:val="0"/>
        <w:shd w:val="clear" w:color="auto" w:fill="auto"/>
        <w:bidi w:val="0"/>
        <w:spacing w:before="0" w:after="340" w:line="240" w:lineRule="auto"/>
        <w:ind w:left="0" w:right="0" w:firstLine="0"/>
        <w:jc w:val="left"/>
      </w:pPr>
      <w:bookmarkStart w:id="1881" w:name="bookmark1881"/>
      <w:bookmarkStart w:id="1882" w:name="bookmark1882"/>
      <w:bookmarkStart w:id="1887" w:name="bookmark18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81"/>
      <w:bookmarkEnd w:id="1882"/>
      <w:bookmarkEnd w:id="188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福建省星云大数据 应用服务有限公司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2,571,259.72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573,099.84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6,266,065.22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808,350.95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福建省星云大数据 应用服务有限公司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4,089,905.50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793,441.67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福建闽光软件股份</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1,698,151.40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63,001.42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福建闽光软件股份</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福建亿榕信息技术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福建省星云大数据 应用服务有限公司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25,826.22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10,400.94</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140"/>
        <w:jc w:val="left"/>
      </w:pPr>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88"/>
      <w:bookmarkEnd w:id="1889"/>
      <w:bookmarkEnd w:id="189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3,152,980.00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3,152,980.00</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福建闽光软件股份有限公司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679,241.80</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7</w:t>
      </w:r>
      <w:bookmarkEnd w:id="1893"/>
      <w:r>
        <w:rPr>
          <w:color w:val="000000"/>
          <w:spacing w:val="0"/>
          <w:w w:val="100"/>
          <w:position w:val="0"/>
        </w:rPr>
        <w:t>、关联方承诺</w:t>
      </w:r>
      <w:bookmarkEnd w:id="1891"/>
      <w:bookmarkEnd w:id="1892"/>
      <w:bookmarkEnd w:id="1894"/>
    </w:p>
    <w:p>
      <w:pPr>
        <w:pStyle w:val="Style39"/>
        <w:keepNext w:val="0"/>
        <w:keepLines w:val="0"/>
        <w:widowControl w:val="0"/>
        <w:shd w:val="clear" w:color="auto" w:fill="auto"/>
        <w:bidi w:val="0"/>
        <w:spacing w:before="0" w:after="360" w:line="240" w:lineRule="auto"/>
        <w:ind w:left="0" w:right="0" w:firstLine="0"/>
        <w:jc w:val="left"/>
        <w:rPr>
          <w:sz w:val="20"/>
          <w:szCs w:val="20"/>
        </w:rPr>
      </w:pPr>
      <w:bookmarkStart w:id="1895" w:name="bookmark1895"/>
      <w:r>
        <w:rPr>
          <w:rFonts w:ascii="Times New Roman" w:eastAsia="Times New Roman" w:hAnsi="Times New Roman" w:cs="Times New Roman"/>
          <w:b/>
          <w:bCs/>
          <w:i w:val="0"/>
          <w:iCs w:val="0"/>
          <w:color w:val="000000"/>
          <w:spacing w:val="0"/>
          <w:w w:val="100"/>
          <w:position w:val="0"/>
          <w:sz w:val="20"/>
          <w:szCs w:val="20"/>
        </w:rPr>
        <w:t>8</w:t>
      </w:r>
      <w:bookmarkEnd w:id="1895"/>
      <w:r>
        <w:rPr>
          <w:b/>
          <w:bCs/>
          <w:i w:val="0"/>
          <w:iCs w:val="0"/>
          <w:color w:val="000000"/>
          <w:spacing w:val="0"/>
          <w:w w:val="100"/>
          <w:position w:val="0"/>
          <w:sz w:val="20"/>
          <w:szCs w:val="20"/>
        </w:rPr>
        <w:t>、其他</w:t>
      </w:r>
    </w:p>
    <w:p>
      <w:pPr>
        <w:pStyle w:val="Style32"/>
        <w:keepNext/>
        <w:keepLines/>
        <w:widowControl w:val="0"/>
        <w:shd w:val="clear" w:color="auto" w:fill="auto"/>
        <w:bidi w:val="0"/>
        <w:spacing w:before="0" w:after="360" w:line="240" w:lineRule="auto"/>
        <w:ind w:left="0" w:right="0" w:firstLine="0"/>
        <w:jc w:val="left"/>
      </w:pPr>
      <w:bookmarkStart w:id="1896" w:name="bookmark1896"/>
      <w:bookmarkStart w:id="1897" w:name="bookmark1897"/>
      <w:bookmarkStart w:id="1898" w:name="bookmark1898"/>
      <w:r>
        <w:rPr>
          <w:color w:val="000000"/>
          <w:spacing w:val="0"/>
          <w:w w:val="100"/>
          <w:position w:val="0"/>
        </w:rPr>
        <w:t>十三、股份支付</w:t>
      </w:r>
      <w:bookmarkEnd w:id="1896"/>
      <w:bookmarkEnd w:id="1897"/>
      <w:bookmarkEnd w:id="1898"/>
    </w:p>
    <w:p>
      <w:pPr>
        <w:pStyle w:val="Style39"/>
        <w:keepNext w:val="0"/>
        <w:keepLines w:val="0"/>
        <w:widowControl w:val="0"/>
        <w:shd w:val="clear" w:color="auto" w:fill="auto"/>
        <w:tabs>
          <w:tab w:pos="368" w:val="left"/>
        </w:tabs>
        <w:bidi w:val="0"/>
        <w:spacing w:before="0" w:after="360" w:line="240" w:lineRule="auto"/>
        <w:ind w:left="0" w:right="0" w:firstLine="0"/>
        <w:jc w:val="left"/>
        <w:rPr>
          <w:sz w:val="20"/>
          <w:szCs w:val="20"/>
        </w:rPr>
      </w:pPr>
      <w:bookmarkStart w:id="1899" w:name="bookmark1899"/>
      <w:r>
        <w:rPr>
          <w:rFonts w:ascii="Times New Roman" w:eastAsia="Times New Roman" w:hAnsi="Times New Roman" w:cs="Times New Roman"/>
          <w:b/>
          <w:bCs/>
          <w:i w:val="0"/>
          <w:iCs w:val="0"/>
          <w:color w:val="000000"/>
          <w:spacing w:val="0"/>
          <w:w w:val="100"/>
          <w:position w:val="0"/>
          <w:sz w:val="20"/>
          <w:szCs w:val="20"/>
        </w:rPr>
        <w:t>1</w:t>
      </w:r>
      <w:bookmarkEnd w:id="1899"/>
      <w:r>
        <w:rPr>
          <w:b/>
          <w:bCs/>
          <w:i w:val="0"/>
          <w:iCs w:val="0"/>
          <w:color w:val="000000"/>
          <w:spacing w:val="0"/>
          <w:w w:val="100"/>
          <w:position w:val="0"/>
          <w:sz w:val="20"/>
          <w:szCs w:val="20"/>
        </w:rPr>
        <w:t>、</w:t>
        <w:tab/>
        <w:t>股份支付总体情况</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900" w:name="bookmark1900"/>
      <w:r>
        <w:rPr>
          <w:rFonts w:ascii="Times New Roman" w:eastAsia="Times New Roman" w:hAnsi="Times New Roman" w:cs="Times New Roman"/>
          <w:b/>
          <w:bCs/>
          <w:i w:val="0"/>
          <w:iCs w:val="0"/>
          <w:color w:val="000000"/>
          <w:spacing w:val="0"/>
          <w:w w:val="100"/>
          <w:position w:val="0"/>
          <w:sz w:val="20"/>
          <w:szCs w:val="20"/>
        </w:rPr>
        <w:t>2</w:t>
      </w:r>
      <w:bookmarkEnd w:id="1900"/>
      <w:r>
        <w:rPr>
          <w:b/>
          <w:bCs/>
          <w:i w:val="0"/>
          <w:iCs w:val="0"/>
          <w:color w:val="000000"/>
          <w:spacing w:val="0"/>
          <w:w w:val="100"/>
          <w:position w:val="0"/>
          <w:sz w:val="20"/>
          <w:szCs w:val="20"/>
        </w:rPr>
        <w:t>、</w:t>
        <w:tab/>
        <w:t>以权益结算的股份支付情况</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901" w:name="bookmark1901"/>
      <w:r>
        <w:rPr>
          <w:rFonts w:ascii="Times New Roman" w:eastAsia="Times New Roman" w:hAnsi="Times New Roman" w:cs="Times New Roman"/>
          <w:b/>
          <w:bCs/>
          <w:i w:val="0"/>
          <w:iCs w:val="0"/>
          <w:color w:val="000000"/>
          <w:spacing w:val="0"/>
          <w:w w:val="100"/>
          <w:position w:val="0"/>
          <w:sz w:val="20"/>
          <w:szCs w:val="20"/>
        </w:rPr>
        <w:t>3</w:t>
      </w:r>
      <w:bookmarkEnd w:id="1901"/>
      <w:r>
        <w:rPr>
          <w:b/>
          <w:bCs/>
          <w:i w:val="0"/>
          <w:iCs w:val="0"/>
          <w:color w:val="000000"/>
          <w:spacing w:val="0"/>
          <w:w w:val="100"/>
          <w:position w:val="0"/>
          <w:sz w:val="20"/>
          <w:szCs w:val="20"/>
        </w:rPr>
        <w:t>、</w:t>
        <w:tab/>
        <w:t>以现金结算的股份支付情况</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902" w:name="bookmark1902"/>
      <w:r>
        <w:rPr>
          <w:rFonts w:ascii="Times New Roman" w:eastAsia="Times New Roman" w:hAnsi="Times New Roman" w:cs="Times New Roman"/>
          <w:b/>
          <w:bCs/>
          <w:i w:val="0"/>
          <w:iCs w:val="0"/>
          <w:color w:val="000000"/>
          <w:spacing w:val="0"/>
          <w:w w:val="100"/>
          <w:position w:val="0"/>
          <w:sz w:val="20"/>
          <w:szCs w:val="20"/>
        </w:rPr>
        <w:t>4</w:t>
      </w:r>
      <w:bookmarkEnd w:id="1902"/>
      <w:r>
        <w:rPr>
          <w:b/>
          <w:bCs/>
          <w:i w:val="0"/>
          <w:iCs w:val="0"/>
          <w:color w:val="000000"/>
          <w:spacing w:val="0"/>
          <w:w w:val="100"/>
          <w:position w:val="0"/>
          <w:sz w:val="20"/>
          <w:szCs w:val="20"/>
        </w:rPr>
        <w:t>、</w:t>
        <w:tab/>
        <w:t>股份支付的修改、终止情况</w:t>
      </w:r>
    </w:p>
    <w:p>
      <w:pPr>
        <w:pStyle w:val="Style39"/>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903" w:name="bookmark1903"/>
      <w:r>
        <w:rPr>
          <w:rFonts w:ascii="Times New Roman" w:eastAsia="Times New Roman" w:hAnsi="Times New Roman" w:cs="Times New Roman"/>
          <w:b/>
          <w:bCs/>
          <w:i w:val="0"/>
          <w:iCs w:val="0"/>
          <w:color w:val="000000"/>
          <w:spacing w:val="0"/>
          <w:w w:val="100"/>
          <w:position w:val="0"/>
          <w:sz w:val="20"/>
          <w:szCs w:val="20"/>
        </w:rPr>
        <w:t>5</w:t>
      </w:r>
      <w:bookmarkEnd w:id="1903"/>
      <w:r>
        <w:rPr>
          <w:b/>
          <w:bCs/>
          <w:i w:val="0"/>
          <w:iCs w:val="0"/>
          <w:color w:val="000000"/>
          <w:spacing w:val="0"/>
          <w:w w:val="100"/>
          <w:position w:val="0"/>
          <w:sz w:val="20"/>
          <w:szCs w:val="20"/>
        </w:rPr>
        <w:t>、</w:t>
        <w:tab/>
        <w:t>其他</w:t>
      </w:r>
    </w:p>
    <w:p>
      <w:pPr>
        <w:pStyle w:val="Style32"/>
        <w:keepNext/>
        <w:keepLines/>
        <w:widowControl w:val="0"/>
        <w:shd w:val="clear" w:color="auto" w:fill="auto"/>
        <w:bidi w:val="0"/>
        <w:spacing w:before="0" w:after="360" w:line="240" w:lineRule="auto"/>
        <w:ind w:left="0" w:right="0" w:firstLine="0"/>
        <w:jc w:val="left"/>
      </w:pPr>
      <w:bookmarkStart w:id="1904" w:name="bookmark1904"/>
      <w:bookmarkStart w:id="1905" w:name="bookmark1905"/>
      <w:bookmarkStart w:id="1906" w:name="bookmark1906"/>
      <w:r>
        <w:rPr>
          <w:color w:val="000000"/>
          <w:spacing w:val="0"/>
          <w:w w:val="100"/>
          <w:position w:val="0"/>
        </w:rPr>
        <w:t>十四、承诺及或有事项</w:t>
      </w:r>
      <w:bookmarkEnd w:id="1904"/>
      <w:bookmarkEnd w:id="1905"/>
      <w:bookmarkEnd w:id="1906"/>
    </w:p>
    <w:p>
      <w:pPr>
        <w:pStyle w:val="Style39"/>
        <w:keepNext w:val="0"/>
        <w:keepLines w:val="0"/>
        <w:widowControl w:val="0"/>
        <w:shd w:val="clear" w:color="auto" w:fill="auto"/>
        <w:tabs>
          <w:tab w:pos="368" w:val="left"/>
        </w:tabs>
        <w:bidi w:val="0"/>
        <w:spacing w:before="0" w:after="360" w:line="240" w:lineRule="auto"/>
        <w:ind w:left="0" w:right="0" w:firstLine="0"/>
        <w:jc w:val="left"/>
        <w:rPr>
          <w:sz w:val="20"/>
          <w:szCs w:val="20"/>
        </w:rPr>
      </w:pPr>
      <w:bookmarkStart w:id="1907" w:name="bookmark1907"/>
      <w:r>
        <w:rPr>
          <w:rFonts w:ascii="Times New Roman" w:eastAsia="Times New Roman" w:hAnsi="Times New Roman" w:cs="Times New Roman"/>
          <w:b/>
          <w:bCs/>
          <w:i w:val="0"/>
          <w:iCs w:val="0"/>
          <w:color w:val="000000"/>
          <w:spacing w:val="0"/>
          <w:w w:val="100"/>
          <w:position w:val="0"/>
          <w:sz w:val="20"/>
          <w:szCs w:val="20"/>
        </w:rPr>
        <w:t>1</w:t>
      </w:r>
      <w:bookmarkEnd w:id="1907"/>
      <w:r>
        <w:rPr>
          <w:b/>
          <w:bCs/>
          <w:i w:val="0"/>
          <w:iCs w:val="0"/>
          <w:color w:val="000000"/>
          <w:spacing w:val="0"/>
          <w:w w:val="100"/>
          <w:position w:val="0"/>
          <w:sz w:val="20"/>
          <w:szCs w:val="20"/>
        </w:rPr>
        <w:t>、</w:t>
        <w:tab/>
        <w:t>重要承诺事项</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日，本集团不存在应披露的承诺事项。</w:t>
      </w:r>
    </w:p>
    <w:p>
      <w:pPr>
        <w:pStyle w:val="Style39"/>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908" w:name="bookmark1908"/>
      <w:r>
        <w:rPr>
          <w:rFonts w:ascii="Times New Roman" w:eastAsia="Times New Roman" w:hAnsi="Times New Roman" w:cs="Times New Roman"/>
          <w:b/>
          <w:bCs/>
          <w:i w:val="0"/>
          <w:iCs w:val="0"/>
          <w:color w:val="000000"/>
          <w:spacing w:val="0"/>
          <w:w w:val="100"/>
          <w:position w:val="0"/>
          <w:sz w:val="20"/>
          <w:szCs w:val="20"/>
        </w:rPr>
        <w:t>2</w:t>
      </w:r>
      <w:bookmarkEnd w:id="1908"/>
      <w:r>
        <w:rPr>
          <w:b/>
          <w:bCs/>
          <w:i w:val="0"/>
          <w:iCs w:val="0"/>
          <w:color w:val="000000"/>
          <w:spacing w:val="0"/>
          <w:w w:val="100"/>
          <w:position w:val="0"/>
          <w:sz w:val="20"/>
          <w:szCs w:val="20"/>
        </w:rPr>
        <w:t>、</w:t>
        <w:tab/>
        <w:t>或有事项</w:t>
      </w:r>
    </w:p>
    <w:p>
      <w:pPr>
        <w:pStyle w:val="Style39"/>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909" w:name="bookmark1909"/>
      <w:r>
        <w:rPr>
          <w:b/>
          <w:bCs/>
          <w:i w:val="0"/>
          <w:iCs w:val="0"/>
          <w:color w:val="000000"/>
          <w:spacing w:val="0"/>
          <w:w w:val="100"/>
          <w:position w:val="0"/>
          <w:sz w:val="20"/>
          <w:szCs w:val="20"/>
        </w:rPr>
        <w:t>（</w:t>
      </w:r>
      <w:bookmarkEnd w:id="1909"/>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资产负债表日存在的重要或有事项</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日，本集团不存在应披露的未决诉讼、对外担保等或有事项。</w:t>
      </w:r>
    </w:p>
    <w:p>
      <w:pPr>
        <w:pStyle w:val="Style39"/>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910" w:name="bookmark1910"/>
      <w:r>
        <w:rPr>
          <w:b/>
          <w:bCs/>
          <w:i w:val="0"/>
          <w:iCs w:val="0"/>
          <w:color w:val="000000"/>
          <w:spacing w:val="0"/>
          <w:w w:val="100"/>
          <w:position w:val="0"/>
          <w:sz w:val="20"/>
          <w:szCs w:val="20"/>
        </w:rPr>
        <w:t>（</w:t>
      </w:r>
      <w:bookmarkEnd w:id="1910"/>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公司没有需要披露的重要或有事项，也应予以说明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9"/>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911" w:name="bookmark1911"/>
      <w:r>
        <w:rPr>
          <w:rFonts w:ascii="Times New Roman" w:eastAsia="Times New Roman" w:hAnsi="Times New Roman" w:cs="Times New Roman"/>
          <w:b/>
          <w:bCs/>
          <w:i w:val="0"/>
          <w:iCs w:val="0"/>
          <w:color w:val="000000"/>
          <w:spacing w:val="0"/>
          <w:w w:val="100"/>
          <w:position w:val="0"/>
          <w:sz w:val="20"/>
          <w:szCs w:val="20"/>
        </w:rPr>
        <w:t>3</w:t>
      </w:r>
      <w:bookmarkEnd w:id="1911"/>
      <w:r>
        <w:rPr>
          <w:b/>
          <w:bCs/>
          <w:i w:val="0"/>
          <w:iCs w:val="0"/>
          <w:color w:val="000000"/>
          <w:spacing w:val="0"/>
          <w:w w:val="100"/>
          <w:position w:val="0"/>
          <w:sz w:val="20"/>
          <w:szCs w:val="20"/>
        </w:rPr>
        <w:t>、</w:t>
        <w:tab/>
        <w:t>其他</w:t>
      </w:r>
    </w:p>
    <w:p>
      <w:pPr>
        <w:pStyle w:val="Style32"/>
        <w:keepNext/>
        <w:keepLines/>
        <w:widowControl w:val="0"/>
        <w:shd w:val="clear" w:color="auto" w:fill="auto"/>
        <w:bidi w:val="0"/>
        <w:spacing w:before="0" w:after="360" w:line="240" w:lineRule="auto"/>
        <w:ind w:left="0" w:right="0" w:firstLine="0"/>
        <w:jc w:val="left"/>
      </w:pPr>
      <w:bookmarkStart w:id="1912" w:name="bookmark1912"/>
      <w:bookmarkStart w:id="1913" w:name="bookmark1913"/>
      <w:bookmarkStart w:id="1914" w:name="bookmark1914"/>
      <w:r>
        <w:rPr>
          <w:color w:val="000000"/>
          <w:spacing w:val="0"/>
          <w:w w:val="100"/>
          <w:position w:val="0"/>
        </w:rPr>
        <w:t>十五、资产负债表日后事项</w:t>
      </w:r>
      <w:bookmarkEnd w:id="1912"/>
      <w:bookmarkEnd w:id="1913"/>
      <w:bookmarkEnd w:id="1914"/>
    </w:p>
    <w:p>
      <w:pPr>
        <w:pStyle w:val="Style39"/>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、重要的非调整事项</w:t>
      </w:r>
    </w:p>
    <w:p>
      <w:pPr>
        <w:pStyle w:val="Style3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9"/>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、利润分配情况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9,333,000.00</w:t>
            </w:r>
          </w:p>
        </w:tc>
      </w:tr>
    </w:tbl>
    <w:p>
      <w:pPr>
        <w:widowControl w:val="0"/>
        <w:spacing w:after="359" w:line="1" w:lineRule="exact"/>
      </w:pPr>
    </w:p>
    <w:p>
      <w:pPr>
        <w:pStyle w:val="Style39"/>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915" w:name="bookmark1915"/>
      <w:r>
        <w:rPr>
          <w:rFonts w:ascii="Times New Roman" w:eastAsia="Times New Roman" w:hAnsi="Times New Roman" w:cs="Times New Roman"/>
          <w:b/>
          <w:bCs/>
          <w:i w:val="0"/>
          <w:iCs w:val="0"/>
          <w:color w:val="000000"/>
          <w:spacing w:val="0"/>
          <w:w w:val="100"/>
          <w:position w:val="0"/>
          <w:sz w:val="20"/>
          <w:szCs w:val="20"/>
        </w:rPr>
        <w:t>3</w:t>
      </w:r>
      <w:bookmarkEnd w:id="1915"/>
      <w:r>
        <w:rPr>
          <w:b/>
          <w:bCs/>
          <w:i w:val="0"/>
          <w:iCs w:val="0"/>
          <w:color w:val="000000"/>
          <w:spacing w:val="0"/>
          <w:w w:val="100"/>
          <w:position w:val="0"/>
          <w:sz w:val="20"/>
          <w:szCs w:val="20"/>
        </w:rPr>
        <w:t>、</w:t>
        <w:tab/>
        <w:t>销售退回</w:t>
      </w:r>
    </w:p>
    <w:p>
      <w:pPr>
        <w:pStyle w:val="Style39"/>
        <w:keepNext w:val="0"/>
        <w:keepLines w:val="0"/>
        <w:widowControl w:val="0"/>
        <w:shd w:val="clear" w:color="auto" w:fill="auto"/>
        <w:tabs>
          <w:tab w:pos="378" w:val="left"/>
        </w:tabs>
        <w:bidi w:val="0"/>
        <w:spacing w:before="0" w:after="400" w:line="240" w:lineRule="auto"/>
        <w:ind w:left="0" w:right="0" w:firstLine="0"/>
        <w:jc w:val="left"/>
        <w:rPr>
          <w:sz w:val="20"/>
          <w:szCs w:val="20"/>
        </w:rPr>
      </w:pPr>
      <w:bookmarkStart w:id="1916" w:name="bookmark1916"/>
      <w:r>
        <w:rPr>
          <w:rFonts w:ascii="Times New Roman" w:eastAsia="Times New Roman" w:hAnsi="Times New Roman" w:cs="Times New Roman"/>
          <w:b/>
          <w:bCs/>
          <w:i w:val="0"/>
          <w:iCs w:val="0"/>
          <w:color w:val="000000"/>
          <w:spacing w:val="0"/>
          <w:w w:val="100"/>
          <w:position w:val="0"/>
          <w:sz w:val="20"/>
          <w:szCs w:val="20"/>
        </w:rPr>
        <w:t>4</w:t>
      </w:r>
      <w:bookmarkEnd w:id="1916"/>
      <w:r>
        <w:rPr>
          <w:b/>
          <w:bCs/>
          <w:i w:val="0"/>
          <w:iCs w:val="0"/>
          <w:color w:val="000000"/>
          <w:spacing w:val="0"/>
          <w:w w:val="100"/>
          <w:position w:val="0"/>
          <w:sz w:val="20"/>
          <w:szCs w:val="20"/>
        </w:rPr>
        <w:t>、</w:t>
        <w:tab/>
        <w:t>其他资产负债表日后事项说明</w:t>
      </w:r>
    </w:p>
    <w:p>
      <w:pPr>
        <w:pStyle w:val="Style3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日，本集团不存在其他应披露的资产负债表日后事项。</w:t>
      </w:r>
    </w:p>
    <w:p>
      <w:pPr>
        <w:pStyle w:val="Style32"/>
        <w:keepNext/>
        <w:keepLines/>
        <w:widowControl w:val="0"/>
        <w:shd w:val="clear" w:color="auto" w:fill="auto"/>
        <w:bidi w:val="0"/>
        <w:spacing w:before="0" w:after="360" w:line="240" w:lineRule="auto"/>
        <w:ind w:left="0" w:right="0" w:firstLine="0"/>
        <w:jc w:val="left"/>
      </w:pPr>
      <w:bookmarkStart w:id="1917" w:name="bookmark1917"/>
      <w:bookmarkStart w:id="1918" w:name="bookmark1918"/>
      <w:bookmarkStart w:id="1919" w:name="bookmark1919"/>
      <w:r>
        <w:rPr>
          <w:color w:val="000000"/>
          <w:spacing w:val="0"/>
          <w:w w:val="100"/>
          <w:position w:val="0"/>
        </w:rPr>
        <w:t>十六、其他重要事项</w:t>
      </w:r>
      <w:bookmarkEnd w:id="1917"/>
      <w:bookmarkEnd w:id="1918"/>
      <w:bookmarkEnd w:id="1919"/>
    </w:p>
    <w:p>
      <w:pPr>
        <w:pStyle w:val="Style39"/>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、前期会计差错更正</w:t>
      </w:r>
    </w:p>
    <w:p>
      <w:pPr>
        <w:pStyle w:val="Style39"/>
        <w:keepNext w:val="0"/>
        <w:keepLines w:val="0"/>
        <w:widowControl w:val="0"/>
        <w:shd w:val="clear" w:color="auto" w:fill="auto"/>
        <w:bidi w:val="0"/>
        <w:spacing w:before="0" w:after="360" w:line="240" w:lineRule="auto"/>
        <w:ind w:left="0" w:right="0" w:firstLine="0"/>
        <w:jc w:val="left"/>
        <w:rPr>
          <w:sz w:val="20"/>
          <w:szCs w:val="20"/>
        </w:rPr>
      </w:pPr>
      <w:r>
        <w:rPr>
          <w:b/>
          <w:bCs/>
          <w:i w:val="0"/>
          <w:iCs w:val="0"/>
          <w:color w:val="000000"/>
          <w:spacing w:val="0"/>
          <w:w w:val="100"/>
          <w:position w:val="0"/>
          <w:sz w:val="20"/>
          <w:szCs w:val="20"/>
        </w:rPr>
        <w:t>（</w:t>
      </w: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）追溯重述法</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9"/>
        <w:keepNext w:val="0"/>
        <w:keepLines w:val="0"/>
        <w:widowControl w:val="0"/>
        <w:shd w:val="clear" w:color="auto" w:fill="auto"/>
        <w:bidi w:val="0"/>
        <w:spacing w:before="0" w:after="360" w:line="240" w:lineRule="auto"/>
        <w:ind w:left="0" w:right="0" w:firstLine="140"/>
        <w:jc w:val="left"/>
        <w:rPr>
          <w:sz w:val="20"/>
          <w:szCs w:val="20"/>
        </w:rPr>
      </w:pPr>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）未来适用法</w:t>
      </w:r>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9"/>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920" w:name="bookmark1920"/>
      <w:r>
        <w:rPr>
          <w:rFonts w:ascii="Times New Roman" w:eastAsia="Times New Roman" w:hAnsi="Times New Roman" w:cs="Times New Roman"/>
          <w:b/>
          <w:bCs/>
          <w:i w:val="0"/>
          <w:iCs w:val="0"/>
          <w:color w:val="000000"/>
          <w:spacing w:val="0"/>
          <w:w w:val="100"/>
          <w:position w:val="0"/>
          <w:sz w:val="20"/>
          <w:szCs w:val="20"/>
        </w:rPr>
        <w:t>2</w:t>
      </w:r>
      <w:bookmarkEnd w:id="1920"/>
      <w:r>
        <w:rPr>
          <w:b/>
          <w:bCs/>
          <w:i w:val="0"/>
          <w:iCs w:val="0"/>
          <w:color w:val="000000"/>
          <w:spacing w:val="0"/>
          <w:w w:val="100"/>
          <w:position w:val="0"/>
          <w:sz w:val="20"/>
          <w:szCs w:val="20"/>
        </w:rPr>
        <w:t>、</w:t>
        <w:tab/>
        <w:t>债务重组</w:t>
      </w:r>
    </w:p>
    <w:p>
      <w:pPr>
        <w:pStyle w:val="Style39"/>
        <w:keepNext w:val="0"/>
        <w:keepLines w:val="0"/>
        <w:widowControl w:val="0"/>
        <w:shd w:val="clear" w:color="auto" w:fill="auto"/>
        <w:tabs>
          <w:tab w:pos="378" w:val="left"/>
        </w:tabs>
        <w:bidi w:val="0"/>
        <w:spacing w:before="0" w:after="400" w:line="240" w:lineRule="auto"/>
        <w:ind w:left="0" w:right="0" w:firstLine="0"/>
        <w:jc w:val="left"/>
        <w:rPr>
          <w:sz w:val="20"/>
          <w:szCs w:val="20"/>
        </w:rPr>
      </w:pPr>
      <w:bookmarkStart w:id="1921" w:name="bookmark1921"/>
      <w:r>
        <w:rPr>
          <w:rFonts w:ascii="Times New Roman" w:eastAsia="Times New Roman" w:hAnsi="Times New Roman" w:cs="Times New Roman"/>
          <w:b/>
          <w:bCs/>
          <w:i w:val="0"/>
          <w:iCs w:val="0"/>
          <w:color w:val="000000"/>
          <w:spacing w:val="0"/>
          <w:w w:val="100"/>
          <w:position w:val="0"/>
          <w:sz w:val="20"/>
          <w:szCs w:val="20"/>
        </w:rPr>
        <w:t>3</w:t>
      </w:r>
      <w:bookmarkEnd w:id="1921"/>
      <w:r>
        <w:rPr>
          <w:b/>
          <w:bCs/>
          <w:i w:val="0"/>
          <w:iCs w:val="0"/>
          <w:color w:val="000000"/>
          <w:spacing w:val="0"/>
          <w:w w:val="100"/>
          <w:position w:val="0"/>
          <w:sz w:val="20"/>
          <w:szCs w:val="20"/>
        </w:rPr>
        <w:t>、</w:t>
        <w:tab/>
        <w:t>资产置换</w:t>
      </w:r>
    </w:p>
    <w:p>
      <w:pPr>
        <w:pStyle w:val="Style39"/>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922" w:name="bookmark1922"/>
      <w:r>
        <w:rPr>
          <w:b/>
          <w:bCs/>
          <w:i w:val="0"/>
          <w:iCs w:val="0"/>
          <w:color w:val="000000"/>
          <w:spacing w:val="0"/>
          <w:w w:val="100"/>
          <w:position w:val="0"/>
          <w:sz w:val="20"/>
          <w:szCs w:val="20"/>
        </w:rPr>
        <w:t>（</w:t>
      </w:r>
      <w:bookmarkEnd w:id="1922"/>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非货币性资产交换</w:t>
      </w:r>
    </w:p>
    <w:p>
      <w:pPr>
        <w:pStyle w:val="Style39"/>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923" w:name="bookmark1923"/>
      <w:r>
        <w:rPr>
          <w:b/>
          <w:bCs/>
          <w:i w:val="0"/>
          <w:iCs w:val="0"/>
          <w:color w:val="000000"/>
          <w:spacing w:val="0"/>
          <w:w w:val="100"/>
          <w:position w:val="0"/>
          <w:sz w:val="20"/>
          <w:szCs w:val="20"/>
        </w:rPr>
        <w:t>（</w:t>
      </w:r>
      <w:bookmarkEnd w:id="1923"/>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其他资产置换</w:t>
      </w:r>
    </w:p>
    <w:p>
      <w:pPr>
        <w:pStyle w:val="Style39"/>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924" w:name="bookmark1924"/>
      <w:r>
        <w:rPr>
          <w:rFonts w:ascii="Times New Roman" w:eastAsia="Times New Roman" w:hAnsi="Times New Roman" w:cs="Times New Roman"/>
          <w:b/>
          <w:bCs/>
          <w:i w:val="0"/>
          <w:iCs w:val="0"/>
          <w:color w:val="000000"/>
          <w:spacing w:val="0"/>
          <w:w w:val="100"/>
          <w:position w:val="0"/>
          <w:sz w:val="20"/>
          <w:szCs w:val="20"/>
        </w:rPr>
        <w:t>4</w:t>
      </w:r>
      <w:bookmarkEnd w:id="1924"/>
      <w:r>
        <w:rPr>
          <w:b/>
          <w:bCs/>
          <w:i w:val="0"/>
          <w:iCs w:val="0"/>
          <w:color w:val="000000"/>
          <w:spacing w:val="0"/>
          <w:w w:val="100"/>
          <w:position w:val="0"/>
          <w:sz w:val="20"/>
          <w:szCs w:val="20"/>
        </w:rPr>
        <w:t>、</w:t>
        <w:tab/>
        <w:t>年金计划</w:t>
      </w:r>
    </w:p>
    <w:p>
      <w:pPr>
        <w:pStyle w:val="Style39"/>
        <w:keepNext w:val="0"/>
        <w:keepLines w:val="0"/>
        <w:widowControl w:val="0"/>
        <w:shd w:val="clear" w:color="auto" w:fill="auto"/>
        <w:tabs>
          <w:tab w:pos="378" w:val="left"/>
        </w:tabs>
        <w:bidi w:val="0"/>
        <w:spacing w:before="0" w:after="400" w:line="240" w:lineRule="auto"/>
        <w:ind w:left="0" w:right="0" w:firstLine="0"/>
        <w:jc w:val="left"/>
        <w:rPr>
          <w:sz w:val="20"/>
          <w:szCs w:val="20"/>
        </w:rPr>
      </w:pPr>
      <w:bookmarkStart w:id="1925" w:name="bookmark1925"/>
      <w:r>
        <w:rPr>
          <w:rFonts w:ascii="Times New Roman" w:eastAsia="Times New Roman" w:hAnsi="Times New Roman" w:cs="Times New Roman"/>
          <w:b/>
          <w:bCs/>
          <w:i w:val="0"/>
          <w:iCs w:val="0"/>
          <w:color w:val="000000"/>
          <w:spacing w:val="0"/>
          <w:w w:val="100"/>
          <w:position w:val="0"/>
          <w:sz w:val="20"/>
          <w:szCs w:val="20"/>
        </w:rPr>
        <w:t>5</w:t>
      </w:r>
      <w:bookmarkEnd w:id="1925"/>
      <w:r>
        <w:rPr>
          <w:b/>
          <w:bCs/>
          <w:i w:val="0"/>
          <w:iCs w:val="0"/>
          <w:color w:val="000000"/>
          <w:spacing w:val="0"/>
          <w:w w:val="100"/>
          <w:position w:val="0"/>
          <w:sz w:val="20"/>
          <w:szCs w:val="20"/>
        </w:rPr>
        <w:t>、</w:t>
        <w:tab/>
        <w:t>终止经营</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归属于母公司所</w:t>
            </w:r>
          </w:p>
        </w:tc>
      </w:tr>
    </w:tbl>
    <w:tbl>
      <w:tblPr>
        <w:tblOverlap w:val="never"/>
        <w:jc w:val="center"/>
        <w:tblLayout w:type="fixed"/>
      </w:tblPr>
      <w:tblGrid>
        <w:gridCol w:w="1378"/>
        <w:gridCol w:w="1368"/>
        <w:gridCol w:w="1363"/>
        <w:gridCol w:w="1368"/>
        <w:gridCol w:w="1368"/>
        <w:gridCol w:w="1368"/>
        <w:gridCol w:w="1378"/>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有者的终止经营 利润</w:t>
            </w:r>
          </w:p>
        </w:tc>
      </w:tr>
    </w:tbl>
    <w:p>
      <w:pPr>
        <w:widowControl w:val="0"/>
        <w:spacing w:after="7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360" w:line="240" w:lineRule="auto"/>
        <w:ind w:left="0" w:right="0" w:firstLine="0"/>
        <w:jc w:val="left"/>
        <w:rPr>
          <w:sz w:val="20"/>
          <w:szCs w:val="20"/>
        </w:rPr>
      </w:pPr>
      <w:bookmarkStart w:id="1926" w:name="bookmark1926"/>
      <w:r>
        <w:rPr>
          <w:rFonts w:ascii="Times New Roman" w:eastAsia="Times New Roman" w:hAnsi="Times New Roman" w:cs="Times New Roman"/>
          <w:b/>
          <w:bCs/>
          <w:i w:val="0"/>
          <w:iCs w:val="0"/>
          <w:color w:val="000000"/>
          <w:spacing w:val="0"/>
          <w:w w:val="100"/>
          <w:position w:val="0"/>
          <w:sz w:val="20"/>
          <w:szCs w:val="20"/>
        </w:rPr>
        <w:t>6</w:t>
      </w:r>
      <w:bookmarkEnd w:id="1926"/>
      <w:r>
        <w:rPr>
          <w:b/>
          <w:bCs/>
          <w:i w:val="0"/>
          <w:iCs w:val="0"/>
          <w:color w:val="000000"/>
          <w:spacing w:val="0"/>
          <w:w w:val="100"/>
          <w:position w:val="0"/>
          <w:sz w:val="20"/>
          <w:szCs w:val="20"/>
        </w:rPr>
        <w:t>、分部信息</w:t>
      </w:r>
    </w:p>
    <w:p>
      <w:pPr>
        <w:pStyle w:val="Style39"/>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927" w:name="bookmark1927"/>
      <w:r>
        <w:rPr>
          <w:b/>
          <w:bCs/>
          <w:i w:val="0"/>
          <w:iCs w:val="0"/>
          <w:color w:val="000000"/>
          <w:spacing w:val="0"/>
          <w:w w:val="100"/>
          <w:position w:val="0"/>
          <w:sz w:val="20"/>
          <w:szCs w:val="20"/>
        </w:rPr>
        <w:t>（</w:t>
      </w:r>
      <w:bookmarkEnd w:id="1927"/>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报告分部的确定依据与会计政策</w:t>
      </w:r>
    </w:p>
    <w:p>
      <w:pPr>
        <w:pStyle w:val="Style39"/>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928" w:name="bookmark1928"/>
      <w:r>
        <w:rPr>
          <w:b/>
          <w:bCs/>
          <w:i w:val="0"/>
          <w:iCs w:val="0"/>
          <w:color w:val="000000"/>
          <w:spacing w:val="0"/>
          <w:w w:val="100"/>
          <w:position w:val="0"/>
          <w:sz w:val="20"/>
          <w:szCs w:val="20"/>
        </w:rPr>
        <w:t>（</w:t>
      </w:r>
      <w:bookmarkEnd w:id="1928"/>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报告分部的财务信息</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9"/>
        <w:keepNext w:val="0"/>
        <w:keepLines w:val="0"/>
        <w:widowControl w:val="0"/>
        <w:shd w:val="clear" w:color="auto" w:fill="auto"/>
        <w:tabs>
          <w:tab w:pos="493" w:val="left"/>
        </w:tabs>
        <w:bidi w:val="0"/>
        <w:spacing w:before="0" w:after="260" w:line="240" w:lineRule="auto"/>
        <w:ind w:left="0" w:right="0" w:firstLine="0"/>
        <w:jc w:val="left"/>
        <w:rPr>
          <w:sz w:val="20"/>
          <w:szCs w:val="20"/>
        </w:rPr>
      </w:pPr>
      <w:bookmarkStart w:id="1929" w:name="bookmark1929"/>
      <w:r>
        <w:rPr>
          <w:b/>
          <w:bCs/>
          <w:i w:val="0"/>
          <w:iCs w:val="0"/>
          <w:color w:val="000000"/>
          <w:spacing w:val="0"/>
          <w:w w:val="100"/>
          <w:position w:val="0"/>
          <w:sz w:val="20"/>
          <w:szCs w:val="20"/>
        </w:rPr>
        <w:t>（</w:t>
      </w:r>
      <w:bookmarkEnd w:id="1929"/>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公司无报告分部的，或者不能披露各报告分部的资产总额和负债总额的，应说明原因</w:t>
      </w:r>
    </w:p>
    <w:p>
      <w:pPr>
        <w:pStyle w:val="Style3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除系统集成业务、软件产品及服务业务、园区开发与运营业务外，本集团未经营其他对经营成果有重大影响的业务。同 时，由于本集团仅于一个地域内经营业务，收入主要来自中国境内，其主要资产亦位于中国境内，因此本集团无需披露分 部数据。</w:t>
      </w:r>
    </w:p>
    <w:p>
      <w:pPr>
        <w:pStyle w:val="Style39"/>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930" w:name="bookmark1930"/>
      <w:r>
        <w:rPr>
          <w:b/>
          <w:bCs/>
          <w:i w:val="0"/>
          <w:iCs w:val="0"/>
          <w:color w:val="000000"/>
          <w:spacing w:val="0"/>
          <w:w w:val="100"/>
          <w:position w:val="0"/>
          <w:sz w:val="20"/>
          <w:szCs w:val="20"/>
        </w:rPr>
        <w:t>（</w:t>
      </w:r>
      <w:bookmarkEnd w:id="1930"/>
      <w:r>
        <w:rPr>
          <w:rFonts w:ascii="Times New Roman" w:eastAsia="Times New Roman" w:hAnsi="Times New Roman" w:cs="Times New Roman"/>
          <w:b/>
          <w:bCs/>
          <w:i w:val="0"/>
          <w:iCs w:val="0"/>
          <w:color w:val="000000"/>
          <w:spacing w:val="0"/>
          <w:w w:val="100"/>
          <w:position w:val="0"/>
          <w:sz w:val="20"/>
          <w:szCs w:val="20"/>
        </w:rPr>
        <w:t>4</w:t>
      </w:r>
      <w:r>
        <w:rPr>
          <w:b/>
          <w:bCs/>
          <w:i w:val="0"/>
          <w:iCs w:val="0"/>
          <w:color w:val="000000"/>
          <w:spacing w:val="0"/>
          <w:w w:val="100"/>
          <w:position w:val="0"/>
          <w:sz w:val="20"/>
          <w:szCs w:val="20"/>
        </w:rPr>
        <w:t>）</w:t>
        <w:tab/>
        <w:t>其他说明</w:t>
      </w:r>
    </w:p>
    <w:p>
      <w:pPr>
        <w:pStyle w:val="Style39"/>
        <w:keepNext w:val="0"/>
        <w:keepLines w:val="0"/>
        <w:widowControl w:val="0"/>
        <w:shd w:val="clear" w:color="auto" w:fill="auto"/>
        <w:tabs>
          <w:tab w:pos="376" w:val="left"/>
        </w:tabs>
        <w:bidi w:val="0"/>
        <w:spacing w:before="0" w:after="360" w:line="240" w:lineRule="auto"/>
        <w:ind w:left="0" w:right="0" w:firstLine="0"/>
        <w:jc w:val="left"/>
        <w:rPr>
          <w:sz w:val="20"/>
          <w:szCs w:val="20"/>
        </w:rPr>
      </w:pPr>
      <w:bookmarkStart w:id="1931" w:name="bookmark1931"/>
      <w:r>
        <w:rPr>
          <w:rFonts w:ascii="Times New Roman" w:eastAsia="Times New Roman" w:hAnsi="Times New Roman" w:cs="Times New Roman"/>
          <w:b/>
          <w:bCs/>
          <w:i w:val="0"/>
          <w:iCs w:val="0"/>
          <w:color w:val="000000"/>
          <w:spacing w:val="0"/>
          <w:w w:val="100"/>
          <w:position w:val="0"/>
          <w:sz w:val="20"/>
          <w:szCs w:val="20"/>
        </w:rPr>
        <w:t>7</w:t>
      </w:r>
      <w:bookmarkEnd w:id="1931"/>
      <w:r>
        <w:rPr>
          <w:b/>
          <w:bCs/>
          <w:i w:val="0"/>
          <w:iCs w:val="0"/>
          <w:color w:val="000000"/>
          <w:spacing w:val="0"/>
          <w:w w:val="100"/>
          <w:position w:val="0"/>
          <w:sz w:val="20"/>
          <w:szCs w:val="20"/>
        </w:rPr>
        <w:t>、</w:t>
        <w:tab/>
        <w:t>其他对投资者决策有影响的重要交易和事项</w:t>
      </w:r>
    </w:p>
    <w:p>
      <w:pPr>
        <w:pStyle w:val="Style39"/>
        <w:keepNext w:val="0"/>
        <w:keepLines w:val="0"/>
        <w:widowControl w:val="0"/>
        <w:shd w:val="clear" w:color="auto" w:fill="auto"/>
        <w:tabs>
          <w:tab w:pos="378" w:val="left"/>
        </w:tabs>
        <w:bidi w:val="0"/>
        <w:spacing w:before="0" w:after="260" w:line="240" w:lineRule="auto"/>
        <w:ind w:left="0" w:right="0" w:firstLine="0"/>
        <w:jc w:val="left"/>
        <w:rPr>
          <w:sz w:val="20"/>
          <w:szCs w:val="20"/>
        </w:rPr>
      </w:pPr>
      <w:bookmarkStart w:id="1932" w:name="bookmark1932"/>
      <w:r>
        <w:rPr>
          <w:rFonts w:ascii="Times New Roman" w:eastAsia="Times New Roman" w:hAnsi="Times New Roman" w:cs="Times New Roman"/>
          <w:b/>
          <w:bCs/>
          <w:i w:val="0"/>
          <w:iCs w:val="0"/>
          <w:color w:val="000000"/>
          <w:spacing w:val="0"/>
          <w:w w:val="100"/>
          <w:position w:val="0"/>
          <w:sz w:val="20"/>
          <w:szCs w:val="20"/>
        </w:rPr>
        <w:t>8</w:t>
      </w:r>
      <w:bookmarkEnd w:id="1932"/>
      <w:r>
        <w:rPr>
          <w:b/>
          <w:bCs/>
          <w:i w:val="0"/>
          <w:iCs w:val="0"/>
          <w:color w:val="000000"/>
          <w:spacing w:val="0"/>
          <w:w w:val="100"/>
          <w:position w:val="0"/>
          <w:sz w:val="20"/>
          <w:szCs w:val="20"/>
        </w:rPr>
        <w:t>、</w:t>
        <w:tab/>
        <w:t>其他</w:t>
      </w:r>
    </w:p>
    <w:p>
      <w:pPr>
        <w:pStyle w:val="Style3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日，本集团不存在其他应披露的其他重要事项。</w:t>
      </w:r>
    </w:p>
    <w:p>
      <w:pPr>
        <w:pStyle w:val="Style32"/>
        <w:keepNext/>
        <w:keepLines/>
        <w:widowControl w:val="0"/>
        <w:shd w:val="clear" w:color="auto" w:fill="auto"/>
        <w:bidi w:val="0"/>
        <w:spacing w:before="0" w:after="360" w:line="240" w:lineRule="auto"/>
        <w:ind w:left="0" w:right="0" w:firstLine="0"/>
        <w:jc w:val="left"/>
      </w:pPr>
      <w:bookmarkStart w:id="1933" w:name="bookmark1933"/>
      <w:bookmarkStart w:id="1934" w:name="bookmark1934"/>
      <w:bookmarkStart w:id="1935" w:name="bookmark1935"/>
      <w:r>
        <w:rPr>
          <w:color w:val="000000"/>
          <w:spacing w:val="0"/>
          <w:w w:val="100"/>
          <w:position w:val="0"/>
        </w:rPr>
        <w:t>十七、母公司财务报表主要项目注释</w:t>
      </w:r>
      <w:bookmarkEnd w:id="1933"/>
      <w:bookmarkEnd w:id="1934"/>
      <w:bookmarkEnd w:id="1935"/>
    </w:p>
    <w:p>
      <w:pPr>
        <w:pStyle w:val="Style39"/>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、应收账款</w:t>
      </w:r>
    </w:p>
    <w:p>
      <w:pPr>
        <w:pStyle w:val="Style39"/>
        <w:keepNext w:val="0"/>
        <w:keepLines w:val="0"/>
        <w:widowControl w:val="0"/>
        <w:shd w:val="clear" w:color="auto" w:fill="auto"/>
        <w:bidi w:val="0"/>
        <w:spacing w:before="0" w:after="360" w:line="240" w:lineRule="auto"/>
        <w:ind w:left="0" w:right="0" w:firstLine="0"/>
        <w:jc w:val="left"/>
        <w:rPr>
          <w:sz w:val="20"/>
          <w:szCs w:val="20"/>
        </w:rPr>
      </w:pPr>
      <w:r>
        <w:rPr>
          <w:b/>
          <w:bCs/>
          <w:i w:val="0"/>
          <w:iCs w:val="0"/>
          <w:color w:val="000000"/>
          <w:spacing w:val="0"/>
          <w:w w:val="100"/>
          <w:position w:val="0"/>
          <w:sz w:val="20"/>
          <w:szCs w:val="20"/>
        </w:rPr>
        <w:t>（</w:t>
      </w: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）应收账款分类披露</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98,845,4</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18,068,6</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80,776,80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140,443,7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16,815,92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123,627,78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应收合并报表范围 内客户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36,364,05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36,364,058.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应收政府部门、事</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业单位客户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55,231,8</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10,721,7</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44,510,14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59,003,28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11,474,23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47,529,059.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应收其他客户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41,183,6</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04.52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7,346,93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33,836,66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45,076,35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5,341,691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39,734,666.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98,845,4</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18,068,6</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80,776,80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140,443,7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16,815,92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123,627,78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47,579,419.89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25,674,769.08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15,176,450.50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10,414,840.17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4,686,678.08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3,124,452.05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2,603,710.04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98,845,479.64</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936" w:name="bookmark1936"/>
      <w:bookmarkStart w:id="1937" w:name="bookmark1937"/>
      <w:bookmarkStart w:id="1938" w:name="bookmark19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36"/>
      <w:bookmarkEnd w:id="1937"/>
      <w:bookmarkEnd w:id="1938"/>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16,815,922.37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1,252,750.91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18,068,673.28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16,815,922.37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1,252,750.91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18,068,673.28</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1939" w:name="bookmark1939"/>
      <w:bookmarkStart w:id="1940" w:name="bookmark1940"/>
      <w:bookmarkStart w:id="1941" w:name="bookmark1941"/>
      <w:bookmarkStart w:id="1942" w:name="bookmark1942"/>
      <w:r>
        <w:rPr>
          <w:color w:val="000000"/>
          <w:spacing w:val="0"/>
          <w:w w:val="100"/>
          <w:position w:val="0"/>
        </w:rPr>
        <w:t>（</w:t>
      </w:r>
      <w:bookmarkEnd w:id="194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939"/>
      <w:bookmarkEnd w:id="1940"/>
      <w:bookmarkEnd w:id="1942"/>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5"/>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3"/>
        <w:keepNext/>
        <w:keepLines/>
        <w:widowControl w:val="0"/>
        <w:shd w:val="clear" w:color="auto" w:fill="auto"/>
        <w:bidi w:val="0"/>
        <w:spacing w:before="0" w:after="380" w:line="240" w:lineRule="auto"/>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rPr>
        <w:t>（</w:t>
      </w:r>
      <w:bookmarkEnd w:id="194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43"/>
      <w:bookmarkEnd w:id="1944"/>
      <w:bookmarkEnd w:id="1946"/>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华润建筑有限公司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7,392,762.57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274,271.49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信阳市政务服务中心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5,348,154.40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330,515.94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信阳职业技术学院附属医院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4,675,285.60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288,932.65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中国共产党信阳市纪律检查 委员会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3,609,550.00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549,373.51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福州市公安局交通警察支队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3,475,893.40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1,075,441.42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24,501,645.97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w:t>
      </w:r>
      <w:bookmarkEnd w:id="1949"/>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947"/>
      <w:bookmarkEnd w:id="1948"/>
      <w:bookmarkEnd w:id="1950"/>
    </w:p>
    <w:p>
      <w:pPr>
        <w:pStyle w:val="Style43"/>
        <w:keepNext/>
        <w:keepLines/>
        <w:widowControl w:val="0"/>
        <w:shd w:val="clear" w:color="auto" w:fill="auto"/>
        <w:bidi w:val="0"/>
        <w:spacing w:before="0" w:after="380" w:line="240" w:lineRule="auto"/>
        <w:ind w:left="0" w:right="0" w:firstLine="0"/>
        <w:jc w:val="both"/>
      </w:pPr>
      <w:bookmarkStart w:id="1947" w:name="bookmark1947"/>
      <w:bookmarkStart w:id="1948" w:name="bookmark1948"/>
      <w:bookmarkStart w:id="1951" w:name="bookmark1951"/>
      <w:bookmarkStart w:id="1952" w:name="bookmark1952"/>
      <w:r>
        <w:rPr>
          <w:color w:val="000000"/>
          <w:spacing w:val="0"/>
          <w:w w:val="100"/>
          <w:position w:val="0"/>
        </w:rPr>
        <w:t>（</w:t>
      </w:r>
      <w:bookmarkEnd w:id="1951"/>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947"/>
      <w:bookmarkEnd w:id="1948"/>
      <w:bookmarkEnd w:id="1952"/>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both"/>
      </w:pPr>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53"/>
      <w:bookmarkEnd w:id="1954"/>
      <w:bookmarkEnd w:id="1955"/>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1,176,774,748.46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1,190,692,299.51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1,176,774,748.46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1,190,692,299.51</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956" w:name="bookmark1956"/>
      <w:bookmarkStart w:id="1957" w:name="bookmark1957"/>
      <w:bookmarkStart w:id="1958" w:name="bookmark19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56"/>
      <w:bookmarkEnd w:id="1957"/>
      <w:bookmarkEnd w:id="1958"/>
    </w:p>
    <w:p>
      <w:pPr>
        <w:pStyle w:val="Style43"/>
        <w:keepNext/>
        <w:keepLines/>
        <w:widowControl w:val="0"/>
        <w:shd w:val="clear" w:color="auto" w:fill="auto"/>
        <w:bidi w:val="0"/>
        <w:spacing w:before="0" w:line="240" w:lineRule="auto"/>
        <w:ind w:left="0" w:right="0" w:firstLine="0"/>
        <w:jc w:val="left"/>
      </w:pPr>
      <w:bookmarkStart w:id="1956" w:name="bookmark1956"/>
      <w:bookmarkStart w:id="1957" w:name="bookmark1957"/>
      <w:bookmarkStart w:id="1959" w:name="bookmark1959"/>
      <w:bookmarkStart w:id="1960" w:name="bookmark1960"/>
      <w:r>
        <w:rPr>
          <w:rFonts w:ascii="Times New Roman" w:eastAsia="Times New Roman" w:hAnsi="Times New Roman" w:cs="Times New Roman"/>
          <w:color w:val="000000"/>
          <w:spacing w:val="0"/>
          <w:w w:val="100"/>
          <w:position w:val="0"/>
        </w:rPr>
        <w:t>1</w:t>
      </w:r>
      <w:bookmarkEnd w:id="1959"/>
      <w:r>
        <w:rPr>
          <w:color w:val="000000"/>
          <w:spacing w:val="0"/>
          <w:w w:val="100"/>
          <w:position w:val="0"/>
        </w:rPr>
        <w:t>）应收利息分类</w:t>
      </w:r>
      <w:bookmarkEnd w:id="1956"/>
      <w:bookmarkEnd w:id="1957"/>
      <w:bookmarkEnd w:id="196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2</w:t>
      </w:r>
      <w:bookmarkEnd w:id="1963"/>
      <w:r>
        <w:rPr>
          <w:color w:val="000000"/>
          <w:spacing w:val="0"/>
          <w:w w:val="100"/>
          <w:position w:val="0"/>
        </w:rPr>
        <w:t>）重要逾期利息</w:t>
      </w:r>
      <w:bookmarkEnd w:id="1961"/>
      <w:bookmarkEnd w:id="1962"/>
      <w:bookmarkEnd w:id="1964"/>
    </w:p>
    <w:tbl>
      <w:tblPr>
        <w:tblOverlap w:val="never"/>
        <w:jc w:val="center"/>
        <w:tblLayout w:type="fixed"/>
      </w:tblPr>
      <w:tblGrid>
        <w:gridCol w:w="1920"/>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3</w:t>
      </w:r>
      <w:bookmarkEnd w:id="1967"/>
      <w:r>
        <w:rPr>
          <w:color w:val="000000"/>
          <w:spacing w:val="0"/>
          <w:w w:val="100"/>
          <w:position w:val="0"/>
        </w:rPr>
        <w:t>）坏账准备计提情况</w:t>
      </w:r>
      <w:bookmarkEnd w:id="1965"/>
      <w:bookmarkEnd w:id="1966"/>
      <w:bookmarkEnd w:id="1968"/>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left"/>
      </w:pPr>
      <w:bookmarkStart w:id="1969" w:name="bookmark1969"/>
      <w:bookmarkStart w:id="1970" w:name="bookmark1970"/>
      <w:bookmarkStart w:id="1971" w:name="bookmark19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969"/>
      <w:bookmarkEnd w:id="1970"/>
      <w:bookmarkEnd w:id="1971"/>
    </w:p>
    <w:p>
      <w:pPr>
        <w:pStyle w:val="Style43"/>
        <w:keepNext/>
        <w:keepLines/>
        <w:widowControl w:val="0"/>
        <w:shd w:val="clear" w:color="auto" w:fill="auto"/>
        <w:bidi w:val="0"/>
        <w:spacing w:before="0" w:line="240" w:lineRule="auto"/>
        <w:ind w:left="0" w:right="0" w:firstLine="0"/>
        <w:jc w:val="left"/>
      </w:pPr>
      <w:bookmarkStart w:id="1969" w:name="bookmark1969"/>
      <w:bookmarkStart w:id="1970" w:name="bookmark1970"/>
      <w:bookmarkStart w:id="1972" w:name="bookmark1972"/>
      <w:bookmarkStart w:id="1973" w:name="bookmark1973"/>
      <w:r>
        <w:rPr>
          <w:rFonts w:ascii="Times New Roman" w:eastAsia="Times New Roman" w:hAnsi="Times New Roman" w:cs="Times New Roman"/>
          <w:color w:val="000000"/>
          <w:spacing w:val="0"/>
          <w:w w:val="100"/>
          <w:position w:val="0"/>
        </w:rPr>
        <w:t>1</w:t>
      </w:r>
      <w:bookmarkEnd w:id="1972"/>
      <w:r>
        <w:rPr>
          <w:color w:val="000000"/>
          <w:spacing w:val="0"/>
          <w:w w:val="100"/>
          <w:position w:val="0"/>
        </w:rPr>
        <w:t>）应收股利分类</w:t>
      </w:r>
      <w:bookmarkEnd w:id="1969"/>
      <w:bookmarkEnd w:id="1970"/>
      <w:bookmarkEnd w:id="1973"/>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2</w:t>
      </w:r>
      <w:bookmarkEnd w:id="197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974"/>
      <w:bookmarkEnd w:id="1975"/>
      <w:bookmarkEnd w:id="1977"/>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3</w:t>
      </w:r>
      <w:bookmarkEnd w:id="1980"/>
      <w:r>
        <w:rPr>
          <w:color w:val="000000"/>
          <w:spacing w:val="0"/>
          <w:w w:val="100"/>
          <w:position w:val="0"/>
        </w:rPr>
        <w:t>）坏账准备计提情况</w:t>
      </w:r>
      <w:bookmarkEnd w:id="1978"/>
      <w:bookmarkEnd w:id="1979"/>
      <w:bookmarkEnd w:id="1981"/>
    </w:p>
    <w:p>
      <w:pPr>
        <w:pStyle w:val="Style3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43"/>
        <w:keepNext/>
        <w:keepLines/>
        <w:widowControl w:val="0"/>
        <w:shd w:val="clear" w:color="auto" w:fill="auto"/>
        <w:bidi w:val="0"/>
        <w:spacing w:before="0" w:line="240" w:lineRule="auto"/>
        <w:ind w:left="0" w:right="0" w:firstLine="0"/>
        <w:jc w:val="left"/>
      </w:pPr>
      <w:bookmarkStart w:id="1982" w:name="bookmark1982"/>
      <w:bookmarkStart w:id="1983" w:name="bookmark1983"/>
      <w:bookmarkStart w:id="1984" w:name="bookmark1984"/>
      <w:bookmarkStart w:id="1985" w:name="bookmark1985"/>
      <w:r>
        <w:rPr>
          <w:color w:val="000000"/>
          <w:spacing w:val="0"/>
          <w:w w:val="100"/>
          <w:position w:val="0"/>
        </w:rPr>
        <w:t>（</w:t>
      </w:r>
      <w:bookmarkEnd w:id="198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982"/>
      <w:bookmarkEnd w:id="1983"/>
      <w:bookmarkEnd w:id="1985"/>
    </w:p>
    <w:p>
      <w:pPr>
        <w:pStyle w:val="Style43"/>
        <w:keepNext/>
        <w:keepLines/>
        <w:widowControl w:val="0"/>
        <w:shd w:val="clear" w:color="auto" w:fill="auto"/>
        <w:bidi w:val="0"/>
        <w:spacing w:before="0" w:line="240" w:lineRule="auto"/>
        <w:ind w:left="0" w:right="0" w:firstLine="0"/>
        <w:jc w:val="left"/>
      </w:pPr>
      <w:bookmarkStart w:id="1982" w:name="bookmark1982"/>
      <w:bookmarkStart w:id="1983" w:name="bookmark1983"/>
      <w:bookmarkStart w:id="1986" w:name="bookmark198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82"/>
      <w:bookmarkEnd w:id="1983"/>
      <w:bookmarkEnd w:id="198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合并报表范围内款项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1,158,803,492.94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1,167,785,321.22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22,953,743.84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28,667,546.48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2,263,088.49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3,641,286.70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2,652,442.73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2,798,289.48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1,186,672,768.00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1,202,892,443.88</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87"/>
      <w:bookmarkEnd w:id="1988"/>
      <w:bookmarkEnd w:id="198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12,200,144.37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12,200,144.37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-2,302,124.83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-2,302,124.83</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9,898,019.54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9,898,019.54</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1,167,884,957.06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4,021,440.64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6,068,837.46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8,697,532.84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3,913,889.78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2,609,259.85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2,174,383.21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1,186,672,768.00</w:t>
            </w:r>
          </w:p>
        </w:tc>
      </w:tr>
    </w:tbl>
    <w:p>
      <w:pPr>
        <w:spacing w:lineRule="exact" w:line="1"/>
        <w:rPr>
          <w:sz w:val="2"/>
          <w:szCs w:val="2"/>
        </w:rPr>
      </w:pPr>
      <w:r>
        <w:br w:type="page"/>
      </w:r>
    </w:p>
    <w:p>
      <w:pPr>
        <w:pStyle w:val="Style43"/>
        <w:keepNext/>
        <w:keepLines/>
        <w:widowControl w:val="0"/>
        <w:shd w:val="clear" w:color="auto" w:fill="auto"/>
        <w:bidi w:val="0"/>
        <w:spacing w:before="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3</w:t>
      </w:r>
      <w:bookmarkEnd w:id="1992"/>
      <w:r>
        <w:rPr>
          <w:color w:val="000000"/>
          <w:spacing w:val="0"/>
          <w:w w:val="100"/>
          <w:position w:val="0"/>
        </w:rPr>
        <w:t>）本期计提、收回或转回的坏账准备情况</w:t>
      </w:r>
      <w:bookmarkEnd w:id="1990"/>
      <w:bookmarkEnd w:id="1991"/>
      <w:bookmarkEnd w:id="1993"/>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12,200,144.3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-2,302,124.83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9,898,019.54</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12,200,144.3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-2,302,124.83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9,898,019.54</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4</w:t>
      </w:r>
      <w:bookmarkEnd w:id="1996"/>
      <w:r>
        <w:rPr>
          <w:color w:val="000000"/>
          <w:spacing w:val="0"/>
          <w:w w:val="100"/>
          <w:position w:val="0"/>
        </w:rPr>
        <w:t>）本期实际核销的其他应收款情况</w:t>
      </w:r>
      <w:bookmarkEnd w:id="1994"/>
      <w:bookmarkEnd w:id="1995"/>
      <w:bookmarkEnd w:id="199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555"/>
        <w:gridCol w:w="1546"/>
        <w:gridCol w:w="1555"/>
        <w:gridCol w:w="1618"/>
        <w:gridCol w:w="1646"/>
      </w:tblGrid>
      <w:tr>
        <w:trPr>
          <w:trHeight w:val="408"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5</w:t>
      </w:r>
      <w:bookmarkEnd w:id="2000"/>
      <w:r>
        <w:rPr>
          <w:color w:val="000000"/>
          <w:spacing w:val="0"/>
          <w:w w:val="100"/>
          <w:position w:val="0"/>
        </w:rPr>
        <w:t>）按欠款方归集的期末余额前五名的其他应收款情况</w:t>
      </w:r>
      <w:bookmarkEnd w:id="1998"/>
      <w:bookmarkEnd w:id="1999"/>
      <w:bookmarkEnd w:id="2001"/>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690"/>
        <w:gridCol w:w="1555"/>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信阳榕基信息技术有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440,202,241.92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上海榕基软件开发有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289,317,472.45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河南榕基信息技术有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158,959,844.06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马鞍山榕基软件信息</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152,049,343.48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北京中榕基信息技术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67,120,653.40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555"/>
        <w:gridCol w:w="1550"/>
        <w:gridCol w:w="1550"/>
        <w:gridCol w:w="1618"/>
        <w:gridCol w:w="162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1,107,649,555.31</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6</w:t>
      </w:r>
      <w:bookmarkEnd w:id="2004"/>
      <w:r>
        <w:rPr>
          <w:color w:val="000000"/>
          <w:spacing w:val="0"/>
          <w:w w:val="100"/>
          <w:position w:val="0"/>
        </w:rPr>
        <w:t>）涉及政府补助的应收款项</w:t>
      </w:r>
      <w:bookmarkEnd w:id="2002"/>
      <w:bookmarkEnd w:id="2003"/>
      <w:bookmarkEnd w:id="2005"/>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43"/>
        <w:keepNext/>
        <w:keepLines/>
        <w:widowControl w:val="0"/>
        <w:shd w:val="clear" w:color="auto" w:fill="auto"/>
        <w:tabs>
          <w:tab w:pos="387" w:val="left"/>
        </w:tabs>
        <w:bidi w:val="0"/>
        <w:spacing w:before="0" w:line="240" w:lineRule="auto"/>
        <w:ind w:left="0" w:right="0" w:firstLine="0"/>
        <w:jc w:val="both"/>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7</w:t>
      </w:r>
      <w:bookmarkEnd w:id="2008"/>
      <w:r>
        <w:rPr>
          <w:color w:val="000000"/>
          <w:spacing w:val="0"/>
          <w:w w:val="100"/>
          <w:position w:val="0"/>
        </w:rPr>
        <w:t>）</w:t>
        <w:tab/>
        <w:t>因金融资产转移而终止确认的其他应收款</w:t>
      </w:r>
      <w:bookmarkEnd w:id="2006"/>
      <w:bookmarkEnd w:id="2007"/>
      <w:bookmarkEnd w:id="2009"/>
    </w:p>
    <w:p>
      <w:pPr>
        <w:pStyle w:val="Style43"/>
        <w:keepNext/>
        <w:keepLines/>
        <w:widowControl w:val="0"/>
        <w:shd w:val="clear" w:color="auto" w:fill="auto"/>
        <w:tabs>
          <w:tab w:pos="392" w:val="left"/>
        </w:tabs>
        <w:bidi w:val="0"/>
        <w:spacing w:before="0" w:line="240" w:lineRule="auto"/>
        <w:ind w:left="0" w:right="0" w:firstLine="0"/>
        <w:jc w:val="both"/>
      </w:pPr>
      <w:bookmarkStart w:id="2006" w:name="bookmark2006"/>
      <w:bookmarkStart w:id="2007" w:name="bookmark2007"/>
      <w:bookmarkStart w:id="2010" w:name="bookmark2010"/>
      <w:bookmarkStart w:id="2011" w:name="bookmark2011"/>
      <w:r>
        <w:rPr>
          <w:rFonts w:ascii="Times New Roman" w:eastAsia="Times New Roman" w:hAnsi="Times New Roman" w:cs="Times New Roman"/>
          <w:color w:val="000000"/>
          <w:spacing w:val="0"/>
          <w:w w:val="100"/>
          <w:position w:val="0"/>
        </w:rPr>
        <w:t>8</w:t>
      </w:r>
      <w:bookmarkEnd w:id="2010"/>
      <w:r>
        <w:rPr>
          <w:color w:val="000000"/>
          <w:spacing w:val="0"/>
          <w:w w:val="100"/>
          <w:position w:val="0"/>
        </w:rPr>
        <w:t>）</w:t>
        <w:tab/>
        <w:t>转移其他应收款且继续涉入形成的资产、负债金额</w:t>
      </w:r>
      <w:bookmarkEnd w:id="2006"/>
      <w:bookmarkEnd w:id="2007"/>
      <w:bookmarkEnd w:id="2011"/>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both"/>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3</w:t>
      </w:r>
      <w:bookmarkEnd w:id="2014"/>
      <w:r>
        <w:rPr>
          <w:color w:val="000000"/>
          <w:spacing w:val="0"/>
          <w:w w:val="100"/>
          <w:position w:val="0"/>
        </w:rPr>
        <w:t>、长期股权投资</w:t>
      </w:r>
      <w:bookmarkEnd w:id="2012"/>
      <w:bookmarkEnd w:id="2013"/>
      <w:bookmarkEnd w:id="2015"/>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685,926,537.29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685,926,537.29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685,926,537.29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685,926,537.29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8,253,225.90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8,253,225.90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6,147,578.22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6,147,578.22</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694,179,763.19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694,179,763.19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692,074,115.51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692,074,115.51</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140"/>
        <w:jc w:val="left"/>
      </w:pPr>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16"/>
      <w:bookmarkEnd w:id="2017"/>
      <w:bookmarkEnd w:id="2018"/>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277"/>
        <w:gridCol w:w="1166"/>
        <w:gridCol w:w="1162"/>
        <w:gridCol w:w="1166"/>
        <w:gridCol w:w="1166"/>
        <w:gridCol w:w="1214"/>
        <w:gridCol w:w="1214"/>
        <w:gridCol w:w="1219"/>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浙江榕基信息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福州创华电气 自动化系统有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7,496,345.89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7,496,345.89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上海榕基软件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福建榕基软件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榕基五一（北 京）信息技术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2"/>
        <w:gridCol w:w="1166"/>
        <w:gridCol w:w="1166"/>
        <w:gridCol w:w="1214"/>
        <w:gridCol w:w="1214"/>
        <w:gridCol w:w="1219"/>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马鞍山榕基软 件信息科技有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河南榕基信息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北京中榕基信 息技术有限公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福建榕基投资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榕基国际控股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80,380,191.40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80,380,191.40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信阳榕基信息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河南豫础置业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福州榕易付网 络科技有限公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福建星榕基信 息科技有限责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福建容大物联 网科技有限公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685,926,537.2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685,926,537.29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19"/>
      <w:bookmarkEnd w:id="2020"/>
      <w:bookmarkEnd w:id="202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福建闽光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6,147,578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8,253,225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软件股份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6,147,578</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2,105,647</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8,253,225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6,147,578</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2,105,647</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8,253,225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numPr>
          <w:ilvl w:val="0"/>
          <w:numId w:val="95"/>
        </w:numPr>
        <w:shd w:val="clear" w:color="auto" w:fill="auto"/>
        <w:bidi w:val="0"/>
        <w:spacing w:before="0" w:after="380" w:line="240" w:lineRule="auto"/>
        <w:ind w:left="0" w:right="0" w:firstLine="0"/>
        <w:jc w:val="left"/>
      </w:pPr>
      <w:bookmarkStart w:id="2022" w:name="bookmark2022"/>
      <w:bookmarkStart w:id="2023" w:name="bookmark2023"/>
      <w:bookmarkStart w:id="2024" w:name="bookmark2024"/>
      <w:bookmarkStart w:id="2025" w:name="bookmark2025"/>
      <w:bookmarkEnd w:id="2024"/>
      <w:r>
        <w:rPr>
          <w:color w:val="000000"/>
          <w:spacing w:val="0"/>
          <w:w w:val="100"/>
          <w:position w:val="0"/>
        </w:rPr>
        <w:t>其他说明</w:t>
      </w:r>
      <w:bookmarkEnd w:id="2022"/>
      <w:bookmarkEnd w:id="2023"/>
      <w:bookmarkEnd w:id="2025"/>
    </w:p>
    <w:p>
      <w:pPr>
        <w:pStyle w:val="Style43"/>
        <w:keepNext/>
        <w:keepLines/>
        <w:widowControl w:val="0"/>
        <w:shd w:val="clear" w:color="auto" w:fill="auto"/>
        <w:bidi w:val="0"/>
        <w:spacing w:before="0" w:after="380" w:line="240" w:lineRule="auto"/>
        <w:ind w:left="0" w:right="0" w:firstLine="0"/>
        <w:jc w:val="left"/>
      </w:pPr>
      <w:bookmarkStart w:id="2022" w:name="bookmark2022"/>
      <w:bookmarkStart w:id="2023" w:name="bookmark2023"/>
      <w:bookmarkStart w:id="2026" w:name="bookmark2026"/>
      <w:bookmarkStart w:id="2027" w:name="bookmark2027"/>
      <w:r>
        <w:rPr>
          <w:rFonts w:ascii="Times New Roman" w:eastAsia="Times New Roman" w:hAnsi="Times New Roman" w:cs="Times New Roman"/>
          <w:color w:val="000000"/>
          <w:spacing w:val="0"/>
          <w:w w:val="100"/>
          <w:position w:val="0"/>
        </w:rPr>
        <w:t>4</w:t>
      </w:r>
      <w:bookmarkEnd w:id="2026"/>
      <w:r>
        <w:rPr>
          <w:color w:val="000000"/>
          <w:spacing w:val="0"/>
          <w:w w:val="100"/>
          <w:position w:val="0"/>
        </w:rPr>
        <w:t>、营业收入和营业成本</w:t>
      </w:r>
      <w:bookmarkEnd w:id="2022"/>
      <w:bookmarkEnd w:id="2023"/>
      <w:bookmarkEnd w:id="202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460,302,542.99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325,468,886.16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522,490,705.10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385,328,900.02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460,302,542.99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325,468,886.16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522,490,705.10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385,328,900.02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5</w:t>
      </w:r>
      <w:bookmarkEnd w:id="2030"/>
      <w:r>
        <w:rPr>
          <w:color w:val="000000"/>
          <w:spacing w:val="0"/>
          <w:w w:val="100"/>
          <w:position w:val="0"/>
        </w:rPr>
        <w:t>、投资收益</w:t>
      </w:r>
      <w:bookmarkEnd w:id="2028"/>
      <w:bookmarkEnd w:id="2029"/>
      <w:bookmarkEnd w:id="2031"/>
    </w:p>
    <w:p>
      <w:pPr>
        <w:pStyle w:val="Style3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2,105,647.68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1,363,711.40</w:t>
            </w: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11,507,490.37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15,359,091.20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13,613,138.05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16,722,802.60</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both"/>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6</w:t>
      </w:r>
      <w:bookmarkEnd w:id="2034"/>
      <w:r>
        <w:rPr>
          <w:color w:val="000000"/>
          <w:spacing w:val="0"/>
          <w:w w:val="100"/>
          <w:position w:val="0"/>
        </w:rPr>
        <w:t>、其他</w:t>
      </w:r>
      <w:bookmarkEnd w:id="2032"/>
      <w:bookmarkEnd w:id="2033"/>
      <w:bookmarkEnd w:id="2035"/>
    </w:p>
    <w:p>
      <w:pPr>
        <w:pStyle w:val="Style32"/>
        <w:keepNext/>
        <w:keepLines/>
        <w:widowControl w:val="0"/>
        <w:shd w:val="clear" w:color="auto" w:fill="auto"/>
        <w:bidi w:val="0"/>
        <w:spacing w:before="0" w:after="340" w:line="240" w:lineRule="auto"/>
        <w:ind w:left="0" w:right="0" w:firstLine="0"/>
        <w:jc w:val="both"/>
      </w:pPr>
      <w:bookmarkStart w:id="2036" w:name="bookmark2036"/>
      <w:bookmarkStart w:id="2037" w:name="bookmark2037"/>
      <w:bookmarkStart w:id="2038" w:name="bookmark2038"/>
      <w:r>
        <w:rPr>
          <w:color w:val="000000"/>
          <w:spacing w:val="0"/>
          <w:w w:val="100"/>
          <w:position w:val="0"/>
        </w:rPr>
        <w:t>十八、补充资料</w:t>
      </w:r>
      <w:bookmarkEnd w:id="2036"/>
      <w:bookmarkEnd w:id="2037"/>
      <w:bookmarkEnd w:id="2038"/>
    </w:p>
    <w:p>
      <w:pPr>
        <w:pStyle w:val="Style43"/>
        <w:keepNext/>
        <w:keepLines/>
        <w:widowControl w:val="0"/>
        <w:shd w:val="clear" w:color="auto" w:fill="auto"/>
        <w:bidi w:val="0"/>
        <w:spacing w:before="0" w:after="340" w:line="240" w:lineRule="auto"/>
        <w:ind w:left="0" w:right="0" w:firstLine="0"/>
        <w:jc w:val="both"/>
      </w:pPr>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39"/>
      <w:bookmarkEnd w:id="2040"/>
      <w:bookmarkEnd w:id="2041"/>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12,660.23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22,097,426.18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14,698,136.77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-183,357.30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7,487,205.25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459,352.69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28,678,307.94</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 《公开发行证券的公司信息披露解释性公告第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 目，应说明原因。</w:t>
      </w:r>
    </w:p>
    <w:p>
      <w:pPr>
        <w:pStyle w:val="Style3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增值税税收返还</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1,341,104.24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与公司经常性经营活动相关</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both"/>
      </w:pPr>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42"/>
      <w:bookmarkEnd w:id="2043"/>
      <w:bookmarkEnd w:id="2044"/>
    </w:p>
    <w:tbl>
      <w:tblPr>
        <w:tblOverlap w:val="never"/>
        <w:jc w:val="center"/>
        <w:tblLayout w:type="fixed"/>
      </w:tblPr>
      <w:tblGrid>
        <w:gridCol w:w="2669"/>
        <w:gridCol w:w="3082"/>
        <w:gridCol w:w="1910"/>
        <w:gridCol w:w="1925"/>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0.0797</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0.0336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0.0336</w:t>
            </w:r>
          </w:p>
        </w:tc>
      </w:tr>
    </w:tbl>
    <w:p>
      <w:pPr>
        <w:pStyle w:val="Style39"/>
        <w:keepNext w:val="0"/>
        <w:keepLines w:val="0"/>
        <w:widowControl w:val="0"/>
        <w:shd w:val="clear" w:color="auto" w:fill="auto"/>
        <w:tabs>
          <w:tab w:pos="378" w:val="left"/>
        </w:tabs>
        <w:bidi w:val="0"/>
        <w:spacing w:before="0" w:after="280" w:line="331" w:lineRule="exact"/>
        <w:ind w:left="0" w:right="0" w:firstLine="0"/>
        <w:jc w:val="left"/>
        <w:rPr>
          <w:sz w:val="20"/>
          <w:szCs w:val="20"/>
        </w:rPr>
      </w:pPr>
      <w:bookmarkStart w:id="2045" w:name="bookmark2045"/>
      <w:r>
        <w:rPr>
          <w:rFonts w:ascii="Times New Roman" w:eastAsia="Times New Roman" w:hAnsi="Times New Roman" w:cs="Times New Roman"/>
          <w:b/>
          <w:bCs/>
          <w:i w:val="0"/>
          <w:iCs w:val="0"/>
          <w:color w:val="000000"/>
          <w:spacing w:val="0"/>
          <w:w w:val="100"/>
          <w:position w:val="0"/>
          <w:sz w:val="20"/>
          <w:szCs w:val="20"/>
        </w:rPr>
        <w:t>3</w:t>
      </w:r>
      <w:bookmarkEnd w:id="2045"/>
      <w:r>
        <w:rPr>
          <w:b/>
          <w:bCs/>
          <w:i w:val="0"/>
          <w:iCs w:val="0"/>
          <w:color w:val="000000"/>
          <w:spacing w:val="0"/>
          <w:w w:val="100"/>
          <w:position w:val="0"/>
          <w:sz w:val="20"/>
          <w:szCs w:val="20"/>
        </w:rPr>
        <w:t>、</w:t>
        <w:tab/>
        <w:t>境内外会计准则下会计数据差异</w:t>
      </w:r>
    </w:p>
    <w:p>
      <w:pPr>
        <w:pStyle w:val="Style39"/>
        <w:keepNext w:val="0"/>
        <w:keepLines w:val="0"/>
        <w:widowControl w:val="0"/>
        <w:shd w:val="clear" w:color="auto" w:fill="auto"/>
        <w:tabs>
          <w:tab w:pos="493" w:val="left"/>
        </w:tabs>
        <w:bidi w:val="0"/>
        <w:spacing w:before="0" w:after="360" w:line="331" w:lineRule="exact"/>
        <w:ind w:left="0" w:right="0" w:firstLine="0"/>
        <w:jc w:val="left"/>
        <w:rPr>
          <w:sz w:val="20"/>
          <w:szCs w:val="20"/>
        </w:rPr>
      </w:pPr>
      <w:bookmarkStart w:id="2046" w:name="bookmark2046"/>
      <w:r>
        <w:rPr>
          <w:b/>
          <w:bCs/>
          <w:i w:val="0"/>
          <w:iCs w:val="0"/>
          <w:color w:val="000000"/>
          <w:spacing w:val="0"/>
          <w:w w:val="100"/>
          <w:position w:val="0"/>
          <w:sz w:val="20"/>
          <w:szCs w:val="20"/>
        </w:rPr>
        <w:t>（</w:t>
      </w:r>
      <w:bookmarkEnd w:id="2046"/>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同时按照国际会计准则与按中国会计准则披露的财务报告中净利润和净资产差异情况</w:t>
      </w:r>
    </w:p>
    <w:p>
      <w:pPr>
        <w:pStyle w:val="Style3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tabs>
          <w:tab w:pos="493" w:val="left"/>
        </w:tabs>
        <w:bidi w:val="0"/>
        <w:spacing w:before="0" w:after="360" w:line="331" w:lineRule="exact"/>
        <w:ind w:left="0" w:right="0" w:firstLine="0"/>
        <w:jc w:val="left"/>
        <w:rPr>
          <w:sz w:val="20"/>
          <w:szCs w:val="20"/>
        </w:rPr>
      </w:pPr>
      <w:bookmarkStart w:id="2047" w:name="bookmark2047"/>
      <w:r>
        <w:rPr>
          <w:b/>
          <w:bCs/>
          <w:i w:val="0"/>
          <w:iCs w:val="0"/>
          <w:color w:val="000000"/>
          <w:spacing w:val="0"/>
          <w:w w:val="100"/>
          <w:position w:val="0"/>
          <w:sz w:val="20"/>
          <w:szCs w:val="20"/>
        </w:rPr>
        <w:t>（</w:t>
      </w:r>
      <w:bookmarkEnd w:id="2047"/>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同时按照境外会计准则与按中国会计准则披露的财务报告中净利润和净资产差异情况</w:t>
      </w:r>
    </w:p>
    <w:p>
      <w:pPr>
        <w:pStyle w:val="Style3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280" w:line="331" w:lineRule="exact"/>
        <w:ind w:left="0" w:right="0" w:firstLine="0"/>
        <w:jc w:val="left"/>
        <w:rPr>
          <w:sz w:val="20"/>
          <w:szCs w:val="20"/>
        </w:rPr>
      </w:pPr>
      <w:bookmarkStart w:id="2048" w:name="bookmark2048"/>
      <w:r>
        <w:rPr>
          <w:b/>
          <w:bCs/>
          <w:i w:val="0"/>
          <w:iCs w:val="0"/>
          <w:color w:val="000000"/>
          <w:spacing w:val="0"/>
          <w:w w:val="100"/>
          <w:position w:val="0"/>
          <w:sz w:val="20"/>
          <w:szCs w:val="20"/>
        </w:rPr>
        <w:t>（</w:t>
      </w:r>
      <w:bookmarkEnd w:id="2048"/>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 境内外会计准则下会计数据差异原因说明，对已经境外审计机构审计的数据进行差异调节的，应注 明该境外机构的名称</w:t>
      </w:r>
    </w:p>
    <w:p>
      <w:pPr>
        <w:pStyle w:val="Style39"/>
        <w:keepNext w:val="0"/>
        <w:keepLines w:val="0"/>
        <w:widowControl w:val="0"/>
        <w:shd w:val="clear" w:color="auto" w:fill="auto"/>
        <w:tabs>
          <w:tab w:pos="378" w:val="left"/>
        </w:tabs>
        <w:bidi w:val="0"/>
        <w:spacing w:before="0" w:after="280" w:line="331" w:lineRule="exact"/>
        <w:ind w:left="0" w:right="0" w:firstLine="0"/>
        <w:jc w:val="left"/>
        <w:rPr>
          <w:sz w:val="20"/>
          <w:szCs w:val="20"/>
        </w:rPr>
        <w:sectPr>
          <w:footnotePr>
            <w:pos w:val="pageBottom"/>
            <w:numFmt w:val="decimal"/>
            <w:numRestart w:val="continuous"/>
          </w:footnotePr>
          <w:pgSz w:w="11900" w:h="16840"/>
          <w:pgMar w:top="1388" w:right="1107" w:bottom="1470" w:left="1102" w:header="0" w:footer="3" w:gutter="0"/>
          <w:cols w:space="720"/>
          <w:noEndnote/>
          <w:rtlGutter w:val="0"/>
          <w:docGrid w:linePitch="360"/>
        </w:sectPr>
      </w:pPr>
      <w:bookmarkStart w:id="2049" w:name="bookmark2049"/>
      <w:r>
        <w:rPr>
          <w:rFonts w:ascii="Times New Roman" w:eastAsia="Times New Roman" w:hAnsi="Times New Roman" w:cs="Times New Roman"/>
          <w:b/>
          <w:bCs/>
          <w:i w:val="0"/>
          <w:iCs w:val="0"/>
          <w:color w:val="000000"/>
          <w:spacing w:val="0"/>
          <w:w w:val="100"/>
          <w:position w:val="0"/>
          <w:sz w:val="20"/>
          <w:szCs w:val="20"/>
        </w:rPr>
        <w:t>4</w:t>
      </w:r>
      <w:bookmarkEnd w:id="2049"/>
      <w:r>
        <w:rPr>
          <w:b/>
          <w:bCs/>
          <w:i w:val="0"/>
          <w:iCs w:val="0"/>
          <w:color w:val="000000"/>
          <w:spacing w:val="0"/>
          <w:w w:val="100"/>
          <w:position w:val="0"/>
          <w:sz w:val="20"/>
          <w:szCs w:val="20"/>
        </w:rPr>
        <w:t>、</w:t>
        <w:tab/>
        <w:t>其他</w:t>
      </w: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1900" w:h="16840"/>
          <w:pgMar w:top="1152" w:right="1109" w:bottom="1158" w:left="1109" w:header="0" w:footer="3" w:gutter="0"/>
          <w:cols w:space="720"/>
          <w:noEndnote/>
          <w:rtlGutter w:val="0"/>
          <w:docGrid w:linePitch="360"/>
        </w:sectPr>
      </w:pPr>
    </w:p>
    <w:p>
      <w:pPr>
        <w:pStyle w:val="Style10"/>
        <w:keepNext/>
        <w:keepLines/>
        <w:framePr w:w="7056" w:h="2942" w:wrap="none" w:vAnchor="text" w:hAnchor="page" w:x="1110" w:y="21"/>
        <w:widowControl w:val="0"/>
        <w:shd w:val="clear" w:color="auto" w:fill="auto"/>
        <w:bidi w:val="0"/>
        <w:spacing w:before="0" w:after="580" w:line="240" w:lineRule="auto"/>
        <w:ind w:left="3140" w:right="0" w:firstLine="0"/>
        <w:jc w:val="left"/>
      </w:pPr>
      <w:bookmarkStart w:id="2050" w:name="bookmark2050"/>
      <w:bookmarkStart w:id="2051" w:name="bookmark2051"/>
      <w:bookmarkStart w:id="2052" w:name="bookmark2052"/>
      <w:r>
        <w:rPr>
          <w:color w:val="000000"/>
          <w:spacing w:val="0"/>
          <w:w w:val="100"/>
          <w:position w:val="0"/>
        </w:rPr>
        <w:t>第十三节备查文件目录</w:t>
      </w:r>
      <w:bookmarkEnd w:id="2050"/>
      <w:bookmarkEnd w:id="2051"/>
      <w:bookmarkEnd w:id="2052"/>
    </w:p>
    <w:p>
      <w:pPr>
        <w:pStyle w:val="Style36"/>
        <w:keepNext w:val="0"/>
        <w:keepLines w:val="0"/>
        <w:framePr w:w="7056" w:h="2942" w:wrap="none" w:vAnchor="text" w:hAnchor="page" w:x="1110" w:y="21"/>
        <w:widowControl w:val="0"/>
        <w:shd w:val="clear" w:color="auto" w:fill="auto"/>
        <w:tabs>
          <w:tab w:pos="360" w:val="left"/>
        </w:tabs>
        <w:bidi w:val="0"/>
        <w:spacing w:before="0" w:after="140" w:line="240" w:lineRule="auto"/>
        <w:ind w:left="0" w:right="0" w:firstLine="0"/>
        <w:jc w:val="left"/>
      </w:pPr>
      <w:bookmarkStart w:id="2053" w:name="bookmark2053"/>
      <w:bookmarkStart w:id="2054" w:name="bookmark2054"/>
      <w:r>
        <w:rPr>
          <w:color w:val="000000"/>
          <w:spacing w:val="0"/>
          <w:w w:val="100"/>
          <w:position w:val="0"/>
        </w:rPr>
        <w:t>一</w:t>
      </w:r>
      <w:bookmarkEnd w:id="2054"/>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年度报告全文。</w:t>
      </w:r>
      <w:bookmarkEnd w:id="2053"/>
    </w:p>
    <w:p>
      <w:pPr>
        <w:pStyle w:val="Style36"/>
        <w:keepNext w:val="0"/>
        <w:keepLines w:val="0"/>
        <w:framePr w:w="7056" w:h="2942" w:wrap="none" w:vAnchor="text" w:hAnchor="page" w:x="1110" w:y="21"/>
        <w:widowControl w:val="0"/>
        <w:shd w:val="clear" w:color="auto" w:fill="auto"/>
        <w:tabs>
          <w:tab w:pos="360" w:val="left"/>
        </w:tabs>
        <w:bidi w:val="0"/>
        <w:spacing w:before="0" w:after="140" w:line="240" w:lineRule="auto"/>
        <w:ind w:left="0" w:right="0" w:firstLine="0"/>
        <w:jc w:val="left"/>
      </w:pPr>
      <w:bookmarkStart w:id="2055" w:name="bookmark2055"/>
      <w:r>
        <w:rPr>
          <w:color w:val="000000"/>
          <w:spacing w:val="0"/>
          <w:w w:val="100"/>
          <w:position w:val="0"/>
        </w:rPr>
        <w:t>二</w:t>
      </w:r>
      <w:bookmarkEnd w:id="2055"/>
      <w:r>
        <w:rPr>
          <w:color w:val="000000"/>
          <w:spacing w:val="0"/>
          <w:w w:val="100"/>
          <w:position w:val="0"/>
        </w:rPr>
        <w:t>、</w:t>
        <w:tab/>
        <w:t>载有法定代表人、主管会计工作负责人、会计机构负责人签名并盖章的财务报表。</w:t>
      </w:r>
    </w:p>
    <w:p>
      <w:pPr>
        <w:pStyle w:val="Style36"/>
        <w:keepNext w:val="0"/>
        <w:keepLines w:val="0"/>
        <w:framePr w:w="7056" w:h="2942" w:wrap="none" w:vAnchor="text" w:hAnchor="page" w:x="1110" w:y="21"/>
        <w:widowControl w:val="0"/>
        <w:shd w:val="clear" w:color="auto" w:fill="auto"/>
        <w:tabs>
          <w:tab w:pos="360" w:val="left"/>
        </w:tabs>
        <w:bidi w:val="0"/>
        <w:spacing w:before="0" w:after="140" w:line="240" w:lineRule="auto"/>
        <w:ind w:left="0" w:right="0" w:firstLine="0"/>
        <w:jc w:val="left"/>
      </w:pPr>
      <w:bookmarkStart w:id="2056" w:name="bookmark2056"/>
      <w:r>
        <w:rPr>
          <w:color w:val="000000"/>
          <w:spacing w:val="0"/>
          <w:w w:val="100"/>
          <w:position w:val="0"/>
        </w:rPr>
        <w:t>三</w:t>
      </w:r>
      <w:bookmarkEnd w:id="2056"/>
      <w:r>
        <w:rPr>
          <w:color w:val="000000"/>
          <w:spacing w:val="0"/>
          <w:w w:val="100"/>
          <w:position w:val="0"/>
        </w:rPr>
        <w:t>、</w:t>
        <w:tab/>
        <w:t>载有会计师事务所盖章、注册会计师签名并盖章的审计报告原件。</w:t>
      </w:r>
    </w:p>
    <w:p>
      <w:pPr>
        <w:pStyle w:val="Style36"/>
        <w:keepNext w:val="0"/>
        <w:keepLines w:val="0"/>
        <w:framePr w:w="7056" w:h="2942" w:wrap="none" w:vAnchor="text" w:hAnchor="page" w:x="1110" w:y="21"/>
        <w:widowControl w:val="0"/>
        <w:shd w:val="clear" w:color="auto" w:fill="auto"/>
        <w:tabs>
          <w:tab w:pos="346" w:val="left"/>
        </w:tabs>
        <w:bidi w:val="0"/>
        <w:spacing w:before="0" w:after="140" w:line="240" w:lineRule="auto"/>
        <w:ind w:left="0" w:right="0" w:firstLine="0"/>
        <w:jc w:val="left"/>
      </w:pPr>
      <w:bookmarkStart w:id="2057" w:name="bookmark2057"/>
      <w:r>
        <w:rPr>
          <w:color w:val="000000"/>
          <w:spacing w:val="0"/>
          <w:w w:val="100"/>
          <w:position w:val="0"/>
        </w:rPr>
        <w:t>四</w:t>
      </w:r>
      <w:bookmarkEnd w:id="2057"/>
      <w:r>
        <w:rPr>
          <w:color w:val="000000"/>
          <w:spacing w:val="0"/>
          <w:w w:val="100"/>
          <w:position w:val="0"/>
        </w:rPr>
        <w:t>、</w:t>
        <w:tab/>
        <w:t>报告期内在中国证监会指定报纸上公开披露过的所有公司文件的正本及公告的原稿。</w:t>
      </w:r>
    </w:p>
    <w:p>
      <w:pPr>
        <w:pStyle w:val="Style36"/>
        <w:keepNext w:val="0"/>
        <w:keepLines w:val="0"/>
        <w:framePr w:w="7056" w:h="2942" w:wrap="none" w:vAnchor="text" w:hAnchor="page" w:x="1110" w:y="21"/>
        <w:widowControl w:val="0"/>
        <w:shd w:val="clear" w:color="auto" w:fill="auto"/>
        <w:tabs>
          <w:tab w:pos="360" w:val="left"/>
        </w:tabs>
        <w:bidi w:val="0"/>
        <w:spacing w:before="0" w:after="140" w:line="240" w:lineRule="auto"/>
        <w:ind w:left="0" w:right="0" w:firstLine="0"/>
        <w:jc w:val="left"/>
      </w:pPr>
      <w:bookmarkStart w:id="2058" w:name="bookmark2058"/>
      <w:r>
        <w:rPr>
          <w:color w:val="000000"/>
          <w:spacing w:val="0"/>
          <w:w w:val="100"/>
          <w:position w:val="0"/>
        </w:rPr>
        <w:t>五</w:t>
      </w:r>
      <w:bookmarkEnd w:id="2058"/>
      <w:r>
        <w:rPr>
          <w:color w:val="000000"/>
          <w:spacing w:val="0"/>
          <w:w w:val="100"/>
          <w:position w:val="0"/>
        </w:rPr>
        <w:t>、</w:t>
        <w:tab/>
        <w:t>其他有关资料。</w:t>
      </w:r>
    </w:p>
    <w:p>
      <w:pPr>
        <w:pStyle w:val="Style36"/>
        <w:keepNext w:val="0"/>
        <w:keepLines w:val="0"/>
        <w:framePr w:w="7056" w:h="2942" w:wrap="none" w:vAnchor="text" w:hAnchor="page" w:x="1110" w:y="21"/>
        <w:widowControl w:val="0"/>
        <w:shd w:val="clear" w:color="auto" w:fill="auto"/>
        <w:tabs>
          <w:tab w:pos="360" w:val="left"/>
        </w:tabs>
        <w:bidi w:val="0"/>
        <w:spacing w:before="0" w:after="140" w:line="240" w:lineRule="auto"/>
        <w:ind w:left="0" w:right="0" w:firstLine="0"/>
        <w:jc w:val="left"/>
      </w:pPr>
      <w:bookmarkStart w:id="2059" w:name="bookmark2059"/>
      <w:r>
        <w:rPr>
          <w:color w:val="000000"/>
          <w:spacing w:val="0"/>
          <w:w w:val="100"/>
          <w:position w:val="0"/>
        </w:rPr>
        <w:t>六</w:t>
      </w:r>
      <w:bookmarkEnd w:id="2059"/>
      <w:r>
        <w:rPr>
          <w:color w:val="000000"/>
          <w:spacing w:val="0"/>
          <w:w w:val="100"/>
          <w:position w:val="0"/>
        </w:rPr>
        <w:t>、</w:t>
        <w:tab/>
        <w:t>上述文件备置于公司证券部备查。</w:t>
      </w:r>
    </w:p>
    <w:p>
      <w:pPr>
        <w:pStyle w:val="Style39"/>
        <w:keepNext w:val="0"/>
        <w:keepLines w:val="0"/>
        <w:framePr w:w="2558" w:h="264" w:wrap="none" w:vAnchor="text" w:hAnchor="page" w:x="8229" w:y="9644"/>
        <w:widowControl w:val="0"/>
        <w:shd w:val="clear" w:color="auto" w:fill="auto"/>
        <w:bidi w:val="0"/>
        <w:spacing w:before="0" w:after="0" w:line="240" w:lineRule="auto"/>
        <w:ind w:left="0" w:right="0" w:firstLine="0"/>
        <w:jc w:val="left"/>
        <w:rPr>
          <w:sz w:val="20"/>
          <w:szCs w:val="20"/>
        </w:rPr>
      </w:pPr>
      <w:r>
        <w:rPr>
          <w:i w:val="0"/>
          <w:iCs w:val="0"/>
          <w:color w:val="000000"/>
          <w:spacing w:val="0"/>
          <w:w w:val="100"/>
          <w:position w:val="0"/>
          <w:sz w:val="20"/>
          <w:szCs w:val="20"/>
        </w:rPr>
        <w:t>福建榕基软件股份有限公司</w:t>
      </w:r>
    </w:p>
    <w:p>
      <w:pPr>
        <w:pStyle w:val="Style39"/>
        <w:keepNext w:val="0"/>
        <w:keepLines w:val="0"/>
        <w:framePr w:w="874" w:h="264" w:wrap="none" w:vAnchor="text" w:hAnchor="page" w:x="8329" w:y="10700"/>
        <w:widowControl w:val="0"/>
        <w:shd w:val="clear" w:color="auto" w:fill="auto"/>
        <w:bidi w:val="0"/>
        <w:spacing w:before="0" w:after="0" w:line="240" w:lineRule="auto"/>
        <w:ind w:left="0" w:right="0" w:firstLine="0"/>
        <w:jc w:val="left"/>
        <w:rPr>
          <w:sz w:val="20"/>
          <w:szCs w:val="20"/>
        </w:rPr>
      </w:pPr>
      <w:r>
        <w:rPr>
          <w:i w:val="0"/>
          <w:iCs w:val="0"/>
          <w:color w:val="000000"/>
          <w:spacing w:val="0"/>
          <w:w w:val="100"/>
          <w:position w:val="0"/>
          <w:sz w:val="20"/>
          <w:szCs w:val="20"/>
        </w:rPr>
        <w:t>董事长:</w:t>
      </w:r>
    </w:p>
    <w:p>
      <w:pPr>
        <w:pStyle w:val="Style29"/>
        <w:keepNext w:val="0"/>
        <w:keepLines w:val="0"/>
        <w:framePr w:w="1306" w:h="288" w:wrap="none" w:vAnchor="text" w:hAnchor="page" w:x="9486" w:y="13052"/>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2021</w:t>
      </w:r>
      <w:r>
        <w:rPr>
          <w:color w:val="000000"/>
          <w:spacing w:val="0"/>
          <w:w w:val="100"/>
          <w:position w:val="0"/>
          <w:sz w:val="20"/>
          <w:szCs w:val="20"/>
        </w:rPr>
        <w:t>年</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2"/>
          <w:szCs w:val="22"/>
        </w:rPr>
        <w:t>月</w:t>
      </w:r>
      <w:r>
        <w:rPr>
          <w:rFonts w:ascii="Arial" w:eastAsia="Arial" w:hAnsi="Arial" w:cs="Arial"/>
          <w:color w:val="000000"/>
          <w:spacing w:val="0"/>
          <w:w w:val="100"/>
          <w:position w:val="0"/>
          <w:sz w:val="20"/>
          <w:szCs w:val="20"/>
        </w:rPr>
        <w:t>7</w:t>
      </w:r>
      <w:r>
        <w:rPr>
          <w:color w:val="000000"/>
          <w:spacing w:val="0"/>
          <w:w w:val="100"/>
          <w:position w:val="0"/>
          <w:sz w:val="20"/>
          <w:szCs w:val="20"/>
        </w:rPr>
        <w:t>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8" w:line="1" w:lineRule="exact"/>
      </w:pPr>
    </w:p>
    <w:p>
      <w:pPr>
        <w:widowControl w:val="0"/>
        <w:spacing w:line="1" w:lineRule="exact"/>
      </w:pPr>
    </w:p>
    <w:sectPr>
      <w:footnotePr>
        <w:pos w:val="pageBottom"/>
        <w:numFmt w:val="decimal"/>
        <w:numRestart w:val="continuous"/>
      </w:footnotePr>
      <w:type w:val="continuous"/>
      <w:pgSz w:w="11900" w:h="16840"/>
      <w:pgMar w:top="1152" w:right="1109" w:bottom="1158"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6391910</wp:posOffset>
              </wp:positionH>
              <wp:positionV relativeFrom="page">
                <wp:posOffset>9749790</wp:posOffset>
              </wp:positionV>
              <wp:extent cx="445135" cy="106680"/>
              <wp:wrapNone/>
              <wp:docPr id="64" name="Shape 6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0" type="#_x0000_t202" style="position:absolute;margin-left:503.30000000000001pt;margin-top:767.70000000000005pt;width:35.050000000000004pt;height:8.4000000000000004pt;z-index:-1887440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6681470</wp:posOffset>
              </wp:positionH>
              <wp:positionV relativeFrom="page">
                <wp:posOffset>10179685</wp:posOffset>
              </wp:positionV>
              <wp:extent cx="155575" cy="79375"/>
              <wp:wrapNone/>
              <wp:docPr id="66" name="Shape 6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26.10000000000002pt;margin-top:801.55000000000007pt;width:12.25pt;height:6.25pt;z-index:-18874401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6388735</wp:posOffset>
              </wp:positionH>
              <wp:positionV relativeFrom="page">
                <wp:posOffset>9478645</wp:posOffset>
              </wp:positionV>
              <wp:extent cx="445135" cy="106680"/>
              <wp:wrapNone/>
              <wp:docPr id="71" name="Shape 7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7" type="#_x0000_t202" style="position:absolute;margin-left:503.05000000000001pt;margin-top:746.35000000000002pt;width:35.050000000000004pt;height:8.4000000000000004pt;z-index:-1887440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6678295</wp:posOffset>
              </wp:positionH>
              <wp:positionV relativeFrom="page">
                <wp:posOffset>10033000</wp:posOffset>
              </wp:positionV>
              <wp:extent cx="152400" cy="79375"/>
              <wp:wrapNone/>
              <wp:docPr id="73" name="Shape 7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525.85000000000002pt;margin-top:790.pt;width:12.pt;height:6.25pt;z-index:-1887440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6750050</wp:posOffset>
              </wp:positionH>
              <wp:positionV relativeFrom="page">
                <wp:posOffset>9958070</wp:posOffset>
              </wp:positionV>
              <wp:extent cx="97790" cy="79375"/>
              <wp:wrapNone/>
              <wp:docPr id="78" name="Shape 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531.5pt;margin-top:784.10000000000002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6750050</wp:posOffset>
              </wp:positionH>
              <wp:positionV relativeFrom="page">
                <wp:posOffset>9958070</wp:posOffset>
              </wp:positionV>
              <wp:extent cx="97790" cy="79375"/>
              <wp:wrapNone/>
              <wp:docPr id="83" name="Shape 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531.5pt;margin-top:784.10000000000002pt;width:7.7000000000000002pt;height:6.25pt;z-index:-1887440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6750050</wp:posOffset>
              </wp:positionH>
              <wp:positionV relativeFrom="page">
                <wp:posOffset>9958070</wp:posOffset>
              </wp:positionV>
              <wp:extent cx="97790" cy="79375"/>
              <wp:wrapNone/>
              <wp:docPr id="88" name="Shape 8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531.5pt;margin-top:784.10000000000002pt;width:7.7000000000000002pt;height:6.25pt;z-index:-1887440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10132060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6750050</wp:posOffset>
              </wp:positionH>
              <wp:positionV relativeFrom="page">
                <wp:posOffset>9958070</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1.5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6750050</wp:posOffset>
              </wp:positionH>
              <wp:positionV relativeFrom="page">
                <wp:posOffset>9958070</wp:posOffset>
              </wp:positionV>
              <wp:extent cx="97790" cy="79375"/>
              <wp:wrapNone/>
              <wp:docPr id="20" name="Shape 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31.5pt;margin-top:784.10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6750050</wp:posOffset>
              </wp:positionH>
              <wp:positionV relativeFrom="page">
                <wp:posOffset>9958070</wp:posOffset>
              </wp:positionV>
              <wp:extent cx="97790" cy="79375"/>
              <wp:wrapNone/>
              <wp:docPr id="35" name="Shape 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31.5pt;margin-top:784.10000000000002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6390005</wp:posOffset>
              </wp:positionH>
              <wp:positionV relativeFrom="page">
                <wp:posOffset>9739630</wp:posOffset>
              </wp:positionV>
              <wp:extent cx="445135" cy="106680"/>
              <wp:wrapNone/>
              <wp:docPr id="40" name="Shape 40"/>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6" type="#_x0000_t202" style="position:absolute;margin-left:503.15000000000003pt;margin-top:766.89999999999998pt;width:35.050000000000004pt;height:8.4000000000000004pt;z-index:-1887440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6679565</wp:posOffset>
              </wp:positionH>
              <wp:positionV relativeFrom="page">
                <wp:posOffset>10190480</wp:posOffset>
              </wp:positionV>
              <wp:extent cx="155575" cy="79375"/>
              <wp:wrapNone/>
              <wp:docPr id="42" name="Shape 4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525.95000000000005pt;margin-top:802.39999999999998pt;width:12.25pt;height:6.25pt;z-index:-18874403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6750050</wp:posOffset>
              </wp:positionH>
              <wp:positionV relativeFrom="page">
                <wp:posOffset>9958070</wp:posOffset>
              </wp:positionV>
              <wp:extent cx="97790" cy="79375"/>
              <wp:wrapNone/>
              <wp:docPr id="47" name="Shape 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31.5pt;margin-top:784.10000000000002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6750050</wp:posOffset>
              </wp:positionH>
              <wp:positionV relativeFrom="page">
                <wp:posOffset>9958070</wp:posOffset>
              </wp:positionV>
              <wp:extent cx="97790" cy="79375"/>
              <wp:wrapNone/>
              <wp:docPr id="52" name="Shape 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31.5pt;margin-top:784.10000000000002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6391910</wp:posOffset>
              </wp:positionH>
              <wp:positionV relativeFrom="page">
                <wp:posOffset>9749790</wp:posOffset>
              </wp:positionV>
              <wp:extent cx="445135" cy="106680"/>
              <wp:wrapNone/>
              <wp:docPr id="57" name="Shape 57"/>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3" type="#_x0000_t202" style="position:absolute;margin-left:503.30000000000001pt;margin-top:767.70000000000005pt;width:35.050000000000004pt;height:8.4000000000000004pt;z-index:-1887440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6681470</wp:posOffset>
              </wp:positionH>
              <wp:positionV relativeFrom="page">
                <wp:posOffset>10179685</wp:posOffset>
              </wp:positionV>
              <wp:extent cx="155575" cy="79375"/>
              <wp:wrapNone/>
              <wp:docPr id="59" name="Shape 5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26.10000000000002pt;margin-top:801.55000000000007pt;width:12.25pt;height:6.25pt;z-index:-1887440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4383405</wp:posOffset>
              </wp:positionH>
              <wp:positionV relativeFrom="page">
                <wp:posOffset>478790</wp:posOffset>
              </wp:positionV>
              <wp:extent cx="2450465" cy="106680"/>
              <wp:wrapNone/>
              <wp:docPr id="2" name="Shape 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15000000000003pt;margin-top:37.700000000000003pt;width:192.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4385945</wp:posOffset>
              </wp:positionH>
              <wp:positionV relativeFrom="page">
                <wp:posOffset>782955</wp:posOffset>
              </wp:positionV>
              <wp:extent cx="2450465" cy="106680"/>
              <wp:wrapNone/>
              <wp:docPr id="61" name="Shape 6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7" type="#_x0000_t202" style="position:absolute;margin-left:345.35000000000002pt;margin-top:61.649999999999999pt;width:192.95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927735</wp:posOffset>
              </wp:positionV>
              <wp:extent cx="6163310" cy="0"/>
              <wp:wrapNone/>
              <wp:docPr id="63" name="Shape 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3.049999999999997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4383405</wp:posOffset>
              </wp:positionH>
              <wp:positionV relativeFrom="page">
                <wp:posOffset>561340</wp:posOffset>
              </wp:positionV>
              <wp:extent cx="2450465" cy="106680"/>
              <wp:wrapNone/>
              <wp:docPr id="68" name="Shape 68"/>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4" type="#_x0000_t202" style="position:absolute;margin-left:345.15000000000003pt;margin-top:44.200000000000003pt;width:192.95000000000002pt;height:8.4000000000000004pt;z-index:-1887440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4383405</wp:posOffset>
              </wp:positionH>
              <wp:positionV relativeFrom="page">
                <wp:posOffset>478155</wp:posOffset>
              </wp:positionV>
              <wp:extent cx="2450465" cy="106680"/>
              <wp:wrapNone/>
              <wp:docPr id="75" name="Shape 7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1" type="#_x0000_t202" style="position:absolute;margin-left:345.15000000000003pt;margin-top:37.649999999999999pt;width:192.95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7" name="Shape 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4383405</wp:posOffset>
              </wp:positionH>
              <wp:positionV relativeFrom="page">
                <wp:posOffset>478155</wp:posOffset>
              </wp:positionV>
              <wp:extent cx="2450465" cy="106680"/>
              <wp:wrapNone/>
              <wp:docPr id="80" name="Shape 8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6" type="#_x0000_t202" style="position:absolute;margin-left:345.15000000000003pt;margin-top:37.649999999999999pt;width:192.95000000000002pt;height:8.4000000000000004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2" name="Shape 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4383405</wp:posOffset>
              </wp:positionH>
              <wp:positionV relativeFrom="page">
                <wp:posOffset>478155</wp:posOffset>
              </wp:positionV>
              <wp:extent cx="2450465" cy="106680"/>
              <wp:wrapNone/>
              <wp:docPr id="85" name="Shape 8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1" type="#_x0000_t202" style="position:absolute;margin-left:345.15000000000003pt;margin-top:37.649999999999999pt;width:192.95000000000002pt;height:8.4000000000000004pt;z-index:-1887440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4383405</wp:posOffset>
              </wp:positionH>
              <wp:positionV relativeFrom="page">
                <wp:posOffset>478790</wp:posOffset>
              </wp:positionV>
              <wp:extent cx="2450465" cy="106680"/>
              <wp:wrapNone/>
              <wp:docPr id="7" name="Shape 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5.15000000000003pt;margin-top:37.700000000000003pt;width:192.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4383405</wp:posOffset>
              </wp:positionH>
              <wp:positionV relativeFrom="page">
                <wp:posOffset>478155</wp:posOffset>
              </wp:positionV>
              <wp:extent cx="2450465" cy="106680"/>
              <wp:wrapNone/>
              <wp:docPr id="12" name="Shape 1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45.15000000000003pt;margin-top:37.649999999999999pt;width:192.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4383405</wp:posOffset>
              </wp:positionH>
              <wp:positionV relativeFrom="page">
                <wp:posOffset>478155</wp:posOffset>
              </wp:positionV>
              <wp:extent cx="2450465" cy="106680"/>
              <wp:wrapNone/>
              <wp:docPr id="17" name="Shape 1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45.15000000000003pt;margin-top:37.649999999999999pt;width:192.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4383405</wp:posOffset>
              </wp:positionH>
              <wp:positionV relativeFrom="page">
                <wp:posOffset>478155</wp:posOffset>
              </wp:positionV>
              <wp:extent cx="2450465" cy="106680"/>
              <wp:wrapNone/>
              <wp:docPr id="32" name="Shape 3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8" type="#_x0000_t202" style="position:absolute;margin-left:345.15000000000003pt;margin-top:37.649999999999999pt;width:192.95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4384675</wp:posOffset>
              </wp:positionH>
              <wp:positionV relativeFrom="page">
                <wp:posOffset>756920</wp:posOffset>
              </wp:positionV>
              <wp:extent cx="2450465" cy="106680"/>
              <wp:wrapNone/>
              <wp:docPr id="37" name="Shape 3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3" type="#_x0000_t202" style="position:absolute;margin-left:345.25pt;margin-top:59.600000000000001pt;width:192.95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937895</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3.850000000000009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4383405</wp:posOffset>
              </wp:positionH>
              <wp:positionV relativeFrom="page">
                <wp:posOffset>478155</wp:posOffset>
              </wp:positionV>
              <wp:extent cx="2450465" cy="106680"/>
              <wp:wrapNone/>
              <wp:docPr id="44" name="Shape 44"/>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0" type="#_x0000_t202" style="position:absolute;margin-left:345.15000000000003pt;margin-top:37.649999999999999pt;width:192.95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4383405</wp:posOffset>
              </wp:positionH>
              <wp:positionV relativeFrom="page">
                <wp:posOffset>478155</wp:posOffset>
              </wp:positionV>
              <wp:extent cx="2450465" cy="106680"/>
              <wp:wrapNone/>
              <wp:docPr id="49" name="Shape 4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5" type="#_x0000_t202" style="position:absolute;margin-left:345.15000000000003pt;margin-top:37.649999999999999pt;width:192.95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福建榕基软件股份有限公司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4385945</wp:posOffset>
              </wp:positionH>
              <wp:positionV relativeFrom="page">
                <wp:posOffset>782955</wp:posOffset>
              </wp:positionV>
              <wp:extent cx="2450465" cy="106680"/>
              <wp:wrapNone/>
              <wp:docPr id="54" name="Shape 54"/>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0" type="#_x0000_t202" style="position:absolute;margin-left:345.35000000000002pt;margin-top:61.649999999999999pt;width:192.95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927735</wp:posOffset>
              </wp:positionV>
              <wp:extent cx="6163310" cy="0"/>
              <wp:wrapNone/>
              <wp:docPr id="56" name="Shape 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3.049999999999997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bCs/>
      <w:i w:val="0"/>
      <w:iCs w:val="0"/>
      <w:smallCaps w:val="0"/>
      <w:strike w:val="0"/>
      <w:sz w:val="52"/>
      <w:szCs w:val="52"/>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3)_"/>
    <w:basedOn w:val="DefaultParagraphFont"/>
    <w:link w:val="Style8"/>
    <w:rPr>
      <w:rFonts w:ascii="Arial" w:eastAsia="Arial" w:hAnsi="Arial" w:cs="Arial"/>
      <w:b/>
      <w:bCs/>
      <w:i w:val="0"/>
      <w:iCs w:val="0"/>
      <w:smallCaps w:val="0"/>
      <w:strike w:val="0"/>
      <w:sz w:val="30"/>
      <w:szCs w:val="30"/>
      <w:u w:val="none"/>
      <w:shd w:val="clear" w:color="auto" w:fill="auto"/>
    </w:rPr>
  </w:style>
  <w:style w:type="character" w:customStyle="1" w:styleId="CharStyle11">
    <w:name w:val="标题 #3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5)_"/>
    <w:basedOn w:val="DefaultParagraphFont"/>
    <w:link w:val="Style13"/>
    <w:rPr>
      <w:rFonts w:ascii="SimHei" w:eastAsia="SimHei" w:hAnsi="SimHei" w:cs="SimHei"/>
      <w:b/>
      <w:bCs/>
      <w:i w:val="0"/>
      <w:iCs w:val="0"/>
      <w:smallCaps w:val="0"/>
      <w:strike w:val="0"/>
      <w:sz w:val="72"/>
      <w:szCs w:val="72"/>
      <w:u w:val="none"/>
      <w:shd w:val="clear" w:color="auto" w:fill="auto"/>
    </w:rPr>
  </w:style>
  <w:style w:type="character" w:customStyle="1" w:styleId="CharStyle19">
    <w:name w:val="正文文本 (4)_"/>
    <w:basedOn w:val="DefaultParagraphFont"/>
    <w:link w:val="Style18"/>
    <w:rPr>
      <w:rFonts w:ascii="SimHei" w:eastAsia="SimHei" w:hAnsi="SimHei" w:cs="SimHei"/>
      <w:b/>
      <w:bCs/>
      <w:i w:val="0"/>
      <w:iCs w:val="0"/>
      <w:smallCaps w:val="0"/>
      <w:strike w:val="0"/>
      <w:sz w:val="28"/>
      <w:szCs w:val="28"/>
      <w:u w:val="none"/>
      <w:shd w:val="clear" w:color="auto" w:fill="auto"/>
    </w:rPr>
  </w:style>
  <w:style w:type="character" w:customStyle="1" w:styleId="CharStyle22">
    <w:name w:val="正文文本 (2)_"/>
    <w:basedOn w:val="DefaultParagraphFont"/>
    <w:link w:val="Style21"/>
    <w:rPr>
      <w:rFonts w:ascii="SimSun" w:eastAsia="SimSun" w:hAnsi="SimSun" w:cs="SimSun"/>
      <w:b/>
      <w:bCs/>
      <w:i w:val="0"/>
      <w:iCs w:val="0"/>
      <w:smallCaps w:val="0"/>
      <w:strike w:val="0"/>
      <w:sz w:val="26"/>
      <w:szCs w:val="26"/>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sz w:val="36"/>
      <w:szCs w:val="36"/>
      <w:u w:val="none"/>
      <w:shd w:val="clear" w:color="auto" w:fill="auto"/>
    </w:rPr>
  </w:style>
  <w:style w:type="character" w:customStyle="1" w:styleId="CharStyle27">
    <w:name w:val="目录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30">
    <w:name w:val="其他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2"/>
      <w:szCs w:val="22"/>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17"/>
      <w:szCs w:val="17"/>
      <w:u w:val="none"/>
      <w:shd w:val="clear" w:color="auto" w:fill="auto"/>
    </w:rPr>
  </w:style>
  <w:style w:type="character" w:customStyle="1" w:styleId="CharStyle40">
    <w:name w:val="正文文本 (6)_"/>
    <w:basedOn w:val="DefaultParagraphFont"/>
    <w:link w:val="Style39"/>
    <w:rPr>
      <w:rFonts w:ascii="SimSun" w:eastAsia="SimSun" w:hAnsi="SimSun" w:cs="SimSun"/>
      <w:b w:val="0"/>
      <w:bCs w:val="0"/>
      <w:i/>
      <w:iCs/>
      <w:smallCaps w:val="0"/>
      <w:strike w:val="0"/>
      <w:sz w:val="19"/>
      <w:szCs w:val="19"/>
      <w:u w:val="none"/>
      <w:shd w:val="clear" w:color="auto" w:fill="auto"/>
    </w:rPr>
  </w:style>
  <w:style w:type="character" w:customStyle="1" w:styleId="CharStyle44">
    <w:name w:val="标题 #5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标题 #1"/>
    <w:basedOn w:val="Normal"/>
    <w:link w:val="CharStyle3"/>
    <w:pPr>
      <w:widowControl w:val="0"/>
      <w:shd w:val="clear" w:color="auto" w:fill="auto"/>
      <w:spacing w:after="40"/>
      <w:jc w:val="center"/>
      <w:outlineLvl w:val="0"/>
    </w:pPr>
    <w:rPr>
      <w:rFonts w:ascii="SimHei" w:eastAsia="SimHei" w:hAnsi="SimHei" w:cs="SimHei"/>
      <w:b/>
      <w:bCs/>
      <w:i w:val="0"/>
      <w:iCs w:val="0"/>
      <w:smallCaps w:val="0"/>
      <w:strike w:val="0"/>
      <w:sz w:val="52"/>
      <w:szCs w:val="52"/>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3)"/>
    <w:basedOn w:val="Normal"/>
    <w:link w:val="CharStyle9"/>
    <w:pPr>
      <w:widowControl w:val="0"/>
      <w:shd w:val="clear" w:color="auto" w:fill="auto"/>
      <w:spacing w:after="90" w:line="480" w:lineRule="exact"/>
      <w:ind w:left="4920"/>
    </w:pPr>
    <w:rPr>
      <w:rFonts w:ascii="Arial" w:eastAsia="Arial" w:hAnsi="Arial" w:cs="Arial"/>
      <w:b/>
      <w:bCs/>
      <w:i w:val="0"/>
      <w:iCs w:val="0"/>
      <w:smallCaps w:val="0"/>
      <w:strike w:val="0"/>
      <w:sz w:val="30"/>
      <w:szCs w:val="30"/>
      <w:u w:val="none"/>
      <w:shd w:val="clear" w:color="auto" w:fill="auto"/>
    </w:rPr>
  </w:style>
  <w:style w:type="paragraph" w:customStyle="1" w:styleId="Style10">
    <w:name w:val="标题 #3"/>
    <w:basedOn w:val="Normal"/>
    <w:link w:val="CharStyle11"/>
    <w:pPr>
      <w:widowControl w:val="0"/>
      <w:shd w:val="clear" w:color="auto" w:fill="auto"/>
      <w:spacing w:after="57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5)"/>
    <w:basedOn w:val="Normal"/>
    <w:link w:val="CharStyle14"/>
    <w:pPr>
      <w:widowControl w:val="0"/>
      <w:shd w:val="clear" w:color="auto" w:fill="auto"/>
      <w:spacing w:after="3380"/>
      <w:jc w:val="center"/>
    </w:pPr>
    <w:rPr>
      <w:rFonts w:ascii="SimHei" w:eastAsia="SimHei" w:hAnsi="SimHei" w:cs="SimHei"/>
      <w:b/>
      <w:bCs/>
      <w:i w:val="0"/>
      <w:iCs w:val="0"/>
      <w:smallCaps w:val="0"/>
      <w:strike w:val="0"/>
      <w:sz w:val="72"/>
      <w:szCs w:val="72"/>
      <w:u w:val="none"/>
      <w:shd w:val="clear" w:color="auto" w:fill="auto"/>
    </w:rPr>
  </w:style>
  <w:style w:type="paragraph" w:customStyle="1" w:styleId="Style18">
    <w:name w:val="正文文本 (4)"/>
    <w:basedOn w:val="Normal"/>
    <w:link w:val="CharStyle19"/>
    <w:pPr>
      <w:widowControl w:val="0"/>
      <w:shd w:val="clear" w:color="auto" w:fill="auto"/>
      <w:spacing w:after="500" w:line="432" w:lineRule="exact"/>
      <w:ind w:left="4920"/>
    </w:pPr>
    <w:rPr>
      <w:rFonts w:ascii="SimHei" w:eastAsia="SimHei" w:hAnsi="SimHei" w:cs="SimHei"/>
      <w:b/>
      <w:bCs/>
      <w:i w:val="0"/>
      <w:iCs w:val="0"/>
      <w:smallCaps w:val="0"/>
      <w:strike w:val="0"/>
      <w:sz w:val="28"/>
      <w:szCs w:val="28"/>
      <w:u w:val="none"/>
      <w:shd w:val="clear" w:color="auto" w:fill="auto"/>
    </w:rPr>
  </w:style>
  <w:style w:type="paragraph" w:customStyle="1" w:styleId="Style21">
    <w:name w:val="正文文本 (2)"/>
    <w:basedOn w:val="Normal"/>
    <w:link w:val="CharStyle22"/>
    <w:pPr>
      <w:widowControl w:val="0"/>
      <w:shd w:val="clear" w:color="auto" w:fill="auto"/>
      <w:spacing w:after="80" w:line="628"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4">
    <w:name w:val="标题 #2"/>
    <w:basedOn w:val="Normal"/>
    <w:link w:val="CharStyle25"/>
    <w:pPr>
      <w:widowControl w:val="0"/>
      <w:shd w:val="clear" w:color="auto" w:fill="auto"/>
      <w:spacing w:before="1420" w:after="160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26">
    <w:name w:val="目录"/>
    <w:basedOn w:val="Normal"/>
    <w:link w:val="CharStyle27"/>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9">
    <w:name w:val="其他"/>
    <w:basedOn w:val="Normal"/>
    <w:link w:val="CharStyle30"/>
    <w:pPr>
      <w:widowControl w:val="0"/>
      <w:shd w:val="clear" w:color="auto" w:fill="auto"/>
      <w:spacing w:after="40"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4"/>
    <w:basedOn w:val="Normal"/>
    <w:link w:val="CharStyle33"/>
    <w:pPr>
      <w:widowControl w:val="0"/>
      <w:shd w:val="clear" w:color="auto" w:fill="auto"/>
      <w:spacing w:after="38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4">
    <w:name w:val="表格标题"/>
    <w:basedOn w:val="Normal"/>
    <w:link w:val="CharStyle3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正文文本"/>
    <w:basedOn w:val="Normal"/>
    <w:link w:val="CharStyle37"/>
    <w:pPr>
      <w:widowControl w:val="0"/>
      <w:shd w:val="clear" w:color="auto" w:fill="auto"/>
      <w:spacing w:after="40"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9">
    <w:name w:val="正文文本 (6)"/>
    <w:basedOn w:val="Normal"/>
    <w:link w:val="CharStyle40"/>
    <w:pPr>
      <w:widowControl w:val="0"/>
      <w:shd w:val="clear" w:color="auto" w:fill="auto"/>
      <w:spacing w:after="140"/>
    </w:pPr>
    <w:rPr>
      <w:rFonts w:ascii="SimSun" w:eastAsia="SimSun" w:hAnsi="SimSun" w:cs="SimSun"/>
      <w:b w:val="0"/>
      <w:bCs w:val="0"/>
      <w:i/>
      <w:iCs/>
      <w:smallCaps w:val="0"/>
      <w:strike w:val="0"/>
      <w:sz w:val="19"/>
      <w:szCs w:val="19"/>
      <w:u w:val="none"/>
      <w:shd w:val="clear" w:color="auto" w:fill="auto"/>
    </w:rPr>
  </w:style>
  <w:style w:type="paragraph" w:customStyle="1" w:styleId="Style43">
    <w:name w:val="标题 #5"/>
    <w:basedOn w:val="Normal"/>
    <w:link w:val="CharStyle44"/>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0">
    <w:name w:val="页眉或页脚"/>
    <w:basedOn w:val="Normal"/>
    <w:link w:val="CharStyle6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image" Target="media/image4.jpeg"/><Relationship Id="rId40"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福建榕基软件股份有限公司2020年年度报告全文</dc:title>
  <dc:subject/>
  <dc:creator>福建榕基软件股份有限公司</dc:creator>
  <cp:keywords/>
</cp:coreProperties>
</file>