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header8.xml" ContentType="application/vnd.openxmlformats-officedocument.wordprocessingml.head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1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2.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3.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14.xml" ContentType="application/vnd.openxmlformats-officedocument.wordprocessingml.header+xml"/>
  <Override PartName="/word/footer30.xml" ContentType="application/vnd.openxmlformats-officedocument.wordprocessingml.footer+xml"/>
  <Override PartName="/word/header1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16.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0pt;margin-top:0pt;width:595.320pt;height:451.199983pt;mso-position-horizontal-relative:page;mso-position-vertical-relative:page;z-index:0" type="#_x0000_t75" stroked="false">
            <v:imagedata r:id="rId5"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spacing w:line="221" w:lineRule="exact" w:before="74"/>
        <w:ind w:left="3282" w:right="0" w:firstLine="0"/>
        <w:jc w:val="left"/>
        <w:rPr>
          <w:rFonts w:ascii="Arial" w:hAnsi="Arial" w:cs="Arial" w:eastAsia="Arial" w:hint="default"/>
          <w:sz w:val="20"/>
          <w:szCs w:val="20"/>
        </w:rPr>
      </w:pPr>
      <w:r>
        <w:rPr/>
        <w:pict>
          <v:group style="position:absolute;margin-left:184.042892pt;margin-top:-5.640116pt;width:120pt;height:20.65pt;mso-position-horizontal-relative:page;mso-position-vertical-relative:paragraph;z-index:-859960" coordorigin="3681,-113" coordsize="2400,413">
            <v:shape style="position:absolute;left:3681;top:-113;width:389;height:394" type="#_x0000_t75" stroked="false">
              <v:imagedata r:id="rId6" o:title=""/>
            </v:shape>
            <v:shape style="position:absolute;left:4084;top:-108;width:379;height:389" type="#_x0000_t75" stroked="false">
              <v:imagedata r:id="rId7" o:title=""/>
            </v:shape>
            <v:shape style="position:absolute;left:4487;top:-108;width:379;height:384" type="#_x0000_t75" stroked="false">
              <v:imagedata r:id="rId8" o:title=""/>
            </v:shape>
            <v:shape style="position:absolute;left:5289;top:-108;width:389;height:389" type="#_x0000_t75" stroked="false">
              <v:imagedata r:id="rId9" o:title=""/>
            </v:shape>
            <v:shape style="position:absolute;left:5692;top:-108;width:389;height:389" type="#_x0000_t75" stroked="false">
              <v:imagedata r:id="rId10" o:title=""/>
            </v:shape>
            <v:shape style="position:absolute;left:4890;top:-108;width:384;height:379" type="#_x0000_t75" stroked="false">
              <v:imagedata r:id="rId11" o:title=""/>
            </v:shape>
            <v:shapetype id="_x0000_t202" o:spt="202" coordsize="21600,21600" path="m,l,21600r21600,l21600,xe">
              <v:stroke joinstyle="miter"/>
              <v:path gradientshapeok="t" o:connecttype="rect"/>
            </v:shapetype>
            <v:shape style="position:absolute;left:3681;top:-113;width:2400;height:413" type="#_x0000_t202" filled="false" stroked="false">
              <v:textbox inset="0,0,0,0">
                <w:txbxContent>
                  <w:p>
                    <w:pPr>
                      <w:spacing w:line="240" w:lineRule="auto" w:before="3"/>
                      <w:rPr>
                        <w:rFonts w:ascii="Arial" w:hAnsi="Arial" w:cs="Arial" w:eastAsia="Arial" w:hint="default"/>
                        <w:sz w:val="16"/>
                        <w:szCs w:val="16"/>
                      </w:rPr>
                    </w:pPr>
                  </w:p>
                  <w:p>
                    <w:pPr>
                      <w:spacing w:line="226" w:lineRule="exact" w:before="0"/>
                      <w:ind w:left="0" w:right="5" w:firstLine="0"/>
                      <w:jc w:val="center"/>
                      <w:rPr>
                        <w:rFonts w:ascii="Arial" w:hAnsi="Arial" w:cs="Arial" w:eastAsia="Arial" w:hint="default"/>
                        <w:sz w:val="20"/>
                        <w:szCs w:val="20"/>
                      </w:rPr>
                    </w:pPr>
                    <w:r>
                      <w:rPr>
                        <w:rFonts w:ascii="Arial" w:hAnsi="Arial"/>
                        <w:color w:val="00000F"/>
                        <w:sz w:val="20"/>
                      </w:rPr>
                      <w:t>'</w:t>
                    </w:r>
                    <w:r>
                      <w:rPr>
                        <w:rFonts w:ascii="Arial" w:hAnsi="Arial"/>
                        <w:color w:val="00000F"/>
                        <w:spacing w:val="49"/>
                        <w:sz w:val="20"/>
                      </w:rPr>
                      <w:t> </w:t>
                    </w:r>
                    <w:r>
                      <w:rPr>
                        <w:rFonts w:ascii="Arial" w:hAnsi="Arial"/>
                        <w:sz w:val="20"/>
                      </w:rPr>
                      <w:t>x»aa</w:t>
                    </w:r>
                  </w:p>
                </w:txbxContent>
              </v:textbox>
              <w10:wrap type="none"/>
            </v:shape>
            <w10:wrap type="none"/>
          </v:group>
        </w:pict>
      </w:r>
      <w:r>
        <w:rPr/>
        <w:pict>
          <v:group style="position:absolute;margin-left:324.894501pt;margin-top:-5.640116pt;width:47.55pt;height:19.7pt;mso-position-horizontal-relative:page;mso-position-vertical-relative:paragraph;z-index:1096" coordorigin="6498,-113" coordsize="951,394">
            <v:shape style="position:absolute;left:7314;top:-94;width:134;height:374" type="#_x0000_t75" stroked="false">
              <v:imagedata r:id="rId12" o:title=""/>
            </v:shape>
            <v:shape style="position:absolute;left:6498;top:-108;width:384;height:384" type="#_x0000_t75" stroked="false">
              <v:imagedata r:id="rId13" o:title=""/>
            </v:shape>
            <v:shape style="position:absolute;left:6901;top:-113;width:384;height:389" type="#_x0000_t75" stroked="false">
              <v:imagedata r:id="rId14" o:title=""/>
            </v:shape>
            <w10:wrap type="none"/>
          </v:group>
        </w:pict>
      </w:r>
      <w:r>
        <w:rPr>
          <w:rFonts w:ascii="Arial"/>
          <w:color w:val="05050F"/>
          <w:w w:val="169"/>
          <w:sz w:val="20"/>
        </w:rPr>
        <w:t>/</w:t>
      </w:r>
      <w:r>
        <w:rPr>
          <w:rFonts w:ascii="Arial"/>
          <w:sz w:val="20"/>
        </w:rPr>
      </w:r>
    </w:p>
    <w:p>
      <w:pPr>
        <w:pStyle w:val="BodyText"/>
        <w:spacing w:line="232" w:lineRule="exact"/>
        <w:ind w:left="3277" w:right="0"/>
        <w:jc w:val="left"/>
        <w:rPr>
          <w:rFonts w:ascii="Arial" w:hAnsi="Arial" w:cs="Arial" w:eastAsia="Arial" w:hint="default"/>
        </w:rPr>
      </w:pPr>
      <w:r>
        <w:rPr>
          <w:rFonts w:ascii="Arial"/>
          <w:color w:val="1D0500"/>
          <w:w w:val="115"/>
        </w:rPr>
        <w:t>Jiangsu </w:t>
      </w:r>
      <w:r>
        <w:rPr>
          <w:rFonts w:ascii="Arial"/>
          <w:w w:val="115"/>
        </w:rPr>
        <w:t>Fengdong </w:t>
      </w:r>
      <w:r>
        <w:rPr>
          <w:rFonts w:ascii="Arial"/>
          <w:color w:val="412A01"/>
          <w:w w:val="115"/>
        </w:rPr>
        <w:t>Thermal </w:t>
      </w:r>
      <w:r>
        <w:rPr>
          <w:rFonts w:ascii="Arial"/>
          <w:color w:val="331C0F"/>
          <w:w w:val="115"/>
        </w:rPr>
        <w:t>Technology</w:t>
      </w:r>
      <w:r>
        <w:rPr>
          <w:rFonts w:ascii="Arial"/>
          <w:color w:val="331C0F"/>
          <w:spacing w:val="37"/>
          <w:w w:val="115"/>
        </w:rPr>
        <w:t> </w:t>
      </w:r>
      <w:r>
        <w:rPr>
          <w:rFonts w:ascii="Arial"/>
          <w:color w:val="110501"/>
          <w:w w:val="115"/>
        </w:rPr>
        <w:t>Co.,Ltd</w:t>
      </w:r>
      <w:r>
        <w:rPr>
          <w:rFonts w:ascii="Arial"/>
        </w:rPr>
      </w:r>
    </w:p>
    <w:p>
      <w:pPr>
        <w:spacing w:after="0" w:line="232" w:lineRule="exact"/>
        <w:jc w:val="left"/>
        <w:rPr>
          <w:rFonts w:ascii="Arial" w:hAnsi="Arial" w:cs="Arial" w:eastAsia="Arial" w:hint="default"/>
        </w:rPr>
        <w:sectPr>
          <w:type w:val="continuous"/>
          <w:pgSz w:w="11910" w:h="16840"/>
          <w:pgMar w:top="0" w:bottom="280" w:left="0" w:right="0"/>
        </w:sectPr>
      </w:pPr>
    </w:p>
    <w:p>
      <w:pPr>
        <w:spacing w:line="240" w:lineRule="auto" w:before="0"/>
        <w:rPr>
          <w:rFonts w:ascii="Arial" w:hAnsi="Arial" w:cs="Arial" w:eastAsia="Arial" w:hint="default"/>
          <w:sz w:val="20"/>
          <w:szCs w:val="20"/>
        </w:rPr>
      </w:pPr>
      <w:r>
        <w:rPr/>
        <w:pict>
          <v:group style="position:absolute;margin-left:53.649994pt;margin-top:28.799988pt;width:486.85pt;height:20.65pt;mso-position-horizontal-relative:page;mso-position-vertical-relative:page;z-index:-859912" coordorigin="1073,576" coordsize="9737,413">
            <v:group style="position:absolute;left:1104;top:982;width:9698;height:2" coordorigin="1104,982" coordsize="9698,2">
              <v:shape style="position:absolute;left:1104;top:982;width:9698;height:2" coordorigin="1104,982" coordsize="9698,0" path="m1104,982l10802,982e" filled="false" stroked="true" strokeweight=".72pt" strokecolor="#000000">
                <v:path arrowok="t"/>
              </v:shape>
              <v:shape style="position:absolute;left:1073;top:576;width:1512;height:374" type="#_x0000_t75" stroked="false">
                <v:imagedata r:id="rId17" o:title=""/>
              </v:shape>
            </v:group>
            <w10:wrap type="none"/>
          </v:group>
        </w:pic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24"/>
          <w:szCs w:val="24"/>
        </w:rPr>
      </w:pPr>
    </w:p>
    <w:p>
      <w:pPr>
        <w:spacing w:line="539" w:lineRule="exact" w:before="0"/>
        <w:ind w:left="0" w:right="959" w:firstLine="0"/>
        <w:jc w:val="center"/>
        <w:rPr>
          <w:rFonts w:ascii="黑体" w:hAnsi="黑体" w:cs="黑体" w:eastAsia="黑体" w:hint="default"/>
          <w:sz w:val="44"/>
          <w:szCs w:val="44"/>
        </w:rPr>
      </w:pPr>
      <w:r>
        <w:rPr>
          <w:rFonts w:ascii="黑体" w:hAnsi="黑体" w:cs="黑体" w:eastAsia="黑体" w:hint="default"/>
          <w:b/>
          <w:bCs/>
          <w:sz w:val="44"/>
          <w:szCs w:val="44"/>
        </w:rPr>
        <w:t>江苏丰东热技术股份有限公司</w:t>
      </w:r>
      <w:r>
        <w:rPr>
          <w:rFonts w:ascii="黑体" w:hAnsi="黑体" w:cs="黑体" w:eastAsia="黑体" w:hint="default"/>
          <w:sz w:val="44"/>
          <w:szCs w:val="44"/>
        </w:rPr>
      </w:r>
    </w:p>
    <w:p>
      <w:pPr>
        <w:spacing w:before="394"/>
        <w:ind w:left="0" w:right="962" w:firstLine="0"/>
        <w:jc w:val="center"/>
        <w:rPr>
          <w:rFonts w:ascii="黑体" w:hAnsi="黑体" w:cs="黑体" w:eastAsia="黑体" w:hint="default"/>
          <w:sz w:val="44"/>
          <w:szCs w:val="44"/>
        </w:rPr>
      </w:pPr>
      <w:r>
        <w:rPr>
          <w:rFonts w:ascii="黑体" w:hAnsi="黑体" w:cs="黑体" w:eastAsia="黑体" w:hint="default"/>
          <w:b/>
          <w:bCs/>
          <w:sz w:val="44"/>
          <w:szCs w:val="44"/>
        </w:rPr>
        <w:t>2012</w:t>
      </w:r>
      <w:r>
        <w:rPr>
          <w:rFonts w:ascii="黑体" w:hAnsi="黑体" w:cs="黑体" w:eastAsia="黑体" w:hint="default"/>
          <w:b/>
          <w:bCs/>
          <w:spacing w:val="-117"/>
          <w:sz w:val="44"/>
          <w:szCs w:val="44"/>
        </w:rPr>
        <w:t> </w:t>
      </w:r>
      <w:r>
        <w:rPr>
          <w:rFonts w:ascii="黑体" w:hAnsi="黑体" w:cs="黑体" w:eastAsia="黑体" w:hint="default"/>
          <w:b/>
          <w:bCs/>
          <w:sz w:val="44"/>
          <w:szCs w:val="44"/>
        </w:rPr>
        <w:t>年度报告</w:t>
      </w:r>
      <w:r>
        <w:rPr>
          <w:rFonts w:ascii="黑体" w:hAnsi="黑体" w:cs="黑体" w:eastAsia="黑体" w:hint="default"/>
          <w:sz w:val="44"/>
          <w:szCs w:val="44"/>
        </w:rPr>
      </w: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8"/>
        <w:rPr>
          <w:rFonts w:ascii="黑体" w:hAnsi="黑体" w:cs="黑体" w:eastAsia="黑体" w:hint="default"/>
          <w:b/>
          <w:bCs/>
          <w:sz w:val="63"/>
          <w:szCs w:val="63"/>
        </w:rPr>
      </w:pPr>
    </w:p>
    <w:p>
      <w:pPr>
        <w:spacing w:before="0"/>
        <w:ind w:left="0" w:right="95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15"/>
          <w:footerReference w:type="default" r:id="rId16"/>
          <w:pgSz w:w="11910" w:h="16840"/>
          <w:pgMar w:header="745" w:footer="1340" w:top="1060" w:bottom="1540" w:left="960" w:right="0"/>
        </w:sectPr>
      </w:pPr>
    </w:p>
    <w:p>
      <w:pPr>
        <w:spacing w:line="240" w:lineRule="auto" w:before="0"/>
        <w:rPr>
          <w:rFonts w:ascii="宋体" w:hAnsi="宋体" w:cs="宋体" w:eastAsia="宋体" w:hint="default"/>
          <w:b/>
          <w:bCs/>
          <w:sz w:val="20"/>
          <w:szCs w:val="20"/>
        </w:rPr>
      </w:pPr>
      <w:r>
        <w:rPr/>
        <w:pict>
          <v:group style="position:absolute;margin-left:53.649994pt;margin-top:35.299988pt;width:486.85pt;height:20.65pt;mso-position-horizontal-relative:page;mso-position-vertical-relative:page;z-index:1144" coordorigin="1073,706" coordsize="9737,413">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shape style="position:absolute;left:1073;top:706;width:1512;height:374" type="#_x0000_t75" stroked="false">
                <v:imagedata r:id="rId17" o:title=""/>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3305" w:right="0"/>
        <w:jc w:val="left"/>
        <w:rPr>
          <w:b w:val="0"/>
          <w:bCs w:val="0"/>
        </w:rPr>
      </w:pPr>
      <w:bookmarkStart w:name="_TOC_250010" w:id="1"/>
      <w:r>
        <w:rPr/>
        <w:t>第一节</w:t>
      </w:r>
      <w:r>
        <w:rPr>
          <w:spacing w:val="-6"/>
        </w:rPr>
        <w:t> </w:t>
      </w:r>
      <w:r>
        <w:rPr/>
        <w:t>重要提示、目录</w:t>
      </w:r>
      <w:bookmarkEnd w:id="1"/>
      <w:r>
        <w:rPr>
          <w:b w:val="0"/>
          <w:bCs w:val="0"/>
        </w:rPr>
      </w:r>
    </w:p>
    <w:p>
      <w:pPr>
        <w:spacing w:line="240" w:lineRule="auto" w:before="11"/>
        <w:rPr>
          <w:rFonts w:ascii="宋体" w:hAnsi="宋体" w:cs="宋体" w:eastAsia="宋体" w:hint="default"/>
          <w:b/>
          <w:bCs/>
          <w:sz w:val="44"/>
          <w:szCs w:val="44"/>
        </w:rPr>
      </w:pPr>
    </w:p>
    <w:p>
      <w:pPr>
        <w:pStyle w:val="Heading2"/>
        <w:spacing w:line="307" w:lineRule="auto"/>
        <w:ind w:right="1136" w:firstLine="482"/>
        <w:jc w:val="both"/>
        <w:rPr>
          <w:b w:val="0"/>
          <w:bCs w:val="0"/>
        </w:rPr>
      </w:pPr>
      <w:r>
        <w:rPr/>
        <w:t>本公司董事会、监事会及董事、监事、高级管理人员保证本报告所载资料不存在任何虚</w:t>
      </w:r>
      <w:r>
        <w:rPr>
          <w:w w:val="99"/>
        </w:rPr>
        <w:t> </w:t>
      </w:r>
      <w:r>
        <w:rPr/>
        <w:t>假记载、误导性陈述或者重大遗漏，并对其内容的真实性、准确性和完整性承担个别及连带</w:t>
      </w:r>
      <w:r>
        <w:rPr>
          <w:w w:val="99"/>
        </w:rPr>
        <w:t> </w:t>
      </w:r>
      <w:r>
        <w:rPr/>
        <w:t>责任。</w:t>
      </w:r>
      <w:r>
        <w:rPr>
          <w:b w:val="0"/>
          <w:bCs w:val="0"/>
        </w:rPr>
      </w:r>
    </w:p>
    <w:p>
      <w:pPr>
        <w:pStyle w:val="Heading2"/>
        <w:spacing w:line="290" w:lineRule="auto" w:before="118"/>
        <w:ind w:right="1124" w:firstLine="482"/>
        <w:jc w:val="both"/>
        <w:rPr>
          <w:b w:val="0"/>
          <w:bCs w:val="0"/>
        </w:rPr>
      </w:pPr>
      <w:r>
        <w:rPr>
          <w:spacing w:val="2"/>
        </w:rPr>
        <w:t>公司负责人朱文明、主管会计工作负责人徐仕俊及会计机构负责人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徐仕</w:t>
      </w:r>
      <w:r>
        <w:rPr>
          <w:spacing w:val="4"/>
          <w:w w:val="99"/>
        </w:rPr>
        <w:t> </w:t>
      </w:r>
      <w:r>
        <w:rPr/>
        <w:t>俊声明：保证年度报告中财务报告的真实、准确、完整。</w:t>
      </w:r>
      <w:r>
        <w:rPr>
          <w:b w:val="0"/>
          <w:bCs w:val="0"/>
        </w:rPr>
      </w:r>
    </w:p>
    <w:p>
      <w:pPr>
        <w:pStyle w:val="Heading2"/>
        <w:spacing w:line="240" w:lineRule="auto" w:before="135"/>
        <w:ind w:left="655" w:right="0"/>
        <w:jc w:val="left"/>
        <w:rPr>
          <w:b w:val="0"/>
          <w:bCs w:val="0"/>
        </w:rPr>
      </w:pPr>
      <w:r>
        <w:rPr/>
        <w:t>除下列董事外，其他董事亲自出席了审议本次年报的董事会会议</w:t>
      </w:r>
      <w:r>
        <w:rPr>
          <w:b w:val="0"/>
          <w:bCs w:val="0"/>
        </w:rPr>
      </w:r>
    </w:p>
    <w:p>
      <w:pPr>
        <w:spacing w:line="240" w:lineRule="auto" w:before="2"/>
        <w:rPr>
          <w:rFonts w:ascii="宋体" w:hAnsi="宋体" w:cs="宋体" w:eastAsia="宋体" w:hint="default"/>
          <w:b/>
          <w:bCs/>
          <w:sz w:val="11"/>
          <w:szCs w:val="11"/>
        </w:rPr>
      </w:pPr>
    </w:p>
    <w:tbl>
      <w:tblPr>
        <w:tblW w:w="0" w:type="auto"/>
        <w:jc w:val="left"/>
        <w:tblInd w:w="595" w:type="dxa"/>
        <w:tblLayout w:type="fixed"/>
        <w:tblCellMar>
          <w:top w:w="0" w:type="dxa"/>
          <w:left w:w="0" w:type="dxa"/>
          <w:bottom w:w="0" w:type="dxa"/>
          <w:right w:w="0" w:type="dxa"/>
        </w:tblCellMar>
        <w:tblLook w:val="01E0"/>
      </w:tblPr>
      <w:tblGrid>
        <w:gridCol w:w="1966"/>
        <w:gridCol w:w="2391"/>
        <w:gridCol w:w="2393"/>
        <w:gridCol w:w="2180"/>
      </w:tblGrid>
      <w:tr>
        <w:trPr>
          <w:trHeight w:val="403" w:hRule="exact"/>
        </w:trPr>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1"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李心合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公务</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冯辕</w:t>
            </w:r>
          </w:p>
        </w:tc>
      </w:tr>
    </w:tbl>
    <w:p>
      <w:pPr>
        <w:spacing w:line="240" w:lineRule="auto" w:before="9"/>
        <w:rPr>
          <w:rFonts w:ascii="宋体" w:hAnsi="宋体" w:cs="宋体" w:eastAsia="宋体" w:hint="default"/>
          <w:b/>
          <w:bCs/>
          <w:sz w:val="8"/>
          <w:szCs w:val="8"/>
        </w:rPr>
      </w:pPr>
    </w:p>
    <w:p>
      <w:pPr>
        <w:pStyle w:val="Heading2"/>
        <w:spacing w:line="240" w:lineRule="auto" w:before="26"/>
        <w:ind w:left="655" w:right="0"/>
        <w:jc w:val="left"/>
        <w:rPr>
          <w:b w:val="0"/>
          <w:bCs w:val="0"/>
        </w:rPr>
      </w:pPr>
      <w:r>
        <w:rPr>
          <w:spacing w:val="2"/>
          <w:w w:val="99"/>
        </w:rPr>
        <w:t>公</w:t>
      </w:r>
      <w:r>
        <w:rPr>
          <w:w w:val="99"/>
        </w:rPr>
        <w:t>司</w:t>
      </w:r>
      <w:r>
        <w:rPr>
          <w:spacing w:val="2"/>
          <w:w w:val="99"/>
        </w:rPr>
        <w:t>经</w:t>
      </w:r>
      <w:r>
        <w:rPr>
          <w:w w:val="99"/>
        </w:rPr>
        <w:t>本次</w:t>
      </w:r>
      <w:r>
        <w:rPr>
          <w:spacing w:val="2"/>
          <w:w w:val="99"/>
        </w:rPr>
        <w:t>董</w:t>
      </w:r>
      <w:r>
        <w:rPr>
          <w:w w:val="99"/>
        </w:rPr>
        <w:t>事</w:t>
      </w:r>
      <w:r>
        <w:rPr>
          <w:spacing w:val="2"/>
          <w:w w:val="99"/>
        </w:rPr>
        <w:t>会</w:t>
      </w:r>
      <w:r>
        <w:rPr>
          <w:w w:val="99"/>
        </w:rPr>
        <w:t>审议</w:t>
      </w:r>
      <w:r>
        <w:rPr>
          <w:spacing w:val="2"/>
          <w:w w:val="99"/>
        </w:rPr>
        <w:t>通</w:t>
      </w:r>
      <w:r>
        <w:rPr>
          <w:w w:val="99"/>
        </w:rPr>
        <w:t>过</w:t>
      </w:r>
      <w:r>
        <w:rPr>
          <w:spacing w:val="2"/>
          <w:w w:val="99"/>
        </w:rPr>
        <w:t>的</w:t>
      </w:r>
      <w:r>
        <w:rPr>
          <w:w w:val="99"/>
        </w:rPr>
        <w:t>利润</w:t>
      </w:r>
      <w:r>
        <w:rPr>
          <w:spacing w:val="2"/>
          <w:w w:val="99"/>
        </w:rPr>
        <w:t>分</w:t>
      </w:r>
      <w:r>
        <w:rPr>
          <w:w w:val="99"/>
        </w:rPr>
        <w:t>配</w:t>
      </w:r>
      <w:r>
        <w:rPr>
          <w:spacing w:val="2"/>
          <w:w w:val="99"/>
        </w:rPr>
        <w:t>预</w:t>
      </w:r>
      <w:r>
        <w:rPr>
          <w:w w:val="99"/>
        </w:rPr>
        <w:t>案为</w:t>
      </w:r>
      <w:r>
        <w:rPr>
          <w:spacing w:val="-116"/>
          <w:w w:val="99"/>
        </w:rPr>
        <w:t>：</w:t>
      </w:r>
      <w:r>
        <w:rPr>
          <w:w w:val="99"/>
        </w:rPr>
        <w:t>以</w:t>
      </w:r>
      <w:r>
        <w:rPr>
          <w:spacing w:val="-56"/>
        </w:rPr>
        <w:t> </w:t>
      </w:r>
      <w:r>
        <w:rPr>
          <w:rFonts w:ascii="Times New Roman" w:hAnsi="Times New Roman" w:cs="Times New Roman" w:eastAsia="Times New Roman" w:hint="default"/>
        </w:rPr>
        <w:t>2012 </w:t>
      </w:r>
      <w:r>
        <w:rPr>
          <w:w w:val="99"/>
        </w:rPr>
        <w:t>年</w:t>
      </w:r>
      <w:r>
        <w:rPr>
          <w:spacing w:val="-59"/>
        </w:rPr>
        <w:t> </w:t>
      </w:r>
      <w:r>
        <w:rPr>
          <w:rFonts w:ascii="Times New Roman" w:hAnsi="Times New Roman" w:cs="Times New Roman" w:eastAsia="Times New Roman" w:hint="default"/>
        </w:rPr>
        <w:t>12 </w:t>
      </w:r>
      <w:r>
        <w:rPr>
          <w:w w:val="99"/>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w w:val="99"/>
        </w:rPr>
        <w:t>日</w:t>
      </w:r>
      <w:r>
        <w:rPr>
          <w:spacing w:val="2"/>
          <w:w w:val="99"/>
        </w:rPr>
        <w:t>的</w:t>
      </w:r>
      <w:r>
        <w:rPr>
          <w:w w:val="99"/>
        </w:rPr>
        <w:t>公</w:t>
      </w:r>
      <w:r>
        <w:rPr>
          <w:spacing w:val="2"/>
          <w:w w:val="99"/>
        </w:rPr>
        <w:t>司</w:t>
      </w:r>
      <w:r>
        <w:rPr>
          <w:w w:val="99"/>
        </w:rPr>
        <w:t>总股</w:t>
      </w:r>
      <w:r>
        <w:rPr>
          <w:spacing w:val="2"/>
          <w:w w:val="99"/>
        </w:rPr>
        <w:t>本</w:t>
      </w:r>
      <w:r>
        <w:rPr>
          <w:w w:val="99"/>
        </w:rPr>
        <w:t>为基</w:t>
      </w:r>
      <w:r>
        <w:rPr>
          <w:b w:val="0"/>
          <w:bCs w:val="0"/>
        </w:rPr>
      </w:r>
    </w:p>
    <w:p>
      <w:pPr>
        <w:pStyle w:val="Heading2"/>
        <w:spacing w:line="288" w:lineRule="auto" w:before="68"/>
        <w:ind w:right="1124"/>
        <w:jc w:val="left"/>
        <w:rPr>
          <w:b w:val="0"/>
          <w:bCs w:val="0"/>
        </w:rPr>
      </w:pPr>
      <w:r>
        <w:rPr>
          <w:spacing w:val="-1"/>
          <w:w w:val="99"/>
        </w:rPr>
        <w:t>数，向全体股东每</w:t>
      </w:r>
      <w:r>
        <w:rPr>
          <w:spacing w:val="-53"/>
          <w:w w:val="9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w w:val="99"/>
        </w:rPr>
        <w:t>股派发现金红利</w:t>
      </w:r>
      <w:r>
        <w:rPr>
          <w:spacing w:val="-53"/>
          <w:w w:val="99"/>
        </w:rPr>
        <w:t> </w:t>
      </w:r>
      <w:r>
        <w:rPr>
          <w:rFonts w:ascii="Times New Roman" w:hAnsi="Times New Roman" w:cs="Times New Roman" w:eastAsia="Times New Roman" w:hint="default"/>
        </w:rPr>
        <w:t>0.6</w:t>
      </w:r>
      <w:r>
        <w:rPr>
          <w:rFonts w:ascii="Times New Roman" w:hAnsi="Times New Roman" w:cs="Times New Roman" w:eastAsia="Times New Roman" w:hint="default"/>
          <w:spacing w:val="1"/>
        </w:rPr>
        <w:t> </w:t>
      </w:r>
      <w:r>
        <w:rPr>
          <w:spacing w:val="-16"/>
          <w:w w:val="99"/>
        </w:rPr>
        <w:t>元（含税），送红股</w:t>
      </w:r>
      <w:r>
        <w:rPr>
          <w:spacing w:val="-53"/>
          <w:w w:val="99"/>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11"/>
          <w:w w:val="99"/>
        </w:rPr>
        <w:t>股（含税），不以公积金转增</w:t>
      </w:r>
      <w:r>
        <w:rPr>
          <w:w w:val="99"/>
        </w:rPr>
        <w:t> </w:t>
      </w:r>
      <w:r>
        <w:rPr/>
        <w:t>股本。</w:t>
      </w:r>
      <w:r>
        <w:rPr>
          <w:b w:val="0"/>
          <w:bCs w:val="0"/>
        </w:rPr>
      </w:r>
    </w:p>
    <w:p>
      <w:pPr>
        <w:pStyle w:val="Heading2"/>
        <w:spacing w:line="304" w:lineRule="auto" w:before="139"/>
        <w:ind w:right="1116" w:firstLine="482"/>
        <w:jc w:val="left"/>
        <w:rPr>
          <w:b w:val="0"/>
          <w:bCs w:val="0"/>
        </w:rPr>
      </w:pPr>
      <w:r>
        <w:rPr/>
        <w:t>本年度报告涉及未来计划等前瞻性陈述，不构成公司对投资者的实质承诺，请投资者注</w:t>
      </w:r>
      <w:r>
        <w:rPr>
          <w:w w:val="99"/>
        </w:rPr>
        <w:t> </w:t>
      </w:r>
      <w:r>
        <w:rPr/>
        <w:t>意投资风险。</w:t>
      </w:r>
      <w:r>
        <w:rPr>
          <w:b w:val="0"/>
          <w:bCs w:val="0"/>
        </w:rPr>
      </w:r>
    </w:p>
    <w:p>
      <w:pPr>
        <w:spacing w:after="0" w:line="304" w:lineRule="auto"/>
        <w:jc w:val="left"/>
        <w:sectPr>
          <w:footerReference w:type="default" r:id="rId18"/>
          <w:pgSz w:w="11910" w:h="16840"/>
          <w:pgMar w:footer="1340" w:header="745" w:top="1060" w:bottom="1540" w:left="960" w:right="0"/>
          <w:pgNumType w:start="2"/>
        </w:sectPr>
      </w:pPr>
    </w:p>
    <w:p>
      <w:pPr>
        <w:spacing w:line="240" w:lineRule="auto" w:before="0"/>
        <w:rPr>
          <w:rFonts w:ascii="宋体" w:hAnsi="宋体" w:cs="宋体" w:eastAsia="宋体" w:hint="default"/>
          <w:b/>
          <w:bCs/>
          <w:sz w:val="20"/>
          <w:szCs w:val="20"/>
        </w:rPr>
      </w:pPr>
      <w:r>
        <w:rPr/>
        <w:pict>
          <v:group style="position:absolute;margin-left:53.649994pt;margin-top:35.299988pt;width:486.85pt;height:20.65pt;mso-position-horizontal-relative:page;mso-position-vertical-relative:page;z-index:1168" coordorigin="1073,706" coordsize="9737,413">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shape style="position:absolute;left:1073;top:706;width:1512;height:374" type="#_x0000_t75" stroked="false">
                <v:imagedata r:id="rId17" o:title=""/>
              </v:shape>
            </v:group>
            <w10:wrap type="none"/>
          </v:group>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5"/>
          <w:szCs w:val="25"/>
        </w:rPr>
      </w:pPr>
    </w:p>
    <w:p>
      <w:pPr>
        <w:tabs>
          <w:tab w:pos="962" w:val="left" w:leader="none"/>
        </w:tabs>
        <w:spacing w:line="580" w:lineRule="exact" w:before="0"/>
        <w:ind w:left="0" w:right="960" w:firstLine="0"/>
        <w:jc w:val="center"/>
        <w:rPr>
          <w:rFonts w:ascii="宋体" w:hAnsi="宋体" w:cs="宋体" w:eastAsia="宋体" w:hint="default"/>
          <w:sz w:val="48"/>
          <w:szCs w:val="48"/>
        </w:rPr>
      </w:pPr>
      <w:r>
        <w:rPr>
          <w:rFonts w:ascii="宋体" w:hAnsi="宋体" w:cs="宋体" w:eastAsia="宋体" w:hint="default"/>
          <w:b/>
          <w:bCs/>
          <w:w w:val="95"/>
          <w:sz w:val="48"/>
          <w:szCs w:val="48"/>
        </w:rPr>
        <w:t>目</w:t>
        <w:tab/>
      </w:r>
      <w:r>
        <w:rPr>
          <w:rFonts w:ascii="宋体" w:hAnsi="宋体" w:cs="宋体" w:eastAsia="宋体" w:hint="default"/>
          <w:b/>
          <w:bCs/>
          <w:sz w:val="48"/>
          <w:szCs w:val="48"/>
        </w:rPr>
        <w:t>录</w:t>
      </w:r>
      <w:r>
        <w:rPr>
          <w:rFonts w:ascii="宋体" w:hAnsi="宋体" w:cs="宋体" w:eastAsia="宋体" w:hint="default"/>
          <w:sz w:val="48"/>
          <w:szCs w:val="48"/>
        </w:rPr>
      </w:r>
    </w:p>
    <w:p>
      <w:pPr>
        <w:spacing w:line="240" w:lineRule="auto" w:before="0"/>
        <w:rPr>
          <w:rFonts w:ascii="宋体" w:hAnsi="宋体" w:cs="宋体" w:eastAsia="宋体" w:hint="default"/>
          <w:b/>
          <w:bCs/>
          <w:sz w:val="48"/>
          <w:szCs w:val="48"/>
        </w:rPr>
      </w:pPr>
    </w:p>
    <w:p>
      <w:pPr>
        <w:spacing w:line="240" w:lineRule="auto" w:before="2"/>
        <w:rPr>
          <w:rFonts w:ascii="宋体" w:hAnsi="宋体" w:cs="宋体" w:eastAsia="宋体" w:hint="default"/>
          <w:b/>
          <w:bCs/>
          <w:sz w:val="71"/>
          <w:szCs w:val="71"/>
        </w:rPr>
      </w:pPr>
    </w:p>
    <w:sdt>
      <w:sdtPr>
        <w:docPartObj>
          <w:docPartGallery w:val="Table of Contents"/>
          <w:docPartUnique/>
        </w:docPartObj>
      </w:sdtPr>
      <w:sdtEndPr/>
      <w:sdtContent>
        <w:p>
          <w:pPr>
            <w:pStyle w:val="TOC1"/>
            <w:tabs>
              <w:tab w:pos="9804"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w:t>
            </w:r>
            <w:r>
              <w:rPr>
                <w:spacing w:val="-1"/>
              </w:rPr>
              <w:t> </w:t>
            </w:r>
            <w:r>
              <w:rPr/>
              <w:t>重要提示、目录</w:t>
            </w:r>
            <w:r>
              <w:rPr>
                <w:rFonts w:ascii="Times New Roman" w:hAnsi="Times New Roman" w:cs="Times New Roman" w:eastAsia="Times New Roman" w:hint="default"/>
              </w:rPr>
              <w:tab/>
              <w:t>2</w:t>
            </w:r>
          </w:hyperlink>
        </w:p>
        <w:p>
          <w:pPr>
            <w:pStyle w:val="TOC1"/>
            <w:tabs>
              <w:tab w:pos="9804" w:val="right" w:leader="dot"/>
            </w:tabs>
            <w:spacing w:line="240" w:lineRule="auto" w:before="278"/>
            <w:ind w:right="0"/>
            <w:jc w:val="left"/>
            <w:rPr>
              <w:rFonts w:ascii="Times New Roman" w:hAnsi="Times New Roman" w:cs="Times New Roman" w:eastAsia="Times New Roman" w:hint="default"/>
            </w:rPr>
          </w:pPr>
          <w:hyperlink w:history="true" w:anchor="_TOC_250009">
            <w:r>
              <w:rPr/>
              <w:t>第二节</w:t>
            </w:r>
            <w:r>
              <w:rPr>
                <w:spacing w:val="-1"/>
              </w:rPr>
              <w:t> </w:t>
            </w:r>
            <w:r>
              <w:rPr/>
              <w:t>公司简介</w:t>
            </w:r>
            <w:r>
              <w:rPr>
                <w:rFonts w:ascii="Times New Roman" w:hAnsi="Times New Roman" w:cs="Times New Roman" w:eastAsia="Times New Roman" w:hint="default"/>
              </w:rPr>
              <w:tab/>
              <w:t>4</w:t>
            </w:r>
          </w:hyperlink>
        </w:p>
        <w:p>
          <w:pPr>
            <w:pStyle w:val="TOC1"/>
            <w:tabs>
              <w:tab w:pos="9804" w:val="right" w:leader="dot"/>
            </w:tabs>
            <w:spacing w:line="240" w:lineRule="auto" w:before="275"/>
            <w:ind w:right="0"/>
            <w:jc w:val="left"/>
            <w:rPr>
              <w:rFonts w:ascii="Times New Roman" w:hAnsi="Times New Roman" w:cs="Times New Roman" w:eastAsia="Times New Roman" w:hint="default"/>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rPr>
              <w:tab/>
              <w:t>6</w:t>
            </w:r>
          </w:hyperlink>
        </w:p>
        <w:p>
          <w:pPr>
            <w:pStyle w:val="TOC1"/>
            <w:tabs>
              <w:tab w:pos="9804" w:val="right" w:leader="dot"/>
            </w:tabs>
            <w:spacing w:line="240" w:lineRule="auto"/>
            <w:ind w:right="0"/>
            <w:jc w:val="left"/>
            <w:rPr>
              <w:rFonts w:ascii="Times New Roman" w:hAnsi="Times New Roman" w:cs="Times New Roman" w:eastAsia="Times New Roman" w:hint="default"/>
            </w:rPr>
          </w:pPr>
          <w:hyperlink w:history="true" w:anchor="_TOC_250007">
            <w:r>
              <w:rPr/>
              <w:t>第四节</w:t>
            </w:r>
            <w:r>
              <w:rPr>
                <w:spacing w:val="-1"/>
              </w:rPr>
              <w:t> </w:t>
            </w:r>
            <w:r>
              <w:rPr/>
              <w:t>董事会报告</w:t>
            </w:r>
            <w:r>
              <w:rPr>
                <w:rFonts w:ascii="Times New Roman" w:hAnsi="Times New Roman" w:cs="Times New Roman" w:eastAsia="Times New Roman" w:hint="default"/>
              </w:rPr>
              <w:tab/>
              <w:t>8</w:t>
            </w:r>
          </w:hyperlink>
        </w:p>
        <w:p>
          <w:pPr>
            <w:pStyle w:val="TOC1"/>
            <w:tabs>
              <w:tab w:pos="9805" w:val="right" w:leader="dot"/>
            </w:tabs>
            <w:spacing w:line="240" w:lineRule="auto"/>
            <w:ind w:right="0"/>
            <w:jc w:val="left"/>
            <w:rPr>
              <w:rFonts w:ascii="Times New Roman" w:hAnsi="Times New Roman" w:cs="Times New Roman" w:eastAsia="Times New Roman" w:hint="default"/>
            </w:rPr>
          </w:pPr>
          <w:hyperlink w:history="true" w:anchor="_TOC_250006">
            <w:r>
              <w:rPr/>
              <w:t>第五节</w:t>
            </w:r>
            <w:r>
              <w:rPr>
                <w:spacing w:val="-1"/>
              </w:rPr>
              <w:t> </w:t>
            </w:r>
            <w:r>
              <w:rPr/>
              <w:t>重要事项</w:t>
            </w:r>
            <w:r>
              <w:rPr>
                <w:rFonts w:ascii="Times New Roman" w:hAnsi="Times New Roman" w:cs="Times New Roman" w:eastAsia="Times New Roman" w:hint="default"/>
              </w:rPr>
              <w:tab/>
              <w:t>29</w:t>
            </w:r>
          </w:hyperlink>
        </w:p>
        <w:p>
          <w:pPr>
            <w:pStyle w:val="TOC1"/>
            <w:tabs>
              <w:tab w:pos="9805" w:val="right" w:leader="dot"/>
            </w:tabs>
            <w:spacing w:line="240" w:lineRule="auto" w:before="275"/>
            <w:ind w:right="0"/>
            <w:jc w:val="left"/>
            <w:rPr>
              <w:rFonts w:ascii="Times New Roman" w:hAnsi="Times New Roman" w:cs="Times New Roman" w:eastAsia="Times New Roman" w:hint="default"/>
            </w:rPr>
          </w:pPr>
          <w:hyperlink w:history="true" w:anchor="_TOC_250005">
            <w:r>
              <w:rPr/>
              <w:t>第六节</w:t>
            </w:r>
            <w:r>
              <w:rPr>
                <w:spacing w:val="-1"/>
              </w:rPr>
              <w:t> </w:t>
            </w:r>
            <w:r>
              <w:rPr/>
              <w:t>股份变动及股东情况</w:t>
            </w:r>
            <w:r>
              <w:rPr>
                <w:rFonts w:ascii="Times New Roman" w:hAnsi="Times New Roman" w:cs="Times New Roman" w:eastAsia="Times New Roman" w:hint="default"/>
              </w:rPr>
              <w:tab/>
              <w:t>37</w:t>
            </w:r>
          </w:hyperlink>
        </w:p>
        <w:p>
          <w:pPr>
            <w:pStyle w:val="TOC1"/>
            <w:tabs>
              <w:tab w:pos="9805" w:val="right" w:leader="dot"/>
            </w:tabs>
            <w:spacing w:line="240" w:lineRule="auto"/>
            <w:ind w:right="0"/>
            <w:jc w:val="left"/>
            <w:rPr>
              <w:rFonts w:ascii="Times New Roman" w:hAnsi="Times New Roman" w:cs="Times New Roman" w:eastAsia="Times New Roman" w:hint="default"/>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rPr>
              <w:tab/>
              <w:t>42</w:t>
            </w:r>
          </w:hyperlink>
        </w:p>
        <w:p>
          <w:pPr>
            <w:pStyle w:val="TOC1"/>
            <w:tabs>
              <w:tab w:pos="9805" w:val="right" w:leader="dot"/>
            </w:tabs>
            <w:spacing w:line="240" w:lineRule="auto"/>
            <w:ind w:right="0"/>
            <w:jc w:val="left"/>
            <w:rPr>
              <w:rFonts w:ascii="Times New Roman" w:hAnsi="Times New Roman" w:cs="Times New Roman" w:eastAsia="Times New Roman" w:hint="default"/>
            </w:rPr>
          </w:pPr>
          <w:hyperlink w:history="true" w:anchor="_TOC_250003">
            <w:r>
              <w:rPr/>
              <w:t>第八节</w:t>
            </w:r>
            <w:r>
              <w:rPr>
                <w:spacing w:val="-1"/>
              </w:rPr>
              <w:t> </w:t>
            </w:r>
            <w:r>
              <w:rPr/>
              <w:t>公司治理</w:t>
            </w:r>
            <w:r>
              <w:rPr>
                <w:rFonts w:ascii="Times New Roman" w:hAnsi="Times New Roman" w:cs="Times New Roman" w:eastAsia="Times New Roman" w:hint="default"/>
              </w:rPr>
              <w:tab/>
              <w:t>51</w:t>
            </w:r>
          </w:hyperlink>
        </w:p>
        <w:p>
          <w:pPr>
            <w:pStyle w:val="TOC1"/>
            <w:tabs>
              <w:tab w:pos="9805" w:val="right" w:leader="dot"/>
            </w:tabs>
            <w:spacing w:line="240" w:lineRule="auto" w:before="275"/>
            <w:ind w:right="0"/>
            <w:jc w:val="left"/>
            <w:rPr>
              <w:rFonts w:ascii="Times New Roman" w:hAnsi="Times New Roman" w:cs="Times New Roman" w:eastAsia="Times New Roman" w:hint="default"/>
            </w:rPr>
          </w:pPr>
          <w:hyperlink w:history="true" w:anchor="_TOC_250002">
            <w:r>
              <w:rPr/>
              <w:t>第九节</w:t>
            </w:r>
            <w:r>
              <w:rPr>
                <w:spacing w:val="-1"/>
              </w:rPr>
              <w:t> </w:t>
            </w:r>
            <w:r>
              <w:rPr/>
              <w:t>内部控制</w:t>
            </w:r>
            <w:r>
              <w:rPr>
                <w:rFonts w:ascii="Times New Roman" w:hAnsi="Times New Roman" w:cs="Times New Roman" w:eastAsia="Times New Roman" w:hint="default"/>
              </w:rPr>
              <w:tab/>
              <w:t>58</w:t>
            </w:r>
          </w:hyperlink>
        </w:p>
        <w:p>
          <w:pPr>
            <w:pStyle w:val="TOC1"/>
            <w:tabs>
              <w:tab w:pos="9805" w:val="right" w:leader="dot"/>
            </w:tabs>
            <w:spacing w:line="240" w:lineRule="auto"/>
            <w:ind w:right="0"/>
            <w:jc w:val="left"/>
            <w:rPr>
              <w:rFonts w:ascii="Times New Roman" w:hAnsi="Times New Roman" w:cs="Times New Roman" w:eastAsia="Times New Roman" w:hint="default"/>
            </w:rPr>
          </w:pPr>
          <w:hyperlink w:history="true" w:anchor="_TOC_250001">
            <w:r>
              <w:rPr/>
              <w:t>第十节</w:t>
            </w:r>
            <w:r>
              <w:rPr>
                <w:spacing w:val="-1"/>
              </w:rPr>
              <w:t> </w:t>
            </w:r>
            <w:r>
              <w:rPr/>
              <w:t>财务报告</w:t>
            </w:r>
            <w:r>
              <w:rPr>
                <w:rFonts w:ascii="Times New Roman" w:hAnsi="Times New Roman" w:cs="Times New Roman" w:eastAsia="Times New Roman" w:hint="default"/>
              </w:rPr>
              <w:tab/>
              <w:t>60</w:t>
            </w:r>
          </w:hyperlink>
        </w:p>
        <w:p>
          <w:pPr>
            <w:pStyle w:val="TOC1"/>
            <w:tabs>
              <w:tab w:pos="9804" w:val="right" w:leader="dot"/>
            </w:tabs>
            <w:spacing w:line="240" w:lineRule="auto"/>
            <w:ind w:right="0"/>
            <w:jc w:val="left"/>
            <w:rPr>
              <w:rFonts w:ascii="Times New Roman" w:hAnsi="Times New Roman" w:cs="Times New Roman" w:eastAsia="Times New Roman" w:hint="default"/>
            </w:rPr>
          </w:pPr>
          <w:hyperlink w:history="true" w:anchor="_TOC_250000">
            <w:r>
              <w:rPr/>
              <w:t>第十一节</w:t>
            </w:r>
            <w:r>
              <w:rPr>
                <w:spacing w:val="-1"/>
              </w:rPr>
              <w:t> </w:t>
            </w:r>
            <w:r>
              <w:rPr/>
              <w:t>备查文件目录</w:t>
            </w:r>
            <w:r>
              <w:rPr>
                <w:rFonts w:ascii="Times New Roman" w:hAnsi="Times New Roman" w:cs="Times New Roman" w:eastAsia="Times New Roman" w:hint="default"/>
              </w:rPr>
              <w:tab/>
              <w:t>151</w:t>
            </w:r>
          </w:hyperlink>
        </w:p>
        <w:p>
          <w:pPr/>
          <w:r>
            <w:fldChar w:fldCharType="end"/>
          </w:r>
        </w:p>
      </w:sdtContent>
    </w:sdt>
    <w:p>
      <w:pPr>
        <w:spacing w:after="0"/>
        <w:sectPr>
          <w:pgSz w:w="11910" w:h="16840"/>
          <w:pgMar w:header="745" w:footer="1340" w:top="1060" w:bottom="1540" w:left="960" w:right="0"/>
        </w:sectPr>
      </w:pPr>
    </w:p>
    <w:p>
      <w:pPr>
        <w:pStyle w:val="Heading1"/>
        <w:spacing w:line="240" w:lineRule="auto" w:before="647"/>
        <w:ind w:right="956"/>
        <w:jc w:val="center"/>
        <w:rPr>
          <w:b w:val="0"/>
          <w:bCs w:val="0"/>
        </w:rPr>
      </w:pPr>
      <w:bookmarkStart w:name="_TOC_250009" w:id="2"/>
      <w:r>
        <w:rPr/>
        <w:t>第二节</w:t>
      </w:r>
      <w:r>
        <w:rPr>
          <w:spacing w:val="-2"/>
        </w:rPr>
        <w:t> </w:t>
      </w:r>
      <w:r>
        <w:rPr/>
        <w:t>公司简介</w:t>
      </w:r>
      <w:bookmarkEnd w:id="2"/>
      <w:r>
        <w:rPr>
          <w:b w:val="0"/>
          <w:bCs w:val="0"/>
        </w:rPr>
      </w:r>
    </w:p>
    <w:p>
      <w:pPr>
        <w:pStyle w:val="Heading2"/>
        <w:spacing w:line="240" w:lineRule="auto" w:before="510"/>
        <w:ind w:right="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80" w:type="dxa"/>
        <w:tblLayout w:type="fixed"/>
        <w:tblCellMar>
          <w:top w:w="0" w:type="dxa"/>
          <w:left w:w="0" w:type="dxa"/>
          <w:bottom w:w="0" w:type="dxa"/>
          <w:right w:w="0" w:type="dxa"/>
        </w:tblCellMar>
        <w:tblLook w:val="01E0"/>
      </w:tblPr>
      <w:tblGrid>
        <w:gridCol w:w="2260"/>
        <w:gridCol w:w="2976"/>
        <w:gridCol w:w="2135"/>
        <w:gridCol w:w="2188"/>
      </w:tblGrid>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丰东股份</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002530</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丰东股份</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Jiangsu</w:t>
            </w:r>
            <w:r>
              <w:rPr>
                <w:rFonts w:ascii="Times New Roman"/>
                <w:spacing w:val="-7"/>
                <w:sz w:val="18"/>
              </w:rPr>
              <w:t> </w:t>
            </w:r>
            <w:r>
              <w:rPr>
                <w:rFonts w:ascii="Times New Roman"/>
                <w:sz w:val="18"/>
              </w:rPr>
              <w:t>Fengdong</w:t>
            </w:r>
            <w:r>
              <w:rPr>
                <w:rFonts w:ascii="Times New Roman"/>
                <w:spacing w:val="-10"/>
                <w:sz w:val="18"/>
              </w:rPr>
              <w:t> </w:t>
            </w:r>
            <w:r>
              <w:rPr>
                <w:rFonts w:ascii="Times New Roman"/>
                <w:sz w:val="18"/>
              </w:rPr>
              <w:t>Thermal</w:t>
            </w:r>
            <w:r>
              <w:rPr>
                <w:rFonts w:ascii="Times New Roman"/>
                <w:spacing w:val="-9"/>
                <w:sz w:val="18"/>
              </w:rPr>
              <w:t> </w:t>
            </w:r>
            <w:r>
              <w:rPr>
                <w:rFonts w:ascii="Times New Roman"/>
                <w:sz w:val="18"/>
              </w:rPr>
              <w:t>Technology</w:t>
            </w:r>
            <w:r>
              <w:rPr>
                <w:rFonts w:ascii="Times New Roman"/>
                <w:spacing w:val="-10"/>
                <w:sz w:val="18"/>
              </w:rPr>
              <w:t> </w:t>
            </w:r>
            <w:r>
              <w:rPr>
                <w:rFonts w:ascii="Times New Roman"/>
                <w:sz w:val="18"/>
              </w:rPr>
              <w:t>Co.,Ltd.</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朱文明</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江苏省大丰市经济开发区南翔西路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224100</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江苏省大丰市经济开发区南翔西路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224100</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9">
              <w:r>
                <w:rPr>
                  <w:rFonts w:ascii="Times New Roman"/>
                  <w:sz w:val="18"/>
                </w:rPr>
                <w:t>http://www.fengdong.com</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20">
              <w:r>
                <w:rPr>
                  <w:rFonts w:ascii="Times New Roman"/>
                  <w:sz w:val="18"/>
                </w:rPr>
                <w:t>fengdong@fengdong.com</w:t>
              </w:r>
            </w:hyperlink>
          </w:p>
        </w:tc>
      </w:tr>
    </w:tbl>
    <w:p>
      <w:pPr>
        <w:spacing w:line="240" w:lineRule="auto" w:before="0"/>
        <w:rPr>
          <w:rFonts w:ascii="宋体" w:hAnsi="宋体" w:cs="宋体" w:eastAsia="宋体" w:hint="default"/>
          <w:b/>
          <w:bCs/>
          <w:sz w:val="20"/>
          <w:szCs w:val="20"/>
        </w:rPr>
      </w:pPr>
    </w:p>
    <w:p>
      <w:pPr>
        <w:pStyle w:val="Heading2"/>
        <w:spacing w:line="240" w:lineRule="auto"/>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80" w:type="dxa"/>
        <w:tblLayout w:type="fixed"/>
        <w:tblCellMar>
          <w:top w:w="0" w:type="dxa"/>
          <w:left w:w="0" w:type="dxa"/>
          <w:bottom w:w="0" w:type="dxa"/>
          <w:right w:w="0" w:type="dxa"/>
        </w:tblCellMar>
        <w:tblLook w:val="01E0"/>
      </w:tblPr>
      <w:tblGrid>
        <w:gridCol w:w="3168"/>
        <w:gridCol w:w="3484"/>
        <w:gridCol w:w="2907"/>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9"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4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4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江苏省大丰市经济开发区南翔西路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333 </w:t>
            </w:r>
            <w:r>
              <w:rPr>
                <w:rFonts w:ascii="宋体" w:hAnsi="宋体" w:cs="宋体" w:eastAsia="宋体" w:hint="default"/>
                <w:sz w:val="18"/>
                <w:szCs w:val="18"/>
              </w:rPr>
              <w:t>号</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4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0515-83282838</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4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0515-83282843</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4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20">
              <w:r>
                <w:rPr>
                  <w:rFonts w:ascii="Times New Roman"/>
                  <w:sz w:val="18"/>
                </w:rPr>
                <w:t>fengdong@fengdong.com</w:t>
              </w:r>
            </w:hyperlink>
          </w:p>
        </w:tc>
        <w:tc>
          <w:tcPr>
            <w:tcW w:w="29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69" w:type="dxa"/>
        <w:tblLayout w:type="fixed"/>
        <w:tblCellMar>
          <w:top w:w="0" w:type="dxa"/>
          <w:left w:w="0" w:type="dxa"/>
          <w:bottom w:w="0" w:type="dxa"/>
          <w:right w:w="0" w:type="dxa"/>
        </w:tblCellMar>
        <w:tblLook w:val="01E0"/>
      </w:tblPr>
      <w:tblGrid>
        <w:gridCol w:w="3727"/>
        <w:gridCol w:w="5843"/>
      </w:tblGrid>
      <w:tr>
        <w:trPr>
          <w:trHeight w:val="404"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21">
              <w:r>
                <w:rPr>
                  <w:rFonts w:ascii="Times New Roman"/>
                  <w:sz w:val="18"/>
                </w:rPr>
                <w:t>www.cninfo.com.cn</w:t>
              </w:r>
            </w:hyperlink>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四、注册变更情况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bl>
    <w:p>
      <w:pPr>
        <w:spacing w:after="0" w:line="240" w:lineRule="auto"/>
        <w:jc w:val="left"/>
        <w:rPr>
          <w:rFonts w:ascii="宋体" w:hAnsi="宋体" w:cs="宋体" w:eastAsia="宋体" w:hint="default"/>
          <w:sz w:val="18"/>
          <w:szCs w:val="18"/>
        </w:rPr>
        <w:sectPr>
          <w:pgSz w:w="11910" w:h="16840"/>
          <w:pgMar w:header="745" w:footer="1340" w:top="1060" w:bottom="1540" w:left="960" w:right="0"/>
        </w:sectPr>
      </w:pPr>
    </w:p>
    <w:p>
      <w:pPr>
        <w:spacing w:line="240" w:lineRule="auto" w:before="6"/>
        <w:rPr>
          <w:rFonts w:ascii="宋体" w:hAnsi="宋体" w:cs="宋体" w:eastAsia="宋体" w:hint="default"/>
          <w:b/>
          <w:bCs/>
          <w:sz w:val="28"/>
          <w:szCs w:val="28"/>
        </w:rPr>
      </w:pPr>
    </w:p>
    <w:tbl>
      <w:tblPr>
        <w:tblW w:w="0" w:type="auto"/>
        <w:jc w:val="left"/>
        <w:tblInd w:w="167" w:type="dxa"/>
        <w:tblLayout w:type="fixed"/>
        <w:tblCellMar>
          <w:top w:w="0" w:type="dxa"/>
          <w:left w:w="0" w:type="dxa"/>
          <w:bottom w:w="0" w:type="dxa"/>
          <w:right w:w="0" w:type="dxa"/>
        </w:tblCellMar>
        <w:tblLook w:val="01E0"/>
      </w:tblPr>
      <w:tblGrid>
        <w:gridCol w:w="1586"/>
        <w:gridCol w:w="1605"/>
        <w:gridCol w:w="1594"/>
        <w:gridCol w:w="1596"/>
        <w:gridCol w:w="1594"/>
        <w:gridCol w:w="1594"/>
      </w:tblGrid>
      <w:tr>
        <w:trPr>
          <w:trHeight w:val="161" w:hRule="exact"/>
        </w:trPr>
        <w:tc>
          <w:tcPr>
            <w:tcW w:w="1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5"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江苏省盐城工商行 政管理局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320900400000915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320982608684500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60868450-0</w:t>
            </w:r>
          </w:p>
        </w:tc>
      </w:tr>
      <w:tr>
        <w:trPr>
          <w:trHeight w:val="392" w:hRule="exact"/>
        </w:trPr>
        <w:tc>
          <w:tcPr>
            <w:tcW w:w="15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605"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5"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3" w:hRule="exact"/>
        </w:trPr>
        <w:tc>
          <w:tcPr>
            <w:tcW w:w="1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5"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江苏省盐城工商行 政管理局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320900400000915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320982608684500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60868450-0</w:t>
            </w:r>
          </w:p>
        </w:tc>
      </w:tr>
      <w:tr>
        <w:trPr>
          <w:trHeight w:val="391" w:hRule="exact"/>
        </w:trPr>
        <w:tc>
          <w:tcPr>
            <w:tcW w:w="15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605"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5"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3"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3"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661"/>
        <w:gridCol w:w="6908"/>
      </w:tblGrid>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上海众华沪银会计师事务所有限公司</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上海市延安东路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 </w:t>
            </w:r>
            <w:r>
              <w:rPr>
                <w:rFonts w:ascii="宋体" w:hAnsi="宋体" w:cs="宋体" w:eastAsia="宋体" w:hint="default"/>
                <w:sz w:val="18"/>
                <w:szCs w:val="18"/>
              </w:rPr>
              <w:t>号海洋大厦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沈蓉、郑珮</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7" w:type="dxa"/>
        <w:tblLayout w:type="fixed"/>
        <w:tblCellMar>
          <w:top w:w="0" w:type="dxa"/>
          <w:left w:w="0" w:type="dxa"/>
          <w:bottom w:w="0" w:type="dxa"/>
          <w:right w:w="0" w:type="dxa"/>
        </w:tblCellMar>
        <w:tblLook w:val="01E0"/>
      </w:tblPr>
      <w:tblGrid>
        <w:gridCol w:w="2393"/>
        <w:gridCol w:w="2996"/>
        <w:gridCol w:w="1788"/>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0"/>
              <w:jc w:val="righ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万联证券有限责任公司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广州市天河区珠江东路</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层</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白树锋、李鸿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77"/>
              <w:jc w:val="right"/>
              <w:rPr>
                <w:rFonts w:ascii="Times New Roman" w:hAnsi="Times New Roman" w:cs="Times New Roman" w:eastAsia="Times New Roman" w:hint="default"/>
                <w:sz w:val="18"/>
                <w:szCs w:val="18"/>
              </w:rPr>
            </w:pPr>
            <w:r>
              <w:rPr>
                <w:rFonts w:ascii="Times New Roman"/>
                <w:spacing w:val="-1"/>
                <w:sz w:val="18"/>
              </w:rPr>
              <w:t>2010.12.31-2012.12.31</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340" w:top="1060" w:bottom="1540" w:left="9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62" w:right="0"/>
        <w:jc w:val="left"/>
        <w:rPr>
          <w:b w:val="0"/>
          <w:bCs w:val="0"/>
        </w:rPr>
      </w:pPr>
      <w:bookmarkStart w:name="_TOC_250008"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2596"/>
        <w:gridCol w:w="1749"/>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343,135,830.49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319,773,236.18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296,347,993.91</w:t>
            </w:r>
          </w:p>
        </w:tc>
      </w:tr>
      <w:tr>
        <w:trPr>
          <w:trHeight w:val="716"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50,101,739.39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48,548,696.21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33,493,968.81</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48,559,395.92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47,633,058.17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33,027,910.34</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33,751,220.03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11,855,244.53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184.6944%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61,369,768.74</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0.181(</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0.168</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sz w:val="18"/>
                <w:szCs w:val="18"/>
              </w:rPr>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0.187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0.181</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0.168</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sz w:val="18"/>
                <w:szCs w:val="18"/>
              </w:rPr>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18.53%</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96"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841,842,157.54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822,913,836.85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860,570,527.60</w:t>
            </w:r>
          </w:p>
        </w:tc>
      </w:tr>
      <w:tr>
        <w:trPr>
          <w:trHeight w:val="10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4"/>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6"/>
                <w:sz w:val="18"/>
                <w:szCs w:val="18"/>
              </w:rPr>
              <w:t>权益）（元）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623,533,384.24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589,511,644.85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568,753,339.16</w:t>
            </w:r>
          </w:p>
        </w:tc>
      </w:tr>
    </w:tbl>
    <w:p>
      <w:pPr>
        <w:spacing w:line="300" w:lineRule="auto" w:before="8"/>
        <w:ind w:left="172" w:right="1123"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：报告期内，因公司实施资本公积转增股本，公司总股本由年初的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134,000,000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股增加至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268,000,000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股，故表中按照最 新股本数调整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年同期基本每股收益、稀释每股收益。</w:t>
      </w:r>
    </w:p>
    <w:p>
      <w:pPr>
        <w:spacing w:line="240" w:lineRule="auto" w:before="8"/>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745" w:footer="1340" w:top="1060" w:bottom="1540" w:left="960" w:right="0"/>
        </w:sectPr>
      </w:pPr>
    </w:p>
    <w:p>
      <w:pPr>
        <w:pStyle w:val="Heading2"/>
        <w:spacing w:line="240" w:lineRule="auto" w:before="26"/>
        <w:ind w:right="0"/>
        <w:jc w:val="left"/>
        <w:rPr>
          <w:b w:val="0"/>
          <w:bCs w:val="0"/>
        </w:rPr>
      </w:pPr>
      <w:r>
        <w:rPr>
          <w:w w:val="95"/>
        </w:rPr>
        <w:t>二、非经常性损益项目及金额</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4"/>
          <w:szCs w:val="14"/>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0" w:bottom="280" w:left="960" w:right="0"/>
          <w:cols w:num="2" w:equalWidth="0">
            <w:col w:w="3304" w:space="5616"/>
            <w:col w:w="2030"/>
          </w:cols>
        </w:sectPr>
      </w:pPr>
    </w:p>
    <w:p>
      <w:pPr>
        <w:spacing w:line="240" w:lineRule="auto" w:before="2"/>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278,762.85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-934,898.97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12,780.65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824,591.42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1,191,568.01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702,916.83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2,081,319.00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1,532,526.32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445,970.00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-977,746.41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-467,615.48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-256,683.31</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0" w:bottom="280" w:left="960" w:right="0"/>
        </w:sectPr>
      </w:pPr>
    </w:p>
    <w:p>
      <w:pPr>
        <w:spacing w:line="240" w:lineRule="auto" w:before="6"/>
        <w:rPr>
          <w:rFonts w:ascii="宋体" w:hAnsi="宋体" w:cs="宋体" w:eastAsia="宋体" w:hint="default"/>
          <w:sz w:val="28"/>
          <w:szCs w:val="28"/>
        </w:rPr>
      </w:pPr>
    </w:p>
    <w:tbl>
      <w:tblPr>
        <w:tblW w:w="0" w:type="auto"/>
        <w:jc w:val="left"/>
        <w:tblInd w:w="16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495,161.67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199,322.40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157,021.97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169,421.72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206,619.44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281,903.73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1,542,343.47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915,638.04</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466,058.47</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7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340" w:top="1060" w:bottom="1540" w:left="9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90" w:right="4571"/>
        <w:jc w:val="center"/>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252" w:right="0"/>
        <w:jc w:val="left"/>
        <w:rPr>
          <w:b w:val="0"/>
          <w:bCs w:val="0"/>
        </w:rPr>
      </w:pPr>
      <w:r>
        <w:rPr/>
        <w:t>一、概述</w:t>
      </w:r>
      <w:r>
        <w:rPr>
          <w:b w:val="0"/>
          <w:bCs w:val="0"/>
        </w:rPr>
      </w:r>
    </w:p>
    <w:p>
      <w:pPr>
        <w:spacing w:line="240" w:lineRule="auto" w:before="8"/>
        <w:rPr>
          <w:rFonts w:ascii="宋体" w:hAnsi="宋体" w:cs="宋体" w:eastAsia="宋体" w:hint="default"/>
          <w:b/>
          <w:bCs/>
          <w:sz w:val="32"/>
          <w:szCs w:val="32"/>
        </w:rPr>
      </w:pPr>
    </w:p>
    <w:p>
      <w:pPr>
        <w:pStyle w:val="BodyText"/>
        <w:spacing w:line="355" w:lineRule="auto"/>
        <w:ind w:left="252" w:right="0" w:firstLine="482"/>
        <w:jc w:val="left"/>
      </w:pPr>
      <w:r>
        <w:rPr>
          <w:rFonts w:ascii="Times New Roman" w:hAnsi="Times New Roman" w:cs="Times New Roman" w:eastAsia="Times New Roman" w:hint="default"/>
          <w:spacing w:val="-4"/>
        </w:rPr>
        <w:t>2012</w:t>
      </w:r>
      <w:r>
        <w:rPr>
          <w:spacing w:val="-4"/>
        </w:rPr>
        <w:t>年，国际经济形势充满复杂和不确定性，国内</w:t>
      </w:r>
      <w:r>
        <w:rPr>
          <w:rFonts w:ascii="Times New Roman" w:hAnsi="Times New Roman" w:cs="Times New Roman" w:eastAsia="Times New Roman" w:hint="default"/>
          <w:spacing w:val="-4"/>
        </w:rPr>
        <w:t>GDP</w:t>
      </w:r>
      <w:r>
        <w:rPr>
          <w:spacing w:val="-4"/>
        </w:rPr>
        <w:t>增速逐季回落，固定资产投资增速在高基数和</w:t>
      </w:r>
      <w:r>
        <w:rPr>
          <w:w w:val="100"/>
        </w:rPr>
        <w:t> </w:t>
      </w:r>
      <w:r>
        <w:rPr>
          <w:spacing w:val="-2"/>
        </w:rPr>
        <w:t>低需求双重压力下始终在低位徘徊，机械工业增速出现下滑，热处理作为下游机械制造行业更容易受到经</w:t>
      </w:r>
      <w:r>
        <w:rPr>
          <w:spacing w:val="-42"/>
        </w:rPr>
        <w:t> </w:t>
      </w:r>
      <w:r>
        <w:rPr>
          <w:spacing w:val="-42"/>
        </w:rPr>
      </w:r>
      <w:r>
        <w:rPr>
          <w:spacing w:val="-2"/>
        </w:rPr>
        <w:t>济景气周期和国家调控政策的影响，总体上对热处理行业带来需求不足的影响，当然也给公司的整体生产</w:t>
      </w:r>
      <w:r>
        <w:rPr>
          <w:spacing w:val="-43"/>
        </w:rPr>
        <w:t> </w:t>
      </w:r>
      <w:r>
        <w:rPr>
          <w:spacing w:val="-43"/>
        </w:rPr>
      </w:r>
      <w:r>
        <w:rPr>
          <w:spacing w:val="-2"/>
        </w:rPr>
        <w:t>经营带来了一些困难和不确定性；但同时，国家实施积极的财政政策和稳健的货币政策，更加注重自主创</w:t>
      </w:r>
      <w:r>
        <w:rPr>
          <w:spacing w:val="-42"/>
        </w:rPr>
        <w:t> </w:t>
      </w:r>
      <w:r>
        <w:rPr>
          <w:spacing w:val="-42"/>
        </w:rPr>
      </w:r>
      <w:r>
        <w:rPr>
          <w:spacing w:val="-2"/>
        </w:rPr>
        <w:t>新、节能减排的能力，“十二五”规划的实施以及新兴战略产业的发展政策、区域发展规划以及振兴装备</w:t>
      </w:r>
      <w:r>
        <w:rPr>
          <w:spacing w:val="-42"/>
        </w:rPr>
        <w:t> </w:t>
      </w:r>
      <w:r>
        <w:rPr>
          <w:spacing w:val="-42"/>
        </w:rPr>
      </w:r>
      <w:r>
        <w:rPr>
          <w:w w:val="99"/>
        </w:rPr>
        <w:t>制造业的政策仍将为热处理装备和热处理加工提供新的增长空间。</w:t>
      </w:r>
      <w:r>
        <w:rPr>
          <w:rFonts w:ascii="Times New Roman" w:hAnsi="Times New Roman" w:cs="Times New Roman" w:eastAsia="Times New Roman" w:hint="default"/>
          <w:w w:val="99"/>
        </w:rPr>
        <w:t>2012</w:t>
      </w:r>
      <w:r>
        <w:rPr>
          <w:w w:val="99"/>
        </w:rPr>
        <w:t>年，公司继续坚持</w:t>
      </w:r>
      <w:r>
        <w:rPr>
          <w:rFonts w:ascii="Times New Roman" w:hAnsi="Times New Roman" w:cs="Times New Roman" w:eastAsia="Times New Roman" w:hint="default"/>
          <w:w w:val="99"/>
        </w:rPr>
        <w:t>―</w:t>
      </w:r>
      <w:r>
        <w:rPr>
          <w:w w:val="99"/>
        </w:rPr>
        <w:t>以技术创新赢</w:t>
      </w:r>
      <w:r>
        <w:rPr>
          <w:spacing w:val="-72"/>
          <w:w w:val="99"/>
        </w:rPr>
        <w:t> </w:t>
      </w:r>
      <w:r>
        <w:rPr>
          <w:spacing w:val="-72"/>
          <w:w w:val="99"/>
        </w:rPr>
      </w:r>
      <w:r>
        <w:rPr/>
        <w:t>得市场</w:t>
      </w:r>
      <w:r>
        <w:rPr>
          <w:rFonts w:ascii="Times New Roman" w:hAnsi="Times New Roman" w:cs="Times New Roman" w:eastAsia="Times New Roman" w:hint="default"/>
        </w:rPr>
        <w:t>‖</w:t>
      </w:r>
      <w:r>
        <w:rPr/>
        <w:t>的经营理念，加强工艺研发和知识产权创新，同时不断完善内部控制管理，以优质的产品和服务</w:t>
      </w:r>
      <w:r>
        <w:rPr>
          <w:spacing w:val="17"/>
        </w:rPr>
        <w:t> </w:t>
      </w:r>
      <w:r>
        <w:rPr>
          <w:spacing w:val="17"/>
        </w:rPr>
      </w:r>
      <w:r>
        <w:rPr>
          <w:spacing w:val="-6"/>
          <w:w w:val="100"/>
        </w:rPr>
        <w:t>进一步赢得市场。经过全体丰东人的共同努力，</w:t>
      </w:r>
      <w:r>
        <w:rPr>
          <w:rFonts w:ascii="Times New Roman" w:hAnsi="Times New Roman" w:cs="Times New Roman" w:eastAsia="Times New Roman" w:hint="default"/>
          <w:spacing w:val="-6"/>
          <w:w w:val="100"/>
        </w:rPr>
        <w:t>2012</w:t>
      </w:r>
      <w:r>
        <w:rPr>
          <w:spacing w:val="-6"/>
          <w:w w:val="100"/>
        </w:rPr>
        <w:t>年公司实现营业收入</w:t>
      </w:r>
      <w:r>
        <w:rPr>
          <w:rFonts w:ascii="Times New Roman" w:hAnsi="Times New Roman" w:cs="Times New Roman" w:eastAsia="Times New Roman" w:hint="default"/>
          <w:spacing w:val="-6"/>
          <w:w w:val="100"/>
        </w:rPr>
        <w:t>34,313.58</w:t>
      </w:r>
      <w:r>
        <w:rPr>
          <w:spacing w:val="-6"/>
          <w:w w:val="100"/>
        </w:rPr>
        <w:t>万元，较上年增长</w:t>
      </w:r>
      <w:r>
        <w:rPr>
          <w:rFonts w:ascii="Times New Roman" w:hAnsi="Times New Roman" w:cs="Times New Roman" w:eastAsia="Times New Roman" w:hint="default"/>
          <w:spacing w:val="-6"/>
          <w:w w:val="100"/>
        </w:rPr>
        <w:t>7.31%</w:t>
      </w:r>
      <w:r>
        <w:rPr>
          <w:spacing w:val="-6"/>
          <w:w w:val="100"/>
        </w:rPr>
        <w:t>，</w:t>
      </w:r>
      <w:r>
        <w:rPr>
          <w:spacing w:val="-85"/>
          <w:w w:val="100"/>
        </w:rPr>
        <w:t> </w:t>
      </w:r>
      <w:r>
        <w:rPr>
          <w:spacing w:val="9"/>
        </w:rPr>
        <w:t>实现利润总额及归属于母公司股东的净利润分别为</w:t>
      </w:r>
      <w:r>
        <w:rPr>
          <w:spacing w:val="-73"/>
        </w:rPr>
        <w:t> </w:t>
      </w:r>
      <w:r>
        <w:rPr>
          <w:rFonts w:ascii="Times New Roman" w:hAnsi="Times New Roman" w:cs="Times New Roman" w:eastAsia="Times New Roman" w:hint="default"/>
          <w:spacing w:val="4"/>
        </w:rPr>
        <w:t>6,260.37</w:t>
      </w:r>
      <w:r>
        <w:rPr>
          <w:spacing w:val="4"/>
        </w:rPr>
        <w:t>万元和</w:t>
      </w:r>
      <w:r>
        <w:rPr>
          <w:rFonts w:ascii="Times New Roman" w:hAnsi="Times New Roman" w:cs="Times New Roman" w:eastAsia="Times New Roman" w:hint="default"/>
          <w:spacing w:val="4"/>
        </w:rPr>
        <w:t>5,010.17</w:t>
      </w:r>
      <w:r>
        <w:rPr>
          <w:spacing w:val="4"/>
        </w:rPr>
        <w:t>万元，较上年增长</w:t>
      </w:r>
      <w:r>
        <w:rPr>
          <w:rFonts w:ascii="Times New Roman" w:hAnsi="Times New Roman" w:cs="Times New Roman" w:eastAsia="Times New Roman" w:hint="default"/>
          <w:spacing w:val="4"/>
        </w:rPr>
        <w:t>0.53%</w:t>
      </w:r>
      <w:r>
        <w:rPr>
          <w:spacing w:val="4"/>
        </w:rPr>
        <w:t>和</w:t>
      </w:r>
      <w:r>
        <w:rPr>
          <w:spacing w:val="-8"/>
        </w:rPr>
        <w:t> </w:t>
      </w:r>
      <w:r>
        <w:rPr>
          <w:rFonts w:ascii="Times New Roman" w:hAnsi="Times New Roman" w:cs="Times New Roman" w:eastAsia="Times New Roman" w:hint="default"/>
        </w:rPr>
        <w:t>3.20%</w:t>
      </w:r>
      <w:r>
        <w:rPr/>
        <w:t>。总体而言，</w:t>
      </w:r>
      <w:r>
        <w:rPr>
          <w:rFonts w:ascii="Times New Roman" w:hAnsi="Times New Roman" w:cs="Times New Roman" w:eastAsia="Times New Roman" w:hint="default"/>
        </w:rPr>
        <w:t>2012</w:t>
      </w:r>
      <w:r>
        <w:rPr/>
        <w:t>年度公司经营规模和盈利能力呈现持续稳定增长的态势。</w:t>
      </w:r>
    </w:p>
    <w:p>
      <w:pPr>
        <w:pStyle w:val="Heading2"/>
        <w:spacing w:line="240" w:lineRule="auto" w:before="189"/>
        <w:ind w:left="252"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252"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6"/>
        <w:rPr>
          <w:rFonts w:ascii="宋体" w:hAnsi="宋体" w:cs="宋体" w:eastAsia="宋体" w:hint="default"/>
          <w:b/>
          <w:bCs/>
          <w:sz w:val="32"/>
          <w:szCs w:val="32"/>
        </w:rPr>
      </w:pPr>
    </w:p>
    <w:p>
      <w:pPr>
        <w:pStyle w:val="BodyText"/>
        <w:spacing w:line="362" w:lineRule="auto"/>
        <w:ind w:left="252" w:right="1126" w:firstLine="482"/>
        <w:jc w:val="both"/>
      </w:pPr>
      <w:r>
        <w:rPr>
          <w:spacing w:val="-4"/>
        </w:rPr>
        <w:t>公司主营业务仍保持热处理设备制造和热处理加工服务相互补充、相互促进的业务发展格局，公司利</w:t>
      </w:r>
      <w:r>
        <w:rPr>
          <w:w w:val="100"/>
        </w:rPr>
        <w:t> </w:t>
      </w:r>
      <w:r>
        <w:rPr>
          <w:spacing w:val="-2"/>
        </w:rPr>
        <w:t>润构成和利润来源未发生重大变动。</w:t>
      </w:r>
      <w:r>
        <w:rPr>
          <w:rFonts w:ascii="Times New Roman" w:hAnsi="Times New Roman" w:cs="Times New Roman" w:eastAsia="Times New Roman" w:hint="default"/>
          <w:spacing w:val="-2"/>
        </w:rPr>
        <w:t>2012</w:t>
      </w:r>
      <w:r>
        <w:rPr>
          <w:spacing w:val="-2"/>
        </w:rPr>
        <w:t>年，公司继续按照</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月首发上市时《招股说明书》披露的</w:t>
      </w:r>
      <w:r>
        <w:rPr>
          <w:spacing w:val="-34"/>
        </w:rPr>
        <w:t> </w:t>
      </w:r>
      <w:r>
        <w:rPr>
          <w:spacing w:val="-34"/>
        </w:rPr>
      </w:r>
      <w:r>
        <w:rPr>
          <w:spacing w:val="-2"/>
        </w:rPr>
        <w:t>公司发展战略和经营计划开展生产经营工作：立足于现有业务，把握股票上市的发展良机，在产品开发计</w:t>
      </w:r>
      <w:r>
        <w:rPr>
          <w:spacing w:val="-43"/>
        </w:rPr>
        <w:t> </w:t>
      </w:r>
      <w:r>
        <w:rPr>
          <w:spacing w:val="-43"/>
        </w:rPr>
      </w:r>
      <w:r>
        <w:rPr>
          <w:spacing w:val="-2"/>
        </w:rPr>
        <w:t>划、人员培育和扩充计划、技术开发计划、国际化经营计划等方面与《招股说明书》披露的经营计划保持</w:t>
      </w:r>
      <w:r>
        <w:rPr>
          <w:spacing w:val="-43"/>
        </w:rPr>
        <w:t> </w:t>
      </w:r>
      <w:r>
        <w:rPr>
          <w:spacing w:val="-43"/>
        </w:rPr>
      </w:r>
      <w:r>
        <w:rPr>
          <w:spacing w:val="-2"/>
        </w:rPr>
        <w:t>一致。近年来由于我国机械工业转入中低速增长周期，热处理作为下游机械制造业也受到了较大影响，因</w:t>
      </w:r>
      <w:r>
        <w:rPr>
          <w:spacing w:val="-43"/>
        </w:rPr>
        <w:t> </w:t>
      </w:r>
      <w:r>
        <w:rPr>
          <w:spacing w:val="-43"/>
        </w:rPr>
      </w:r>
      <w:r>
        <w:rPr>
          <w:spacing w:val="-2"/>
        </w:rPr>
        <w:t>此，《招股说明书》披露的募集资金使用计划和热处理加工网点发展计划进展缓慢，未能如期实施推进相</w:t>
      </w:r>
      <w:r>
        <w:rPr>
          <w:spacing w:val="-44"/>
        </w:rPr>
        <w:t> </w:t>
      </w:r>
      <w:r>
        <w:rPr>
          <w:spacing w:val="-44"/>
        </w:rPr>
      </w:r>
      <w:r>
        <w:rPr/>
        <w:t>关计划。</w:t>
      </w:r>
    </w:p>
    <w:p>
      <w:pPr>
        <w:pStyle w:val="BodyText"/>
        <w:spacing w:line="240" w:lineRule="auto" w:before="55"/>
        <w:ind w:left="0" w:right="1128"/>
        <w:jc w:val="right"/>
      </w:pPr>
      <w:r>
        <w:rPr>
          <w:spacing w:val="-1"/>
        </w:rPr>
        <w:t>单位：人民币元</w:t>
      </w:r>
    </w:p>
    <w:p>
      <w:pPr>
        <w:spacing w:line="240" w:lineRule="auto" w:before="11"/>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551"/>
        <w:gridCol w:w="1748"/>
        <w:gridCol w:w="1831"/>
        <w:gridCol w:w="1100"/>
        <w:gridCol w:w="3675"/>
      </w:tblGrid>
      <w:tr>
        <w:trPr>
          <w:trHeight w:val="6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年度</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33" w:right="326"/>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幅度</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202"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346"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343,135,830.49</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47"/>
              <w:jc w:val="right"/>
              <w:rPr>
                <w:rFonts w:ascii="Times New Roman" w:hAnsi="Times New Roman" w:cs="Times New Roman" w:eastAsia="Times New Roman" w:hint="default"/>
                <w:sz w:val="21"/>
                <w:szCs w:val="21"/>
              </w:rPr>
            </w:pPr>
            <w:r>
              <w:rPr>
                <w:rFonts w:ascii="Times New Roman"/>
                <w:spacing w:val="-1"/>
                <w:sz w:val="21"/>
              </w:rPr>
              <w:t>319,773,236.18</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8" w:right="0"/>
              <w:jc w:val="center"/>
              <w:rPr>
                <w:rFonts w:ascii="Times New Roman" w:hAnsi="Times New Roman" w:cs="Times New Roman" w:eastAsia="Times New Roman" w:hint="default"/>
                <w:sz w:val="21"/>
                <w:szCs w:val="21"/>
              </w:rPr>
            </w:pPr>
            <w:r>
              <w:rPr>
                <w:rFonts w:ascii="Times New Roman"/>
                <w:sz w:val="21"/>
              </w:rPr>
              <w:t>7.31%</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客户订单增加导致收入增加所致</w:t>
            </w:r>
          </w:p>
        </w:tc>
      </w:tr>
      <w:tr>
        <w:trPr>
          <w:trHeight w:val="348"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234,394,211.71</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47"/>
              <w:jc w:val="right"/>
              <w:rPr>
                <w:rFonts w:ascii="Times New Roman" w:hAnsi="Times New Roman" w:cs="Times New Roman" w:eastAsia="Times New Roman" w:hint="default"/>
                <w:sz w:val="21"/>
                <w:szCs w:val="21"/>
              </w:rPr>
            </w:pPr>
            <w:r>
              <w:rPr>
                <w:rFonts w:ascii="Times New Roman"/>
                <w:spacing w:val="-1"/>
                <w:sz w:val="21"/>
              </w:rPr>
              <w:t>215,460,965.61</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8" w:right="0"/>
              <w:jc w:val="center"/>
              <w:rPr>
                <w:rFonts w:ascii="Times New Roman" w:hAnsi="Times New Roman" w:cs="Times New Roman" w:eastAsia="Times New Roman" w:hint="default"/>
                <w:sz w:val="21"/>
                <w:szCs w:val="21"/>
              </w:rPr>
            </w:pPr>
            <w:r>
              <w:rPr>
                <w:rFonts w:ascii="Times New Roman"/>
                <w:sz w:val="21"/>
              </w:rPr>
              <w:t>8.79%</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收入增加所致</w:t>
            </w:r>
          </w:p>
        </w:tc>
      </w:tr>
      <w:tr>
        <w:trPr>
          <w:trHeight w:val="6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3"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15,402,911.76</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00"/>
              <w:jc w:val="right"/>
              <w:rPr>
                <w:rFonts w:ascii="Times New Roman" w:hAnsi="Times New Roman" w:cs="Times New Roman" w:eastAsia="Times New Roman" w:hint="default"/>
                <w:sz w:val="21"/>
                <w:szCs w:val="21"/>
              </w:rPr>
            </w:pPr>
            <w:r>
              <w:rPr>
                <w:rFonts w:ascii="Times New Roman"/>
                <w:spacing w:val="-1"/>
                <w:sz w:val="21"/>
              </w:rPr>
              <w:t>14,191,746.10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8.53%</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pacing w:val="2"/>
                <w:sz w:val="21"/>
                <w:szCs w:val="21"/>
              </w:rPr>
              <w:t>主要系导致增长引起的相关销售费用增</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长所致</w:t>
            </w:r>
          </w:p>
        </w:tc>
      </w:tr>
      <w:tr>
        <w:trPr>
          <w:trHeight w:val="658"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3"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42,038,693.23</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00"/>
              <w:jc w:val="right"/>
              <w:rPr>
                <w:rFonts w:ascii="Times New Roman" w:hAnsi="Times New Roman" w:cs="Times New Roman" w:eastAsia="Times New Roman" w:hint="default"/>
                <w:sz w:val="21"/>
                <w:szCs w:val="21"/>
              </w:rPr>
            </w:pPr>
            <w:r>
              <w:rPr>
                <w:rFonts w:ascii="Times New Roman"/>
                <w:spacing w:val="-1"/>
                <w:sz w:val="21"/>
              </w:rPr>
              <w:t>40,049,791.43</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4.97%</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pacing w:val="2"/>
                <w:sz w:val="21"/>
                <w:szCs w:val="21"/>
              </w:rPr>
              <w:t>主要系员工保险基数增加导致社保费用</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增加等因素所致</w:t>
            </w:r>
          </w:p>
        </w:tc>
      </w:tr>
    </w:tbl>
    <w:p>
      <w:pPr>
        <w:spacing w:after="0" w:line="273" w:lineRule="auto"/>
        <w:jc w:val="left"/>
        <w:rPr>
          <w:rFonts w:ascii="宋体" w:hAnsi="宋体" w:cs="宋体" w:eastAsia="宋体" w:hint="default"/>
          <w:sz w:val="21"/>
          <w:szCs w:val="21"/>
        </w:rPr>
        <w:sectPr>
          <w:pgSz w:w="11910" w:h="16840"/>
          <w:pgMar w:header="745" w:footer="1340" w:top="1060" w:bottom="1540" w:left="880" w:right="0"/>
        </w:sectPr>
      </w:pPr>
    </w:p>
    <w:p>
      <w:pPr>
        <w:spacing w:line="240" w:lineRule="auto" w:before="6"/>
        <w:rPr>
          <w:rFonts w:ascii="宋体" w:hAnsi="宋体" w:cs="宋体" w:eastAsia="宋体"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1551"/>
        <w:gridCol w:w="1748"/>
        <w:gridCol w:w="1831"/>
        <w:gridCol w:w="1100"/>
        <w:gridCol w:w="3675"/>
      </w:tblGrid>
      <w:tr>
        <w:trPr>
          <w:trHeight w:val="428"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4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78" w:right="0"/>
              <w:jc w:val="left"/>
              <w:rPr>
                <w:rFonts w:ascii="Times New Roman" w:hAnsi="Times New Roman" w:cs="Times New Roman" w:eastAsia="Times New Roman" w:hint="default"/>
                <w:sz w:val="21"/>
                <w:szCs w:val="21"/>
              </w:rPr>
            </w:pPr>
            <w:r>
              <w:rPr>
                <w:rFonts w:ascii="Times New Roman"/>
                <w:sz w:val="21"/>
              </w:rPr>
              <w:t>-4,147,204.48</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21" w:right="0"/>
              <w:jc w:val="left"/>
              <w:rPr>
                <w:rFonts w:ascii="Times New Roman" w:hAnsi="Times New Roman" w:cs="Times New Roman" w:eastAsia="Times New Roman" w:hint="default"/>
                <w:sz w:val="21"/>
                <w:szCs w:val="21"/>
              </w:rPr>
            </w:pPr>
            <w:r>
              <w:rPr>
                <w:rFonts w:ascii="Times New Roman"/>
                <w:sz w:val="21"/>
              </w:rPr>
              <w:t>-1,749,783.99</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26"/>
              <w:jc w:val="right"/>
              <w:rPr>
                <w:rFonts w:ascii="Times New Roman" w:hAnsi="Times New Roman" w:cs="Times New Roman" w:eastAsia="Times New Roman" w:hint="default"/>
                <w:sz w:val="21"/>
                <w:szCs w:val="21"/>
              </w:rPr>
            </w:pPr>
            <w:r>
              <w:rPr>
                <w:rFonts w:ascii="Times New Roman"/>
                <w:spacing w:val="-1"/>
                <w:sz w:val="21"/>
              </w:rPr>
              <w:t>-137.01%</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系报告期内定期存款利息收入增长所致</w:t>
            </w:r>
          </w:p>
        </w:tc>
      </w:tr>
      <w:tr>
        <w:trPr>
          <w:trHeight w:val="658"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34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62,603,685.71</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04" w:right="0"/>
              <w:jc w:val="left"/>
              <w:rPr>
                <w:rFonts w:ascii="Times New Roman" w:hAnsi="Times New Roman" w:cs="Times New Roman" w:eastAsia="Times New Roman" w:hint="default"/>
                <w:sz w:val="21"/>
                <w:szCs w:val="21"/>
              </w:rPr>
            </w:pPr>
            <w:r>
              <w:rPr>
                <w:rFonts w:ascii="Times New Roman"/>
                <w:sz w:val="21"/>
              </w:rPr>
              <w:t>62,275,788.21</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21"/>
                <w:szCs w:val="21"/>
              </w:rPr>
            </w:pPr>
            <w:r>
              <w:rPr>
                <w:rFonts w:ascii="Times New Roman"/>
                <w:sz w:val="21"/>
              </w:rPr>
              <w:t>0.53%</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pacing w:val="2"/>
                <w:sz w:val="21"/>
                <w:szCs w:val="21"/>
              </w:rPr>
              <w:t>主要系母公司及部分子公司收入增长所</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致</w:t>
            </w:r>
          </w:p>
        </w:tc>
      </w:tr>
      <w:tr>
        <w:trPr>
          <w:trHeight w:val="6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2" w:right="29" w:hanging="212"/>
              <w:jc w:val="left"/>
              <w:rPr>
                <w:rFonts w:ascii="宋体" w:hAnsi="宋体" w:cs="宋体" w:eastAsia="宋体" w:hint="default"/>
                <w:sz w:val="21"/>
                <w:szCs w:val="21"/>
              </w:rPr>
            </w:pPr>
            <w:r>
              <w:rPr>
                <w:rFonts w:ascii="宋体" w:hAnsi="宋体" w:cs="宋体" w:eastAsia="宋体" w:hint="default"/>
                <w:sz w:val="21"/>
                <w:szCs w:val="21"/>
              </w:rPr>
              <w:t>归属于母公司股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东的净利润</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50,101,739.39</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4" w:right="0"/>
              <w:jc w:val="left"/>
              <w:rPr>
                <w:rFonts w:ascii="Times New Roman" w:hAnsi="Times New Roman" w:cs="Times New Roman" w:eastAsia="Times New Roman" w:hint="default"/>
                <w:sz w:val="21"/>
                <w:szCs w:val="21"/>
              </w:rPr>
            </w:pPr>
            <w:r>
              <w:rPr>
                <w:rFonts w:ascii="Times New Roman"/>
                <w:sz w:val="21"/>
              </w:rPr>
              <w:t>48,548,696.21</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21"/>
                <w:szCs w:val="21"/>
              </w:rPr>
            </w:pPr>
            <w:r>
              <w:rPr>
                <w:rFonts w:ascii="Times New Roman"/>
                <w:sz w:val="21"/>
              </w:rPr>
              <w:t>3.20%</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left"/>
              <w:rPr>
                <w:rFonts w:ascii="宋体" w:hAnsi="宋体" w:cs="宋体" w:eastAsia="宋体" w:hint="default"/>
                <w:sz w:val="21"/>
                <w:szCs w:val="21"/>
              </w:rPr>
            </w:pPr>
            <w:r>
              <w:rPr>
                <w:rFonts w:ascii="宋体" w:hAnsi="宋体" w:cs="宋体" w:eastAsia="宋体" w:hint="default"/>
                <w:sz w:val="21"/>
                <w:szCs w:val="21"/>
              </w:rPr>
              <w:t>主要系营业收入及利息收入增加所致</w:t>
            </w:r>
          </w:p>
        </w:tc>
      </w:tr>
      <w:tr>
        <w:trPr>
          <w:trHeight w:val="348"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48" w:right="0"/>
              <w:jc w:val="left"/>
              <w:rPr>
                <w:rFonts w:ascii="宋体" w:hAnsi="宋体" w:cs="宋体" w:eastAsia="宋体" w:hint="default"/>
                <w:sz w:val="21"/>
                <w:szCs w:val="21"/>
              </w:rPr>
            </w:pPr>
            <w:r>
              <w:rPr>
                <w:rFonts w:ascii="宋体" w:hAnsi="宋体" w:cs="宋体" w:eastAsia="宋体" w:hint="default"/>
                <w:sz w:val="21"/>
                <w:szCs w:val="21"/>
              </w:rPr>
              <w:t>研发投入</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61" w:right="0"/>
              <w:jc w:val="left"/>
              <w:rPr>
                <w:rFonts w:ascii="Times New Roman" w:hAnsi="Times New Roman" w:cs="Times New Roman" w:eastAsia="Times New Roman" w:hint="default"/>
                <w:sz w:val="21"/>
                <w:szCs w:val="21"/>
              </w:rPr>
            </w:pPr>
            <w:r>
              <w:rPr>
                <w:rFonts w:ascii="Times New Roman"/>
                <w:sz w:val="21"/>
              </w:rPr>
              <w:t>15,377,803.31</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4" w:right="0"/>
              <w:jc w:val="left"/>
              <w:rPr>
                <w:rFonts w:ascii="Times New Roman" w:hAnsi="Times New Roman" w:cs="Times New Roman" w:eastAsia="Times New Roman" w:hint="default"/>
                <w:sz w:val="21"/>
                <w:szCs w:val="21"/>
              </w:rPr>
            </w:pPr>
            <w:r>
              <w:rPr>
                <w:rFonts w:ascii="Times New Roman"/>
                <w:sz w:val="21"/>
              </w:rPr>
              <w:t>19,583,908.80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79"/>
              <w:jc w:val="right"/>
              <w:rPr>
                <w:rFonts w:ascii="Times New Roman" w:hAnsi="Times New Roman" w:cs="Times New Roman" w:eastAsia="Times New Roman" w:hint="default"/>
                <w:sz w:val="21"/>
                <w:szCs w:val="21"/>
              </w:rPr>
            </w:pPr>
            <w:r>
              <w:rPr>
                <w:rFonts w:ascii="Times New Roman"/>
                <w:spacing w:val="-1"/>
                <w:sz w:val="21"/>
              </w:rPr>
              <w:t>-21.48%</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报告期内研发项目有所减少所致</w:t>
            </w:r>
          </w:p>
        </w:tc>
      </w:tr>
      <w:tr>
        <w:trPr>
          <w:trHeight w:val="658"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36" w:right="29" w:hanging="106"/>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33,751,220.03</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04" w:right="0"/>
              <w:jc w:val="left"/>
              <w:rPr>
                <w:rFonts w:ascii="Times New Roman" w:hAnsi="Times New Roman" w:cs="Times New Roman" w:eastAsia="Times New Roman" w:hint="default"/>
                <w:sz w:val="21"/>
                <w:szCs w:val="21"/>
              </w:rPr>
            </w:pPr>
            <w:r>
              <w:rPr>
                <w:rFonts w:ascii="Times New Roman"/>
                <w:sz w:val="21"/>
              </w:rPr>
              <w:t>11,855,244.53</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184.69%</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left"/>
              <w:rPr>
                <w:rFonts w:ascii="宋体" w:hAnsi="宋体" w:cs="宋体" w:eastAsia="宋体" w:hint="default"/>
                <w:sz w:val="21"/>
                <w:szCs w:val="21"/>
              </w:rPr>
            </w:pPr>
            <w:r>
              <w:rPr>
                <w:rFonts w:ascii="宋体" w:hAnsi="宋体" w:cs="宋体" w:eastAsia="宋体" w:hint="default"/>
                <w:sz w:val="21"/>
                <w:szCs w:val="21"/>
              </w:rPr>
              <w:t>报告期内采购及付现量减少所致</w:t>
            </w:r>
          </w:p>
        </w:tc>
      </w:tr>
      <w:tr>
        <w:trPr>
          <w:trHeight w:val="6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36" w:right="29" w:hanging="106"/>
              <w:jc w:val="left"/>
              <w:rPr>
                <w:rFonts w:ascii="宋体" w:hAnsi="宋体" w:cs="宋体" w:eastAsia="宋体" w:hint="default"/>
                <w:sz w:val="21"/>
                <w:szCs w:val="21"/>
              </w:rPr>
            </w:pPr>
            <w:r>
              <w:rPr>
                <w:rFonts w:ascii="宋体" w:hAnsi="宋体" w:cs="宋体" w:eastAsia="宋体" w:hint="default"/>
                <w:sz w:val="21"/>
                <w:szCs w:val="21"/>
              </w:rPr>
              <w:t>投资活动产生的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8" w:right="0"/>
              <w:jc w:val="left"/>
              <w:rPr>
                <w:rFonts w:ascii="Times New Roman" w:hAnsi="Times New Roman" w:cs="Times New Roman" w:eastAsia="Times New Roman" w:hint="default"/>
                <w:sz w:val="21"/>
                <w:szCs w:val="21"/>
              </w:rPr>
            </w:pPr>
            <w:r>
              <w:rPr>
                <w:rFonts w:ascii="Times New Roman"/>
                <w:sz w:val="21"/>
              </w:rPr>
              <w:t>-63,588,205.50</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8" w:right="0"/>
              <w:jc w:val="left"/>
              <w:rPr>
                <w:rFonts w:ascii="Times New Roman" w:hAnsi="Times New Roman" w:cs="Times New Roman" w:eastAsia="Times New Roman" w:hint="default"/>
                <w:sz w:val="21"/>
                <w:szCs w:val="21"/>
              </w:rPr>
            </w:pPr>
            <w:r>
              <w:rPr>
                <w:rFonts w:ascii="Times New Roman"/>
                <w:sz w:val="21"/>
              </w:rPr>
              <w:t>-51,968,749.13</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9"/>
              <w:jc w:val="right"/>
              <w:rPr>
                <w:rFonts w:ascii="Times New Roman" w:hAnsi="Times New Roman" w:cs="Times New Roman" w:eastAsia="Times New Roman" w:hint="default"/>
                <w:sz w:val="21"/>
                <w:szCs w:val="21"/>
              </w:rPr>
            </w:pPr>
            <w:r>
              <w:rPr>
                <w:rFonts w:ascii="Times New Roman"/>
                <w:spacing w:val="-1"/>
                <w:sz w:val="21"/>
              </w:rPr>
              <w:t>-22.36%</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 w:right="0"/>
              <w:jc w:val="left"/>
              <w:rPr>
                <w:rFonts w:ascii="宋体" w:hAnsi="宋体" w:cs="宋体" w:eastAsia="宋体" w:hint="default"/>
                <w:sz w:val="21"/>
                <w:szCs w:val="21"/>
              </w:rPr>
            </w:pPr>
            <w:r>
              <w:rPr>
                <w:rFonts w:ascii="宋体" w:hAnsi="宋体" w:cs="宋体" w:eastAsia="宋体" w:hint="default"/>
                <w:sz w:val="21"/>
                <w:szCs w:val="21"/>
              </w:rPr>
              <w:t>对合营公司增资金额较大所致</w:t>
            </w:r>
          </w:p>
        </w:tc>
      </w:tr>
      <w:tr>
        <w:trPr>
          <w:trHeight w:val="661"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36" w:right="29" w:hanging="106"/>
              <w:jc w:val="left"/>
              <w:rPr>
                <w:rFonts w:ascii="宋体" w:hAnsi="宋体" w:cs="宋体" w:eastAsia="宋体" w:hint="default"/>
                <w:sz w:val="21"/>
                <w:szCs w:val="21"/>
              </w:rPr>
            </w:pPr>
            <w:r>
              <w:rPr>
                <w:rFonts w:ascii="宋体" w:hAnsi="宋体" w:cs="宋体" w:eastAsia="宋体" w:hint="default"/>
                <w:sz w:val="21"/>
                <w:szCs w:val="21"/>
              </w:rPr>
              <w:t>筹资活动产生的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8" w:right="0"/>
              <w:jc w:val="left"/>
              <w:rPr>
                <w:rFonts w:ascii="Times New Roman" w:hAnsi="Times New Roman" w:cs="Times New Roman" w:eastAsia="Times New Roman" w:hint="default"/>
                <w:sz w:val="21"/>
                <w:szCs w:val="21"/>
              </w:rPr>
            </w:pPr>
            <w:r>
              <w:rPr>
                <w:rFonts w:ascii="Times New Roman"/>
                <w:sz w:val="21"/>
              </w:rPr>
              <w:t>-17,524,879.20</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68" w:right="0"/>
              <w:jc w:val="left"/>
              <w:rPr>
                <w:rFonts w:ascii="Times New Roman" w:hAnsi="Times New Roman" w:cs="Times New Roman" w:eastAsia="Times New Roman" w:hint="default"/>
                <w:sz w:val="21"/>
                <w:szCs w:val="21"/>
              </w:rPr>
            </w:pPr>
            <w:r>
              <w:rPr>
                <w:rFonts w:ascii="Times New Roman"/>
                <w:sz w:val="21"/>
              </w:rPr>
              <w:t>-88,723,509.80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10"/>
              <w:jc w:val="right"/>
              <w:rPr>
                <w:rFonts w:ascii="Times New Roman" w:hAnsi="Times New Roman" w:cs="Times New Roman" w:eastAsia="Times New Roman" w:hint="default"/>
                <w:sz w:val="21"/>
                <w:szCs w:val="21"/>
              </w:rPr>
            </w:pPr>
            <w:r>
              <w:rPr>
                <w:rFonts w:ascii="Times New Roman"/>
                <w:sz w:val="21"/>
              </w:rPr>
              <w:t>80.25%</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pacing w:val="2"/>
                <w:sz w:val="21"/>
                <w:szCs w:val="21"/>
              </w:rPr>
              <w:t>系上期偿还银行借款及分配红利金额远</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大于本报告期所致。</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0"/>
        <w:ind w:left="252" w:right="0" w:firstLine="0"/>
        <w:jc w:val="both"/>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w:t>
      </w:r>
    </w:p>
    <w:p>
      <w:pPr>
        <w:spacing w:line="240" w:lineRule="auto" w:before="0"/>
        <w:rPr>
          <w:rFonts w:ascii="宋体" w:hAnsi="宋体" w:cs="宋体" w:eastAsia="宋体" w:hint="default"/>
          <w:sz w:val="18"/>
          <w:szCs w:val="18"/>
        </w:rPr>
      </w:pPr>
    </w:p>
    <w:p>
      <w:pPr>
        <w:pStyle w:val="BodyText"/>
        <w:spacing w:line="345" w:lineRule="auto" w:before="142"/>
        <w:ind w:left="252" w:right="1128" w:firstLine="480"/>
        <w:jc w:val="both"/>
      </w:pPr>
      <w:r>
        <w:rPr>
          <w:spacing w:val="-4"/>
        </w:rPr>
        <w:t>公司</w:t>
      </w:r>
      <w:r>
        <w:rPr>
          <w:rFonts w:ascii="Times New Roman" w:hAnsi="Times New Roman" w:cs="Times New Roman" w:eastAsia="Times New Roman" w:hint="default"/>
          <w:spacing w:val="-4"/>
        </w:rPr>
        <w:t>2012</w:t>
      </w:r>
      <w:r>
        <w:rPr>
          <w:spacing w:val="-4"/>
        </w:rPr>
        <w:t>年的总体经营目标是：在外部环境没有太大变化的条件下，公司业绩将继续保持持续稳定的</w:t>
      </w:r>
      <w:r>
        <w:rPr>
          <w:w w:val="100"/>
        </w:rPr>
        <w:t> </w:t>
      </w:r>
      <w:r>
        <w:rPr>
          <w:spacing w:val="-4"/>
        </w:rPr>
        <w:t>增长。经过一年的努力，</w:t>
      </w:r>
      <w:r>
        <w:rPr>
          <w:rFonts w:ascii="Times New Roman" w:hAnsi="Times New Roman" w:cs="Times New Roman" w:eastAsia="Times New Roman" w:hint="default"/>
          <w:spacing w:val="-4"/>
        </w:rPr>
        <w:t>2012</w:t>
      </w:r>
      <w:r>
        <w:rPr>
          <w:spacing w:val="-4"/>
        </w:rPr>
        <w:t>年公司完成营业收入</w:t>
      </w:r>
      <w:r>
        <w:rPr>
          <w:rFonts w:ascii="Times New Roman" w:hAnsi="Times New Roman" w:cs="Times New Roman" w:eastAsia="Times New Roman" w:hint="default"/>
          <w:spacing w:val="-4"/>
        </w:rPr>
        <w:t>34,313.58</w:t>
      </w:r>
      <w:r>
        <w:rPr>
          <w:spacing w:val="-4"/>
        </w:rPr>
        <w:t>万元，实现归属于母公司股东的净利润</w:t>
      </w:r>
      <w:r>
        <w:rPr>
          <w:rFonts w:ascii="Times New Roman" w:hAnsi="Times New Roman" w:cs="Times New Roman" w:eastAsia="Times New Roman" w:hint="default"/>
          <w:spacing w:val="-4"/>
        </w:rPr>
        <w:t>5,010.17</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万元，分别比</w:t>
      </w:r>
      <w:r>
        <w:rPr>
          <w:rFonts w:ascii="Times New Roman" w:hAnsi="Times New Roman" w:cs="Times New Roman" w:eastAsia="Times New Roman" w:hint="default"/>
        </w:rPr>
        <w:t>2011</w:t>
      </w:r>
      <w:r>
        <w:rPr/>
        <w:t>年度增长</w:t>
      </w:r>
      <w:r>
        <w:rPr>
          <w:rFonts w:ascii="Times New Roman" w:hAnsi="Times New Roman" w:cs="Times New Roman" w:eastAsia="Times New Roman" w:hint="default"/>
        </w:rPr>
        <w:t>7.31%</w:t>
      </w:r>
      <w:r>
        <w:rPr/>
        <w:t>和</w:t>
      </w:r>
      <w:r>
        <w:rPr>
          <w:rFonts w:ascii="Times New Roman" w:hAnsi="Times New Roman" w:cs="Times New Roman" w:eastAsia="Times New Roman" w:hint="default"/>
        </w:rPr>
        <w:t>3.20%</w:t>
      </w:r>
      <w:r>
        <w:rPr/>
        <w:t>，圆满完成了</w:t>
      </w:r>
      <w:r>
        <w:rPr>
          <w:rFonts w:ascii="Times New Roman" w:hAnsi="Times New Roman" w:cs="Times New Roman" w:eastAsia="Times New Roman" w:hint="default"/>
        </w:rPr>
        <w:t>2012</w:t>
      </w:r>
      <w:r>
        <w:rPr/>
        <w:t>年的总体经营目标。</w:t>
      </w:r>
    </w:p>
    <w:p>
      <w:pPr>
        <w:spacing w:line="240" w:lineRule="auto" w:before="10"/>
        <w:rPr>
          <w:rFonts w:ascii="宋体" w:hAnsi="宋体" w:cs="宋体" w:eastAsia="宋体" w:hint="default"/>
          <w:sz w:val="18"/>
          <w:szCs w:val="18"/>
        </w:rPr>
      </w:pPr>
    </w:p>
    <w:p>
      <w:pPr>
        <w:pStyle w:val="BodyText"/>
        <w:spacing w:line="240" w:lineRule="auto"/>
        <w:ind w:left="718" w:right="0"/>
        <w:jc w:val="left"/>
      </w:pPr>
      <w:r>
        <w:rPr>
          <w:rFonts w:ascii="Times New Roman" w:hAnsi="Times New Roman" w:cs="Times New Roman" w:eastAsia="Times New Roman" w:hint="default"/>
        </w:rPr>
        <w:t>2012</w:t>
      </w:r>
      <w:r>
        <w:rPr/>
        <w:t>年，面对复杂多变的国际政治经济环境和国内经济运行的新情况新变化，公司按照年初制定的</w:t>
      </w:r>
    </w:p>
    <w:p>
      <w:pPr>
        <w:pStyle w:val="BodyText"/>
        <w:spacing w:line="360" w:lineRule="auto" w:before="131"/>
        <w:ind w:left="252" w:right="1126"/>
        <w:jc w:val="both"/>
      </w:pPr>
      <w:r>
        <w:rPr>
          <w:rFonts w:ascii="Times New Roman" w:hAnsi="Times New Roman" w:cs="Times New Roman" w:eastAsia="Times New Roman" w:hint="default"/>
          <w:spacing w:val="-2"/>
        </w:rPr>
        <w:t>2012</w:t>
      </w:r>
      <w:r>
        <w:rPr>
          <w:spacing w:val="-2"/>
        </w:rPr>
        <w:t>年经营计划，在市场推广、技术创新、人力资源管理、成本控制、完善法人治理结构等方面均取得了</w:t>
      </w:r>
      <w:r>
        <w:rPr>
          <w:spacing w:val="-39"/>
        </w:rPr>
        <w:t> </w:t>
      </w:r>
      <w:r>
        <w:rPr>
          <w:spacing w:val="-39"/>
        </w:rPr>
      </w:r>
      <w:r>
        <w:rPr>
          <w:spacing w:val="-2"/>
        </w:rPr>
        <w:t>一定的成绩，但部分募投项目未能按计划实施，主要是受下游客户景气度的影响。本着谨慎、科学、投资</w:t>
      </w:r>
      <w:r>
        <w:rPr>
          <w:spacing w:val="-43"/>
        </w:rPr>
        <w:t> </w:t>
      </w:r>
      <w:r>
        <w:rPr>
          <w:spacing w:val="-43"/>
        </w:rPr>
      </w:r>
      <w:r>
        <w:rPr>
          <w:spacing w:val="-2"/>
        </w:rPr>
        <w:t>有回报的原则，公司对部分投资效益不佳的募投项目暂缓投入。总体而言，公司呈现持续稳定增长发展态</w:t>
      </w:r>
      <w:r>
        <w:rPr>
          <w:spacing w:val="-43"/>
        </w:rPr>
        <w:t> </w:t>
      </w:r>
      <w:r>
        <w:rPr>
          <w:spacing w:val="-43"/>
        </w:rPr>
      </w:r>
      <w:r>
        <w:rPr/>
        <w:t>势，计划执行情况良好。</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before="0"/>
        <w:ind w:left="252" w:right="0" w:firstLine="0"/>
        <w:jc w:val="both"/>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2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left="252" w:right="0"/>
        <w:jc w:val="both"/>
        <w:rPr>
          <w:b w:val="0"/>
          <w:bCs w:val="0"/>
        </w:rPr>
      </w:pPr>
      <w:r>
        <w:rPr>
          <w:rFonts w:ascii="Times New Roman" w:hAnsi="Times New Roman" w:cs="Times New Roman" w:eastAsia="Times New Roman" w:hint="default"/>
        </w:rPr>
        <w:t>2</w:t>
      </w:r>
      <w:r>
        <w:rPr/>
        <w:t>、收入</w:t>
      </w:r>
      <w:r>
        <w:rPr>
          <w:b w:val="0"/>
          <w:bCs w:val="0"/>
        </w:rPr>
      </w:r>
    </w:p>
    <w:p>
      <w:pPr>
        <w:spacing w:line="240" w:lineRule="auto" w:before="4"/>
        <w:rPr>
          <w:rFonts w:ascii="宋体" w:hAnsi="宋体" w:cs="宋体" w:eastAsia="宋体" w:hint="default"/>
          <w:b/>
          <w:bCs/>
          <w:sz w:val="26"/>
          <w:szCs w:val="26"/>
        </w:rPr>
      </w:pPr>
    </w:p>
    <w:p>
      <w:pPr>
        <w:spacing w:line="360" w:lineRule="auto" w:before="0"/>
        <w:ind w:left="252" w:right="10394"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before="27"/>
        <w:ind w:left="252" w:right="0" w:firstLine="0"/>
        <w:jc w:val="both"/>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5"/>
        <w:ind w:left="2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247" w:type="dxa"/>
        <w:tblLayout w:type="fixed"/>
        <w:tblCellMar>
          <w:top w:w="0" w:type="dxa"/>
          <w:left w:w="0" w:type="dxa"/>
          <w:bottom w:w="0" w:type="dxa"/>
          <w:right w:w="0" w:type="dxa"/>
        </w:tblCellMar>
        <w:tblLook w:val="01E0"/>
      </w:tblPr>
      <w:tblGrid>
        <w:gridCol w:w="1928"/>
        <w:gridCol w:w="1891"/>
        <w:gridCol w:w="1926"/>
        <w:gridCol w:w="1913"/>
        <w:gridCol w:w="1916"/>
      </w:tblGrid>
      <w:tr>
        <w:trPr>
          <w:trHeight w:val="401"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机械制造业</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142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台套</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136 </w:t>
            </w:r>
            <w:r>
              <w:rPr>
                <w:rFonts w:ascii="宋体" w:hAnsi="宋体" w:cs="宋体" w:eastAsia="宋体" w:hint="default"/>
                <w:sz w:val="18"/>
                <w:szCs w:val="18"/>
              </w:rPr>
              <w:t>台套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4.41%</w:t>
            </w:r>
          </w:p>
        </w:tc>
      </w:tr>
      <w:tr>
        <w:trPr>
          <w:trHeight w:val="401"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144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台套</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149 </w:t>
            </w:r>
            <w:r>
              <w:rPr>
                <w:rFonts w:ascii="宋体" w:hAnsi="宋体" w:cs="宋体" w:eastAsia="宋体" w:hint="default"/>
                <w:sz w:val="18"/>
                <w:szCs w:val="18"/>
              </w:rPr>
              <w:t>台套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w:t>
            </w: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台套</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台套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5.55%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340" w:top="1060" w:bottom="1540" w:left="880" w:right="0"/>
        </w:sectPr>
      </w:pPr>
    </w:p>
    <w:p>
      <w:pPr>
        <w:spacing w:line="240" w:lineRule="auto" w:before="9"/>
        <w:rPr>
          <w:rFonts w:ascii="宋体" w:hAnsi="宋体" w:cs="宋体" w:eastAsia="宋体" w:hint="default"/>
          <w:sz w:val="25"/>
          <w:szCs w:val="25"/>
        </w:rPr>
      </w:pP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38" w:lineRule="auto" w:before="104"/>
        <w:ind w:left="17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公司重大的在手订单情况</w:t>
      </w:r>
    </w:p>
    <w:p>
      <w:pPr>
        <w:spacing w:line="340" w:lineRule="auto" w:before="43"/>
        <w:ind w:left="17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公司报告期内产品或服务发生重大变化或调整有关情况</w:t>
      </w:r>
    </w:p>
    <w:p>
      <w:pPr>
        <w:spacing w:line="340" w:lineRule="auto" w:before="39"/>
        <w:ind w:left="172" w:right="8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公司主要销售客户情况</w:t>
      </w:r>
    </w:p>
    <w:p>
      <w:pPr>
        <w:spacing w:line="240" w:lineRule="auto" w:before="7"/>
        <w:rPr>
          <w:rFonts w:ascii="宋体" w:hAnsi="宋体" w:cs="宋体" w:eastAsia="宋体" w:hint="default"/>
          <w:sz w:val="2"/>
          <w:szCs w:val="2"/>
        </w:rPr>
      </w:pPr>
    </w:p>
    <w:tbl>
      <w:tblPr>
        <w:tblW w:w="0" w:type="auto"/>
        <w:jc w:val="left"/>
        <w:tblInd w:w="16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38,712,524.01</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11.28%</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1"/>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9,920,756.40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8,941,914.89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6,837,606.82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6,741,965.84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6,270,280.06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38,712,524.01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2"/>
        <w:rPr>
          <w:rFonts w:ascii="宋体" w:hAnsi="宋体" w:cs="宋体" w:eastAsia="宋体" w:hint="default"/>
          <w:b/>
          <w:bCs/>
          <w:sz w:val="22"/>
          <w:szCs w:val="22"/>
        </w:rPr>
      </w:pP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5" w:right="0"/>
              <w:jc w:val="left"/>
              <w:rPr>
                <w:rFonts w:ascii="Times New Roman" w:hAnsi="Times New Roman" w:cs="Times New Roman" w:eastAsia="Times New Roman" w:hint="default"/>
                <w:sz w:val="18"/>
                <w:szCs w:val="18"/>
              </w:rPr>
            </w:pPr>
            <w:r>
              <w:rPr>
                <w:rFonts w:ascii="Times New Roman"/>
                <w:sz w:val="18"/>
              </w:rPr>
              <w:t>234,394,211.71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215,460,965.61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8" w:right="0"/>
              <w:jc w:val="left"/>
              <w:rPr>
                <w:rFonts w:ascii="Times New Roman" w:hAnsi="Times New Roman" w:cs="Times New Roman" w:eastAsia="Times New Roman" w:hint="default"/>
                <w:sz w:val="18"/>
                <w:szCs w:val="18"/>
              </w:rPr>
            </w:pPr>
            <w:r>
              <w:rPr>
                <w:rFonts w:ascii="Times New Roman"/>
                <w:sz w:val="18"/>
              </w:rPr>
              <w:t>8.7873%</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热处理设备内销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139,130,170.49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132,485,933.93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热处理设备外销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14,997,464.15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6,266,401.94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热处理加工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55,051,028.78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57,808,051.51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25,215,548.29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18,900,578.23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33.41%</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after="0"/>
        <w:jc w:val="left"/>
        <w:rPr>
          <w:rFonts w:ascii="宋体" w:hAnsi="宋体" w:cs="宋体" w:eastAsia="宋体" w:hint="default"/>
          <w:sz w:val="18"/>
          <w:szCs w:val="18"/>
        </w:rPr>
        <w:sectPr>
          <w:pgSz w:w="11910" w:h="16840"/>
          <w:pgMar w:header="745" w:footer="1340" w:top="1060" w:bottom="1540" w:left="960" w:right="0"/>
        </w:sectPr>
      </w:pPr>
    </w:p>
    <w:p>
      <w:pPr>
        <w:spacing w:line="240" w:lineRule="auto" w:before="9"/>
        <w:rPr>
          <w:rFonts w:ascii="宋体" w:hAnsi="宋体" w:cs="宋体" w:eastAsia="宋体" w:hint="default"/>
          <w:sz w:val="25"/>
          <w:szCs w:val="25"/>
        </w:rPr>
      </w:pPr>
    </w:p>
    <w:p>
      <w:pPr>
        <w:spacing w:line="360" w:lineRule="auto" w:before="44"/>
        <w:ind w:left="172" w:right="9134" w:firstLine="0"/>
        <w:jc w:val="left"/>
        <w:rPr>
          <w:rFonts w:ascii="宋体" w:hAnsi="宋体" w:cs="宋体" w:eastAsia="宋体" w:hint="default"/>
          <w:sz w:val="18"/>
          <w:szCs w:val="18"/>
        </w:rPr>
      </w:pPr>
      <w:r>
        <w:rPr>
          <w:rFonts w:ascii="宋体" w:hAnsi="宋体" w:cs="宋体" w:eastAsia="宋体" w:hint="default"/>
          <w:sz w:val="18"/>
          <w:szCs w:val="18"/>
        </w:rPr>
        <w:t>无 公司主要供应商情况</w:t>
      </w:r>
    </w:p>
    <w:tbl>
      <w:tblPr>
        <w:tblW w:w="0" w:type="auto"/>
        <w:jc w:val="left"/>
        <w:tblInd w:w="16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39,658,190.97</w:t>
            </w:r>
          </w:p>
        </w:tc>
      </w:tr>
      <w:tr>
        <w:trPr>
          <w:trHeight w:val="401"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22.25%</w:t>
            </w:r>
          </w:p>
        </w:tc>
      </w:tr>
    </w:tbl>
    <w:p>
      <w:pPr>
        <w:spacing w:before="65"/>
        <w:ind w:left="172" w:right="0" w:firstLine="0"/>
        <w:jc w:val="left"/>
        <w:rPr>
          <w:rFonts w:ascii="宋体" w:hAnsi="宋体" w:cs="宋体" w:eastAsia="宋体" w:hint="default"/>
          <w:sz w:val="18"/>
          <w:szCs w:val="18"/>
        </w:rPr>
      </w:pPr>
      <w:r>
        <w:rPr/>
        <w:pict>
          <v:shape style="position:absolute;margin-left:263.570007pt;margin-top:-19.238306pt;width:270.2pt;height:19.6pt;mso-position-horizontal-relative:page;mso-position-vertical-relative:paragraph;z-index:-85984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71.010010pt;margin-top:-19.238306pt;width:262.75pt;height:19.6pt;mso-position-horizontal-relative:page;mso-position-vertical-relative:paragraph;z-index:-859816" coordorigin="5420,-385" coordsize="5255,392">
            <v:shape style="position:absolute;left:5420;top:-385;width:5255;height:392" coordorigin="5420,-385" coordsize="5255,392" path="m5420,6l10675,6,10675,-385,5420,-385,5420,6xe" filled="true" fillcolor="#ffffff" stroked="false">
              <v:path arrowok="t"/>
              <v:fill type="solid"/>
            </v:shape>
            <w10:wrap type="none"/>
          </v:group>
        </w:pict>
      </w: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12,204,369.96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10,383,696.27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5.83%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6,241,894.32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5,905,963.54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3.31%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4,922,266.88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39,658,190.97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22.25%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968"/>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65" w:type="dxa"/>
        <w:tblLayout w:type="fixed"/>
        <w:tblCellMar>
          <w:top w:w="0" w:type="dxa"/>
          <w:left w:w="0" w:type="dxa"/>
          <w:bottom w:w="0" w:type="dxa"/>
          <w:right w:w="0" w:type="dxa"/>
        </w:tblCellMar>
        <w:tblLook w:val="01E0"/>
      </w:tblPr>
      <w:tblGrid>
        <w:gridCol w:w="2576"/>
        <w:gridCol w:w="2245"/>
        <w:gridCol w:w="2244"/>
        <w:gridCol w:w="2413"/>
      </w:tblGrid>
      <w:tr>
        <w:trPr>
          <w:trHeight w:val="34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年度</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年度</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p>
        </w:tc>
      </w:tr>
      <w:tr>
        <w:trPr>
          <w:trHeight w:val="427"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15,402,911.76</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14,191,746.10</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8.53%</w:t>
            </w:r>
          </w:p>
        </w:tc>
      </w:tr>
      <w:tr>
        <w:trPr>
          <w:trHeight w:val="428"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42,038,693.23</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40,049,791.43</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4.97%</w:t>
            </w:r>
          </w:p>
        </w:tc>
      </w:tr>
      <w:tr>
        <w:trPr>
          <w:trHeight w:val="427"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-4,147,204.48</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-1,749,783.99</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-137.01%</w:t>
            </w:r>
          </w:p>
        </w:tc>
      </w:tr>
      <w:tr>
        <w:trPr>
          <w:trHeight w:val="427"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资产减值损失</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1,852,335.47</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409,272.93</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352.59%</w:t>
            </w:r>
          </w:p>
        </w:tc>
      </w:tr>
      <w:tr>
        <w:trPr>
          <w:trHeight w:val="427"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10,046,298.85</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11,133,587.48</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-9.77%</w:t>
            </w:r>
          </w:p>
        </w:tc>
      </w:tr>
    </w:tbl>
    <w:p>
      <w:pPr>
        <w:spacing w:line="240" w:lineRule="auto" w:before="3"/>
        <w:rPr>
          <w:rFonts w:ascii="宋体" w:hAnsi="宋体" w:cs="宋体" w:eastAsia="宋体" w:hint="default"/>
          <w:sz w:val="8"/>
          <w:szCs w:val="8"/>
        </w:rPr>
      </w:pPr>
    </w:p>
    <w:p>
      <w:pPr>
        <w:pStyle w:val="BodyText"/>
        <w:spacing w:line="256" w:lineRule="auto" w:before="36"/>
        <w:ind w:right="0" w:firstLine="526"/>
        <w:jc w:val="left"/>
      </w:pPr>
      <w:r>
        <w:rPr>
          <w:spacing w:val="-3"/>
        </w:rPr>
        <w:t>财务费用：报告期发生额为</w:t>
      </w:r>
      <w:r>
        <w:rPr>
          <w:rFonts w:ascii="Times New Roman" w:hAnsi="Times New Roman" w:cs="Times New Roman" w:eastAsia="Times New Roman" w:hint="default"/>
          <w:spacing w:val="-3"/>
        </w:rPr>
        <w:t>-414.72</w:t>
      </w:r>
      <w:r>
        <w:rPr>
          <w:spacing w:val="-3"/>
        </w:rPr>
        <w:t>万元，较去年同期下降</w:t>
      </w:r>
      <w:r>
        <w:rPr>
          <w:rFonts w:ascii="Times New Roman" w:hAnsi="Times New Roman" w:cs="Times New Roman" w:eastAsia="Times New Roman" w:hint="default"/>
          <w:spacing w:val="-3"/>
        </w:rPr>
        <w:t>137.01%</w:t>
      </w:r>
      <w:r>
        <w:rPr>
          <w:spacing w:val="-3"/>
        </w:rPr>
        <w:t>，系报告期内定期存款到期产生利</w:t>
      </w:r>
      <w:r>
        <w:rPr>
          <w:w w:val="100"/>
        </w:rPr>
        <w:t> </w:t>
      </w:r>
      <w:r>
        <w:rPr/>
        <w:t>息收入较去年同期增加所致。</w:t>
      </w:r>
    </w:p>
    <w:p>
      <w:pPr>
        <w:pStyle w:val="BodyText"/>
        <w:spacing w:line="256" w:lineRule="auto" w:before="22"/>
        <w:ind w:right="0" w:firstLine="420"/>
        <w:jc w:val="left"/>
      </w:pPr>
      <w:r>
        <w:rPr>
          <w:spacing w:val="-1"/>
        </w:rPr>
        <w:t>资产减值损失：报告期内发生额为</w:t>
      </w:r>
      <w:r>
        <w:rPr>
          <w:rFonts w:ascii="Times New Roman" w:hAnsi="Times New Roman" w:cs="Times New Roman" w:eastAsia="Times New Roman" w:hint="default"/>
          <w:spacing w:val="-1"/>
        </w:rPr>
        <w:t>185.23</w:t>
      </w:r>
      <w:r>
        <w:rPr>
          <w:spacing w:val="-1"/>
        </w:rPr>
        <w:t>万元，较去年同期增加</w:t>
      </w:r>
      <w:r>
        <w:rPr>
          <w:rFonts w:ascii="Times New Roman" w:hAnsi="Times New Roman" w:cs="Times New Roman" w:eastAsia="Times New Roman" w:hint="default"/>
          <w:spacing w:val="-1"/>
        </w:rPr>
        <w:t>352.59%</w:t>
      </w:r>
      <w:r>
        <w:rPr>
          <w:spacing w:val="-1"/>
        </w:rPr>
        <w:t>，系报告期</w:t>
      </w:r>
      <w:r>
        <w:rPr>
          <w:rFonts w:ascii="Times New Roman" w:hAnsi="Times New Roman" w:cs="Times New Roman" w:eastAsia="Times New Roman" w:hint="default"/>
          <w:spacing w:val="-1"/>
        </w:rPr>
        <w:t>3</w:t>
      </w:r>
      <w:r>
        <w:rPr>
          <w:spacing w:val="-1"/>
        </w:rPr>
        <w:t>年以上应收款增</w:t>
      </w:r>
      <w:r>
        <w:rPr>
          <w:w w:val="100"/>
        </w:rPr>
        <w:t> </w:t>
      </w:r>
      <w:r>
        <w:rPr/>
        <w:t>加从而加大坏账准备计提比例所致。</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2576"/>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65" w:type="dxa"/>
        <w:tblLayout w:type="fixed"/>
        <w:tblCellMar>
          <w:top w:w="0" w:type="dxa"/>
          <w:left w:w="0" w:type="dxa"/>
          <w:bottom w:w="0" w:type="dxa"/>
          <w:right w:w="0" w:type="dxa"/>
        </w:tblCellMar>
        <w:tblLook w:val="01E0"/>
      </w:tblPr>
      <w:tblGrid>
        <w:gridCol w:w="2576"/>
        <w:gridCol w:w="2245"/>
        <w:gridCol w:w="2244"/>
        <w:gridCol w:w="2413"/>
      </w:tblGrid>
      <w:tr>
        <w:trPr>
          <w:trHeight w:val="34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年度</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年度</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年度</w:t>
            </w:r>
          </w:p>
        </w:tc>
      </w:tr>
      <w:tr>
        <w:trPr>
          <w:trHeight w:val="348"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研发投入金额（元）</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15,377,803.31</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19,583,908.80</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17,301,644.84</w:t>
            </w:r>
          </w:p>
        </w:tc>
      </w:tr>
      <w:tr>
        <w:trPr>
          <w:trHeight w:val="427"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研发投入占营业收入比例（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4.48%</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6.12%</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5.84%</w:t>
            </w:r>
          </w:p>
        </w:tc>
      </w:tr>
      <w:tr>
        <w:trPr>
          <w:trHeight w:val="427"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研发投入占净资产比例（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2.37%</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3.19%</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2.87%</w:t>
            </w:r>
          </w:p>
        </w:tc>
      </w:tr>
    </w:tbl>
    <w:p>
      <w:pPr>
        <w:pStyle w:val="BodyText"/>
        <w:spacing w:line="256" w:lineRule="auto" w:before="28"/>
        <w:ind w:right="1121" w:firstLine="420"/>
        <w:jc w:val="both"/>
      </w:pPr>
      <w:r>
        <w:rPr>
          <w:spacing w:val="-2"/>
        </w:rPr>
        <w:t>报告期内，公司研发实际支出为</w:t>
      </w:r>
      <w:r>
        <w:rPr>
          <w:rFonts w:ascii="Times New Roman" w:hAnsi="Times New Roman" w:cs="Times New Roman" w:eastAsia="Times New Roman" w:hint="default"/>
          <w:spacing w:val="-2"/>
        </w:rPr>
        <w:t>15,377,803.31</w:t>
      </w:r>
      <w:r>
        <w:rPr>
          <w:spacing w:val="-2"/>
        </w:rPr>
        <w:t>元，占营业收入比例为</w:t>
      </w:r>
      <w:r>
        <w:rPr>
          <w:rFonts w:ascii="Times New Roman" w:hAnsi="Times New Roman" w:cs="Times New Roman" w:eastAsia="Times New Roman" w:hint="default"/>
          <w:spacing w:val="-2"/>
        </w:rPr>
        <w:t>4.48%</w:t>
      </w:r>
      <w:r>
        <w:rPr>
          <w:spacing w:val="-2"/>
        </w:rPr>
        <w:t>，占净资产比例为</w:t>
      </w:r>
      <w:r>
        <w:rPr>
          <w:rFonts w:ascii="Times New Roman" w:hAnsi="Times New Roman" w:cs="Times New Roman" w:eastAsia="Times New Roman" w:hint="default"/>
          <w:spacing w:val="-2"/>
        </w:rPr>
        <w:t>2.37%</w:t>
      </w:r>
      <w:r>
        <w:rPr>
          <w:spacing w:val="-2"/>
        </w:rPr>
        <w:t>，</w:t>
      </w:r>
      <w:r>
        <w:rPr>
          <w:w w:val="100"/>
        </w:rPr>
        <w:t> </w:t>
      </w:r>
      <w:r>
        <w:rPr>
          <w:spacing w:val="-4"/>
        </w:rPr>
        <w:t>主要用于研发智能可控气氛渗氮</w:t>
      </w:r>
      <w:r>
        <w:rPr>
          <w:rFonts w:ascii="Times New Roman" w:hAnsi="Times New Roman" w:cs="Times New Roman" w:eastAsia="Times New Roman" w:hint="default"/>
          <w:spacing w:val="-4"/>
        </w:rPr>
        <w:t>/</w:t>
      </w:r>
      <w:r>
        <w:rPr>
          <w:spacing w:val="-4"/>
        </w:rPr>
        <w:t>渗碳多用炉、智能真空超高压气淬炉、真空渗碳油淬炉、等离子热处理炉</w:t>
      </w:r>
      <w:r>
        <w:rPr>
          <w:spacing w:val="-8"/>
        </w:rPr>
        <w:t> </w:t>
      </w:r>
      <w:r>
        <w:rPr>
          <w:spacing w:val="-8"/>
        </w:rPr>
      </w:r>
      <w:r>
        <w:rPr>
          <w:spacing w:val="-4"/>
        </w:rPr>
        <w:t>等试验装置以及热处理温度场</w:t>
      </w:r>
      <w:r>
        <w:rPr>
          <w:rFonts w:ascii="Times New Roman" w:hAnsi="Times New Roman" w:cs="Times New Roman" w:eastAsia="Times New Roman" w:hint="default"/>
          <w:spacing w:val="-4"/>
        </w:rPr>
        <w:t>/</w:t>
      </w:r>
      <w:r>
        <w:rPr>
          <w:spacing w:val="-4"/>
        </w:rPr>
        <w:t>流场模拟、淬火工艺数值模拟等热处理工艺技术。以上试验装置及工艺开发</w:t>
      </w:r>
    </w:p>
    <w:p>
      <w:pPr>
        <w:spacing w:after="0" w:line="256" w:lineRule="auto"/>
        <w:jc w:val="both"/>
        <w:sectPr>
          <w:footerReference w:type="default" r:id="rId22"/>
          <w:pgSz w:w="11910" w:h="16840"/>
          <w:pgMar w:footer="1237" w:header="745" w:top="1060" w:bottom="1420" w:left="960" w:right="0"/>
          <w:pgNumType w:start="11"/>
        </w:sectPr>
      </w:pPr>
    </w:p>
    <w:p>
      <w:pPr>
        <w:spacing w:line="240" w:lineRule="auto" w:before="10"/>
        <w:rPr>
          <w:rFonts w:ascii="宋体" w:hAnsi="宋体" w:cs="宋体" w:eastAsia="宋体" w:hint="default"/>
          <w:sz w:val="24"/>
          <w:szCs w:val="24"/>
        </w:rPr>
      </w:pPr>
    </w:p>
    <w:p>
      <w:pPr>
        <w:pStyle w:val="BodyText"/>
        <w:spacing w:line="256" w:lineRule="auto" w:before="36"/>
        <w:ind w:left="392" w:right="1126"/>
        <w:jc w:val="both"/>
      </w:pPr>
      <w:r>
        <w:rPr>
          <w:w w:val="100"/>
        </w:rPr>
        <w:t>项目</w:t>
      </w:r>
      <w:r>
        <w:rPr>
          <w:spacing w:val="-3"/>
          <w:w w:val="100"/>
        </w:rPr>
        <w:t>均</w:t>
      </w:r>
      <w:r>
        <w:rPr>
          <w:w w:val="100"/>
        </w:rPr>
        <w:t>已</w:t>
      </w:r>
      <w:r>
        <w:rPr>
          <w:spacing w:val="-3"/>
          <w:w w:val="100"/>
        </w:rPr>
        <w:t>启动</w:t>
      </w:r>
      <w:r>
        <w:rPr>
          <w:spacing w:val="-22"/>
          <w:w w:val="100"/>
        </w:rPr>
        <w:t>，</w:t>
      </w:r>
      <w:r>
        <w:rPr>
          <w:spacing w:val="-3"/>
          <w:w w:val="100"/>
        </w:rPr>
        <w:t>其</w:t>
      </w:r>
      <w:r>
        <w:rPr>
          <w:w w:val="100"/>
        </w:rPr>
        <w:t>中</w:t>
      </w:r>
      <w:r>
        <w:rPr>
          <w:rFonts w:ascii="Times New Roman" w:hAnsi="Times New Roman" w:cs="Times New Roman" w:eastAsia="Times New Roman" w:hint="default"/>
          <w:spacing w:val="-3"/>
          <w:w w:val="44"/>
        </w:rPr>
        <w:t>―</w:t>
      </w:r>
      <w:r>
        <w:rPr>
          <w:w w:val="100"/>
        </w:rPr>
        <w:t>智</w:t>
      </w:r>
      <w:r>
        <w:rPr>
          <w:spacing w:val="-3"/>
          <w:w w:val="100"/>
        </w:rPr>
        <w:t>能</w:t>
      </w:r>
      <w:r>
        <w:rPr>
          <w:w w:val="100"/>
        </w:rPr>
        <w:t>可控</w:t>
      </w:r>
      <w:r>
        <w:rPr>
          <w:spacing w:val="-3"/>
          <w:w w:val="100"/>
        </w:rPr>
        <w:t>气</w:t>
      </w:r>
      <w:r>
        <w:rPr>
          <w:w w:val="100"/>
        </w:rPr>
        <w:t>氛</w:t>
      </w:r>
      <w:r>
        <w:rPr>
          <w:spacing w:val="-3"/>
          <w:w w:val="100"/>
        </w:rPr>
        <w:t>渗</w:t>
      </w:r>
      <w:r>
        <w:rPr>
          <w:w w:val="100"/>
        </w:rPr>
        <w:t>碳</w:t>
      </w:r>
      <w:r>
        <w:rPr>
          <w:spacing w:val="-3"/>
          <w:w w:val="100"/>
        </w:rPr>
        <w:t>加</w:t>
      </w:r>
      <w:r>
        <w:rPr>
          <w:w w:val="100"/>
        </w:rPr>
        <w:t>热</w:t>
      </w:r>
      <w:r>
        <w:rPr>
          <w:spacing w:val="-3"/>
          <w:w w:val="100"/>
        </w:rPr>
        <w:t>多</w:t>
      </w:r>
      <w:r>
        <w:rPr>
          <w:w w:val="100"/>
        </w:rPr>
        <w:t>用</w:t>
      </w:r>
      <w:r>
        <w:rPr>
          <w:spacing w:val="-3"/>
          <w:w w:val="100"/>
        </w:rPr>
        <w:t>炉</w:t>
      </w:r>
      <w:r>
        <w:rPr>
          <w:w w:val="100"/>
        </w:rPr>
        <w:t>试验</w:t>
      </w:r>
      <w:r>
        <w:rPr>
          <w:spacing w:val="-3"/>
          <w:w w:val="100"/>
        </w:rPr>
        <w:t>装</w:t>
      </w:r>
      <w:r>
        <w:rPr>
          <w:w w:val="100"/>
        </w:rPr>
        <w:t>置</w:t>
      </w:r>
      <w:r>
        <w:rPr>
          <w:rFonts w:ascii="Times New Roman" w:hAnsi="Times New Roman" w:cs="Times New Roman" w:eastAsia="Times New Roman" w:hint="default"/>
          <w:spacing w:val="-3"/>
          <w:w w:val="159"/>
        </w:rPr>
        <w:t>‖</w:t>
      </w:r>
      <w:r>
        <w:rPr>
          <w:spacing w:val="-22"/>
          <w:w w:val="100"/>
        </w:rPr>
        <w:t>、</w:t>
      </w:r>
      <w:r>
        <w:rPr>
          <w:rFonts w:ascii="Times New Roman" w:hAnsi="Times New Roman" w:cs="Times New Roman" w:eastAsia="Times New Roman" w:hint="default"/>
          <w:spacing w:val="-3"/>
          <w:w w:val="44"/>
        </w:rPr>
        <w:t>―</w:t>
      </w:r>
      <w:r>
        <w:rPr>
          <w:w w:val="100"/>
        </w:rPr>
        <w:t>智</w:t>
      </w:r>
      <w:r>
        <w:rPr>
          <w:spacing w:val="-3"/>
          <w:w w:val="100"/>
        </w:rPr>
        <w:t>能</w:t>
      </w:r>
      <w:r>
        <w:rPr>
          <w:w w:val="100"/>
        </w:rPr>
        <w:t>可</w:t>
      </w:r>
      <w:r>
        <w:rPr>
          <w:spacing w:val="-3"/>
          <w:w w:val="100"/>
        </w:rPr>
        <w:t>控气</w:t>
      </w:r>
      <w:r>
        <w:rPr>
          <w:w w:val="100"/>
        </w:rPr>
        <w:t>氛渗</w:t>
      </w:r>
      <w:r>
        <w:rPr>
          <w:spacing w:val="-3"/>
          <w:w w:val="100"/>
        </w:rPr>
        <w:t>氮</w:t>
      </w:r>
      <w:r>
        <w:rPr>
          <w:w w:val="100"/>
        </w:rPr>
        <w:t>多</w:t>
      </w:r>
      <w:r>
        <w:rPr>
          <w:spacing w:val="-3"/>
          <w:w w:val="100"/>
        </w:rPr>
        <w:t>用</w:t>
      </w:r>
      <w:r>
        <w:rPr>
          <w:w w:val="100"/>
        </w:rPr>
        <w:t>炉</w:t>
      </w:r>
      <w:r>
        <w:rPr>
          <w:spacing w:val="-3"/>
          <w:w w:val="100"/>
        </w:rPr>
        <w:t>试</w:t>
      </w:r>
      <w:r>
        <w:rPr>
          <w:w w:val="100"/>
        </w:rPr>
        <w:t>验</w:t>
      </w:r>
      <w:r>
        <w:rPr>
          <w:spacing w:val="-3"/>
          <w:w w:val="100"/>
        </w:rPr>
        <w:t>装</w:t>
      </w:r>
      <w:r>
        <w:rPr>
          <w:w w:val="100"/>
        </w:rPr>
        <w:t>置</w:t>
      </w:r>
      <w:r>
        <w:rPr>
          <w:rFonts w:ascii="Times New Roman" w:hAnsi="Times New Roman" w:cs="Times New Roman" w:eastAsia="Times New Roman" w:hint="default"/>
          <w:spacing w:val="-3"/>
          <w:w w:val="159"/>
        </w:rPr>
        <w:t>‖</w:t>
      </w:r>
      <w:r>
        <w:rPr>
          <w:spacing w:val="-24"/>
          <w:w w:val="100"/>
        </w:rPr>
        <w:t>、</w:t>
      </w:r>
      <w:r>
        <w:rPr>
          <w:rFonts w:ascii="Times New Roman" w:hAnsi="Times New Roman" w:cs="Times New Roman" w:eastAsia="Times New Roman" w:hint="default"/>
          <w:spacing w:val="-1"/>
          <w:w w:val="44"/>
        </w:rPr>
        <w:t>―</w:t>
      </w:r>
      <w:r>
        <w:rPr>
          <w:w w:val="100"/>
        </w:rPr>
        <w:t>真 空等离</w:t>
      </w:r>
      <w:r>
        <w:rPr>
          <w:spacing w:val="-3"/>
          <w:w w:val="100"/>
        </w:rPr>
        <w:t>子</w:t>
      </w:r>
      <w:r>
        <w:rPr>
          <w:w w:val="100"/>
        </w:rPr>
        <w:t>热</w:t>
      </w:r>
      <w:r>
        <w:rPr>
          <w:spacing w:val="-3"/>
          <w:w w:val="100"/>
        </w:rPr>
        <w:t>处</w:t>
      </w:r>
      <w:r>
        <w:rPr>
          <w:w w:val="100"/>
        </w:rPr>
        <w:t>理炉</w:t>
      </w:r>
      <w:r>
        <w:rPr>
          <w:spacing w:val="-3"/>
          <w:w w:val="100"/>
        </w:rPr>
        <w:t>试</w:t>
      </w:r>
      <w:r>
        <w:rPr>
          <w:w w:val="100"/>
        </w:rPr>
        <w:t>验</w:t>
      </w:r>
      <w:r>
        <w:rPr>
          <w:spacing w:val="-3"/>
          <w:w w:val="100"/>
        </w:rPr>
        <w:t>装</w:t>
      </w:r>
      <w:r>
        <w:rPr>
          <w:w w:val="100"/>
        </w:rPr>
        <w:t>置</w:t>
      </w:r>
      <w:r>
        <w:rPr>
          <w:rFonts w:ascii="Times New Roman" w:hAnsi="Times New Roman" w:cs="Times New Roman" w:eastAsia="Times New Roman" w:hint="default"/>
          <w:spacing w:val="-1"/>
          <w:w w:val="159"/>
        </w:rPr>
        <w:t>‖</w:t>
      </w:r>
      <w:r>
        <w:rPr>
          <w:w w:val="100"/>
        </w:rPr>
        <w:t>已</w:t>
      </w:r>
      <w:r>
        <w:rPr>
          <w:spacing w:val="-3"/>
          <w:w w:val="100"/>
        </w:rPr>
        <w:t>完</w:t>
      </w:r>
      <w:r>
        <w:rPr>
          <w:w w:val="100"/>
        </w:rPr>
        <w:t>成，</w:t>
      </w:r>
      <w:r>
        <w:rPr>
          <w:rFonts w:ascii="Times New Roman" w:hAnsi="Times New Roman" w:cs="Times New Roman" w:eastAsia="Times New Roman" w:hint="default"/>
          <w:spacing w:val="-1"/>
          <w:w w:val="44"/>
        </w:rPr>
        <w:t>―</w:t>
      </w:r>
      <w:r>
        <w:rPr>
          <w:spacing w:val="-3"/>
          <w:w w:val="100"/>
        </w:rPr>
        <w:t>真</w:t>
      </w:r>
      <w:r>
        <w:rPr>
          <w:w w:val="100"/>
        </w:rPr>
        <w:t>空等</w:t>
      </w:r>
      <w:r>
        <w:rPr>
          <w:spacing w:val="-3"/>
          <w:w w:val="100"/>
        </w:rPr>
        <w:t>离子</w:t>
      </w:r>
      <w:r>
        <w:rPr>
          <w:w w:val="100"/>
        </w:rPr>
        <w:t>活性屏</w:t>
      </w:r>
      <w:r>
        <w:rPr>
          <w:spacing w:val="-3"/>
          <w:w w:val="100"/>
        </w:rPr>
        <w:t>渗</w:t>
      </w:r>
      <w:r>
        <w:rPr>
          <w:w w:val="100"/>
        </w:rPr>
        <w:t>氮炉</w:t>
      </w:r>
      <w:r>
        <w:rPr>
          <w:rFonts w:ascii="Times New Roman" w:hAnsi="Times New Roman" w:cs="Times New Roman" w:eastAsia="Times New Roman" w:hint="default"/>
          <w:spacing w:val="-3"/>
          <w:w w:val="159"/>
        </w:rPr>
        <w:t>‖</w:t>
      </w:r>
      <w:r>
        <w:rPr>
          <w:w w:val="100"/>
        </w:rPr>
        <w:t>已于</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012</w:t>
      </w:r>
      <w:r>
        <w:rPr>
          <w:spacing w:val="-3"/>
          <w:w w:val="100"/>
        </w:rPr>
        <w:t>年</w:t>
      </w:r>
      <w:r>
        <w:rPr>
          <w:rFonts w:ascii="Times New Roman" w:hAnsi="Times New Roman" w:cs="Times New Roman" w:eastAsia="Times New Roman" w:hint="default"/>
          <w:w w:val="100"/>
        </w:rPr>
        <w:t>8</w:t>
      </w:r>
      <w:r>
        <w:rPr>
          <w:w w:val="100"/>
        </w:rPr>
        <w:t>月通</w:t>
      </w:r>
      <w:r>
        <w:rPr>
          <w:spacing w:val="-3"/>
          <w:w w:val="100"/>
        </w:rPr>
        <w:t>过</w:t>
      </w:r>
      <w:r>
        <w:rPr>
          <w:w w:val="100"/>
        </w:rPr>
        <w:t>中国</w:t>
      </w:r>
      <w:r>
        <w:rPr>
          <w:spacing w:val="-3"/>
          <w:w w:val="100"/>
        </w:rPr>
        <w:t>热</w:t>
      </w:r>
      <w:r>
        <w:rPr>
          <w:w w:val="100"/>
        </w:rPr>
        <w:t>处理</w:t>
      </w:r>
      <w:r>
        <w:rPr>
          <w:spacing w:val="-3"/>
          <w:w w:val="100"/>
        </w:rPr>
        <w:t>行</w:t>
      </w:r>
      <w:r>
        <w:rPr>
          <w:w w:val="100"/>
        </w:rPr>
        <w:t>业</w:t>
      </w:r>
      <w:r>
        <w:rPr>
          <w:spacing w:val="-3"/>
          <w:w w:val="100"/>
        </w:rPr>
        <w:t>协</w:t>
      </w:r>
      <w:r>
        <w:rPr>
          <w:w w:val="100"/>
        </w:rPr>
        <w:t>会</w:t>
      </w:r>
      <w:r>
        <w:rPr>
          <w:w w:val="100"/>
        </w:rPr>
        <w:t> 组织的专家鉴定，</w:t>
      </w:r>
      <w:r>
        <w:rPr>
          <w:spacing w:val="2"/>
          <w:w w:val="100"/>
        </w:rPr>
        <w:t>鉴</w:t>
      </w:r>
      <w:r>
        <w:rPr>
          <w:w w:val="100"/>
        </w:rPr>
        <w:t>定结论</w:t>
      </w:r>
      <w:r>
        <w:rPr>
          <w:spacing w:val="3"/>
          <w:w w:val="100"/>
        </w:rPr>
        <w:t>为</w:t>
      </w:r>
      <w:r>
        <w:rPr>
          <w:rFonts w:ascii="Times New Roman" w:hAnsi="Times New Roman" w:cs="Times New Roman" w:eastAsia="Times New Roman" w:hint="default"/>
          <w:spacing w:val="-2"/>
          <w:w w:val="56"/>
        </w:rPr>
        <w:t>:</w:t>
      </w:r>
      <w:r>
        <w:rPr>
          <w:rFonts w:ascii="Times New Roman" w:hAnsi="Times New Roman" w:cs="Times New Roman" w:eastAsia="Times New Roman" w:hint="default"/>
          <w:spacing w:val="-1"/>
          <w:w w:val="56"/>
        </w:rPr>
        <w:t>―</w:t>
      </w:r>
      <w:r>
        <w:rPr>
          <w:w w:val="100"/>
        </w:rPr>
        <w:t>该项目填补了国内空白，其主要技术</w:t>
      </w:r>
      <w:r>
        <w:rPr>
          <w:spacing w:val="2"/>
          <w:w w:val="100"/>
        </w:rPr>
        <w:t>指</w:t>
      </w:r>
      <w:r>
        <w:rPr>
          <w:w w:val="100"/>
        </w:rPr>
        <w:t>标达到了国际领先水</w:t>
      </w:r>
      <w:r>
        <w:rPr>
          <w:spacing w:val="3"/>
          <w:w w:val="100"/>
        </w:rPr>
        <w:t>平</w:t>
      </w:r>
      <w:r>
        <w:rPr>
          <w:rFonts w:ascii="Times New Roman" w:hAnsi="Times New Roman" w:cs="Times New Roman" w:eastAsia="Times New Roman" w:hint="default"/>
          <w:spacing w:val="-1"/>
          <w:w w:val="159"/>
        </w:rPr>
        <w:t>‖</w:t>
      </w:r>
      <w:r>
        <w:rPr>
          <w:w w:val="100"/>
        </w:rPr>
        <w:t>。</w:t>
      </w:r>
      <w:r>
        <w:rPr>
          <w:rFonts w:ascii="Times New Roman" w:hAnsi="Times New Roman" w:cs="Times New Roman" w:eastAsia="Times New Roman" w:hint="default"/>
          <w:spacing w:val="-1"/>
          <w:w w:val="44"/>
        </w:rPr>
        <w:t>―</w:t>
      </w:r>
      <w:r>
        <w:rPr>
          <w:w w:val="100"/>
        </w:rPr>
        <w:t>智</w:t>
      </w:r>
      <w:r>
        <w:rPr>
          <w:spacing w:val="2"/>
          <w:w w:val="100"/>
        </w:rPr>
        <w:t>能</w:t>
      </w:r>
      <w:r>
        <w:rPr>
          <w:w w:val="100"/>
        </w:rPr>
        <w:t>真</w:t>
      </w:r>
      <w:r>
        <w:rPr>
          <w:w w:val="100"/>
        </w:rPr>
        <w:t> 空渗</w:t>
      </w:r>
      <w:r>
        <w:rPr>
          <w:spacing w:val="-3"/>
          <w:w w:val="100"/>
        </w:rPr>
        <w:t>碳</w:t>
      </w:r>
      <w:r>
        <w:rPr>
          <w:w w:val="100"/>
        </w:rPr>
        <w:t>油</w:t>
      </w:r>
      <w:r>
        <w:rPr>
          <w:spacing w:val="-3"/>
          <w:w w:val="100"/>
        </w:rPr>
        <w:t>淬</w:t>
      </w:r>
      <w:r>
        <w:rPr>
          <w:w w:val="100"/>
        </w:rPr>
        <w:t>炉</w:t>
      </w:r>
      <w:r>
        <w:rPr>
          <w:spacing w:val="-3"/>
          <w:w w:val="100"/>
        </w:rPr>
        <w:t>试</w:t>
      </w:r>
      <w:r>
        <w:rPr>
          <w:w w:val="100"/>
        </w:rPr>
        <w:t>验</w:t>
      </w:r>
      <w:r>
        <w:rPr>
          <w:spacing w:val="-3"/>
          <w:w w:val="100"/>
        </w:rPr>
        <w:t>装</w:t>
      </w:r>
      <w:r>
        <w:rPr>
          <w:w w:val="100"/>
        </w:rPr>
        <w:t>置</w:t>
      </w:r>
      <w:r>
        <w:rPr>
          <w:rFonts w:ascii="Times New Roman" w:hAnsi="Times New Roman" w:cs="Times New Roman" w:eastAsia="Times New Roman" w:hint="default"/>
          <w:spacing w:val="-3"/>
          <w:w w:val="159"/>
        </w:rPr>
        <w:t>‖</w:t>
      </w:r>
      <w:r>
        <w:rPr>
          <w:spacing w:val="-3"/>
          <w:w w:val="100"/>
        </w:rPr>
        <w:t>及</w:t>
      </w:r>
      <w:r>
        <w:rPr>
          <w:rFonts w:ascii="Times New Roman" w:hAnsi="Times New Roman" w:cs="Times New Roman" w:eastAsia="Times New Roman" w:hint="default"/>
          <w:spacing w:val="-1"/>
          <w:w w:val="44"/>
        </w:rPr>
        <w:t>―</w:t>
      </w:r>
      <w:r>
        <w:rPr>
          <w:w w:val="100"/>
        </w:rPr>
        <w:t>智</w:t>
      </w:r>
      <w:r>
        <w:rPr>
          <w:spacing w:val="-3"/>
          <w:w w:val="100"/>
        </w:rPr>
        <w:t>能</w:t>
      </w:r>
      <w:r>
        <w:rPr>
          <w:w w:val="100"/>
        </w:rPr>
        <w:t>热</w:t>
      </w:r>
      <w:r>
        <w:rPr>
          <w:spacing w:val="-3"/>
          <w:w w:val="100"/>
        </w:rPr>
        <w:t>处</w:t>
      </w:r>
      <w:r>
        <w:rPr>
          <w:w w:val="100"/>
        </w:rPr>
        <w:t>理</w:t>
      </w:r>
      <w:r>
        <w:rPr>
          <w:spacing w:val="-3"/>
          <w:w w:val="100"/>
        </w:rPr>
        <w:t>模</w:t>
      </w:r>
      <w:r>
        <w:rPr>
          <w:w w:val="100"/>
        </w:rPr>
        <w:t>拟</w:t>
      </w:r>
      <w:r>
        <w:rPr>
          <w:spacing w:val="-3"/>
          <w:w w:val="100"/>
        </w:rPr>
        <w:t>试</w:t>
      </w:r>
      <w:r>
        <w:rPr>
          <w:w w:val="100"/>
        </w:rPr>
        <w:t>验</w:t>
      </w:r>
      <w:r>
        <w:rPr>
          <w:spacing w:val="-3"/>
          <w:w w:val="100"/>
        </w:rPr>
        <w:t>装置</w:t>
      </w:r>
      <w:r>
        <w:rPr>
          <w:rFonts w:ascii="Times New Roman" w:hAnsi="Times New Roman" w:cs="Times New Roman" w:eastAsia="Times New Roman" w:hint="default"/>
          <w:spacing w:val="-1"/>
          <w:w w:val="159"/>
        </w:rPr>
        <w:t>‖</w:t>
      </w:r>
      <w:r>
        <w:rPr>
          <w:w w:val="100"/>
        </w:rPr>
        <w:t>正</w:t>
      </w:r>
      <w:r>
        <w:rPr>
          <w:spacing w:val="-3"/>
          <w:w w:val="100"/>
        </w:rPr>
        <w:t>在</w:t>
      </w:r>
      <w:r>
        <w:rPr>
          <w:w w:val="100"/>
        </w:rPr>
        <w:t>安</w:t>
      </w:r>
      <w:r>
        <w:rPr>
          <w:spacing w:val="-3"/>
          <w:w w:val="100"/>
        </w:rPr>
        <w:t>装</w:t>
      </w:r>
      <w:r>
        <w:rPr>
          <w:w w:val="100"/>
        </w:rPr>
        <w:t>调</w:t>
      </w:r>
      <w:r>
        <w:rPr>
          <w:spacing w:val="-3"/>
          <w:w w:val="100"/>
        </w:rPr>
        <w:t>试</w:t>
      </w:r>
      <w:r>
        <w:rPr>
          <w:w w:val="100"/>
        </w:rPr>
        <w:t>，</w:t>
      </w:r>
      <w:r>
        <w:rPr>
          <w:spacing w:val="-3"/>
          <w:w w:val="100"/>
        </w:rPr>
        <w:t>将</w:t>
      </w:r>
      <w:r>
        <w:rPr>
          <w:w w:val="100"/>
        </w:rPr>
        <w:t>于</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13</w:t>
      </w:r>
      <w:r>
        <w:rPr>
          <w:w w:val="100"/>
        </w:rPr>
        <w:t>年上</w:t>
      </w:r>
      <w:r>
        <w:rPr>
          <w:spacing w:val="-3"/>
          <w:w w:val="100"/>
        </w:rPr>
        <w:t>半</w:t>
      </w:r>
      <w:r>
        <w:rPr>
          <w:w w:val="100"/>
        </w:rPr>
        <w:t>年</w:t>
      </w:r>
      <w:r>
        <w:rPr>
          <w:spacing w:val="-3"/>
          <w:w w:val="100"/>
        </w:rPr>
        <w:t>全</w:t>
      </w:r>
      <w:r>
        <w:rPr>
          <w:w w:val="100"/>
        </w:rPr>
        <w:t>部</w:t>
      </w:r>
      <w:r>
        <w:rPr>
          <w:spacing w:val="-3"/>
          <w:w w:val="100"/>
        </w:rPr>
        <w:t>完</w:t>
      </w:r>
      <w:r>
        <w:rPr>
          <w:w w:val="100"/>
        </w:rPr>
        <w:t>成。</w:t>
      </w:r>
    </w:p>
    <w:p>
      <w:pPr>
        <w:spacing w:line="240" w:lineRule="auto" w:before="4"/>
        <w:rPr>
          <w:rFonts w:ascii="宋体" w:hAnsi="宋体" w:cs="宋体" w:eastAsia="宋体" w:hint="default"/>
          <w:sz w:val="23"/>
          <w:szCs w:val="23"/>
        </w:rPr>
      </w:pPr>
    </w:p>
    <w:p>
      <w:pPr>
        <w:pStyle w:val="Heading4"/>
        <w:spacing w:line="240" w:lineRule="auto"/>
        <w:ind w:left="392" w:right="0"/>
        <w:jc w:val="both"/>
        <w:rPr>
          <w:b w:val="0"/>
          <w:bCs w:val="0"/>
        </w:rPr>
      </w:pPr>
      <w:r>
        <w:rPr>
          <w:rFonts w:ascii="Times New Roman" w:hAnsi="Times New Roman" w:cs="Times New Roman" w:eastAsia="Times New Roman" w:hint="default"/>
        </w:rPr>
        <w:t>6</w:t>
      </w:r>
      <w:r>
        <w:rPr/>
        <w:t>、现金流</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652"/>
        <w:gridCol w:w="2403"/>
        <w:gridCol w:w="2393"/>
        <w:gridCol w:w="2393"/>
      </w:tblGrid>
      <w:tr>
        <w:trPr>
          <w:trHeight w:val="403"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410,851,306.94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417,829,617.28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-1.6701%</w:t>
            </w:r>
          </w:p>
        </w:tc>
      </w:tr>
      <w:tr>
        <w:trPr>
          <w:trHeight w:val="403"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377,100,086.91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405,974,372.75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-7.1123%</w:t>
            </w:r>
            <w:r>
              <w:rPr>
                <w:rFonts w:ascii="Times New Roman"/>
                <w:spacing w:val="-1"/>
                <w:sz w:val="18"/>
              </w:rPr>
            </w:r>
          </w:p>
        </w:tc>
      </w:tr>
      <w:tr>
        <w:trPr>
          <w:trHeight w:val="401"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33,751,220.03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11,855,244.53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184.6944%</w:t>
            </w:r>
          </w:p>
        </w:tc>
      </w:tr>
      <w:tr>
        <w:trPr>
          <w:trHeight w:val="403"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8,603,984.64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6,142,790.64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40.0664%</w:t>
            </w:r>
          </w:p>
        </w:tc>
      </w:tr>
      <w:tr>
        <w:trPr>
          <w:trHeight w:val="401"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72,192,190.14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58,111,539.77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24.2304%</w:t>
            </w:r>
          </w:p>
        </w:tc>
      </w:tr>
      <w:tr>
        <w:trPr>
          <w:trHeight w:val="403"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-63,588,205.50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-51,968,749.13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-22.36%</w:t>
            </w:r>
          </w:p>
        </w:tc>
      </w:tr>
      <w:tr>
        <w:trPr>
          <w:trHeight w:val="401"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204.0541%</w:t>
            </w:r>
          </w:p>
        </w:tc>
      </w:tr>
      <w:tr>
        <w:trPr>
          <w:trHeight w:val="403"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62,524,879.20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103,523,509.80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-39.6032%</w:t>
            </w:r>
          </w:p>
        </w:tc>
      </w:tr>
      <w:tr>
        <w:trPr>
          <w:trHeight w:val="401"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-17,524,879.20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-88,723,509.80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80.25%</w:t>
            </w:r>
          </w:p>
        </w:tc>
      </w:tr>
      <w:tr>
        <w:trPr>
          <w:trHeight w:val="403"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-47,356,511.56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-128,797,516.69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63.23%</w:t>
            </w:r>
          </w:p>
        </w:tc>
      </w:tr>
    </w:tbl>
    <w:p>
      <w:pPr>
        <w:spacing w:before="49"/>
        <w:ind w:left="392" w:right="633"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1"/>
        <w:ind w:left="392" w:right="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6" w:lineRule="auto" w:before="83"/>
        <w:ind w:left="392" w:right="633" w:firstLine="420"/>
        <w:jc w:val="left"/>
      </w:pPr>
      <w:r>
        <w:rPr>
          <w:rFonts w:ascii="Times New Roman" w:hAnsi="Times New Roman" w:cs="Times New Roman" w:eastAsia="Times New Roman" w:hint="default"/>
          <w:spacing w:val="-3"/>
        </w:rPr>
        <w:t>1</w:t>
      </w:r>
      <w:r>
        <w:rPr>
          <w:spacing w:val="-3"/>
        </w:rPr>
        <w:t>、经营活动产生的现金流量净额本年比上年同期增长</w:t>
      </w:r>
      <w:r>
        <w:rPr>
          <w:rFonts w:ascii="Times New Roman" w:hAnsi="Times New Roman" w:cs="Times New Roman" w:eastAsia="Times New Roman" w:hint="default"/>
          <w:spacing w:val="-3"/>
        </w:rPr>
        <w:t>184.6944%</w:t>
      </w:r>
      <w:r>
        <w:rPr>
          <w:spacing w:val="-3"/>
        </w:rPr>
        <w:t>，主要原因系报告期内采购及付现量</w:t>
      </w:r>
      <w:r>
        <w:rPr>
          <w:w w:val="100"/>
        </w:rPr>
        <w:t> </w:t>
      </w:r>
      <w:r>
        <w:rPr/>
        <w:t>减少；</w:t>
      </w:r>
    </w:p>
    <w:p>
      <w:pPr>
        <w:pStyle w:val="BodyText"/>
        <w:spacing w:line="256" w:lineRule="auto" w:before="22"/>
        <w:ind w:left="392" w:right="633" w:firstLine="420"/>
        <w:jc w:val="left"/>
      </w:pPr>
      <w:r>
        <w:rPr>
          <w:rFonts w:ascii="Times New Roman" w:hAnsi="Times New Roman" w:cs="Times New Roman" w:eastAsia="Times New Roman" w:hint="default"/>
          <w:spacing w:val="-2"/>
        </w:rPr>
        <w:t>2</w:t>
      </w:r>
      <w:r>
        <w:rPr>
          <w:spacing w:val="-2"/>
        </w:rPr>
        <w:t>、筹资活动产生的现金流量净额本年比上年同期增长</w:t>
      </w:r>
      <w:r>
        <w:rPr>
          <w:rFonts w:ascii="Times New Roman" w:hAnsi="Times New Roman" w:cs="Times New Roman" w:eastAsia="Times New Roman" w:hint="default"/>
          <w:spacing w:val="-2"/>
        </w:rPr>
        <w:t>80.25%</w:t>
      </w:r>
      <w:r>
        <w:rPr>
          <w:spacing w:val="-2"/>
        </w:rPr>
        <w:t>，主要原因系报告期内偿还银行借款支</w:t>
      </w:r>
      <w:r>
        <w:rPr>
          <w:w w:val="100"/>
        </w:rPr>
        <w:t> </w:t>
      </w:r>
      <w:r>
        <w:rPr/>
        <w:t>付的利息及支付股利减少。</w:t>
      </w:r>
    </w:p>
    <w:p>
      <w:pPr>
        <w:spacing w:line="240" w:lineRule="auto" w:before="9"/>
        <w:rPr>
          <w:rFonts w:ascii="宋体" w:hAnsi="宋体" w:cs="宋体" w:eastAsia="宋体" w:hint="default"/>
          <w:sz w:val="28"/>
          <w:szCs w:val="28"/>
        </w:rPr>
      </w:pPr>
    </w:p>
    <w:p>
      <w:pPr>
        <w:pStyle w:val="BodyText"/>
        <w:spacing w:line="240" w:lineRule="auto"/>
        <w:ind w:left="392" w:right="633"/>
        <w:jc w:val="left"/>
      </w:pPr>
      <w:r>
        <w:rPr/>
        <w:t>报告期内公司经营活动的现金流量与本年度净利润存在重大差异的原因说明</w:t>
      </w:r>
    </w:p>
    <w:p>
      <w:pPr>
        <w:spacing w:before="96"/>
        <w:ind w:left="392" w:right="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6" w:lineRule="auto" w:before="83"/>
        <w:ind w:left="392" w:right="633" w:firstLine="420"/>
        <w:jc w:val="left"/>
      </w:pPr>
      <w:r>
        <w:rPr>
          <w:spacing w:val="-2"/>
        </w:rPr>
        <w:t>报告期内，公司经营活动产生的现金流量与报告期净利润相比存在</w:t>
      </w:r>
      <w:r>
        <w:rPr>
          <w:rFonts w:ascii="Times New Roman" w:hAnsi="Times New Roman" w:cs="Times New Roman" w:eastAsia="Times New Roman" w:hint="default"/>
          <w:spacing w:val="-2"/>
        </w:rPr>
        <w:t>18,806,166.83</w:t>
      </w:r>
      <w:r>
        <w:rPr>
          <w:spacing w:val="-2"/>
        </w:rPr>
        <w:t>元的差异，主要原因</w:t>
      </w:r>
      <w:r>
        <w:rPr>
          <w:w w:val="100"/>
        </w:rPr>
        <w:t> </w:t>
      </w:r>
      <w:r>
        <w:rPr/>
        <w:t>系本报告期由于经济景气度的影响，客户赊欠额度有所增加。</w:t>
      </w:r>
    </w:p>
    <w:p>
      <w:pPr>
        <w:spacing w:after="0" w:line="256" w:lineRule="auto"/>
        <w:jc w:val="left"/>
        <w:sectPr>
          <w:pgSz w:w="11910" w:h="16840"/>
          <w:pgMar w:header="745" w:footer="1237" w:top="1060" w:bottom="1420" w:left="740" w:right="0"/>
        </w:sectPr>
      </w:pP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23"/>
          <w:pgSz w:w="11910" w:h="16840"/>
          <w:pgMar w:footer="1340" w:header="745" w:top="1060" w:bottom="1540" w:left="960" w:right="0"/>
          <w:pgNumType w:start="13"/>
        </w:sectPr>
      </w:pPr>
    </w:p>
    <w:p>
      <w:pPr>
        <w:pStyle w:val="Heading2"/>
        <w:spacing w:line="240" w:lineRule="auto" w:before="26"/>
        <w:ind w:right="0"/>
        <w:jc w:val="left"/>
        <w:rPr>
          <w:b w:val="0"/>
          <w:bCs w:val="0"/>
        </w:rPr>
      </w:pPr>
      <w:r>
        <w:rPr>
          <w:w w:val="95"/>
        </w:rPr>
        <w:t>三、主营业务构成情况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4"/>
          <w:szCs w:val="14"/>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0" w:bottom="280" w:left="960" w:right="0"/>
          <w:cols w:num="2" w:equalWidth="0">
            <w:col w:w="2582" w:space="6338"/>
            <w:col w:w="2030"/>
          </w:cols>
        </w:sectPr>
      </w:pPr>
    </w:p>
    <w:p>
      <w:pPr>
        <w:spacing w:line="240" w:lineRule="auto" w:before="2"/>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343,135,830.49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234,394,211.71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31.6905%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-0.9302%</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热处理设备内销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205,490,740.96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139,130,170.49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32.2937%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0.0391%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热处理设备外销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22,528,169.58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14,997,464.15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188.385%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13.6447%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热处理加工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77,315,415.36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55,051,028.78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28.7968%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-4.5177%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37,801,504.59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25,215,548.29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33.2949%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27.2376%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w w:val="95"/>
                <w:sz w:val="18"/>
              </w:rPr>
              <w:t>33.411%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-3.0869%</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210,802,323.17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139,902,756.97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w w:val="95"/>
                <w:sz w:val="18"/>
              </w:rPr>
              <w:t>6.115%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-0.2145%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13,945,739.92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9,465,150.59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32.1287%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0.0357%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36,630,770.42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24,838,009.44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32.1936%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27.249%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-4.3664%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13,552,594.06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10,553,827.84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22.1269%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69.386%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-5.1202%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8,485,637.57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4,879,881.82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-29.527%</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-36.974%</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6.7953%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10,171,837.63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6,609,482.36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35.0217%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216.897%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207.118%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2.0687%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25,882,060.31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22,595,055.83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12.6999%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-41.181%</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-29.696%</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-14.2623%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23,664,867.41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15,550,046.86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34.2906%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202.936%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14.5073%</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3"/>
        <w:rPr>
          <w:rFonts w:ascii="宋体" w:hAnsi="宋体" w:cs="宋体" w:eastAsia="宋体" w:hint="default"/>
          <w:b/>
          <w:bCs/>
          <w:sz w:val="8"/>
          <w:szCs w:val="8"/>
        </w:rPr>
      </w:pPr>
    </w:p>
    <w:p>
      <w:pPr>
        <w:spacing w:before="44"/>
        <w:ind w:left="0" w:right="1131" w:firstLine="0"/>
        <w:jc w:val="right"/>
        <w:rPr>
          <w:rFonts w:ascii="宋体" w:hAnsi="宋体" w:cs="宋体" w:eastAsia="宋体" w:hint="default"/>
          <w:sz w:val="18"/>
          <w:szCs w:val="18"/>
        </w:rPr>
      </w:pPr>
      <w:r>
        <w:rPr/>
        <w:pict>
          <v:shape style="position:absolute;margin-left:270.290009pt;margin-top:39.957729pt;width:68.55pt;height:19.75pt;mso-position-horizontal-relative:page;mso-position-vertical-relative:paragraph;z-index:-85979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1346"/>
        <w:gridCol w:w="1478"/>
        <w:gridCol w:w="1560"/>
        <w:gridCol w:w="1277"/>
        <w:gridCol w:w="1560"/>
        <w:gridCol w:w="850"/>
        <w:gridCol w:w="1488"/>
      </w:tblGrid>
      <w:tr>
        <w:trPr>
          <w:trHeight w:val="204"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30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8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left="60" w:right="0"/>
              <w:jc w:val="left"/>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left="-128" w:right="0"/>
              <w:jc w:val="left"/>
              <w:rPr>
                <w:rFonts w:ascii="宋体" w:hAnsi="宋体" w:cs="宋体" w:eastAsia="宋体" w:hint="default"/>
                <w:sz w:val="18"/>
                <w:szCs w:val="18"/>
              </w:rPr>
            </w:pPr>
            <w:r>
              <w:rPr>
                <w:rFonts w:ascii="宋体" w:hAnsi="宋体" w:cs="宋体" w:eastAsia="宋体" w:hint="default"/>
                <w:position w:val="-4"/>
                <w:sz w:val="18"/>
                <w:szCs w:val="18"/>
              </w:rPr>
              <w:t>）</w:t>
            </w:r>
            <w:r>
              <w:rPr>
                <w:rFonts w:ascii="宋体" w:hAnsi="宋体" w:cs="宋体" w:eastAsia="宋体" w:hint="default"/>
                <w:spacing w:val="21"/>
                <w:position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3038" w:type="dxa"/>
            <w:gridSpan w:val="2"/>
            <w:vMerge/>
            <w:tcBorders>
              <w:left w:val="single" w:sz="4" w:space="0" w:color="000000"/>
              <w:bottom w:val="single" w:sz="4" w:space="0" w:color="000000"/>
              <w:right w:val="single" w:sz="4" w:space="0" w:color="000000"/>
            </w:tcBorders>
            <w:shd w:val="clear" w:color="auto" w:fill="D2D2D2"/>
          </w:tcPr>
          <w:p>
            <w:pPr/>
          </w:p>
        </w:tc>
        <w:tc>
          <w:tcPr>
            <w:tcW w:w="2837"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488" w:type="dxa"/>
            <w:vMerge/>
            <w:tcBorders>
              <w:left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4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占总资产比例（</w:t>
            </w:r>
            <w:r>
              <w:rPr>
                <w:rFonts w:ascii="Times New Roman" w:hAnsi="Times New Roman" w:cs="Times New Roman" w:eastAsia="Times New Roman" w:hint="default"/>
                <w:sz w:val="18"/>
                <w:szCs w:val="18"/>
              </w:rPr>
              <w:t>%</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占总资产比例（</w:t>
            </w:r>
            <w:r>
              <w:rPr>
                <w:rFonts w:ascii="Times New Roman" w:hAnsi="Times New Roman" w:cs="Times New Roman" w:eastAsia="Times New Roman" w:hint="default"/>
                <w:sz w:val="18"/>
                <w:szCs w:val="18"/>
              </w:rPr>
              <w:t>%</w:t>
            </w:r>
          </w:p>
        </w:tc>
        <w:tc>
          <w:tcPr>
            <w:tcW w:w="850" w:type="dxa"/>
            <w:vMerge/>
            <w:tcBorders>
              <w:left w:val="single" w:sz="4" w:space="0" w:color="000000"/>
              <w:right w:val="single" w:sz="4" w:space="0" w:color="000000"/>
            </w:tcBorders>
            <w:shd w:val="clear" w:color="auto" w:fill="D2D2D2"/>
          </w:tcPr>
          <w:p>
            <w:pPr/>
          </w:p>
        </w:tc>
        <w:tc>
          <w:tcPr>
            <w:tcW w:w="1488" w:type="dxa"/>
            <w:vMerge/>
            <w:tcBorders>
              <w:left w:val="single" w:sz="4" w:space="0" w:color="000000"/>
              <w:right w:val="single" w:sz="4" w:space="0" w:color="000000"/>
            </w:tcBorders>
            <w:shd w:val="clear" w:color="auto" w:fill="D2D2D2"/>
          </w:tcPr>
          <w:p>
            <w:pPr/>
          </w:p>
        </w:tc>
      </w:tr>
      <w:tr>
        <w:trPr>
          <w:trHeight w:val="20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8"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48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238,025,169.23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28.2743%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285,381,680.79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34.6794%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-6.4051%</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85,370,885.07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74,221,421.66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1.1217%</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163,764,185.54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19.4531%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167,693,599.17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-0.9249%</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72,835,084.75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38,014,723.03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4.0324%</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178,807,649.18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176,072,494.59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21.3962%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-0.1562%</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27,064,598.70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7,464,551.09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0.9071%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2.3078%</w:t>
            </w: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0" w:bottom="280" w:left="96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shape style="position:absolute;margin-left:270.290009pt;margin-top:39.951729pt;width:68.55pt;height:19.6pt;mso-position-horizontal-relative:page;mso-position-vertical-relative:paragraph;z-index:-85976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1368"/>
        <w:gridCol w:w="1455"/>
        <w:gridCol w:w="1561"/>
        <w:gridCol w:w="1276"/>
        <w:gridCol w:w="1560"/>
        <w:gridCol w:w="850"/>
        <w:gridCol w:w="148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4"/>
              <w:ind w:left="60" w:right="0"/>
              <w:jc w:val="left"/>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left="-128" w:right="0"/>
              <w:jc w:val="left"/>
              <w:rPr>
                <w:rFonts w:ascii="宋体" w:hAnsi="宋体" w:cs="宋体" w:eastAsia="宋体" w:hint="default"/>
                <w:sz w:val="18"/>
                <w:szCs w:val="18"/>
              </w:rPr>
            </w:pPr>
            <w:r>
              <w:rPr>
                <w:rFonts w:ascii="宋体" w:hAnsi="宋体" w:cs="宋体" w:eastAsia="宋体" w:hint="default"/>
                <w:position w:val="-4"/>
                <w:sz w:val="18"/>
                <w:szCs w:val="18"/>
              </w:rPr>
              <w:t>）</w:t>
            </w:r>
            <w:r>
              <w:rPr>
                <w:rFonts w:ascii="宋体" w:hAnsi="宋体" w:cs="宋体" w:eastAsia="宋体" w:hint="default"/>
                <w:spacing w:val="21"/>
                <w:position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3016" w:type="dxa"/>
            <w:gridSpan w:val="2"/>
            <w:vMerge/>
            <w:tcBorders>
              <w:left w:val="single" w:sz="4" w:space="0" w:color="000000"/>
              <w:bottom w:val="single" w:sz="4" w:space="0" w:color="000000"/>
              <w:right w:val="single" w:sz="4" w:space="0" w:color="000000"/>
            </w:tcBorders>
            <w:shd w:val="clear" w:color="auto" w:fill="D2D2D2"/>
          </w:tcPr>
          <w:p>
            <w:pPr/>
          </w:p>
        </w:tc>
        <w:tc>
          <w:tcPr>
            <w:tcW w:w="2836"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488" w:type="dxa"/>
            <w:vMerge/>
            <w:tcBorders>
              <w:left w:val="single" w:sz="4" w:space="0" w:color="000000"/>
              <w:right w:val="single" w:sz="4" w:space="0" w:color="000000"/>
            </w:tcBorders>
            <w:shd w:val="clear" w:color="auto" w:fill="D2D2D2"/>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4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占总资产比例（</w:t>
            </w:r>
            <w:r>
              <w:rPr>
                <w:rFonts w:ascii="Times New Roman" w:hAnsi="Times New Roman" w:cs="Times New Roman" w:eastAsia="Times New Roman" w:hint="default"/>
                <w:sz w:val="18"/>
                <w:szCs w:val="18"/>
              </w:rPr>
              <w:t>%</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占总资产比例（</w:t>
            </w:r>
            <w:r>
              <w:rPr>
                <w:rFonts w:ascii="Times New Roman" w:hAnsi="Times New Roman" w:cs="Times New Roman" w:eastAsia="Times New Roman" w:hint="default"/>
                <w:sz w:val="18"/>
                <w:szCs w:val="18"/>
              </w:rPr>
              <w:t>%</w:t>
            </w:r>
          </w:p>
        </w:tc>
        <w:tc>
          <w:tcPr>
            <w:tcW w:w="850" w:type="dxa"/>
            <w:vMerge/>
            <w:tcBorders>
              <w:left w:val="single" w:sz="4" w:space="0" w:color="000000"/>
              <w:right w:val="single" w:sz="4" w:space="0" w:color="000000"/>
            </w:tcBorders>
            <w:shd w:val="clear" w:color="auto" w:fill="D2D2D2"/>
          </w:tcPr>
          <w:p>
            <w:pPr/>
          </w:p>
        </w:tc>
        <w:tc>
          <w:tcPr>
            <w:tcW w:w="1488" w:type="dxa"/>
            <w:vMerge/>
            <w:tcBorders>
              <w:left w:val="single" w:sz="4" w:space="0" w:color="000000"/>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5" w:type="dxa"/>
            <w:vMerge/>
            <w:tcBorders>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48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82" w:right="0"/>
              <w:jc w:val="left"/>
              <w:rPr>
                <w:rFonts w:ascii="Times New Roman" w:hAnsi="Times New Roman" w:cs="Times New Roman" w:eastAsia="Times New Roman" w:hint="default"/>
                <w:sz w:val="18"/>
                <w:szCs w:val="18"/>
              </w:rPr>
            </w:pPr>
            <w:r>
              <w:rPr>
                <w:rFonts w:ascii="Times New Roman"/>
                <w:sz w:val="18"/>
              </w:rPr>
              <w:t>11,500,000.00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3" w:right="0"/>
              <w:jc w:val="left"/>
              <w:rPr>
                <w:rFonts w:ascii="Times New Roman" w:hAnsi="Times New Roman" w:cs="Times New Roman" w:eastAsia="Times New Roman" w:hint="default"/>
                <w:sz w:val="18"/>
                <w:szCs w:val="18"/>
              </w:rPr>
            </w:pPr>
            <w:r>
              <w:rPr>
                <w:rFonts w:ascii="Times New Roman"/>
                <w:sz w:val="18"/>
              </w:rPr>
              <w:t>1.3661%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10,300,000.00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3" w:right="0"/>
              <w:jc w:val="left"/>
              <w:rPr>
                <w:rFonts w:ascii="Times New Roman" w:hAnsi="Times New Roman" w:cs="Times New Roman" w:eastAsia="Times New Roman" w:hint="default"/>
                <w:sz w:val="18"/>
                <w:szCs w:val="18"/>
              </w:rPr>
            </w:pPr>
            <w:r>
              <w:rPr>
                <w:rFonts w:ascii="Times New Roman"/>
                <w:sz w:val="18"/>
              </w:rPr>
              <w:t>1.2516%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0.1145%</w:t>
            </w: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五、核心竞争力分析</w:t>
      </w:r>
      <w:r>
        <w:rPr>
          <w:b w:val="0"/>
          <w:bCs w:val="0"/>
        </w:rPr>
      </w:r>
    </w:p>
    <w:p>
      <w:pPr>
        <w:spacing w:line="240" w:lineRule="auto" w:before="4"/>
        <w:rPr>
          <w:rFonts w:ascii="宋体" w:hAnsi="宋体" w:cs="宋体" w:eastAsia="宋体" w:hint="default"/>
          <w:b/>
          <w:bCs/>
          <w:sz w:val="31"/>
          <w:szCs w:val="31"/>
        </w:rPr>
      </w:pPr>
    </w:p>
    <w:p>
      <w:pPr>
        <w:pStyle w:val="BodyText"/>
        <w:spacing w:line="240" w:lineRule="auto"/>
        <w:ind w:left="636" w:right="0"/>
        <w:jc w:val="left"/>
      </w:pPr>
      <w:r>
        <w:rPr/>
        <w:t>报告期内公司核心竞争力未发生重大变化。</w:t>
      </w:r>
    </w:p>
    <w:p>
      <w:pPr>
        <w:spacing w:line="240" w:lineRule="auto" w:before="11"/>
        <w:rPr>
          <w:rFonts w:ascii="宋体" w:hAnsi="宋体" w:cs="宋体" w:eastAsia="宋体" w:hint="default"/>
          <w:sz w:val="18"/>
          <w:szCs w:val="18"/>
        </w:rPr>
      </w:pPr>
    </w:p>
    <w:p>
      <w:pPr>
        <w:pStyle w:val="BodyText"/>
        <w:spacing w:line="429" w:lineRule="auto"/>
        <w:ind w:left="653" w:right="1124" w:hanging="17"/>
        <w:jc w:val="left"/>
      </w:pPr>
      <w:r>
        <w:rPr>
          <w:rFonts w:ascii="Times New Roman" w:hAnsi="Times New Roman" w:cs="Times New Roman" w:eastAsia="Times New Roman" w:hint="default"/>
        </w:rPr>
        <w:t>1</w:t>
      </w:r>
      <w:r>
        <w:rPr/>
        <w:t>、产品优势</w:t>
      </w:r>
      <w:r>
        <w:rPr>
          <w:w w:val="100"/>
        </w:rPr>
        <w:t> </w:t>
      </w:r>
      <w:r>
        <w:rPr>
          <w:spacing w:val="-4"/>
        </w:rPr>
        <w:t>公司热处理设备的主营产品主要是可控气氛炉和真空炉，该两大类产品在节能、减排方面具有显著优</w:t>
      </w:r>
    </w:p>
    <w:p>
      <w:pPr>
        <w:pStyle w:val="BodyText"/>
        <w:spacing w:line="248" w:lineRule="exact"/>
        <w:ind w:right="0"/>
        <w:jc w:val="left"/>
      </w:pPr>
      <w:r>
        <w:rPr>
          <w:w w:val="100"/>
        </w:rPr>
        <w:t>势</w:t>
      </w:r>
      <w:r>
        <w:rPr>
          <w:spacing w:val="-5"/>
          <w:w w:val="100"/>
        </w:rPr>
        <w:t>，</w:t>
      </w:r>
      <w:r>
        <w:rPr>
          <w:w w:val="100"/>
        </w:rPr>
        <w:t>响</w:t>
      </w:r>
      <w:r>
        <w:rPr>
          <w:spacing w:val="-3"/>
          <w:w w:val="100"/>
        </w:rPr>
        <w:t>应</w:t>
      </w:r>
      <w:r>
        <w:rPr>
          <w:w w:val="100"/>
        </w:rPr>
        <w:t>了</w:t>
      </w:r>
      <w:r>
        <w:rPr>
          <w:spacing w:val="-3"/>
          <w:w w:val="100"/>
        </w:rPr>
        <w:t>国</w:t>
      </w:r>
      <w:r>
        <w:rPr>
          <w:w w:val="100"/>
        </w:rPr>
        <w:t>家</w:t>
      </w:r>
      <w:r>
        <w:rPr>
          <w:spacing w:val="-3"/>
          <w:w w:val="100"/>
        </w:rPr>
        <w:t>加</w:t>
      </w:r>
      <w:r>
        <w:rPr>
          <w:w w:val="100"/>
        </w:rPr>
        <w:t>快</w:t>
      </w:r>
      <w:r>
        <w:rPr>
          <w:spacing w:val="-3"/>
          <w:w w:val="100"/>
        </w:rPr>
        <w:t>节能</w:t>
      </w:r>
      <w:r>
        <w:rPr>
          <w:w w:val="100"/>
        </w:rPr>
        <w:t>减排</w:t>
      </w:r>
      <w:r>
        <w:rPr>
          <w:spacing w:val="-3"/>
          <w:w w:val="100"/>
        </w:rPr>
        <w:t>技</w:t>
      </w:r>
      <w:r>
        <w:rPr>
          <w:w w:val="100"/>
        </w:rPr>
        <w:t>术</w:t>
      </w:r>
      <w:r>
        <w:rPr>
          <w:spacing w:val="-3"/>
          <w:w w:val="100"/>
        </w:rPr>
        <w:t>研</w:t>
      </w:r>
      <w:r>
        <w:rPr>
          <w:w w:val="100"/>
        </w:rPr>
        <w:t>发</w:t>
      </w:r>
      <w:r>
        <w:rPr>
          <w:spacing w:val="-3"/>
          <w:w w:val="100"/>
        </w:rPr>
        <w:t>的</w:t>
      </w:r>
      <w:r>
        <w:rPr>
          <w:w w:val="100"/>
        </w:rPr>
        <w:t>产</w:t>
      </w:r>
      <w:r>
        <w:rPr>
          <w:spacing w:val="-3"/>
          <w:w w:val="100"/>
        </w:rPr>
        <w:t>业</w:t>
      </w:r>
      <w:r>
        <w:rPr>
          <w:w w:val="100"/>
        </w:rPr>
        <w:t>政</w:t>
      </w:r>
      <w:r>
        <w:rPr>
          <w:spacing w:val="-3"/>
          <w:w w:val="100"/>
        </w:rPr>
        <w:t>策。</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10</w:t>
      </w:r>
      <w:r>
        <w:rPr>
          <w:spacing w:val="-3"/>
          <w:w w:val="100"/>
        </w:rPr>
        <w:t>年</w:t>
      </w:r>
      <w:r>
        <w:rPr>
          <w:spacing w:val="-5"/>
          <w:w w:val="100"/>
        </w:rPr>
        <w:t>，</w:t>
      </w:r>
      <w:r>
        <w:rPr>
          <w:w w:val="100"/>
        </w:rPr>
        <w:t>公</w:t>
      </w:r>
      <w:r>
        <w:rPr>
          <w:spacing w:val="-3"/>
          <w:w w:val="100"/>
        </w:rPr>
        <w:t>司</w:t>
      </w:r>
      <w:r>
        <w:rPr>
          <w:rFonts w:ascii="Times New Roman" w:hAnsi="Times New Roman" w:cs="Times New Roman" w:eastAsia="Times New Roman" w:hint="default"/>
          <w:w w:val="100"/>
        </w:rPr>
        <w:t>3</w:t>
      </w:r>
      <w:r>
        <w:rPr>
          <w:spacing w:val="-3"/>
          <w:w w:val="100"/>
        </w:rPr>
        <w:t>款</w:t>
      </w:r>
      <w:r>
        <w:rPr>
          <w:w w:val="100"/>
        </w:rPr>
        <w:t>产</w:t>
      </w:r>
      <w:r>
        <w:rPr>
          <w:spacing w:val="-3"/>
          <w:w w:val="100"/>
        </w:rPr>
        <w:t>品被</w:t>
      </w:r>
      <w:r>
        <w:rPr>
          <w:w w:val="100"/>
        </w:rPr>
        <w:t>国家</w:t>
      </w:r>
      <w:r>
        <w:rPr>
          <w:spacing w:val="-3"/>
          <w:w w:val="100"/>
        </w:rPr>
        <w:t>工</w:t>
      </w:r>
      <w:r>
        <w:rPr>
          <w:w w:val="100"/>
        </w:rPr>
        <w:t>信</w:t>
      </w:r>
      <w:r>
        <w:rPr>
          <w:spacing w:val="-3"/>
          <w:w w:val="100"/>
        </w:rPr>
        <w:t>部</w:t>
      </w:r>
      <w:r>
        <w:rPr>
          <w:w w:val="100"/>
        </w:rPr>
        <w:t>推</w:t>
      </w:r>
      <w:r>
        <w:rPr>
          <w:spacing w:val="-3"/>
          <w:w w:val="100"/>
        </w:rPr>
        <w:t>荐</w:t>
      </w:r>
      <w:r>
        <w:rPr>
          <w:w w:val="100"/>
        </w:rPr>
        <w:t>为</w:t>
      </w:r>
      <w:r>
        <w:rPr>
          <w:rFonts w:ascii="Times New Roman" w:hAnsi="Times New Roman" w:cs="Times New Roman" w:eastAsia="Times New Roman" w:hint="default"/>
          <w:spacing w:val="-3"/>
          <w:w w:val="44"/>
        </w:rPr>
        <w:t>―</w:t>
      </w:r>
      <w:r>
        <w:rPr>
          <w:w w:val="100"/>
        </w:rPr>
        <w:t>节</w:t>
      </w:r>
      <w:r>
        <w:rPr>
          <w:spacing w:val="-3"/>
          <w:w w:val="100"/>
        </w:rPr>
        <w:t>能减</w:t>
      </w:r>
      <w:r>
        <w:rPr>
          <w:w w:val="100"/>
        </w:rPr>
        <w:t>排</w:t>
      </w:r>
    </w:p>
    <w:p>
      <w:pPr>
        <w:pStyle w:val="BodyText"/>
        <w:spacing w:line="328" w:lineRule="auto" w:before="110"/>
        <w:ind w:right="1131"/>
        <w:jc w:val="left"/>
      </w:pPr>
      <w:r>
        <w:rPr>
          <w:w w:val="100"/>
        </w:rPr>
        <w:t>机电</w:t>
      </w:r>
      <w:r>
        <w:rPr>
          <w:spacing w:val="-3"/>
          <w:w w:val="100"/>
        </w:rPr>
        <w:t>产</w:t>
      </w:r>
      <w:r>
        <w:rPr>
          <w:w w:val="100"/>
        </w:rPr>
        <w:t>品</w:t>
      </w:r>
      <w:r>
        <w:rPr>
          <w:rFonts w:ascii="Times New Roman" w:hAnsi="Times New Roman" w:cs="Times New Roman" w:eastAsia="Times New Roman" w:hint="default"/>
          <w:spacing w:val="-1"/>
          <w:w w:val="159"/>
        </w:rPr>
        <w:t>‖</w:t>
      </w:r>
      <w:r>
        <w:rPr>
          <w:spacing w:val="-12"/>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w:t>
      </w:r>
      <w:r>
        <w:rPr>
          <w:rFonts w:ascii="Times New Roman" w:hAnsi="Times New Roman" w:cs="Times New Roman" w:eastAsia="Times New Roman" w:hint="default"/>
          <w:spacing w:val="-3"/>
          <w:w w:val="100"/>
        </w:rPr>
        <w:t>1</w:t>
      </w:r>
      <w:r>
        <w:rPr>
          <w:w w:val="100"/>
        </w:rPr>
        <w:t>年</w:t>
      </w:r>
      <w:r>
        <w:rPr>
          <w:spacing w:val="-13"/>
          <w:w w:val="100"/>
        </w:rPr>
        <w:t>，</w:t>
      </w:r>
      <w:r>
        <w:rPr>
          <w:spacing w:val="-3"/>
          <w:w w:val="100"/>
        </w:rPr>
        <w:t>公司</w:t>
      </w:r>
      <w:r>
        <w:rPr>
          <w:w w:val="100"/>
        </w:rPr>
        <w:t>生产</w:t>
      </w:r>
      <w:r>
        <w:rPr>
          <w:spacing w:val="-2"/>
          <w:w w:val="100"/>
        </w:rPr>
        <w:t>的</w:t>
      </w:r>
      <w:r>
        <w:rPr>
          <w:rFonts w:ascii="Times New Roman" w:hAnsi="Times New Roman" w:cs="Times New Roman" w:eastAsia="Times New Roman" w:hint="default"/>
          <w:spacing w:val="-2"/>
          <w:w w:val="100"/>
        </w:rPr>
        <w:t>V</w:t>
      </w:r>
      <w:r>
        <w:rPr>
          <w:rFonts w:ascii="Times New Roman" w:hAnsi="Times New Roman" w:cs="Times New Roman" w:eastAsia="Times New Roman" w:hint="default"/>
          <w:spacing w:val="-2"/>
          <w:w w:val="100"/>
        </w:rPr>
        <w:t>C</w:t>
      </w:r>
      <w:r>
        <w:rPr>
          <w:rFonts w:ascii="Times New Roman" w:hAnsi="Times New Roman" w:cs="Times New Roman" w:eastAsia="Times New Roman" w:hint="default"/>
          <w:spacing w:val="1"/>
          <w:w w:val="100"/>
        </w:rPr>
        <w:t>H</w:t>
      </w:r>
      <w:r>
        <w:rPr>
          <w:spacing w:val="-3"/>
          <w:w w:val="100"/>
        </w:rPr>
        <w:t>型</w:t>
      </w:r>
      <w:r>
        <w:rPr>
          <w:w w:val="100"/>
        </w:rPr>
        <w:t>碳</w:t>
      </w:r>
      <w:r>
        <w:rPr>
          <w:spacing w:val="-3"/>
          <w:w w:val="100"/>
        </w:rPr>
        <w:t>氢</w:t>
      </w:r>
      <w:r>
        <w:rPr>
          <w:w w:val="100"/>
        </w:rPr>
        <w:t>溶</w:t>
      </w:r>
      <w:r>
        <w:rPr>
          <w:spacing w:val="-3"/>
          <w:w w:val="100"/>
        </w:rPr>
        <w:t>剂真</w:t>
      </w:r>
      <w:r>
        <w:rPr>
          <w:w w:val="100"/>
        </w:rPr>
        <w:t>空清</w:t>
      </w:r>
      <w:r>
        <w:rPr>
          <w:spacing w:val="-3"/>
          <w:w w:val="100"/>
        </w:rPr>
        <w:t>洗</w:t>
      </w:r>
      <w:r>
        <w:rPr>
          <w:w w:val="100"/>
        </w:rPr>
        <w:t>机</w:t>
      </w:r>
      <w:r>
        <w:rPr>
          <w:spacing w:val="-3"/>
          <w:w w:val="100"/>
        </w:rPr>
        <w:t>被</w:t>
      </w:r>
      <w:r>
        <w:rPr>
          <w:w w:val="100"/>
        </w:rPr>
        <w:t>中</w:t>
      </w:r>
      <w:r>
        <w:rPr>
          <w:spacing w:val="-3"/>
          <w:w w:val="100"/>
        </w:rPr>
        <w:t>国</w:t>
      </w:r>
      <w:r>
        <w:rPr>
          <w:w w:val="100"/>
        </w:rPr>
        <w:t>热</w:t>
      </w:r>
      <w:r>
        <w:rPr>
          <w:spacing w:val="-3"/>
          <w:w w:val="100"/>
        </w:rPr>
        <w:t>处</w:t>
      </w:r>
      <w:r>
        <w:rPr>
          <w:w w:val="100"/>
        </w:rPr>
        <w:t>理</w:t>
      </w:r>
      <w:r>
        <w:rPr>
          <w:spacing w:val="-3"/>
          <w:w w:val="100"/>
        </w:rPr>
        <w:t>行</w:t>
      </w:r>
      <w:r>
        <w:rPr>
          <w:w w:val="100"/>
        </w:rPr>
        <w:t>业协</w:t>
      </w:r>
      <w:r>
        <w:rPr>
          <w:spacing w:val="-3"/>
          <w:w w:val="100"/>
        </w:rPr>
        <w:t>会</w:t>
      </w:r>
      <w:r>
        <w:rPr>
          <w:w w:val="100"/>
        </w:rPr>
        <w:t>推</w:t>
      </w:r>
      <w:r>
        <w:rPr>
          <w:spacing w:val="-3"/>
          <w:w w:val="100"/>
        </w:rPr>
        <w:t>荐</w:t>
      </w:r>
      <w:r>
        <w:rPr>
          <w:w w:val="100"/>
        </w:rPr>
        <w:t>为</w:t>
      </w:r>
      <w:r>
        <w:rPr>
          <w:rFonts w:ascii="Times New Roman" w:hAnsi="Times New Roman" w:cs="Times New Roman" w:eastAsia="Times New Roman" w:hint="default"/>
          <w:w w:val="63"/>
        </w:rPr>
        <w:t>―</w:t>
      </w:r>
      <w:r>
        <w:rPr>
          <w:rFonts w:ascii="Times New Roman" w:hAnsi="Times New Roman" w:cs="Times New Roman" w:eastAsia="Times New Roman" w:hint="default"/>
          <w:spacing w:val="-3"/>
          <w:w w:val="63"/>
        </w:rPr>
        <w:t>2</w:t>
      </w:r>
      <w:r>
        <w:rPr>
          <w:rFonts w:ascii="Times New Roman" w:hAnsi="Times New Roman" w:cs="Times New Roman" w:eastAsia="Times New Roman" w:hint="default"/>
          <w:w w:val="100"/>
        </w:rPr>
        <w:t>01</w:t>
      </w:r>
      <w:r>
        <w:rPr>
          <w:rFonts w:ascii="Times New Roman" w:hAnsi="Times New Roman" w:cs="Times New Roman" w:eastAsia="Times New Roman" w:hint="default"/>
          <w:spacing w:val="-3"/>
          <w:w w:val="100"/>
        </w:rPr>
        <w:t>1</w:t>
      </w:r>
      <w:r>
        <w:rPr>
          <w:w w:val="100"/>
        </w:rPr>
        <w:t>年</w:t>
      </w:r>
      <w:r>
        <w:rPr>
          <w:spacing w:val="-3"/>
          <w:w w:val="100"/>
        </w:rPr>
        <w:t>度节</w:t>
      </w:r>
      <w:r>
        <w:rPr>
          <w:w w:val="100"/>
        </w:rPr>
        <w:t>能</w:t>
      </w:r>
      <w:r>
        <w:rPr>
          <w:w w:val="100"/>
        </w:rPr>
        <w:t> </w:t>
      </w:r>
      <w:r>
        <w:rPr>
          <w:spacing w:val="-2"/>
          <w:w w:val="100"/>
        </w:rPr>
        <w:t>减排清洁生产先进技术</w:t>
      </w:r>
      <w:r>
        <w:rPr>
          <w:rFonts w:ascii="Times New Roman" w:hAnsi="Times New Roman" w:cs="Times New Roman" w:eastAsia="Times New Roman" w:hint="default"/>
          <w:spacing w:val="-2"/>
          <w:w w:val="100"/>
        </w:rPr>
        <w:t>‖</w:t>
      </w:r>
      <w:r>
        <w:rPr>
          <w:spacing w:val="-2"/>
          <w:w w:val="100"/>
        </w:rPr>
        <w:t>；</w:t>
      </w:r>
      <w:r>
        <w:rPr>
          <w:rFonts w:ascii="Times New Roman" w:hAnsi="Times New Roman" w:cs="Times New Roman" w:eastAsia="Times New Roman" w:hint="default"/>
          <w:spacing w:val="-2"/>
          <w:w w:val="100"/>
        </w:rPr>
        <w:t>2012</w:t>
      </w:r>
      <w:r>
        <w:rPr>
          <w:spacing w:val="-2"/>
          <w:w w:val="100"/>
        </w:rPr>
        <w:t>年，</w:t>
      </w:r>
      <w:r>
        <w:rPr>
          <w:rFonts w:ascii="Times New Roman" w:hAnsi="Times New Roman" w:cs="Times New Roman" w:eastAsia="Times New Roman" w:hint="default"/>
          <w:spacing w:val="-2"/>
          <w:w w:val="100"/>
        </w:rPr>
        <w:t>VCH-1000</w:t>
      </w:r>
      <w:r>
        <w:rPr>
          <w:spacing w:val="-2"/>
          <w:w w:val="100"/>
        </w:rPr>
        <w:t>真空清洗机被评为</w:t>
      </w:r>
      <w:r>
        <w:rPr>
          <w:rFonts w:ascii="Times New Roman" w:hAnsi="Times New Roman" w:cs="Times New Roman" w:eastAsia="Times New Roman" w:hint="default"/>
          <w:spacing w:val="-2"/>
          <w:w w:val="100"/>
        </w:rPr>
        <w:t>―</w:t>
      </w:r>
      <w:r>
        <w:rPr>
          <w:spacing w:val="-2"/>
          <w:w w:val="100"/>
        </w:rPr>
        <w:t>江苏省装备制造业重点领域首台重大装</w:t>
      </w:r>
      <w:r>
        <w:rPr>
          <w:w w:val="100"/>
        </w:rPr>
        <w:t> </w:t>
      </w:r>
      <w:r>
        <w:rPr>
          <w:w w:val="105"/>
        </w:rPr>
        <w:t>备</w:t>
      </w:r>
      <w:r>
        <w:rPr>
          <w:rFonts w:ascii="Times New Roman" w:hAnsi="Times New Roman" w:cs="Times New Roman" w:eastAsia="Times New Roman" w:hint="default"/>
          <w:w w:val="105"/>
        </w:rPr>
        <w:t>‖</w:t>
      </w:r>
      <w:r>
        <w:rPr>
          <w:w w:val="105"/>
        </w:rPr>
        <w:t>。</w:t>
      </w:r>
    </w:p>
    <w:p>
      <w:pPr>
        <w:pStyle w:val="BodyText"/>
        <w:spacing w:line="240" w:lineRule="auto" w:before="144"/>
        <w:ind w:left="653" w:right="0"/>
        <w:jc w:val="left"/>
      </w:pPr>
      <w:r>
        <w:rPr>
          <w:rFonts w:ascii="Times New Roman" w:hAnsi="Times New Roman" w:cs="Times New Roman" w:eastAsia="Times New Roman" w:hint="default"/>
        </w:rPr>
        <w:t>2</w:t>
      </w:r>
      <w:r>
        <w:rPr/>
        <w:t>、技术优势</w:t>
      </w:r>
    </w:p>
    <w:p>
      <w:pPr>
        <w:spacing w:line="240" w:lineRule="auto" w:before="8"/>
        <w:rPr>
          <w:rFonts w:ascii="宋体" w:hAnsi="宋体" w:cs="宋体" w:eastAsia="宋体" w:hint="default"/>
          <w:sz w:val="17"/>
          <w:szCs w:val="17"/>
        </w:rPr>
      </w:pPr>
    </w:p>
    <w:p>
      <w:pPr>
        <w:pStyle w:val="BodyText"/>
        <w:spacing w:line="331" w:lineRule="auto"/>
        <w:ind w:right="1128" w:firstLine="480"/>
        <w:jc w:val="both"/>
      </w:pPr>
      <w:r>
        <w:rPr>
          <w:spacing w:val="-4"/>
        </w:rPr>
        <w:t>公司始终重视技术的研究与创新，</w:t>
      </w:r>
      <w:r>
        <w:rPr>
          <w:rFonts w:ascii="Times New Roman" w:hAnsi="Times New Roman" w:cs="Times New Roman" w:eastAsia="Times New Roman" w:hint="default"/>
          <w:spacing w:val="-4"/>
        </w:rPr>
        <w:t>2012</w:t>
      </w:r>
      <w:r>
        <w:rPr>
          <w:spacing w:val="-4"/>
        </w:rPr>
        <w:t>年全年共获得发明专利授权</w:t>
      </w:r>
      <w:r>
        <w:rPr>
          <w:rFonts w:ascii="Times New Roman" w:hAnsi="Times New Roman" w:cs="Times New Roman" w:eastAsia="Times New Roman" w:hint="default"/>
          <w:spacing w:val="-4"/>
        </w:rPr>
        <w:t>7</w:t>
      </w:r>
      <w:r>
        <w:rPr>
          <w:spacing w:val="-4"/>
        </w:rPr>
        <w:t>项、实用新型授权</w:t>
      </w:r>
      <w:r>
        <w:rPr>
          <w:rFonts w:ascii="Times New Roman" w:hAnsi="Times New Roman" w:cs="Times New Roman" w:eastAsia="Times New Roman" w:hint="default"/>
          <w:spacing w:val="-4"/>
        </w:rPr>
        <w:t>6</w:t>
      </w:r>
      <w:r>
        <w:rPr>
          <w:spacing w:val="-4"/>
        </w:rPr>
        <w:t>项，主持制定</w:t>
      </w:r>
      <w:r>
        <w:rPr>
          <w:w w:val="100"/>
        </w:rPr>
        <w:t> 了行</w:t>
      </w:r>
      <w:r>
        <w:rPr>
          <w:spacing w:val="-3"/>
          <w:w w:val="100"/>
        </w:rPr>
        <w:t>业</w:t>
      </w:r>
      <w:r>
        <w:rPr>
          <w:w w:val="100"/>
        </w:rPr>
        <w:t>标</w:t>
      </w:r>
      <w:r>
        <w:rPr>
          <w:spacing w:val="-3"/>
          <w:w w:val="100"/>
        </w:rPr>
        <w:t>准</w:t>
      </w:r>
      <w:r>
        <w:rPr>
          <w:rFonts w:ascii="Times New Roman" w:hAnsi="Times New Roman" w:cs="Times New Roman" w:eastAsia="Times New Roman" w:hint="default"/>
          <w:w w:val="100"/>
        </w:rPr>
        <w:t>2</w:t>
      </w:r>
      <w:r>
        <w:rPr>
          <w:spacing w:val="-3"/>
          <w:w w:val="100"/>
        </w:rPr>
        <w:t>项</w:t>
      </w:r>
      <w:r>
        <w:rPr>
          <w:w w:val="100"/>
        </w:rPr>
        <w:t>；</w:t>
      </w:r>
      <w:r>
        <w:rPr>
          <w:spacing w:val="-3"/>
          <w:w w:val="100"/>
        </w:rPr>
        <w:t>公</w:t>
      </w:r>
      <w:r>
        <w:rPr>
          <w:w w:val="100"/>
        </w:rPr>
        <w:t>司</w:t>
      </w:r>
      <w:r>
        <w:rPr>
          <w:spacing w:val="-3"/>
          <w:w w:val="100"/>
        </w:rPr>
        <w:t>申报</w:t>
      </w:r>
      <w:r>
        <w:rPr>
          <w:spacing w:val="-1"/>
          <w:w w:val="100"/>
        </w:rPr>
        <w:t>的</w:t>
      </w:r>
      <w:r>
        <w:rPr>
          <w:rFonts w:ascii="Times New Roman" w:hAnsi="Times New Roman" w:cs="Times New Roman" w:eastAsia="Times New Roman" w:hint="default"/>
          <w:w w:val="44"/>
        </w:rPr>
        <w:t>―</w:t>
      </w:r>
      <w:r>
        <w:rPr>
          <w:spacing w:val="-3"/>
          <w:w w:val="100"/>
        </w:rPr>
        <w:t>热</w:t>
      </w:r>
      <w:r>
        <w:rPr>
          <w:w w:val="100"/>
        </w:rPr>
        <w:t>处</w:t>
      </w:r>
      <w:r>
        <w:rPr>
          <w:spacing w:val="-3"/>
          <w:w w:val="100"/>
        </w:rPr>
        <w:t>理</w:t>
      </w:r>
      <w:r>
        <w:rPr>
          <w:w w:val="100"/>
        </w:rPr>
        <w:t>智</w:t>
      </w:r>
      <w:r>
        <w:rPr>
          <w:spacing w:val="-3"/>
          <w:w w:val="100"/>
        </w:rPr>
        <w:t>能</w:t>
      </w:r>
      <w:r>
        <w:rPr>
          <w:w w:val="100"/>
        </w:rPr>
        <w:t>化</w:t>
      </w:r>
      <w:r>
        <w:rPr>
          <w:spacing w:val="-3"/>
          <w:w w:val="100"/>
        </w:rPr>
        <w:t>和</w:t>
      </w:r>
      <w:r>
        <w:rPr>
          <w:w w:val="100"/>
        </w:rPr>
        <w:t>远</w:t>
      </w:r>
      <w:r>
        <w:rPr>
          <w:spacing w:val="-3"/>
          <w:w w:val="100"/>
        </w:rPr>
        <w:t>程化</w:t>
      </w:r>
      <w:r>
        <w:rPr>
          <w:w w:val="100"/>
        </w:rPr>
        <w:t>服务</w:t>
      </w:r>
      <w:r>
        <w:rPr>
          <w:spacing w:val="-3"/>
          <w:w w:val="100"/>
        </w:rPr>
        <w:t>系</w:t>
      </w:r>
      <w:r>
        <w:rPr>
          <w:w w:val="100"/>
        </w:rPr>
        <w:t>统</w:t>
      </w:r>
      <w:r>
        <w:rPr>
          <w:spacing w:val="-3"/>
          <w:w w:val="100"/>
        </w:rPr>
        <w:t>提</w:t>
      </w:r>
      <w:r>
        <w:rPr>
          <w:w w:val="100"/>
        </w:rPr>
        <w:t>升</w:t>
      </w:r>
      <w:r>
        <w:rPr>
          <w:spacing w:val="-3"/>
          <w:w w:val="100"/>
        </w:rPr>
        <w:t>创</w:t>
      </w:r>
      <w:r>
        <w:rPr>
          <w:spacing w:val="-1"/>
          <w:w w:val="100"/>
        </w:rPr>
        <w:t>新</w:t>
      </w:r>
      <w:r>
        <w:rPr>
          <w:rFonts w:ascii="Times New Roman" w:hAnsi="Times New Roman" w:cs="Times New Roman" w:eastAsia="Times New Roman" w:hint="default"/>
          <w:spacing w:val="-3"/>
          <w:w w:val="159"/>
        </w:rPr>
        <w:t>‖</w:t>
      </w:r>
      <w:r>
        <w:rPr>
          <w:w w:val="100"/>
        </w:rPr>
        <w:t>项</w:t>
      </w:r>
      <w:r>
        <w:rPr>
          <w:spacing w:val="-3"/>
          <w:w w:val="100"/>
        </w:rPr>
        <w:t>目获</w:t>
      </w:r>
      <w:r>
        <w:rPr>
          <w:w w:val="100"/>
        </w:rPr>
        <w:t>得国</w:t>
      </w:r>
      <w:r>
        <w:rPr>
          <w:spacing w:val="-3"/>
          <w:w w:val="100"/>
        </w:rPr>
        <w:t>家</w:t>
      </w:r>
      <w:r>
        <w:rPr>
          <w:w w:val="100"/>
        </w:rPr>
        <w:t>工</w:t>
      </w:r>
      <w:r>
        <w:rPr>
          <w:spacing w:val="-3"/>
          <w:w w:val="100"/>
        </w:rPr>
        <w:t>信</w:t>
      </w:r>
      <w:r>
        <w:rPr>
          <w:w w:val="100"/>
        </w:rPr>
        <w:t>部</w:t>
      </w:r>
      <w:r>
        <w:rPr>
          <w:rFonts w:ascii="Times New Roman" w:hAnsi="Times New Roman" w:cs="Times New Roman" w:eastAsia="Times New Roman" w:hint="default"/>
          <w:w w:val="63"/>
        </w:rPr>
        <w:t>―</w:t>
      </w:r>
      <w:r>
        <w:rPr>
          <w:rFonts w:ascii="Times New Roman" w:hAnsi="Times New Roman" w:cs="Times New Roman" w:eastAsia="Times New Roman" w:hint="default"/>
          <w:spacing w:val="-3"/>
          <w:w w:val="63"/>
        </w:rPr>
        <w:t>2</w:t>
      </w:r>
      <w:r>
        <w:rPr>
          <w:rFonts w:ascii="Times New Roman" w:hAnsi="Times New Roman" w:cs="Times New Roman" w:eastAsia="Times New Roman" w:hint="default"/>
          <w:w w:val="100"/>
        </w:rPr>
        <w:t>01</w:t>
      </w:r>
      <w:r>
        <w:rPr>
          <w:rFonts w:ascii="Times New Roman" w:hAnsi="Times New Roman" w:cs="Times New Roman" w:eastAsia="Times New Roman" w:hint="default"/>
          <w:spacing w:val="-3"/>
          <w:w w:val="100"/>
        </w:rPr>
        <w:t>2</w:t>
      </w:r>
      <w:r>
        <w:rPr>
          <w:w w:val="100"/>
        </w:rPr>
        <w:t>年</w:t>
      </w:r>
      <w:r>
        <w:rPr>
          <w:spacing w:val="-3"/>
          <w:w w:val="100"/>
        </w:rPr>
        <w:t>信</w:t>
      </w:r>
      <w:r>
        <w:rPr>
          <w:w w:val="100"/>
        </w:rPr>
        <w:t>息</w:t>
      </w:r>
      <w:r>
        <w:rPr>
          <w:w w:val="100"/>
        </w:rPr>
        <w:t> 化和</w:t>
      </w:r>
      <w:r>
        <w:rPr>
          <w:spacing w:val="-3"/>
          <w:w w:val="100"/>
        </w:rPr>
        <w:t>工</w:t>
      </w:r>
      <w:r>
        <w:rPr>
          <w:w w:val="100"/>
        </w:rPr>
        <w:t>业</w:t>
      </w:r>
      <w:r>
        <w:rPr>
          <w:spacing w:val="-3"/>
          <w:w w:val="100"/>
        </w:rPr>
        <w:t>化</w:t>
      </w:r>
      <w:r>
        <w:rPr>
          <w:w w:val="100"/>
        </w:rPr>
        <w:t>深</w:t>
      </w:r>
      <w:r>
        <w:rPr>
          <w:spacing w:val="-3"/>
          <w:w w:val="100"/>
        </w:rPr>
        <w:t>度</w:t>
      </w:r>
      <w:r>
        <w:rPr>
          <w:w w:val="100"/>
        </w:rPr>
        <w:t>融</w:t>
      </w:r>
      <w:r>
        <w:rPr>
          <w:spacing w:val="-3"/>
          <w:w w:val="100"/>
        </w:rPr>
        <w:t>合</w:t>
      </w:r>
      <w:r>
        <w:rPr>
          <w:rFonts w:ascii="Times New Roman" w:hAnsi="Times New Roman" w:cs="Times New Roman" w:eastAsia="Times New Roman" w:hint="default"/>
          <w:spacing w:val="-1"/>
          <w:w w:val="159"/>
        </w:rPr>
        <w:t>‖</w:t>
      </w:r>
      <w:r>
        <w:rPr>
          <w:spacing w:val="-3"/>
          <w:w w:val="100"/>
        </w:rPr>
        <w:t>专项</w:t>
      </w:r>
      <w:r>
        <w:rPr>
          <w:w w:val="100"/>
        </w:rPr>
        <w:t>资</w:t>
      </w:r>
      <w:r>
        <w:rPr>
          <w:spacing w:val="-3"/>
          <w:w w:val="100"/>
        </w:rPr>
        <w:t>助</w:t>
      </w:r>
      <w:r>
        <w:rPr>
          <w:spacing w:val="-92"/>
          <w:w w:val="100"/>
        </w:rPr>
        <w:t>；</w:t>
      </w:r>
      <w:r>
        <w:rPr>
          <w:spacing w:val="-3"/>
          <w:w w:val="100"/>
        </w:rPr>
        <w:t>公</w:t>
      </w:r>
      <w:r>
        <w:rPr>
          <w:w w:val="100"/>
        </w:rPr>
        <w:t>司</w:t>
      </w:r>
      <w:r>
        <w:rPr>
          <w:spacing w:val="-3"/>
          <w:w w:val="100"/>
        </w:rPr>
        <w:t>研</w:t>
      </w:r>
      <w:r>
        <w:rPr>
          <w:w w:val="100"/>
        </w:rPr>
        <w:t>制</w:t>
      </w:r>
      <w:r>
        <w:rPr>
          <w:spacing w:val="-3"/>
          <w:w w:val="100"/>
        </w:rPr>
        <w:t>开</w:t>
      </w:r>
      <w:r>
        <w:rPr>
          <w:w w:val="100"/>
        </w:rPr>
        <w:t>发的</w:t>
      </w:r>
      <w:r>
        <w:rPr>
          <w:rFonts w:ascii="Times New Roman" w:hAnsi="Times New Roman" w:cs="Times New Roman" w:eastAsia="Times New Roman" w:hint="default"/>
          <w:spacing w:val="-3"/>
          <w:w w:val="44"/>
        </w:rPr>
        <w:t>―</w:t>
      </w:r>
      <w:r>
        <w:rPr>
          <w:spacing w:val="-3"/>
          <w:w w:val="100"/>
        </w:rPr>
        <w:t>真</w:t>
      </w:r>
      <w:r>
        <w:rPr>
          <w:w w:val="100"/>
        </w:rPr>
        <w:t>空等</w:t>
      </w:r>
      <w:r>
        <w:rPr>
          <w:spacing w:val="-3"/>
          <w:w w:val="100"/>
        </w:rPr>
        <w:t>离</w:t>
      </w:r>
      <w:r>
        <w:rPr>
          <w:w w:val="100"/>
        </w:rPr>
        <w:t>子</w:t>
      </w:r>
      <w:r>
        <w:rPr>
          <w:spacing w:val="-3"/>
          <w:w w:val="100"/>
        </w:rPr>
        <w:t>活</w:t>
      </w:r>
      <w:r>
        <w:rPr>
          <w:w w:val="100"/>
        </w:rPr>
        <w:t>性</w:t>
      </w:r>
      <w:r>
        <w:rPr>
          <w:spacing w:val="-3"/>
          <w:w w:val="100"/>
        </w:rPr>
        <w:t>屏</w:t>
      </w:r>
      <w:r>
        <w:rPr>
          <w:w w:val="100"/>
        </w:rPr>
        <w:t>渗</w:t>
      </w:r>
      <w:r>
        <w:rPr>
          <w:spacing w:val="-3"/>
          <w:w w:val="100"/>
        </w:rPr>
        <w:t>氮</w:t>
      </w:r>
      <w:r>
        <w:rPr>
          <w:w w:val="100"/>
        </w:rPr>
        <w:t>炉</w:t>
      </w:r>
      <w:r>
        <w:rPr>
          <w:rFonts w:ascii="Times New Roman" w:hAnsi="Times New Roman" w:cs="Times New Roman" w:eastAsia="Times New Roman" w:hint="default"/>
          <w:spacing w:val="-3"/>
          <w:w w:val="159"/>
        </w:rPr>
        <w:t>‖</w:t>
      </w:r>
      <w:r>
        <w:rPr>
          <w:spacing w:val="-3"/>
          <w:w w:val="100"/>
        </w:rPr>
        <w:t>经</w:t>
      </w:r>
      <w:r>
        <w:rPr>
          <w:w w:val="100"/>
        </w:rPr>
        <w:t>中国</w:t>
      </w:r>
      <w:r>
        <w:rPr>
          <w:spacing w:val="-3"/>
          <w:w w:val="100"/>
        </w:rPr>
        <w:t>热</w:t>
      </w:r>
      <w:r>
        <w:rPr>
          <w:w w:val="100"/>
        </w:rPr>
        <w:t>处</w:t>
      </w:r>
      <w:r>
        <w:rPr>
          <w:spacing w:val="-3"/>
          <w:w w:val="100"/>
        </w:rPr>
        <w:t>理</w:t>
      </w:r>
      <w:r>
        <w:rPr>
          <w:w w:val="100"/>
        </w:rPr>
        <w:t>行</w:t>
      </w:r>
      <w:r>
        <w:rPr>
          <w:spacing w:val="-3"/>
          <w:w w:val="100"/>
        </w:rPr>
        <w:t>业</w:t>
      </w:r>
      <w:r>
        <w:rPr>
          <w:w w:val="100"/>
        </w:rPr>
        <w:t>协</w:t>
      </w:r>
      <w:r>
        <w:rPr>
          <w:spacing w:val="-3"/>
          <w:w w:val="100"/>
        </w:rPr>
        <w:t>会</w:t>
      </w:r>
      <w:r>
        <w:rPr>
          <w:w w:val="100"/>
        </w:rPr>
        <w:t>专</w:t>
      </w:r>
      <w:r>
        <w:rPr>
          <w:spacing w:val="-3"/>
          <w:w w:val="100"/>
        </w:rPr>
        <w:t>家</w:t>
      </w:r>
      <w:r>
        <w:rPr>
          <w:w w:val="100"/>
        </w:rPr>
        <w:t>鉴</w:t>
      </w:r>
      <w:r>
        <w:rPr>
          <w:w w:val="100"/>
        </w:rPr>
        <w:t> </w:t>
      </w:r>
      <w:r>
        <w:rPr/>
        <w:t>定，该技术处于国际领先水平。</w:t>
      </w:r>
    </w:p>
    <w:p>
      <w:pPr>
        <w:pStyle w:val="BodyText"/>
        <w:spacing w:line="429" w:lineRule="auto" w:before="163"/>
        <w:ind w:left="653" w:right="1124"/>
        <w:jc w:val="left"/>
      </w:pPr>
      <w:r>
        <w:rPr>
          <w:rFonts w:ascii="Times New Roman" w:hAnsi="Times New Roman" w:cs="Times New Roman" w:eastAsia="Times New Roman" w:hint="default"/>
        </w:rPr>
        <w:t>3</w:t>
      </w:r>
      <w:r>
        <w:rPr/>
        <w:t>、经营模式</w:t>
      </w:r>
      <w:r>
        <w:rPr>
          <w:w w:val="100"/>
        </w:rPr>
        <w:t> </w:t>
      </w:r>
      <w:r>
        <w:rPr>
          <w:spacing w:val="-4"/>
        </w:rPr>
        <w:t>公司采取热处理设备制造与专业热处理加工业务并举的独特经营模式，这两块业务互为补充、互相促</w:t>
      </w:r>
    </w:p>
    <w:p>
      <w:pPr>
        <w:pStyle w:val="BodyText"/>
        <w:spacing w:line="235" w:lineRule="exact"/>
        <w:ind w:right="0"/>
        <w:jc w:val="left"/>
      </w:pPr>
      <w:r>
        <w:rPr/>
        <w:t>进，公司可以对特定客户提供具有针对性的热处理综合解决方案，有利于公司整体竞争力的提升。</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7"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28,882,248.80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141,803,000.00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-79.63%</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bl>
    <w:p>
      <w:pPr>
        <w:spacing w:after="0" w:line="240" w:lineRule="auto"/>
        <w:jc w:val="center"/>
        <w:rPr>
          <w:rFonts w:ascii="宋体" w:hAnsi="宋体" w:cs="宋体" w:eastAsia="宋体" w:hint="default"/>
          <w:sz w:val="18"/>
          <w:szCs w:val="18"/>
        </w:rPr>
        <w:sectPr>
          <w:pgSz w:w="11910" w:h="16840"/>
          <w:pgMar w:header="745" w:footer="1340" w:top="1060" w:bottom="1540" w:left="960" w:right="0"/>
        </w:sectPr>
      </w:pPr>
    </w:p>
    <w:p>
      <w:pPr>
        <w:spacing w:line="240" w:lineRule="auto" w:before="6"/>
        <w:rPr>
          <w:rFonts w:ascii="宋体" w:hAnsi="宋体" w:cs="宋体" w:eastAsia="宋体" w:hint="default"/>
          <w:b/>
          <w:bCs/>
          <w:sz w:val="28"/>
          <w:szCs w:val="28"/>
        </w:rPr>
      </w:pPr>
    </w:p>
    <w:tbl>
      <w:tblPr>
        <w:tblW w:w="0" w:type="auto"/>
        <w:jc w:val="left"/>
        <w:tblInd w:w="207"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pacing w:val="-1"/>
                <w:sz w:val="18"/>
                <w:szCs w:val="18"/>
              </w:rPr>
              <w:t>上市公司占被投资公司权益比例（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102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6"/>
              <w:jc w:val="both"/>
              <w:rPr>
                <w:rFonts w:ascii="宋体" w:hAnsi="宋体" w:cs="宋体" w:eastAsia="宋体" w:hint="default"/>
                <w:sz w:val="18"/>
                <w:szCs w:val="18"/>
              </w:rPr>
            </w:pPr>
            <w:r>
              <w:rPr>
                <w:rFonts w:ascii="宋体" w:hAnsi="宋体" w:cs="宋体" w:eastAsia="宋体" w:hint="default"/>
                <w:sz w:val="18"/>
                <w:szCs w:val="18"/>
              </w:rPr>
              <w:t>高频电源装置、感应加热设备以及各种 附属设备制造，金属零部件的感应加热 热处理加工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重庆丰东神五热处理工程有限公司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金属零部件的热处理及表面加工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机械配件专业热处理加工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96.37%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热处理及表面处理加工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b/>
          <w:bCs/>
          <w:sz w:val="19"/>
          <w:szCs w:val="19"/>
        </w:rPr>
      </w:pPr>
    </w:p>
    <w:p>
      <w:pPr>
        <w:pStyle w:val="Heading4"/>
        <w:spacing w:line="240" w:lineRule="auto" w:before="36"/>
        <w:ind w:left="212" w:right="0"/>
        <w:jc w:val="left"/>
        <w:rPr>
          <w:b w:val="0"/>
          <w:bCs w:val="0"/>
        </w:rPr>
      </w:pPr>
      <w:r>
        <w:rPr/>
        <w:pict>
          <v:shape style="position:absolute;margin-left:155.059998pt;margin-top:51.173691pt;width:84.3pt;height:17.650pt;mso-position-horizontal-relative:page;mso-position-vertical-relative:paragraph;z-index:-859744"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成本（元）</w:t>
                  </w:r>
                </w:p>
              </w:txbxContent>
            </v:textbox>
            <w10:wrap type="none"/>
          </v:shape>
        </w:pict>
      </w:r>
      <w:r>
        <w:rPr/>
        <w:pict>
          <v:shape style="position:absolute;margin-left:198.649994pt;margin-top:51.173691pt;width:84pt;height:17.650pt;mso-position-horizontal-relative:page;mso-position-vertical-relative:paragraph;z-index:-859720"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数量（股）</w:t>
                  </w:r>
                </w:p>
              </w:txbxContent>
            </v:textbox>
            <w10:wrap type="none"/>
          </v:shape>
        </w:pict>
      </w:r>
      <w:r>
        <w:rPr/>
        <w:pict>
          <v:shape style="position:absolute;margin-left:285.529999pt;margin-top:51.173691pt;width:84.05pt;height:17.650pt;mso-position-horizontal-relative:page;mso-position-vertical-relative:paragraph;z-index:-85969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数量（股）</w:t>
                  </w:r>
                </w:p>
              </w:txbxContent>
            </v:textbox>
            <w10:wrap type="none"/>
          </v:shape>
        </w:pict>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2" w:type="dxa"/>
        <w:tblLayout w:type="fixed"/>
        <w:tblCellMar>
          <w:top w:w="0" w:type="dxa"/>
          <w:left w:w="0" w:type="dxa"/>
          <w:bottom w:w="0" w:type="dxa"/>
          <w:right w:w="0" w:type="dxa"/>
        </w:tblCellMar>
        <w:tblLook w:val="01E0"/>
      </w:tblPr>
      <w:tblGrid>
        <w:gridCol w:w="1164"/>
        <w:gridCol w:w="881"/>
        <w:gridCol w:w="869"/>
        <w:gridCol w:w="871"/>
        <w:gridCol w:w="869"/>
        <w:gridCol w:w="867"/>
        <w:gridCol w:w="869"/>
        <w:gridCol w:w="869"/>
        <w:gridCol w:w="867"/>
        <w:gridCol w:w="869"/>
        <w:gridCol w:w="857"/>
      </w:tblGrid>
      <w:tr>
        <w:trPr>
          <w:trHeight w:val="716"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公司类别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最初投资</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期初持股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34"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期末持股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4"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5"/>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9"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71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江苏大丰农村 商业银行</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1"/>
              <w:jc w:val="center"/>
              <w:rPr>
                <w:rFonts w:ascii="宋体" w:hAnsi="宋体" w:cs="宋体" w:eastAsia="宋体" w:hint="default"/>
                <w:sz w:val="18"/>
                <w:szCs w:val="18"/>
              </w:rPr>
            </w:pPr>
            <w:r>
              <w:rPr>
                <w:rFonts w:ascii="宋体" w:hAnsi="宋体" w:cs="宋体" w:eastAsia="宋体" w:hint="default"/>
                <w:sz w:val="18"/>
                <w:szCs w:val="18"/>
              </w:rPr>
              <w:t>商业银行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3,969,700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1.32%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3,969,700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1.32%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5" w:hRule="exact"/>
        </w:trPr>
        <w:tc>
          <w:tcPr>
            <w:tcW w:w="20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3,969,700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3,969,700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left="212" w:right="0"/>
        <w:jc w:val="left"/>
        <w:rPr>
          <w:b w:val="0"/>
          <w:bCs w:val="0"/>
        </w:rPr>
      </w:pPr>
      <w:r>
        <w:rPr>
          <w:rFonts w:ascii="Times New Roman" w:hAnsi="Times New Roman" w:cs="Times New Roman" w:eastAsia="Times New Roman" w:hint="default"/>
        </w:rPr>
        <w:t>2</w:t>
      </w:r>
      <w:r>
        <w:rPr/>
        <w:t>、募集资金使用情况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212"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before="36"/>
        <w:ind w:left="0" w:right="1119"/>
        <w:jc w:val="right"/>
      </w:pPr>
      <w:r>
        <w:rPr/>
        <w:pict>
          <v:shape style="position:absolute;margin-left:56.400002pt;margin-top:-140.736328pt;width:479.3pt;height:301.7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9"/>
                    <w:gridCol w:w="5481"/>
                  </w:tblGrid>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37,120.35</w:t>
                        </w:r>
                      </w:p>
                    </w:tc>
                  </w:tr>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9,297.65</w:t>
                        </w:r>
                      </w:p>
                    </w:tc>
                  </w:tr>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25,973.79</w:t>
                        </w:r>
                      </w:p>
                    </w:tc>
                  </w:tr>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21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98" w:firstLine="420"/>
                          <w:jc w:val="left"/>
                          <w:rPr>
                            <w:rFonts w:ascii="宋体" w:hAnsi="宋体" w:cs="宋体" w:eastAsia="宋体" w:hint="default"/>
                            <w:sz w:val="21"/>
                            <w:szCs w:val="21"/>
                          </w:rPr>
                        </w:pPr>
                        <w:r>
                          <w:rPr>
                            <w:rFonts w:ascii="宋体" w:hAnsi="宋体" w:cs="宋体" w:eastAsia="宋体" w:hint="default"/>
                            <w:w w:val="100"/>
                            <w:sz w:val="21"/>
                            <w:szCs w:val="21"/>
                          </w:rPr>
                          <w:t>经中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监</w:t>
                        </w:r>
                        <w:r>
                          <w:rPr>
                            <w:rFonts w:ascii="宋体" w:hAnsi="宋体" w:cs="宋体" w:eastAsia="宋体" w:hint="default"/>
                            <w:spacing w:val="-3"/>
                            <w:w w:val="100"/>
                            <w:sz w:val="21"/>
                            <w:szCs w:val="21"/>
                          </w:rPr>
                          <w:t>督</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委</w:t>
                        </w:r>
                        <w:r>
                          <w:rPr>
                            <w:rFonts w:ascii="宋体" w:hAnsi="宋体" w:cs="宋体" w:eastAsia="宋体" w:hint="default"/>
                            <w:spacing w:val="-3"/>
                            <w:w w:val="100"/>
                            <w:sz w:val="21"/>
                            <w:szCs w:val="21"/>
                          </w:rPr>
                          <w:t>员</w:t>
                        </w:r>
                        <w:r>
                          <w:rPr>
                            <w:rFonts w:ascii="宋体" w:hAnsi="宋体" w:cs="宋体" w:eastAsia="宋体" w:hint="default"/>
                            <w:w w:val="100"/>
                            <w:sz w:val="21"/>
                            <w:szCs w:val="21"/>
                          </w:rPr>
                          <w:t>会</w:t>
                        </w:r>
                        <w:r>
                          <w:rPr>
                            <w:rFonts w:ascii="Times New Roman" w:hAnsi="Times New Roman" w:cs="Times New Roman" w:eastAsia="Times New Roman" w:hint="default"/>
                            <w:spacing w:val="-1"/>
                            <w:w w:val="44"/>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监</w:t>
                        </w:r>
                        <w:r>
                          <w:rPr>
                            <w:rFonts w:ascii="宋体" w:hAnsi="宋体" w:cs="宋体" w:eastAsia="宋体" w:hint="default"/>
                            <w:spacing w:val="-3"/>
                            <w:w w:val="100"/>
                            <w:sz w:val="21"/>
                            <w:szCs w:val="21"/>
                          </w:rPr>
                          <w:t>许</w:t>
                        </w:r>
                        <w:r>
                          <w:rPr>
                            <w:rFonts w:ascii="宋体" w:hAnsi="宋体" w:cs="宋体" w:eastAsia="宋体" w:hint="default"/>
                            <w:spacing w:val="-41"/>
                            <w:w w:val="100"/>
                            <w:sz w:val="21"/>
                            <w:szCs w:val="21"/>
                          </w:rPr>
                          <w:t>可</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201</w:t>
                        </w:r>
                        <w:r>
                          <w:rPr>
                            <w:rFonts w:ascii="Times New Roman" w:hAnsi="Times New Roman" w:cs="Times New Roman" w:eastAsia="Times New Roman" w:hint="default"/>
                            <w:spacing w:val="-3"/>
                            <w:w w:val="100"/>
                            <w:sz w:val="21"/>
                            <w:szCs w:val="21"/>
                          </w:rPr>
                          <w:t>0</w:t>
                        </w:r>
                        <w:r>
                          <w:rPr>
                            <w:rFonts w:ascii="宋体" w:hAnsi="宋体" w:cs="宋体" w:eastAsia="宋体" w:hint="default"/>
                            <w:spacing w:val="-41"/>
                            <w:w w:val="100"/>
                            <w:sz w:val="21"/>
                            <w:szCs w:val="21"/>
                          </w:rPr>
                          <w:t>〕</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7</w:t>
                        </w:r>
                        <w:r>
                          <w:rPr>
                            <w:rFonts w:ascii="Times New Roman" w:hAnsi="Times New Roman" w:cs="Times New Roman" w:eastAsia="Times New Roman" w:hint="default"/>
                            <w:w w:val="100"/>
                            <w:sz w:val="21"/>
                            <w:szCs w:val="21"/>
                          </w:rPr>
                          <w:t>57</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号</w:t>
                        </w:r>
                        <w:r>
                          <w:rPr>
                            <w:rFonts w:ascii="Times New Roman" w:hAnsi="Times New Roman" w:cs="Times New Roman" w:eastAsia="Times New Roman" w:hint="default"/>
                            <w:spacing w:val="-1"/>
                            <w:w w:val="159"/>
                            <w:sz w:val="21"/>
                            <w:szCs w:val="21"/>
                          </w:rPr>
                          <w:t>‖</w:t>
                        </w:r>
                        <w:r>
                          <w:rPr>
                            <w:rFonts w:ascii="宋体" w:hAnsi="宋体" w:cs="宋体" w:eastAsia="宋体" w:hint="default"/>
                            <w:spacing w:val="-3"/>
                            <w:w w:val="100"/>
                            <w:sz w:val="21"/>
                            <w:szCs w:val="21"/>
                          </w:rPr>
                          <w:t>文</w:t>
                        </w:r>
                        <w:r>
                          <w:rPr>
                            <w:rFonts w:ascii="宋体" w:hAnsi="宋体" w:cs="宋体" w:eastAsia="宋体" w:hint="default"/>
                            <w:w w:val="100"/>
                            <w:sz w:val="21"/>
                            <w:szCs w:val="21"/>
                          </w:rPr>
                          <w:t>核</w:t>
                        </w:r>
                        <w:r>
                          <w:rPr>
                            <w:rFonts w:ascii="宋体" w:hAnsi="宋体" w:cs="宋体" w:eastAsia="宋体" w:hint="default"/>
                            <w:spacing w:val="-3"/>
                            <w:w w:val="100"/>
                            <w:sz w:val="21"/>
                            <w:szCs w:val="21"/>
                          </w:rPr>
                          <w:t>准</w:t>
                        </w:r>
                        <w:r>
                          <w:rPr>
                            <w:rFonts w:ascii="宋体" w:hAnsi="宋体" w:cs="宋体" w:eastAsia="宋体" w:hint="default"/>
                            <w:spacing w:val="-41"/>
                            <w:w w:val="100"/>
                            <w:sz w:val="21"/>
                            <w:szCs w:val="21"/>
                          </w:rPr>
                          <w:t>，</w:t>
                        </w:r>
                        <w:r>
                          <w:rPr>
                            <w:rFonts w:ascii="宋体" w:hAnsi="宋体" w:cs="宋体" w:eastAsia="宋体" w:hint="default"/>
                            <w:spacing w:val="-3"/>
                            <w:w w:val="100"/>
                            <w:sz w:val="21"/>
                            <w:szCs w:val="21"/>
                          </w:rPr>
                          <w:t>并</w:t>
                        </w:r>
                        <w:r>
                          <w:rPr>
                            <w:rFonts w:ascii="宋体" w:hAnsi="宋体" w:cs="宋体" w:eastAsia="宋体" w:hint="default"/>
                            <w:w w:val="100"/>
                            <w:sz w:val="21"/>
                            <w:szCs w:val="21"/>
                          </w:rPr>
                          <w:t>经</w:t>
                        </w:r>
                        <w:r>
                          <w:rPr>
                            <w:rFonts w:ascii="宋体" w:hAnsi="宋体" w:cs="宋体" w:eastAsia="宋体" w:hint="default"/>
                            <w:spacing w:val="-3"/>
                            <w:w w:val="100"/>
                            <w:sz w:val="21"/>
                            <w:szCs w:val="21"/>
                          </w:rPr>
                          <w:t>深</w:t>
                        </w:r>
                        <w:r>
                          <w:rPr>
                            <w:rFonts w:ascii="宋体" w:hAnsi="宋体" w:cs="宋体" w:eastAsia="宋体" w:hint="default"/>
                            <w:w w:val="100"/>
                            <w:sz w:val="21"/>
                            <w:szCs w:val="21"/>
                          </w:rPr>
                          <w:t>圳</w:t>
                        </w:r>
                        <w:r>
                          <w:rPr>
                            <w:rFonts w:ascii="宋体" w:hAnsi="宋体" w:cs="宋体" w:eastAsia="宋体" w:hint="default"/>
                            <w:spacing w:val="-3"/>
                            <w:w w:val="100"/>
                            <w:sz w:val="21"/>
                            <w:szCs w:val="21"/>
                          </w:rPr>
                          <w:t>证券</w:t>
                        </w:r>
                        <w:r>
                          <w:rPr>
                            <w:rFonts w:ascii="宋体" w:hAnsi="宋体" w:cs="宋体" w:eastAsia="宋体" w:hint="default"/>
                            <w:w w:val="100"/>
                            <w:sz w:val="21"/>
                            <w:szCs w:val="21"/>
                          </w:rPr>
                          <w:t>交易</w:t>
                        </w:r>
                        <w:r>
                          <w:rPr>
                            <w:rFonts w:ascii="宋体" w:hAnsi="宋体" w:cs="宋体" w:eastAsia="宋体" w:hint="default"/>
                            <w:spacing w:val="-3"/>
                            <w:w w:val="100"/>
                            <w:sz w:val="21"/>
                            <w:szCs w:val="21"/>
                          </w:rPr>
                          <w:t>所</w:t>
                        </w:r>
                        <w:r>
                          <w:rPr>
                            <w:rFonts w:ascii="Times New Roman" w:hAnsi="Times New Roman" w:cs="Times New Roman" w:eastAsia="Times New Roman" w:hint="default"/>
                            <w:spacing w:val="-1"/>
                            <w:w w:val="44"/>
                            <w:sz w:val="21"/>
                            <w:szCs w:val="21"/>
                          </w:rPr>
                          <w:t>―</w:t>
                        </w:r>
                        <w:r>
                          <w:rPr>
                            <w:rFonts w:ascii="宋体" w:hAnsi="宋体" w:cs="宋体" w:eastAsia="宋体" w:hint="default"/>
                            <w:spacing w:val="-3"/>
                            <w:w w:val="100"/>
                            <w:sz w:val="21"/>
                            <w:szCs w:val="21"/>
                          </w:rPr>
                          <w:t>深</w:t>
                        </w:r>
                        <w:r>
                          <w:rPr>
                            <w:rFonts w:ascii="宋体" w:hAnsi="宋体" w:cs="宋体" w:eastAsia="宋体" w:hint="default"/>
                            <w:w w:val="100"/>
                            <w:sz w:val="21"/>
                            <w:szCs w:val="21"/>
                          </w:rPr>
                          <w:t>证</w:t>
                        </w:r>
                        <w:r>
                          <w:rPr>
                            <w:rFonts w:ascii="宋体" w:hAnsi="宋体" w:cs="宋体" w:eastAsia="宋体" w:hint="default"/>
                            <w:spacing w:val="-44"/>
                            <w:w w:val="100"/>
                            <w:sz w:val="21"/>
                            <w:szCs w:val="21"/>
                          </w:rPr>
                          <w:t>上</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429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文同意，本公司向社会公开发行人民币普通股（</w:t>
                        </w:r>
                        <w:r>
                          <w:rPr>
                            <w:rFonts w:ascii="Times New Roman" w:hAnsi="Times New Roman" w:cs="Times New Roman" w:eastAsia="Times New Roman" w:hint="default"/>
                            <w:sz w:val="21"/>
                            <w:szCs w:val="21"/>
                          </w:rPr>
                          <w:t>A </w:t>
                        </w:r>
                        <w:r>
                          <w:rPr>
                            <w:rFonts w:ascii="宋体" w:hAnsi="宋体" w:cs="宋体" w:eastAsia="宋体" w:hint="default"/>
                            <w:sz w:val="21"/>
                            <w:szCs w:val="21"/>
                          </w:rPr>
                          <w:t>股）</w:t>
                        </w:r>
                        <w:r>
                          <w:rPr>
                            <w:rFonts w:ascii="Times New Roman" w:hAnsi="Times New Roman" w:cs="Times New Roman" w:eastAsia="Times New Roman" w:hint="default"/>
                            <w:sz w:val="21"/>
                            <w:szCs w:val="21"/>
                          </w:rPr>
                          <w:t>3,400 </w:t>
                        </w:r>
                        <w:r>
                          <w:rPr>
                            <w:rFonts w:ascii="宋体" w:hAnsi="宋体" w:cs="宋体" w:eastAsia="宋体" w:hint="default"/>
                            <w:sz w:val="21"/>
                            <w:szCs w:val="21"/>
                          </w:rPr>
                          <w:t>万股，每股面值为人民币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6"/>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40" w:lineRule="auto" w:before="5"/>
                          <w:ind w:left="24" w:right="0"/>
                          <w:jc w:val="left"/>
                          <w:rPr>
                            <w:rFonts w:ascii="宋体" w:hAnsi="宋体" w:cs="宋体" w:eastAsia="宋体" w:hint="default"/>
                            <w:sz w:val="21"/>
                            <w:szCs w:val="21"/>
                          </w:rPr>
                        </w:pPr>
                        <w:r>
                          <w:rPr>
                            <w:rFonts w:ascii="宋体" w:hAnsi="宋体" w:cs="宋体" w:eastAsia="宋体" w:hint="default"/>
                            <w:sz w:val="21"/>
                            <w:szCs w:val="21"/>
                          </w:rPr>
                          <w:t>每股发行价格为人民币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元，募集资金总额为人民币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408,000,000.00</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元，扣除保荐及承销费用</w:t>
                        </w:r>
                      </w:p>
                      <w:p>
                        <w:pPr>
                          <w:pStyle w:val="TableParagraph"/>
                          <w:spacing w:line="240" w:lineRule="auto" w:before="21"/>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30,194,400.00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元后，募集资金余额为人民币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377,805,600.00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日全部存入本公司在</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中国银行股份有限公司盐城分行开立的募集资金验资专户</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880108538018095001</w:t>
                        </w:r>
                        <w:r>
                          <w:rPr>
                            <w:rFonts w:ascii="Times New Roman" w:hAnsi="Times New Roman" w:cs="Times New Roman" w:eastAsia="Times New Roman" w:hint="default"/>
                            <w:spacing w:val="4"/>
                            <w:sz w:val="21"/>
                            <w:szCs w:val="21"/>
                          </w:rPr>
                          <w:t> </w:t>
                        </w:r>
                        <w:r>
                          <w:rPr>
                            <w:rFonts w:ascii="宋体" w:hAnsi="宋体" w:cs="宋体" w:eastAsia="宋体" w:hint="default"/>
                            <w:spacing w:val="-6"/>
                            <w:sz w:val="21"/>
                            <w:szCs w:val="21"/>
                          </w:rPr>
                          <w:t>账号中，扣减审计费、验</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资费、律师费、信息披露费等其他发行费用人民币</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6,602,086.76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元后，实际募集资金净额为人民币</w:t>
                        </w:r>
                      </w:p>
                      <w:p>
                        <w:pPr>
                          <w:pStyle w:val="TableParagraph"/>
                          <w:spacing w:line="240" w:lineRule="auto" w:before="21"/>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371,2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3,51</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.24</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述</w:t>
                        </w:r>
                        <w:r>
                          <w:rPr>
                            <w:rFonts w:ascii="宋体" w:hAnsi="宋体" w:cs="宋体" w:eastAsia="宋体" w:hint="default"/>
                            <w:w w:val="100"/>
                            <w:sz w:val="21"/>
                            <w:szCs w:val="21"/>
                          </w:rPr>
                          <w:t>募集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净</w:t>
                        </w:r>
                        <w:r>
                          <w:rPr>
                            <w:rFonts w:ascii="宋体" w:hAnsi="宋体" w:cs="宋体" w:eastAsia="宋体" w:hint="default"/>
                            <w:w w:val="100"/>
                            <w:sz w:val="21"/>
                            <w:szCs w:val="21"/>
                          </w:rPr>
                          <w:t>额</w:t>
                        </w:r>
                        <w:r>
                          <w:rPr>
                            <w:rFonts w:ascii="宋体" w:hAnsi="宋体" w:cs="宋体" w:eastAsia="宋体" w:hint="default"/>
                            <w:spacing w:val="-3"/>
                            <w:w w:val="100"/>
                            <w:sz w:val="21"/>
                            <w:szCs w:val="21"/>
                          </w:rPr>
                          <w:t>已</w:t>
                        </w:r>
                        <w:r>
                          <w:rPr>
                            <w:rFonts w:ascii="宋体" w:hAnsi="宋体" w:cs="宋体" w:eastAsia="宋体" w:hint="default"/>
                            <w:w w:val="100"/>
                            <w:sz w:val="21"/>
                            <w:szCs w:val="21"/>
                          </w:rPr>
                          <w:t>经</w:t>
                        </w:r>
                        <w:r>
                          <w:rPr>
                            <w:rFonts w:ascii="宋体" w:hAnsi="宋体" w:cs="宋体" w:eastAsia="宋体" w:hint="default"/>
                            <w:spacing w:val="-3"/>
                            <w:w w:val="100"/>
                            <w:sz w:val="21"/>
                            <w:szCs w:val="21"/>
                          </w:rPr>
                          <w:t>上</w:t>
                        </w:r>
                        <w:r>
                          <w:rPr>
                            <w:rFonts w:ascii="宋体" w:hAnsi="宋体" w:cs="宋体" w:eastAsia="宋体" w:hint="default"/>
                            <w:w w:val="100"/>
                            <w:sz w:val="21"/>
                            <w:szCs w:val="21"/>
                          </w:rPr>
                          <w:t>海</w:t>
                        </w:r>
                        <w:r>
                          <w:rPr>
                            <w:rFonts w:ascii="宋体" w:hAnsi="宋体" w:cs="宋体" w:eastAsia="宋体" w:hint="default"/>
                            <w:spacing w:val="-3"/>
                            <w:w w:val="100"/>
                            <w:sz w:val="21"/>
                            <w:szCs w:val="21"/>
                          </w:rPr>
                          <w:t>众</w:t>
                        </w:r>
                        <w:r>
                          <w:rPr>
                            <w:rFonts w:ascii="宋体" w:hAnsi="宋体" w:cs="宋体" w:eastAsia="宋体" w:hint="default"/>
                            <w:w w:val="100"/>
                            <w:sz w:val="21"/>
                            <w:szCs w:val="21"/>
                          </w:rPr>
                          <w:t>华沪</w:t>
                        </w:r>
                        <w:r>
                          <w:rPr>
                            <w:rFonts w:ascii="宋体" w:hAnsi="宋体" w:cs="宋体" w:eastAsia="宋体" w:hint="default"/>
                            <w:spacing w:val="-3"/>
                            <w:w w:val="100"/>
                            <w:sz w:val="21"/>
                            <w:szCs w:val="21"/>
                          </w:rPr>
                          <w:t>银</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师</w:t>
                        </w:r>
                        <w:r>
                          <w:rPr>
                            <w:rFonts w:ascii="宋体" w:hAnsi="宋体" w:cs="宋体" w:eastAsia="宋体" w:hint="default"/>
                            <w:spacing w:val="-3"/>
                            <w:w w:val="100"/>
                            <w:sz w:val="21"/>
                            <w:szCs w:val="21"/>
                          </w:rPr>
                          <w:t>事</w:t>
                        </w:r>
                        <w:r>
                          <w:rPr>
                            <w:rFonts w:ascii="宋体" w:hAnsi="宋体" w:cs="宋体" w:eastAsia="宋体" w:hint="default"/>
                            <w:w w:val="100"/>
                            <w:sz w:val="21"/>
                            <w:szCs w:val="21"/>
                          </w:rPr>
                          <w:t>务</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公司</w:t>
                        </w:r>
                        <w:r>
                          <w:rPr>
                            <w:rFonts w:ascii="Times New Roman" w:hAnsi="Times New Roman" w:cs="Times New Roman" w:eastAsia="Times New Roman" w:hint="default"/>
                            <w:spacing w:val="-3"/>
                            <w:w w:val="44"/>
                            <w:sz w:val="21"/>
                            <w:szCs w:val="21"/>
                          </w:rPr>
                          <w:t>―</w:t>
                        </w:r>
                        <w:r>
                          <w:rPr>
                            <w:rFonts w:ascii="宋体" w:hAnsi="宋体" w:cs="宋体" w:eastAsia="宋体" w:hint="default"/>
                            <w:w w:val="100"/>
                            <w:sz w:val="21"/>
                            <w:szCs w:val="21"/>
                          </w:rPr>
                          <w:t>沪</w:t>
                        </w:r>
                        <w:r>
                          <w:rPr>
                            <w:rFonts w:ascii="宋体" w:hAnsi="宋体" w:cs="宋体" w:eastAsia="宋体" w:hint="default"/>
                            <w:spacing w:val="-3"/>
                            <w:w w:val="100"/>
                            <w:sz w:val="21"/>
                            <w:szCs w:val="21"/>
                          </w:rPr>
                          <w:t>众</w:t>
                        </w:r>
                        <w:r>
                          <w:rPr>
                            <w:rFonts w:ascii="宋体" w:hAnsi="宋体" w:cs="宋体" w:eastAsia="宋体" w:hint="default"/>
                            <w:w w:val="100"/>
                            <w:sz w:val="21"/>
                            <w:szCs w:val="21"/>
                          </w:rPr>
                          <w:t>会字</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1"/>
                            <w:w w:val="100"/>
                            <w:sz w:val="21"/>
                            <w:szCs w:val="21"/>
                          </w:rPr>
                          <w:t>]</w:t>
                        </w:r>
                        <w:r>
                          <w:rPr>
                            <w:rFonts w:ascii="宋体" w:hAnsi="宋体" w:cs="宋体" w:eastAsia="宋体" w:hint="default"/>
                            <w:w w:val="100"/>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52</w:t>
                        </w:r>
                      </w:p>
                      <w:p>
                        <w:pPr>
                          <w:pStyle w:val="TableParagraph"/>
                          <w:spacing w:line="240" w:lineRule="auto" w:before="21"/>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《验资报告》审验。</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年度募集资金专用账户利息收入 </w:t>
                        </w:r>
                        <w:r>
                          <w:rPr>
                            <w:rFonts w:ascii="Times New Roman" w:hAnsi="Times New Roman" w:cs="Times New Roman" w:eastAsia="Times New Roman" w:hint="default"/>
                            <w:sz w:val="21"/>
                            <w:szCs w:val="21"/>
                          </w:rPr>
                          <w:t>5,121,468.87 </w:t>
                        </w:r>
                        <w:r>
                          <w:rPr>
                            <w:rFonts w:ascii="宋体" w:hAnsi="宋体" w:cs="宋体" w:eastAsia="宋体" w:hint="default"/>
                            <w:sz w:val="21"/>
                            <w:szCs w:val="21"/>
                          </w:rPr>
                          <w:t>元，支出金额</w:t>
                        </w:r>
                        <w:r>
                          <w:rPr>
                            <w:rFonts w:ascii="宋体" w:hAnsi="宋体" w:cs="宋体" w:eastAsia="宋体" w:hint="default"/>
                            <w:spacing w:val="-84"/>
                            <w:sz w:val="21"/>
                            <w:szCs w:val="21"/>
                          </w:rPr>
                          <w:t> </w:t>
                        </w:r>
                        <w:r>
                          <w:rPr>
                            <w:rFonts w:ascii="Times New Roman" w:hAnsi="Times New Roman" w:cs="Times New Roman" w:eastAsia="Times New Roman" w:hint="default"/>
                            <w:sz w:val="21"/>
                            <w:szCs w:val="21"/>
                          </w:rPr>
                          <w:t>92,976,515.44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元（</w:t>
                        </w:r>
                        <w:r>
                          <w:rPr>
                            <w:rFonts w:ascii="宋体" w:hAnsi="宋体" w:cs="宋体" w:eastAsia="宋体" w:hint="default"/>
                            <w:spacing w:val="-3"/>
                            <w:w w:val="100"/>
                            <w:sz w:val="21"/>
                            <w:szCs w:val="21"/>
                          </w:rPr>
                          <w:t>不</w:t>
                        </w:r>
                        <w:r>
                          <w:rPr>
                            <w:rFonts w:ascii="宋体" w:hAnsi="宋体" w:cs="宋体" w:eastAsia="宋体" w:hint="default"/>
                            <w:w w:val="100"/>
                            <w:sz w:val="21"/>
                            <w:szCs w:val="21"/>
                          </w:rPr>
                          <w:t>含</w:t>
                        </w:r>
                        <w:r>
                          <w:rPr>
                            <w:rFonts w:ascii="宋体" w:hAnsi="宋体" w:cs="宋体" w:eastAsia="宋体" w:hint="default"/>
                            <w:spacing w:val="-3"/>
                            <w:w w:val="100"/>
                            <w:sz w:val="21"/>
                            <w:szCs w:val="21"/>
                          </w:rPr>
                          <w:t>银</w:t>
                        </w:r>
                        <w:r>
                          <w:rPr>
                            <w:rFonts w:ascii="宋体" w:hAnsi="宋体" w:cs="宋体" w:eastAsia="宋体" w:hint="default"/>
                            <w:w w:val="100"/>
                            <w:sz w:val="21"/>
                            <w:szCs w:val="21"/>
                          </w:rPr>
                          <w:t>行</w:t>
                        </w:r>
                        <w:r>
                          <w:rPr>
                            <w:rFonts w:ascii="宋体" w:hAnsi="宋体" w:cs="宋体" w:eastAsia="宋体" w:hint="default"/>
                            <w:spacing w:val="-3"/>
                            <w:w w:val="100"/>
                            <w:sz w:val="21"/>
                            <w:szCs w:val="21"/>
                          </w:rPr>
                          <w:t>手续</w:t>
                        </w:r>
                        <w:r>
                          <w:rPr>
                            <w:rFonts w:ascii="宋体" w:hAnsi="宋体" w:cs="宋体" w:eastAsia="宋体" w:hint="default"/>
                            <w:w w:val="100"/>
                            <w:sz w:val="21"/>
                            <w:szCs w:val="21"/>
                          </w:rPr>
                          <w:t>费</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2,2</w:t>
                        </w:r>
                        <w:r>
                          <w:rPr>
                            <w:rFonts w:ascii="Times New Roman" w:hAnsi="Times New Roman" w:cs="Times New Roman" w:eastAsia="Times New Roman" w:hint="default"/>
                            <w:spacing w:val="-3"/>
                            <w:w w:val="100"/>
                            <w:sz w:val="21"/>
                            <w:szCs w:val="21"/>
                          </w:rPr>
                          <w:t>42</w:t>
                        </w:r>
                        <w:r>
                          <w:rPr>
                            <w:rFonts w:ascii="Times New Roman" w:hAnsi="Times New Roman" w:cs="Times New Roman" w:eastAsia="Times New Roman" w:hint="default"/>
                            <w:w w:val="100"/>
                            <w:sz w:val="21"/>
                            <w:szCs w:val="21"/>
                          </w:rPr>
                          <w:t>.42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累</w:t>
                        </w:r>
                        <w:r>
                          <w:rPr>
                            <w:rFonts w:ascii="宋体" w:hAnsi="宋体" w:cs="宋体" w:eastAsia="宋体" w:hint="default"/>
                            <w:w w:val="100"/>
                            <w:sz w:val="21"/>
                            <w:szCs w:val="21"/>
                          </w:rPr>
                          <w:t>计</w:t>
                        </w:r>
                        <w:r>
                          <w:rPr>
                            <w:rFonts w:ascii="宋体" w:hAnsi="宋体" w:cs="宋体" w:eastAsia="宋体" w:hint="default"/>
                            <w:spacing w:val="-3"/>
                            <w:w w:val="100"/>
                            <w:sz w:val="21"/>
                            <w:szCs w:val="21"/>
                          </w:rPr>
                          <w:t>利</w:t>
                        </w:r>
                        <w:r>
                          <w:rPr>
                            <w:rFonts w:ascii="宋体" w:hAnsi="宋体" w:cs="宋体" w:eastAsia="宋体" w:hint="default"/>
                            <w:w w:val="100"/>
                            <w:sz w:val="21"/>
                            <w:szCs w:val="21"/>
                          </w:rPr>
                          <w:t>息</w:t>
                        </w:r>
                        <w:r>
                          <w:rPr>
                            <w:rFonts w:ascii="宋体" w:hAnsi="宋体" w:cs="宋体" w:eastAsia="宋体" w:hint="default"/>
                            <w:spacing w:val="-3"/>
                            <w:w w:val="100"/>
                            <w:sz w:val="21"/>
                            <w:szCs w:val="21"/>
                          </w:rPr>
                          <w:t>收</w:t>
                        </w:r>
                        <w:r>
                          <w:rPr>
                            <w:rFonts w:ascii="宋体" w:hAnsi="宋体" w:cs="宋体" w:eastAsia="宋体" w:hint="default"/>
                            <w:w w:val="100"/>
                            <w:sz w:val="21"/>
                            <w:szCs w:val="21"/>
                          </w:rPr>
                          <w:t>入</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3"/>
                            <w:w w:val="100"/>
                            <w:sz w:val="21"/>
                            <w:szCs w:val="21"/>
                          </w:rPr>
                          <w:t>,9</w:t>
                        </w:r>
                        <w:r>
                          <w:rPr>
                            <w:rFonts w:ascii="Times New Roman" w:hAnsi="Times New Roman" w:cs="Times New Roman" w:eastAsia="Times New Roman" w:hint="default"/>
                            <w:spacing w:val="-1"/>
                            <w:w w:val="100"/>
                            <w:sz w:val="21"/>
                            <w:szCs w:val="21"/>
                          </w:rPr>
                          <w:t>5</w:t>
                        </w:r>
                        <w:r>
                          <w:rPr>
                            <w:rFonts w:ascii="Times New Roman" w:hAnsi="Times New Roman" w:cs="Times New Roman" w:eastAsia="Times New Roman" w:hint="default"/>
                            <w:w w:val="100"/>
                            <w:sz w:val="21"/>
                            <w:szCs w:val="21"/>
                          </w:rPr>
                          <w:t>6,781</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累</w:t>
                        </w:r>
                        <w:r>
                          <w:rPr>
                            <w:rFonts w:ascii="宋体" w:hAnsi="宋体" w:cs="宋体" w:eastAsia="宋体" w:hint="default"/>
                            <w:spacing w:val="-3"/>
                            <w:w w:val="100"/>
                            <w:sz w:val="21"/>
                            <w:szCs w:val="21"/>
                          </w:rPr>
                          <w:t>计</w:t>
                        </w:r>
                        <w:r>
                          <w:rPr>
                            <w:rFonts w:ascii="宋体" w:hAnsi="宋体" w:cs="宋体" w:eastAsia="宋体" w:hint="default"/>
                            <w:w w:val="100"/>
                            <w:sz w:val="21"/>
                            <w:szCs w:val="21"/>
                          </w:rPr>
                          <w:t>支</w:t>
                        </w:r>
                        <w:r>
                          <w:rPr>
                            <w:rFonts w:ascii="宋体" w:hAnsi="宋体" w:cs="宋体" w:eastAsia="宋体" w:hint="default"/>
                            <w:spacing w:val="-3"/>
                            <w:w w:val="100"/>
                            <w:sz w:val="21"/>
                            <w:szCs w:val="21"/>
                          </w:rPr>
                          <w:t>出金</w:t>
                        </w:r>
                        <w:r>
                          <w:rPr>
                            <w:rFonts w:ascii="宋体" w:hAnsi="宋体" w:cs="宋体" w:eastAsia="宋体" w:hint="default"/>
                            <w:w w:val="100"/>
                            <w:sz w:val="21"/>
                            <w:szCs w:val="21"/>
                          </w:rPr>
                          <w:t>额</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259</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737</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915.</w:t>
                        </w:r>
                        <w:r>
                          <w:rPr>
                            <w:rFonts w:ascii="Times New Roman" w:hAnsi="Times New Roman" w:cs="Times New Roman" w:eastAsia="Times New Roman" w:hint="default"/>
                            <w:spacing w:val="-3"/>
                            <w:w w:val="100"/>
                            <w:sz w:val="21"/>
                            <w:szCs w:val="21"/>
                          </w:rPr>
                          <w:t>8</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（不</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含银</w:t>
                        </w:r>
                        <w:r>
                          <w:rPr>
                            <w:rFonts w:ascii="宋体" w:hAnsi="宋体" w:cs="宋体" w:eastAsia="宋体" w:hint="default"/>
                            <w:spacing w:val="-3"/>
                            <w:w w:val="100"/>
                            <w:sz w:val="21"/>
                            <w:szCs w:val="21"/>
                          </w:rPr>
                          <w:t>行</w:t>
                        </w:r>
                        <w:r>
                          <w:rPr>
                            <w:rFonts w:ascii="宋体" w:hAnsi="宋体" w:cs="宋体" w:eastAsia="宋体" w:hint="default"/>
                            <w:w w:val="100"/>
                            <w:sz w:val="21"/>
                            <w:szCs w:val="21"/>
                          </w:rPr>
                          <w:t>手</w:t>
                        </w:r>
                        <w:r>
                          <w:rPr>
                            <w:rFonts w:ascii="宋体" w:hAnsi="宋体" w:cs="宋体" w:eastAsia="宋体" w:hint="default"/>
                            <w:spacing w:val="-3"/>
                            <w:w w:val="100"/>
                            <w:sz w:val="21"/>
                            <w:szCs w:val="21"/>
                          </w:rPr>
                          <w:t>续</w:t>
                        </w:r>
                        <w:r>
                          <w:rPr>
                            <w:rFonts w:ascii="宋体" w:hAnsi="宋体" w:cs="宋体" w:eastAsia="宋体" w:hint="default"/>
                            <w:w w:val="100"/>
                            <w:sz w:val="21"/>
                            <w:szCs w:val="21"/>
                          </w:rPr>
                          <w:t>费</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703</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59</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截</w:t>
                        </w:r>
                        <w:r>
                          <w:rPr>
                            <w:rFonts w:ascii="宋体" w:hAnsi="宋体" w:cs="宋体" w:eastAsia="宋体" w:hint="default"/>
                            <w:w w:val="100"/>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，募</w:t>
                        </w:r>
                        <w:r>
                          <w:rPr>
                            <w:rFonts w:ascii="宋体" w:hAnsi="宋体" w:cs="宋体" w:eastAsia="宋体" w:hint="default"/>
                            <w:spacing w:val="-3"/>
                            <w:w w:val="100"/>
                            <w:sz w:val="21"/>
                            <w:szCs w:val="21"/>
                          </w:rPr>
                          <w:t>集</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余</w:t>
                        </w:r>
                        <w:r>
                          <w:rPr>
                            <w:rFonts w:ascii="宋体" w:hAnsi="宋体" w:cs="宋体" w:eastAsia="宋体" w:hint="default"/>
                            <w:spacing w:val="-3"/>
                            <w:w w:val="100"/>
                            <w:sz w:val="21"/>
                            <w:szCs w:val="21"/>
                          </w:rPr>
                          <w:t>额</w:t>
                        </w:r>
                        <w:r>
                          <w:rPr>
                            <w:rFonts w:ascii="宋体" w:hAnsi="宋体" w:cs="宋体" w:eastAsia="宋体" w:hint="default"/>
                            <w:w w:val="100"/>
                            <w:sz w:val="21"/>
                            <w:szCs w:val="21"/>
                          </w:rPr>
                          <w:t>共</w:t>
                        </w:r>
                        <w:r>
                          <w:rPr>
                            <w:rFonts w:ascii="宋体" w:hAnsi="宋体" w:cs="宋体" w:eastAsia="宋体" w:hint="default"/>
                            <w:spacing w:val="-3"/>
                            <w:w w:val="100"/>
                            <w:sz w:val="21"/>
                            <w:szCs w:val="21"/>
                          </w:rPr>
                          <w:t>计</w:t>
                        </w:r>
                        <w:r>
                          <w:rPr>
                            <w:rFonts w:ascii="宋体" w:hAnsi="宋体" w:cs="宋体" w:eastAsia="宋体" w:hint="default"/>
                            <w:w w:val="100"/>
                            <w:sz w:val="21"/>
                            <w:szCs w:val="21"/>
                          </w:rPr>
                          <w:t>为</w:t>
                        </w:r>
                        <w:r>
                          <w:rPr>
                            <w:rFonts w:ascii="宋体" w:hAnsi="宋体" w:cs="宋体" w:eastAsia="宋体" w:hint="default"/>
                            <w:spacing w:val="-55"/>
                            <w:sz w:val="21"/>
                            <w:szCs w:val="21"/>
                          </w:rPr>
                          <w:t> </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9,416,</w:t>
                        </w:r>
                        <w:r>
                          <w:rPr>
                            <w:rFonts w:ascii="Times New Roman" w:hAnsi="Times New Roman" w:cs="Times New Roman" w:eastAsia="Times New Roman" w:hint="default"/>
                            <w:spacing w:val="-3"/>
                            <w:w w:val="100"/>
                            <w:sz w:val="21"/>
                            <w:szCs w:val="21"/>
                          </w:rPr>
                          <w:t>6</w:t>
                        </w:r>
                        <w:r>
                          <w:rPr>
                            <w:rFonts w:ascii="Times New Roman" w:hAnsi="Times New Roman" w:cs="Times New Roman" w:eastAsia="Times New Roman" w:hint="default"/>
                            <w:w w:val="100"/>
                            <w:sz w:val="21"/>
                            <w:szCs w:val="21"/>
                          </w:rPr>
                          <w:t>74.</w:t>
                        </w:r>
                        <w:r>
                          <w:rPr>
                            <w:rFonts w:ascii="Times New Roman" w:hAnsi="Times New Roman" w:cs="Times New Roman" w:eastAsia="Times New Roman" w:hint="default"/>
                            <w:spacing w:val="-3"/>
                            <w:w w:val="100"/>
                            <w:sz w:val="21"/>
                            <w:szCs w:val="21"/>
                          </w:rPr>
                          <w:t>9</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r>
                      </w:p>
                    </w:tc>
                  </w:tr>
                </w:tbl>
                <w:p>
                  <w:pPr/>
                </w:p>
              </w:txbxContent>
            </v:textbox>
            <w10:wrap type="none"/>
          </v:shape>
        </w:pict>
      </w:r>
      <w:r>
        <w:rPr>
          <w:w w:val="100"/>
        </w:rPr>
        <w:t>〕</w:t>
      </w:r>
    </w:p>
    <w:p>
      <w:pPr>
        <w:spacing w:after="0" w:line="240" w:lineRule="auto"/>
        <w:jc w:val="right"/>
        <w:sectPr>
          <w:pgSz w:w="11910" w:h="16840"/>
          <w:pgMar w:header="745" w:footer="1340" w:top="1060" w:bottom="1540" w:left="920" w:right="0"/>
        </w:sectPr>
      </w:pPr>
    </w:p>
    <w:p>
      <w:pPr>
        <w:spacing w:line="240" w:lineRule="auto" w:before="10"/>
        <w:rPr>
          <w:rFonts w:ascii="宋体" w:hAnsi="宋体" w:cs="宋体" w:eastAsia="宋体" w:hint="default"/>
          <w:sz w:val="24"/>
          <w:szCs w:val="24"/>
        </w:rPr>
      </w:pPr>
      <w:r>
        <w:rPr/>
        <w:pict>
          <v:shape style="position:absolute;margin-left:58.080002pt;margin-top:622.755981pt;width:124.7pt;height:19.6pt;mso-position-horizontal-relative:page;mso-position-vertical-relative:page;z-index:-85964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归还银行贷款（如有）</w:t>
                  </w:r>
                </w:p>
              </w:txbxContent>
            </v:textbox>
            <w10:wrap type="none"/>
          </v:shape>
        </w:pict>
      </w:r>
      <w:r>
        <w:rPr/>
        <w:pict>
          <v:shape style="position:absolute;margin-left:58.080002pt;margin-top:642.820007pt;width:124.7pt;height:19.7pt;mso-position-horizontal-relative:page;mso-position-vertical-relative:page;z-index:-85962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补充流动资金（如有）</w:t>
                  </w:r>
                </w:p>
              </w:txbxContent>
            </v:textbox>
            <w10:wrap type="none"/>
          </v:shape>
        </w:pict>
      </w:r>
      <w:r>
        <w:rPr/>
        <w:pict>
          <v:group style="position:absolute;margin-left:460.320007pt;margin-top:764.919983pt;width:135pt;height:77pt;mso-position-horizontal-relative:page;mso-position-vertical-relative:page;z-index:-859576" coordorigin="9206,15298" coordsize="2700,1540">
            <v:shape style="position:absolute;left:9206;top:15298;width:2700;height:1540" type="#_x0000_t75" stroked="false">
              <v:imagedata r:id="rId26"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w:t>
                    </w:r>
                  </w:p>
                </w:txbxContent>
              </v:textbox>
              <w10:wrap type="none"/>
            </v:shape>
            <w10:wrap type="none"/>
          </v:group>
        </w:pict>
      </w: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增资上海昂先用于年 加工</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8,200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吨精密热处 理专业化配套项目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4,554.99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增资南京丰东用于年 热加工</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吨金属材 料生产线项目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2,289.77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增资重庆丰东用于年 加工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吨汽摩等 金属件节能热处理技 术改造建设项目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公司本部热处理工艺 装备技术研发中心项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1,141.09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1,479.09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1,960.08</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w w:val="95"/>
                <w:sz w:val="18"/>
              </w:rPr>
              <w:t>9,145.38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616.67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研发中心大厦项目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1,337.57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1,628.11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收购子公司重庆丰东 神五热处理工程有限 公司股权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收购子公司青岛丰东 热理有限公司股权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6,500</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17,000.3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17,000.3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7,337.57</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16,828.41</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32,180.3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32,180.3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9,297.65</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25,973.79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616.67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39"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、上海昂先年加工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8,200  </w:t>
            </w:r>
            <w:r>
              <w:rPr>
                <w:rFonts w:ascii="宋体" w:hAnsi="宋体" w:cs="宋体" w:eastAsia="宋体" w:hint="default"/>
                <w:sz w:val="18"/>
                <w:szCs w:val="18"/>
              </w:rPr>
              <w:t>吨精密热处理专业化配套项目：截至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日，该项目已</w:t>
            </w:r>
          </w:p>
          <w:p>
            <w:pPr>
              <w:pStyle w:val="TableParagraph"/>
              <w:spacing w:line="240" w:lineRule="auto" w:before="60"/>
              <w:ind w:left="16" w:right="0"/>
              <w:jc w:val="left"/>
              <w:rPr>
                <w:rFonts w:ascii="宋体" w:hAnsi="宋体" w:cs="宋体" w:eastAsia="宋体" w:hint="default"/>
                <w:sz w:val="18"/>
                <w:szCs w:val="18"/>
              </w:rPr>
            </w:pPr>
            <w:r>
              <w:rPr>
                <w:rFonts w:ascii="宋体" w:hAnsi="宋体" w:cs="宋体" w:eastAsia="宋体" w:hint="default"/>
                <w:sz w:val="18"/>
                <w:szCs w:val="18"/>
              </w:rPr>
              <w:t>申请支付</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4,554.99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万元，完成计划投资额的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93.34%</w:t>
            </w:r>
            <w:r>
              <w:rPr>
                <w:rFonts w:ascii="宋体" w:hAnsi="宋体" w:cs="宋体" w:eastAsia="宋体" w:hint="default"/>
                <w:sz w:val="18"/>
                <w:szCs w:val="18"/>
              </w:rPr>
              <w:t>，另有按合同进度未付款</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111.51</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万元，合计总投</w:t>
            </w:r>
          </w:p>
          <w:p>
            <w:pPr>
              <w:pStyle w:val="TableParagraph"/>
              <w:spacing w:line="240" w:lineRule="auto" w:before="62"/>
              <w:ind w:left="16" w:right="0"/>
              <w:jc w:val="left"/>
              <w:rPr>
                <w:rFonts w:ascii="宋体" w:hAnsi="宋体" w:cs="宋体" w:eastAsia="宋体" w:hint="default"/>
                <w:sz w:val="18"/>
                <w:szCs w:val="18"/>
              </w:rPr>
            </w:pPr>
            <w:r>
              <w:rPr>
                <w:rFonts w:ascii="宋体" w:hAnsi="宋体" w:cs="宋体" w:eastAsia="宋体" w:hint="default"/>
                <w:sz w:val="18"/>
                <w:szCs w:val="18"/>
              </w:rPr>
              <w:t>资完成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95.63%</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年，已计划投入连续式等温正火线一套，约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万元，完成全部投资计划；</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另上海昂先原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全资子公司上海丰东热处理工程有限公司于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月底开始清算并于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p>
        </w:tc>
      </w:tr>
      <w:tr>
        <w:trPr>
          <w:trHeight w:val="1159"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8"/>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bottom w:val="single" w:sz="4" w:space="0" w:color="000000"/>
              <w:right w:val="single" w:sz="4" w:space="0" w:color="000000"/>
            </w:tcBorders>
          </w:tcPr>
          <w:p>
            <w:pPr/>
          </w:p>
        </w:tc>
      </w:tr>
    </w:tbl>
    <w:p>
      <w:pPr>
        <w:spacing w:after="0"/>
        <w:sectPr>
          <w:headerReference w:type="default" r:id="rId24"/>
          <w:footerReference w:type="default" r:id="rId25"/>
          <w:pgSz w:w="11910" w:h="16840"/>
          <w:pgMar w:header="706" w:footer="0" w:top="1060" w:bottom="0" w:left="96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5.8pt;mso-position-horizontal-relative:page;mso-position-vertical-relative:page;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734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9"/>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月底完成注销手续，原上海丰东的经营业务已全部转移至上海昂先。</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年度，该募集资金投 资项目实现收入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1,723.40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万元，利润总额为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616.67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万元，实现了预计收益。</w:t>
                        </w:r>
                      </w:p>
                      <w:p>
                        <w:pPr>
                          <w:pStyle w:val="TableParagraph"/>
                          <w:spacing w:line="312" w:lineRule="auto" w:before="53"/>
                          <w:ind w:left="24" w:right="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、南京丰东年热加工 </w:t>
                        </w:r>
                        <w:r>
                          <w:rPr>
                            <w:rFonts w:ascii="Times New Roman" w:hAnsi="Times New Roman" w:cs="Times New Roman" w:eastAsia="Times New Roman" w:hint="default"/>
                            <w:sz w:val="18"/>
                            <w:szCs w:val="18"/>
                          </w:rPr>
                          <w:t>8,000 </w:t>
                        </w:r>
                        <w:r>
                          <w:rPr>
                            <w:rFonts w:ascii="宋体" w:hAnsi="宋体" w:cs="宋体" w:eastAsia="宋体" w:hint="default"/>
                            <w:sz w:val="18"/>
                            <w:szCs w:val="18"/>
                          </w:rPr>
                          <w:t>吨金属材料生产线项目：</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年当地政府规划废止老四号路，新 建城郊四号公路，由于老四号道路占用南京丰东厂区部分地块，受此影响，南京丰东的三期厂房建 </w:t>
                        </w:r>
                        <w:r>
                          <w:rPr>
                            <w:rFonts w:ascii="宋体" w:hAnsi="宋体" w:cs="宋体" w:eastAsia="宋体" w:hint="default"/>
                            <w:spacing w:val="-2"/>
                            <w:sz w:val="18"/>
                            <w:szCs w:val="18"/>
                          </w:rPr>
                          <w:t>设暂时停止。此外受下游风电行业、汽车行业经济整体下滑的影响，已投入设备产能未能充分发挥</w:t>
                        </w:r>
                        <w:r>
                          <w:rPr>
                            <w:rFonts w:ascii="宋体" w:hAnsi="宋体" w:cs="宋体" w:eastAsia="宋体" w:hint="default"/>
                            <w:sz w:val="18"/>
                            <w:szCs w:val="18"/>
                          </w:rPr>
                          <w:t> 公司相应设备采购投资进度放缓。</w:t>
                        </w:r>
                      </w:p>
                      <w:p>
                        <w:pPr>
                          <w:pStyle w:val="TableParagraph"/>
                          <w:spacing w:line="240" w:lineRule="auto" w:before="6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、重庆丰东年加工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吨汽摩等金属件节能热处理技术改造建设项目：原与重庆丰东签订</w:t>
                        </w:r>
                      </w:p>
                      <w:p>
                        <w:pPr>
                          <w:pStyle w:val="TableParagraph"/>
                          <w:spacing w:line="314" w:lineRule="auto" w:before="63"/>
                          <w:ind w:left="24" w:right="18"/>
                          <w:jc w:val="both"/>
                          <w:rPr>
                            <w:rFonts w:ascii="宋体" w:hAnsi="宋体" w:cs="宋体" w:eastAsia="宋体" w:hint="default"/>
                            <w:sz w:val="18"/>
                            <w:szCs w:val="18"/>
                          </w:rPr>
                        </w:pPr>
                        <w:r>
                          <w:rPr>
                            <w:rFonts w:ascii="宋体" w:hAnsi="宋体" w:cs="宋体" w:eastAsia="宋体" w:hint="default"/>
                            <w:sz w:val="18"/>
                            <w:szCs w:val="18"/>
                          </w:rPr>
                          <w:t>《国有土地使用权及地上建筑物所有权转让合同》的重庆市超祥商贸有限公司，因土地的区域规划 可能会从工业用地性质转变为商业用地性质，土地价值发生变化，而不再确认该合同，重庆丰东基 于搬迁会影响正常生产经营的考虑，同意终止合同，原计划在现有土地及建筑物的基础上改建推杆 炉及真空炉热处理加工厂房的建设未能实施。此外，重庆丰东的下游客户主要集中在汽车零部件行 </w:t>
                        </w:r>
                        <w:r>
                          <w:rPr>
                            <w:rFonts w:ascii="宋体" w:hAnsi="宋体" w:cs="宋体" w:eastAsia="宋体" w:hint="default"/>
                            <w:spacing w:val="-3"/>
                            <w:sz w:val="18"/>
                            <w:szCs w:val="18"/>
                          </w:rPr>
                          <w:t>业，</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年受市场影响，国内汽车企业形势持续低迷，许多客户改变了原先的生产计划，重庆丰东 的业务量有所下滑，本着谨慎和保障投资效益的综合考虑，机器设备的购置计划暂缓实施。</w:t>
                        </w:r>
                      </w:p>
                      <w:p>
                        <w:pPr>
                          <w:pStyle w:val="TableParagraph"/>
                          <w:spacing w:line="300" w:lineRule="auto" w:before="61"/>
                          <w:ind w:left="24" w:right="-15"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、公司本部热处理工艺装备技术研发中心项目：该项目为科研项目，主要系研发智能可控气氛</w:t>
                        </w:r>
                        <w:r>
                          <w:rPr>
                            <w:rFonts w:ascii="宋体" w:hAnsi="宋体" w:cs="宋体" w:eastAsia="宋体" w:hint="default"/>
                            <w:sz w:val="18"/>
                            <w:szCs w:val="18"/>
                          </w:rPr>
                          <w:t> </w:t>
                        </w:r>
                        <w:r>
                          <w:rPr>
                            <w:rFonts w:ascii="宋体" w:hAnsi="宋体" w:cs="宋体" w:eastAsia="宋体" w:hint="default"/>
                            <w:spacing w:val="-2"/>
                            <w:sz w:val="18"/>
                            <w:szCs w:val="18"/>
                          </w:rPr>
                          <w:t>渗氮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渗碳多用炉、智能真空超高压气淬炉、真空渗碳油淬炉、等离子热处理炉等试验装置以及热处</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4"/>
                            <w:sz w:val="18"/>
                            <w:szCs w:val="18"/>
                          </w:rPr>
                          <w:t>理温度场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流场模拟、淬火工艺数值模拟等热处理工艺技术。以上试验装置及工艺开发项目均已启动</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其中</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智能可控气氛渗碳加热多用炉试验装</w:t>
                        </w:r>
                        <w:r>
                          <w:rPr>
                            <w:rFonts w:ascii="宋体" w:hAnsi="宋体" w:cs="宋体" w:eastAsia="宋体" w:hint="default"/>
                            <w:spacing w:val="1"/>
                            <w:sz w:val="18"/>
                            <w:szCs w:val="18"/>
                          </w:rPr>
                          <w:t>置</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0"/>
                            <w:sz w:val="18"/>
                            <w:szCs w:val="18"/>
                          </w:rPr>
                          <w:t>、</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智能可控</w:t>
                        </w:r>
                        <w:r>
                          <w:rPr>
                            <w:rFonts w:ascii="宋体" w:hAnsi="宋体" w:cs="宋体" w:eastAsia="宋体" w:hint="default"/>
                            <w:spacing w:val="2"/>
                            <w:sz w:val="18"/>
                            <w:szCs w:val="18"/>
                          </w:rPr>
                          <w:t>气</w:t>
                        </w:r>
                        <w:r>
                          <w:rPr>
                            <w:rFonts w:ascii="宋体" w:hAnsi="宋体" w:cs="宋体" w:eastAsia="宋体" w:hint="default"/>
                            <w:sz w:val="18"/>
                            <w:szCs w:val="18"/>
                          </w:rPr>
                          <w:t>氛渗氮多用炉试验装置</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0"/>
                            <w:sz w:val="18"/>
                            <w:szCs w:val="18"/>
                          </w:rPr>
                          <w:t>、</w:t>
                        </w:r>
                        <w:r>
                          <w:rPr>
                            <w:rFonts w:ascii="Times New Roman" w:hAnsi="Times New Roman" w:cs="Times New Roman" w:eastAsia="Times New Roman" w:hint="default"/>
                            <w:spacing w:val="-1"/>
                            <w:w w:val="44"/>
                            <w:sz w:val="18"/>
                            <w:szCs w:val="18"/>
                          </w:rPr>
                          <w:t>―</w:t>
                        </w:r>
                        <w:r>
                          <w:rPr>
                            <w:rFonts w:ascii="宋体" w:hAnsi="宋体" w:cs="宋体" w:eastAsia="宋体" w:hint="default"/>
                            <w:spacing w:val="2"/>
                            <w:sz w:val="18"/>
                            <w:szCs w:val="18"/>
                          </w:rPr>
                          <w:t>真</w:t>
                        </w:r>
                        <w:r>
                          <w:rPr>
                            <w:rFonts w:ascii="宋体" w:hAnsi="宋体" w:cs="宋体" w:eastAsia="宋体" w:hint="default"/>
                            <w:sz w:val="18"/>
                            <w:szCs w:val="18"/>
                          </w:rPr>
                          <w:t>空等离子</w:t>
                        </w:r>
                        <w:r>
                          <w:rPr>
                            <w:rFonts w:ascii="宋体" w:hAnsi="宋体" w:cs="宋体" w:eastAsia="宋体" w:hint="default"/>
                            <w:sz w:val="18"/>
                            <w:szCs w:val="18"/>
                          </w:rPr>
                          <w:t> </w:t>
                        </w:r>
                        <w:r>
                          <w:rPr>
                            <w:rFonts w:ascii="宋体" w:hAnsi="宋体" w:cs="宋体" w:eastAsia="宋体" w:hint="default"/>
                            <w:spacing w:val="-1"/>
                            <w:w w:val="104"/>
                            <w:sz w:val="18"/>
                            <w:szCs w:val="18"/>
                          </w:rPr>
                          <w:t>热处理炉试验装置</w:t>
                        </w:r>
                        <w:r>
                          <w:rPr>
                            <w:rFonts w:ascii="Times New Roman" w:hAnsi="Times New Roman" w:cs="Times New Roman" w:eastAsia="Times New Roman" w:hint="default"/>
                            <w:spacing w:val="-1"/>
                            <w:w w:val="104"/>
                            <w:sz w:val="18"/>
                            <w:szCs w:val="18"/>
                          </w:rPr>
                          <w:t>‖</w:t>
                        </w:r>
                        <w:r>
                          <w:rPr>
                            <w:rFonts w:ascii="宋体" w:hAnsi="宋体" w:cs="宋体" w:eastAsia="宋体" w:hint="default"/>
                            <w:spacing w:val="-1"/>
                            <w:w w:val="104"/>
                            <w:sz w:val="18"/>
                            <w:szCs w:val="18"/>
                          </w:rPr>
                          <w:t>已完成，</w:t>
                        </w:r>
                        <w:r>
                          <w:rPr>
                            <w:rFonts w:ascii="宋体" w:hAnsi="宋体" w:cs="宋体" w:eastAsia="宋体" w:hint="default"/>
                            <w:spacing w:val="-75"/>
                            <w:w w:val="104"/>
                            <w:sz w:val="18"/>
                            <w:szCs w:val="18"/>
                          </w:rPr>
                          <w:t> </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真空等离子活性屏渗氮炉</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已于</w:t>
                        </w:r>
                        <w:r>
                          <w:rPr>
                            <w:rFonts w:ascii="宋体" w:hAnsi="宋体" w:cs="宋体" w:eastAsia="宋体" w:hint="default"/>
                            <w:spacing w:val="-64"/>
                            <w:w w:val="10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9"/>
                            <w:sz w:val="18"/>
                            <w:szCs w:val="18"/>
                          </w:rPr>
                          <w:t> </w:t>
                        </w:r>
                        <w:r>
                          <w:rPr>
                            <w:rFonts w:ascii="宋体" w:hAnsi="宋体" w:cs="宋体" w:eastAsia="宋体" w:hint="default"/>
                            <w:spacing w:val="-1"/>
                            <w:sz w:val="18"/>
                            <w:szCs w:val="18"/>
                          </w:rPr>
                          <w:t>月通过中国热处理行业协会</w:t>
                        </w:r>
                        <w:r>
                          <w:rPr>
                            <w:rFonts w:ascii="宋体" w:hAnsi="宋体" w:cs="宋体" w:eastAsia="宋体" w:hint="default"/>
                            <w:sz w:val="18"/>
                            <w:szCs w:val="18"/>
                          </w:rPr>
                          <w:t> </w:t>
                        </w:r>
                        <w:r>
                          <w:rPr>
                            <w:rFonts w:ascii="宋体" w:hAnsi="宋体" w:cs="宋体" w:eastAsia="宋体" w:hint="default"/>
                            <w:spacing w:val="-3"/>
                            <w:w w:val="98"/>
                            <w:sz w:val="18"/>
                            <w:szCs w:val="18"/>
                          </w:rPr>
                          <w:t>组织的专家鉴定，鉴定结论为</w:t>
                        </w:r>
                        <w:r>
                          <w:rPr>
                            <w:rFonts w:ascii="Times New Roman" w:hAnsi="Times New Roman" w:cs="Times New Roman" w:eastAsia="Times New Roman" w:hint="default"/>
                            <w:spacing w:val="-3"/>
                            <w:w w:val="98"/>
                            <w:sz w:val="18"/>
                            <w:szCs w:val="18"/>
                          </w:rPr>
                          <w:t>:―</w:t>
                        </w:r>
                        <w:r>
                          <w:rPr>
                            <w:rFonts w:ascii="宋体" w:hAnsi="宋体" w:cs="宋体" w:eastAsia="宋体" w:hint="default"/>
                            <w:spacing w:val="-3"/>
                            <w:w w:val="98"/>
                            <w:sz w:val="18"/>
                            <w:szCs w:val="18"/>
                          </w:rPr>
                          <w:t>该项目填补了国内空白，其主要技术指标达到了国际领先水平</w:t>
                        </w:r>
                        <w:r>
                          <w:rPr>
                            <w:rFonts w:ascii="Times New Roman" w:hAnsi="Times New Roman" w:cs="Times New Roman" w:eastAsia="Times New Roman" w:hint="default"/>
                            <w:spacing w:val="-3"/>
                            <w:w w:val="98"/>
                            <w:sz w:val="18"/>
                            <w:szCs w:val="18"/>
                          </w:rPr>
                          <w:t>‖</w:t>
                        </w:r>
                        <w:r>
                          <w:rPr>
                            <w:rFonts w:ascii="宋体" w:hAnsi="宋体" w:cs="宋体" w:eastAsia="宋体" w:hint="default"/>
                            <w:spacing w:val="-3"/>
                            <w:w w:val="98"/>
                            <w:sz w:val="18"/>
                            <w:szCs w:val="18"/>
                          </w:rPr>
                          <w:t>。</w:t>
                        </w:r>
                        <w:r>
                          <w:rPr>
                            <w:rFonts w:ascii="Times New Roman" w:hAnsi="Times New Roman" w:cs="Times New Roman" w:eastAsia="Times New Roman" w:hint="default"/>
                            <w:spacing w:val="-3"/>
                            <w:w w:val="98"/>
                            <w:sz w:val="18"/>
                            <w:szCs w:val="18"/>
                          </w:rPr>
                          <w:t>―</w:t>
                        </w:r>
                        <w:r>
                          <w:rPr>
                            <w:rFonts w:ascii="宋体" w:hAnsi="宋体" w:cs="宋体" w:eastAsia="宋体" w:hint="default"/>
                            <w:spacing w:val="-3"/>
                            <w:w w:val="98"/>
                            <w:sz w:val="18"/>
                            <w:szCs w:val="18"/>
                          </w:rPr>
                          <w:t>智</w:t>
                        </w:r>
                        <w:r>
                          <w:rPr>
                            <w:rFonts w:ascii="宋体" w:hAnsi="宋体" w:cs="宋体" w:eastAsia="宋体" w:hint="default"/>
                            <w:spacing w:val="-84"/>
                            <w:w w:val="98"/>
                            <w:sz w:val="18"/>
                            <w:szCs w:val="18"/>
                          </w:rPr>
                          <w:t> </w:t>
                        </w:r>
                        <w:r>
                          <w:rPr>
                            <w:rFonts w:ascii="宋体" w:hAnsi="宋体" w:cs="宋体" w:eastAsia="宋体" w:hint="default"/>
                            <w:sz w:val="18"/>
                            <w:szCs w:val="18"/>
                          </w:rPr>
                          <w:t>能真空超高压气淬炉试验装置</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智能真空加压烧结炉试验装置</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强烈淬火工艺试验炉</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等</w:t>
                        </w:r>
                        <w:r>
                          <w:rPr>
                            <w:rFonts w:ascii="宋体" w:hAnsi="宋体" w:cs="宋体" w:eastAsia="宋体" w:hint="default"/>
                            <w:sz w:val="18"/>
                            <w:szCs w:val="18"/>
                          </w:rPr>
                          <w:t>装置，</w:t>
                        </w:r>
                        <w:r>
                          <w:rPr>
                            <w:rFonts w:ascii="宋体" w:hAnsi="宋体" w:cs="宋体" w:eastAsia="宋体" w:hint="default"/>
                            <w:sz w:val="18"/>
                            <w:szCs w:val="18"/>
                          </w:rPr>
                          <w:t> </w:t>
                        </w:r>
                        <w:r>
                          <w:rPr>
                            <w:rFonts w:ascii="宋体" w:hAnsi="宋体" w:cs="宋体" w:eastAsia="宋体" w:hint="default"/>
                            <w:spacing w:val="-2"/>
                            <w:sz w:val="18"/>
                            <w:szCs w:val="18"/>
                          </w:rPr>
                          <w:t>由于受项目市场需求、人员组织、试验条件等方面的限制，项目进度与原计划有所偏离。截至</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2012</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智能真空渗</w:t>
                        </w:r>
                        <w:r>
                          <w:rPr>
                            <w:rFonts w:ascii="宋体" w:hAnsi="宋体" w:cs="宋体" w:eastAsia="宋体" w:hint="default"/>
                            <w:spacing w:val="-3"/>
                            <w:sz w:val="18"/>
                            <w:szCs w:val="18"/>
                          </w:rPr>
                          <w:t>碳</w:t>
                        </w:r>
                        <w:r>
                          <w:rPr>
                            <w:rFonts w:ascii="宋体" w:hAnsi="宋体" w:cs="宋体" w:eastAsia="宋体" w:hint="default"/>
                            <w:sz w:val="18"/>
                            <w:szCs w:val="18"/>
                          </w:rPr>
                          <w:t>油淬炉试验装置</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及</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智能热</w:t>
                        </w:r>
                        <w:r>
                          <w:rPr>
                            <w:rFonts w:ascii="宋体" w:hAnsi="宋体" w:cs="宋体" w:eastAsia="宋体" w:hint="default"/>
                            <w:spacing w:val="2"/>
                            <w:sz w:val="18"/>
                            <w:szCs w:val="18"/>
                          </w:rPr>
                          <w:t>处</w:t>
                        </w:r>
                        <w:r>
                          <w:rPr>
                            <w:rFonts w:ascii="宋体" w:hAnsi="宋体" w:cs="宋体" w:eastAsia="宋体" w:hint="default"/>
                            <w:sz w:val="18"/>
                            <w:szCs w:val="18"/>
                          </w:rPr>
                          <w:t>理模拟试验装置</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正在安装调试，将于</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年上半年全部完成。</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24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公司本次募集资金净额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37,120.35 </w:t>
                        </w:r>
                        <w:r>
                          <w:rPr>
                            <w:rFonts w:ascii="宋体" w:hAnsi="宋体" w:cs="宋体" w:eastAsia="宋体" w:hint="default"/>
                            <w:sz w:val="18"/>
                            <w:szCs w:val="18"/>
                          </w:rPr>
                          <w:t>万元，其中超募资金金额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21,940.35 </w:t>
                        </w:r>
                        <w:r>
                          <w:rPr>
                            <w:rFonts w:ascii="宋体" w:hAnsi="宋体" w:cs="宋体" w:eastAsia="宋体" w:hint="default"/>
                            <w:sz w:val="18"/>
                            <w:szCs w:val="18"/>
                          </w:rPr>
                          <w:t>万元。</w:t>
                        </w:r>
                      </w:p>
                      <w:p>
                        <w:pPr>
                          <w:pStyle w:val="TableParagraph"/>
                          <w:spacing w:line="240" w:lineRule="auto" w:before="101"/>
                          <w:ind w:left="38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日，经公司第二届董事会第三次会议审议通过，同意公司用超募资金中的人</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万元用于偿还银行贷款及人民币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万元永久性补充公司流动资金。公司于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万元归还江苏大丰农村合作银行借款，将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万元归还中国农业银行股份有限公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司大丰支行借款，并将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万元转出募集资金专户，补充公司流动资金。</w:t>
                        </w:r>
                      </w:p>
                      <w:p>
                        <w:pPr>
                          <w:pStyle w:val="TableParagraph"/>
                          <w:spacing w:line="240" w:lineRule="auto" w:before="10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日，经公司第二届董事会第五次会议审议通过，同意公司使用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募资金用于建设研发中心大厦项目，截至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日，该项目已投入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1,628.11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万元。预计</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月底完工交付使用。</w:t>
                        </w:r>
                      </w:p>
                      <w:p>
                        <w:pPr>
                          <w:pStyle w:val="TableParagraph"/>
                          <w:spacing w:line="300" w:lineRule="auto" w:before="104"/>
                          <w:ind w:left="24" w:right="17" w:firstLine="36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日，经公司第二届董事会第七次会议审议通过，同意公司使用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180.30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万元超 募资金收购子公司重庆丰东神五热处理工程有限公司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3.772%</w:t>
                        </w:r>
                        <w:r>
                          <w:rPr>
                            <w:rFonts w:ascii="宋体" w:hAnsi="宋体" w:cs="宋体" w:eastAsia="宋体" w:hint="default"/>
                            <w:sz w:val="18"/>
                            <w:szCs w:val="18"/>
                          </w:rPr>
                          <w:t>股权和使用</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520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万元超募资金收购子公 司青岛丰东热处理有限公司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股权。公司分别于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日完成向上述子公司 股东支付股权转让款，并已完成工商变更手续。</w:t>
                        </w:r>
                      </w:p>
                      <w:p>
                        <w:pPr>
                          <w:pStyle w:val="TableParagraph"/>
                          <w:spacing w:line="240" w:lineRule="auto" w:before="70"/>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日，经公司第二届董事会第十七次会议审议通过，同意公司使用超募资金</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中的人民币</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万元用于</w:t>
                        </w:r>
                        <w:r>
                          <w:rPr>
                            <w:rFonts w:ascii="宋体" w:hAnsi="宋体" w:cs="宋体" w:eastAsia="宋体" w:hint="default"/>
                            <w:spacing w:val="-3"/>
                            <w:sz w:val="18"/>
                            <w:szCs w:val="18"/>
                          </w:rPr>
                          <w:t>偿</w:t>
                        </w:r>
                        <w:r>
                          <w:rPr>
                            <w:rFonts w:ascii="宋体" w:hAnsi="宋体" w:cs="宋体" w:eastAsia="宋体" w:hint="default"/>
                            <w:sz w:val="18"/>
                            <w:szCs w:val="18"/>
                          </w:rPr>
                          <w:t>还银行贷款及人民币</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元永久性补充公司流动资金</w:t>
                        </w:r>
                        <w:r>
                          <w:rPr>
                            <w:rFonts w:ascii="宋体" w:hAnsi="宋体" w:cs="宋体" w:eastAsia="宋体" w:hint="default"/>
                            <w:spacing w:val="-92"/>
                            <w:sz w:val="18"/>
                            <w:szCs w:val="18"/>
                          </w:rPr>
                          <w:t>。</w:t>
                        </w:r>
                        <w:r>
                          <w:rPr>
                            <w:rFonts w:ascii="宋体" w:hAnsi="宋体" w:cs="宋体" w:eastAsia="宋体" w:hint="default"/>
                            <w:spacing w:val="2"/>
                            <w:sz w:val="18"/>
                            <w:szCs w:val="18"/>
                          </w:rPr>
                          <w:t>公</w:t>
                        </w:r>
                        <w:r>
                          <w:rPr>
                            <w:rFonts w:ascii="宋体" w:hAnsi="宋体" w:cs="宋体" w:eastAsia="宋体" w:hint="default"/>
                            <w:sz w:val="18"/>
                            <w:szCs w:val="18"/>
                          </w:rPr>
                          <w:t>司于</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p>
                      <w:p>
                        <w:pPr>
                          <w:pStyle w:val="TableParagraph"/>
                          <w:spacing w:line="300" w:lineRule="auto" w:before="63"/>
                          <w:ind w:left="24" w:right="2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日将</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6,000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万元转出募集资金专户，其中</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3,000</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万元于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日归还中国建设银</w:t>
                        </w:r>
                        <w:r>
                          <w:rPr>
                            <w:rFonts w:ascii="宋体" w:hAnsi="宋体" w:cs="宋体" w:eastAsia="宋体" w:hint="default"/>
                            <w:sz w:val="18"/>
                            <w:szCs w:val="18"/>
                          </w:rPr>
                          <w:t> 行股份有限公司大丰支行借款。</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before="44"/>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footerReference w:type="default" r:id="rId27"/>
          <w:pgSz w:w="11910" w:h="16840"/>
          <w:pgMar w:footer="1340" w:header="706" w:top="1060" w:bottom="1540" w:left="960" w:right="0"/>
          <w:pgNumType w:start="17"/>
        </w:sectPr>
      </w:pPr>
    </w:p>
    <w:p>
      <w:pPr>
        <w:spacing w:line="240" w:lineRule="auto" w:before="6"/>
        <w:rPr>
          <w:rFonts w:ascii="宋体" w:hAnsi="宋体" w:cs="宋体" w:eastAsia="宋体" w:hint="default"/>
          <w:sz w:val="28"/>
          <w:szCs w:val="28"/>
        </w:rPr>
      </w:pPr>
    </w:p>
    <w:tbl>
      <w:tblPr>
        <w:tblW w:w="0" w:type="auto"/>
        <w:jc w:val="left"/>
        <w:tblInd w:w="249" w:type="dxa"/>
        <w:tblLayout w:type="fixed"/>
        <w:tblCellMar>
          <w:top w:w="0" w:type="dxa"/>
          <w:left w:w="0" w:type="dxa"/>
          <w:bottom w:w="0" w:type="dxa"/>
          <w:right w:w="0" w:type="dxa"/>
        </w:tblCellMar>
        <w:tblLook w:val="01E0"/>
      </w:tblPr>
      <w:tblGrid>
        <w:gridCol w:w="1770"/>
        <w:gridCol w:w="7799"/>
      </w:tblGrid>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90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center"/>
              <w:rPr>
                <w:rFonts w:ascii="宋体" w:hAnsi="宋体" w:cs="宋体" w:eastAsia="宋体" w:hint="default"/>
                <w:sz w:val="18"/>
                <w:szCs w:val="18"/>
              </w:rPr>
            </w:pPr>
            <w:r>
              <w:rPr>
                <w:rFonts w:ascii="宋体" w:hAnsi="宋体" w:cs="宋体" w:eastAsia="宋体" w:hint="default"/>
                <w:sz w:val="18"/>
                <w:szCs w:val="18"/>
              </w:rPr>
              <w:t>公司在募集资金到位前已先期建设</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年加工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吨精密热</w:t>
            </w:r>
            <w:r>
              <w:rPr>
                <w:rFonts w:ascii="宋体" w:hAnsi="宋体" w:cs="宋体" w:eastAsia="宋体" w:hint="default"/>
                <w:spacing w:val="-3"/>
                <w:sz w:val="18"/>
                <w:szCs w:val="18"/>
              </w:rPr>
              <w:t>处</w:t>
            </w:r>
            <w:r>
              <w:rPr>
                <w:rFonts w:ascii="宋体" w:hAnsi="宋体" w:cs="宋体" w:eastAsia="宋体" w:hint="default"/>
                <w:sz w:val="18"/>
                <w:szCs w:val="18"/>
              </w:rPr>
              <w:t>理专业化配套项目</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年热</w:t>
            </w:r>
            <w:r>
              <w:rPr>
                <w:rFonts w:ascii="宋体" w:hAnsi="宋体" w:cs="宋体" w:eastAsia="宋体" w:hint="default"/>
                <w:spacing w:val="2"/>
                <w:sz w:val="18"/>
                <w:szCs w:val="18"/>
              </w:rPr>
              <w:t>加</w:t>
            </w:r>
            <w:r>
              <w:rPr>
                <w:rFonts w:ascii="宋体" w:hAnsi="宋体" w:cs="宋体" w:eastAsia="宋体" w:hint="default"/>
                <w:sz w:val="18"/>
                <w:szCs w:val="18"/>
              </w:rPr>
              <w:t>工</w:t>
            </w:r>
          </w:p>
          <w:p>
            <w:pPr>
              <w:pStyle w:val="TableParagraph"/>
              <w:spacing w:line="240" w:lineRule="auto" w:before="60"/>
              <w:ind w:left="24"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吨金属材料生产线项目</w:t>
            </w:r>
            <w:r>
              <w:rPr>
                <w:rFonts w:ascii="Times New Roman" w:hAnsi="Times New Roman" w:cs="Times New Roman" w:eastAsia="Times New Roman" w:hint="default"/>
                <w:spacing w:val="-4"/>
                <w:w w:val="158"/>
                <w:sz w:val="18"/>
                <w:szCs w:val="18"/>
              </w:rPr>
              <w:t>‖</w:t>
            </w:r>
            <w:r>
              <w:rPr>
                <w:rFonts w:ascii="宋体" w:hAnsi="宋体" w:cs="宋体" w:eastAsia="宋体" w:hint="default"/>
                <w:sz w:val="18"/>
                <w:szCs w:val="18"/>
              </w:rPr>
              <w:t>及</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年加工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吨汽摩等</w:t>
            </w:r>
            <w:r>
              <w:rPr>
                <w:rFonts w:ascii="宋体" w:hAnsi="宋体" w:cs="宋体" w:eastAsia="宋体" w:hint="default"/>
                <w:spacing w:val="-3"/>
                <w:sz w:val="18"/>
                <w:szCs w:val="18"/>
              </w:rPr>
              <w:t>金</w:t>
            </w:r>
            <w:r>
              <w:rPr>
                <w:rFonts w:ascii="宋体" w:hAnsi="宋体" w:cs="宋体" w:eastAsia="宋体" w:hint="default"/>
                <w:sz w:val="18"/>
                <w:szCs w:val="18"/>
              </w:rPr>
              <w:t>属件节能热处理技术改造建设项目</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12"/>
                <w:sz w:val="18"/>
                <w:szCs w:val="18"/>
              </w:rPr>
              <w:t>。上</w:t>
            </w:r>
            <w:r>
              <w:rPr>
                <w:rFonts w:ascii="宋体" w:hAnsi="宋体" w:cs="宋体" w:eastAsia="宋体" w:hint="default"/>
                <w:sz w:val="18"/>
                <w:szCs w:val="18"/>
              </w:rPr>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述项目使用自筹资金预先投入募投项目的实际投资额为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2,051.96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万元，已经上海众华沪银会计师事</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务所有限公司出具的</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沪众会字</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《关于江苏</w:t>
            </w:r>
            <w:r>
              <w:rPr>
                <w:rFonts w:ascii="宋体" w:hAnsi="宋体" w:cs="宋体" w:eastAsia="宋体" w:hint="default"/>
                <w:spacing w:val="-3"/>
                <w:sz w:val="18"/>
                <w:szCs w:val="18"/>
              </w:rPr>
              <w:t>丰</w:t>
            </w:r>
            <w:r>
              <w:rPr>
                <w:rFonts w:ascii="宋体" w:hAnsi="宋体" w:cs="宋体" w:eastAsia="宋体" w:hint="default"/>
                <w:sz w:val="18"/>
                <w:szCs w:val="18"/>
              </w:rPr>
              <w:t>东热技术股份有限公司以自筹资金预</w:t>
            </w:r>
          </w:p>
          <w:p>
            <w:pPr>
              <w:pStyle w:val="TableParagraph"/>
              <w:spacing w:line="309"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先投入募投项目的鉴证报告》审验确认。</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日公司第二届董事会第四次会议审议通过 </w:t>
            </w:r>
            <w:r>
              <w:rPr>
                <w:rFonts w:ascii="宋体" w:hAnsi="宋体" w:cs="宋体" w:eastAsia="宋体" w:hint="default"/>
                <w:spacing w:val="-5"/>
                <w:sz w:val="18"/>
                <w:szCs w:val="18"/>
              </w:rPr>
              <w:t>了《关于用募集资金置换预先已投入募投项目自筹资金的议案》，同意使用募集资金置换已预先投入</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募投项目的自筹资金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2,051.96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日，南京丰东从募集资金专户中置换转出前期</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投入的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404.31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日，上海昂先置换转出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1,365.95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日，重庆</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丰东置换转出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281.70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万元。前期投入置换转出没有发生违规操作。</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所有尚未使用的募集资金均存储于募集资金专项账户和以定期存单、通知存款方式存放。</w:t>
            </w:r>
          </w:p>
        </w:tc>
      </w:tr>
      <w:tr>
        <w:trPr>
          <w:trHeight w:val="102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firstLine="360"/>
              <w:jc w:val="both"/>
              <w:rPr>
                <w:rFonts w:ascii="宋体" w:hAnsi="宋体" w:cs="宋体" w:eastAsia="宋体" w:hint="default"/>
                <w:sz w:val="18"/>
                <w:szCs w:val="18"/>
              </w:rPr>
            </w:pPr>
            <w:r>
              <w:rPr>
                <w:rFonts w:ascii="宋体" w:hAnsi="宋体" w:cs="宋体" w:eastAsia="宋体" w:hint="default"/>
                <w:spacing w:val="-5"/>
                <w:sz w:val="18"/>
                <w:szCs w:val="18"/>
              </w:rPr>
              <w:t>报告期内，公司已按照《深圳证券交易所股票上市规则》、《深圳证券交易所中小企业板上市公</w:t>
            </w:r>
            <w:r>
              <w:rPr>
                <w:rFonts w:ascii="宋体" w:hAnsi="宋体" w:cs="宋体" w:eastAsia="宋体" w:hint="default"/>
                <w:sz w:val="18"/>
                <w:szCs w:val="18"/>
              </w:rPr>
              <w:t> 司规范运作指引》及公司《募集资金使用管理办法》等相关规定披露募集资金存放与使用情况，不 存在募集资金管理的违规情形。</w:t>
            </w:r>
          </w:p>
        </w:tc>
      </w:tr>
    </w:tbl>
    <w:p>
      <w:pPr>
        <w:spacing w:line="240" w:lineRule="auto" w:before="3"/>
        <w:rPr>
          <w:rFonts w:ascii="宋体" w:hAnsi="宋体" w:cs="宋体" w:eastAsia="宋体" w:hint="default"/>
          <w:sz w:val="19"/>
          <w:szCs w:val="19"/>
        </w:rPr>
      </w:pPr>
    </w:p>
    <w:p>
      <w:pPr>
        <w:pStyle w:val="Heading4"/>
        <w:spacing w:line="240" w:lineRule="auto" w:before="36"/>
        <w:ind w:left="252" w:right="0"/>
        <w:jc w:val="left"/>
        <w:rPr>
          <w:b w:val="0"/>
          <w:bCs w:val="0"/>
        </w:rPr>
      </w:pPr>
      <w:r>
        <w:rPr>
          <w:rFonts w:ascii="Times New Roman" w:hAnsi="Times New Roman" w:cs="Times New Roman" w:eastAsia="Times New Roman" w:hint="default"/>
        </w:rPr>
        <w:t>3</w:t>
      </w:r>
      <w:r>
        <w:rPr/>
        <w:t>、主要子公司、参股公司分析</w:t>
      </w:r>
      <w:r>
        <w:rPr>
          <w:b w:val="0"/>
          <w:bCs w:val="0"/>
        </w:rPr>
      </w:r>
    </w:p>
    <w:p>
      <w:pPr>
        <w:spacing w:line="240" w:lineRule="auto" w:before="4"/>
        <w:rPr>
          <w:rFonts w:ascii="宋体" w:hAnsi="宋体" w:cs="宋体" w:eastAsia="宋体" w:hint="default"/>
          <w:b/>
          <w:bCs/>
          <w:sz w:val="26"/>
          <w:szCs w:val="26"/>
        </w:rPr>
      </w:pPr>
    </w:p>
    <w:p>
      <w:pPr>
        <w:spacing w:before="0"/>
        <w:ind w:left="252" w:right="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850"/>
        <w:gridCol w:w="710"/>
        <w:gridCol w:w="708"/>
        <w:gridCol w:w="994"/>
        <w:gridCol w:w="850"/>
        <w:gridCol w:w="1275"/>
        <w:gridCol w:w="1135"/>
        <w:gridCol w:w="1133"/>
        <w:gridCol w:w="1136"/>
        <w:gridCol w:w="1133"/>
      </w:tblGrid>
      <w:tr>
        <w:trPr>
          <w:trHeight w:val="755"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0"/>
              <w:ind w:left="172" w:right="167"/>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0"/>
              <w:ind w:left="170" w:right="167"/>
              <w:jc w:val="left"/>
              <w:rPr>
                <w:rFonts w:ascii="宋体" w:hAnsi="宋体" w:cs="宋体" w:eastAsia="宋体" w:hint="default"/>
                <w:sz w:val="18"/>
                <w:szCs w:val="18"/>
              </w:rPr>
            </w:pPr>
            <w:r>
              <w:rPr>
                <w:rFonts w:ascii="宋体" w:hAnsi="宋体" w:cs="宋体" w:eastAsia="宋体" w:hint="default"/>
                <w:sz w:val="18"/>
                <w:szCs w:val="18"/>
              </w:rPr>
              <w:t>所处 行业</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311" w:right="41" w:hanging="272"/>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2"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115"/>
              <w:ind w:left="36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5"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115"/>
              <w:ind w:left="29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8"/>
              <w:jc w:val="righ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28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24" w:right="94"/>
              <w:jc w:val="both"/>
              <w:rPr>
                <w:rFonts w:ascii="宋体" w:hAnsi="宋体" w:cs="宋体" w:eastAsia="宋体" w:hint="default"/>
                <w:sz w:val="18"/>
                <w:szCs w:val="18"/>
              </w:rPr>
            </w:pPr>
            <w:r>
              <w:rPr>
                <w:rFonts w:ascii="宋体" w:hAnsi="宋体" w:cs="宋体" w:eastAsia="宋体" w:hint="default"/>
                <w:sz w:val="18"/>
                <w:szCs w:val="18"/>
              </w:rPr>
              <w:t>长春丰东 热处理有 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314" w:lineRule="auto"/>
              <w:ind w:left="23" w:right="132"/>
              <w:jc w:val="left"/>
              <w:rPr>
                <w:rFonts w:ascii="宋体" w:hAnsi="宋体" w:cs="宋体" w:eastAsia="宋体" w:hint="default"/>
                <w:sz w:val="18"/>
                <w:szCs w:val="18"/>
              </w:rPr>
            </w:pPr>
            <w:r>
              <w:rPr>
                <w:rFonts w:ascii="宋体" w:hAnsi="宋体" w:cs="宋体" w:eastAsia="宋体" w:hint="default"/>
                <w:sz w:val="18"/>
                <w:szCs w:val="18"/>
              </w:rPr>
              <w:t>热处理 行业</w:t>
            </w:r>
          </w:p>
        </w:tc>
        <w:tc>
          <w:tcPr>
            <w:tcW w:w="994" w:type="dxa"/>
            <w:tcBorders>
              <w:top w:val="single" w:sz="9" w:space="0" w:color="D2D2D2"/>
              <w:left w:val="single" w:sz="4" w:space="0" w:color="000000"/>
              <w:bottom w:val="single" w:sz="4" w:space="0" w:color="000000"/>
              <w:right w:val="single" w:sz="4" w:space="0" w:color="000000"/>
            </w:tcBorders>
          </w:tcPr>
          <w:p>
            <w:pPr>
              <w:pStyle w:val="TableParagraph"/>
              <w:spacing w:line="244" w:lineRule="auto" w:before="14"/>
              <w:ind w:left="23" w:right="58"/>
              <w:jc w:val="both"/>
              <w:rPr>
                <w:rFonts w:ascii="宋体" w:hAnsi="宋体" w:cs="宋体" w:eastAsia="宋体" w:hint="default"/>
                <w:sz w:val="18"/>
                <w:szCs w:val="18"/>
              </w:rPr>
            </w:pPr>
            <w:r>
              <w:rPr>
                <w:rFonts w:ascii="宋体" w:hAnsi="宋体" w:cs="宋体" w:eastAsia="宋体" w:hint="default"/>
                <w:sz w:val="18"/>
                <w:szCs w:val="18"/>
              </w:rPr>
              <w:t>推杆式连续 炉和转底炉 为主的成套 热处理设备 的研制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3"/>
              <w:jc w:val="center"/>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29,374,458.49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9,939,460.25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15,124,831.21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1,152,224.84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856,138.28</w:t>
            </w:r>
          </w:p>
        </w:tc>
      </w:tr>
      <w:tr>
        <w:trPr>
          <w:trHeight w:val="102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上海昂先 实业有限 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热处理 行业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28"/>
              <w:ind w:left="23" w:right="58"/>
              <w:jc w:val="left"/>
              <w:rPr>
                <w:rFonts w:ascii="宋体" w:hAnsi="宋体" w:cs="宋体" w:eastAsia="宋体" w:hint="default"/>
                <w:sz w:val="18"/>
                <w:szCs w:val="18"/>
              </w:rPr>
            </w:pPr>
            <w:r>
              <w:rPr>
                <w:rFonts w:ascii="宋体" w:hAnsi="宋体" w:cs="宋体" w:eastAsia="宋体" w:hint="default"/>
                <w:sz w:val="18"/>
                <w:szCs w:val="18"/>
              </w:rPr>
              <w:t>热处理加工 及技术开 发、咨询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5880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81,867,243.12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79,267,192.37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26,525,937.09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10,030,354.51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7,987,346.53</w:t>
            </w:r>
          </w:p>
        </w:tc>
      </w:tr>
      <w:tr>
        <w:trPr>
          <w:trHeight w:val="133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南京丰东 热处理工 程有限公 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132"/>
              <w:jc w:val="left"/>
              <w:rPr>
                <w:rFonts w:ascii="宋体" w:hAnsi="宋体" w:cs="宋体" w:eastAsia="宋体" w:hint="default"/>
                <w:sz w:val="18"/>
                <w:szCs w:val="18"/>
              </w:rPr>
            </w:pPr>
            <w:r>
              <w:rPr>
                <w:rFonts w:ascii="宋体" w:hAnsi="宋体" w:cs="宋体" w:eastAsia="宋体" w:hint="default"/>
                <w:sz w:val="18"/>
                <w:szCs w:val="18"/>
              </w:rPr>
              <w:t>热处理 行业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2" w:lineRule="auto"/>
              <w:ind w:left="23" w:right="58"/>
              <w:jc w:val="both"/>
              <w:rPr>
                <w:rFonts w:ascii="宋体" w:hAnsi="宋体" w:cs="宋体" w:eastAsia="宋体" w:hint="default"/>
                <w:sz w:val="18"/>
                <w:szCs w:val="18"/>
              </w:rPr>
            </w:pPr>
            <w:r>
              <w:rPr>
                <w:rFonts w:ascii="宋体" w:hAnsi="宋体" w:cs="宋体" w:eastAsia="宋体" w:hint="default"/>
                <w:sz w:val="18"/>
                <w:szCs w:val="18"/>
              </w:rPr>
              <w:t>机械配件专 业热处理加 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3" w:right="0"/>
              <w:jc w:val="left"/>
              <w:rPr>
                <w:rFonts w:ascii="Times New Roman" w:hAnsi="Times New Roman" w:cs="Times New Roman" w:eastAsia="Times New Roman" w:hint="default"/>
                <w:sz w:val="18"/>
                <w:szCs w:val="18"/>
              </w:rPr>
            </w:pPr>
            <w:r>
              <w:rPr>
                <w:rFonts w:ascii="Times New Roman"/>
                <w:sz w:val="18"/>
              </w:rPr>
              <w:t>2752.25</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49,511,408.91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45,796,117.87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9,351,434.31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-436,849.38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-335,439.78</w:t>
            </w:r>
          </w:p>
        </w:tc>
      </w:tr>
    </w:tbl>
    <w:p>
      <w:pPr>
        <w:spacing w:after="0" w:line="240" w:lineRule="auto"/>
        <w:jc w:val="right"/>
        <w:rPr>
          <w:rFonts w:ascii="Times New Roman" w:hAnsi="Times New Roman" w:cs="Times New Roman" w:eastAsia="Times New Roman" w:hint="default"/>
          <w:sz w:val="18"/>
          <w:szCs w:val="18"/>
        </w:rPr>
        <w:sectPr>
          <w:pgSz w:w="11910" w:h="16840"/>
          <w:pgMar w:header="706" w:footer="1340" w:top="1060" w:bottom="1540" w:left="88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850"/>
        <w:gridCol w:w="710"/>
        <w:gridCol w:w="708"/>
        <w:gridCol w:w="994"/>
        <w:gridCol w:w="850"/>
        <w:gridCol w:w="1275"/>
        <w:gridCol w:w="1135"/>
        <w:gridCol w:w="1133"/>
        <w:gridCol w:w="1136"/>
        <w:gridCol w:w="1133"/>
      </w:tblGrid>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天津丰东 热处理有 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热处理 行业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28"/>
              <w:ind w:left="23" w:right="58"/>
              <w:jc w:val="both"/>
              <w:rPr>
                <w:rFonts w:ascii="宋体" w:hAnsi="宋体" w:cs="宋体" w:eastAsia="宋体" w:hint="default"/>
                <w:sz w:val="18"/>
                <w:szCs w:val="18"/>
              </w:rPr>
            </w:pPr>
            <w:r>
              <w:rPr>
                <w:rFonts w:ascii="宋体" w:hAnsi="宋体" w:cs="宋体" w:eastAsia="宋体" w:hint="default"/>
                <w:sz w:val="18"/>
                <w:szCs w:val="18"/>
              </w:rPr>
              <w:t>金属制品加 工、科技信 息咨询服务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400 </w:t>
            </w:r>
            <w:r>
              <w:rPr>
                <w:rFonts w:ascii="宋体" w:hAnsi="宋体" w:cs="宋体" w:eastAsia="宋体" w:hint="default"/>
                <w:sz w:val="18"/>
                <w:szCs w:val="18"/>
              </w:rPr>
              <w:t>万美 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48,558,501.57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39,661,995.82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41,613,620.70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6,888,497.30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5,257,316.94</w:t>
            </w:r>
          </w:p>
        </w:tc>
      </w:tr>
      <w:tr>
        <w:trPr>
          <w:trHeight w:val="133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both"/>
              <w:rPr>
                <w:rFonts w:ascii="宋体" w:hAnsi="宋体" w:cs="宋体" w:eastAsia="宋体" w:hint="default"/>
                <w:sz w:val="18"/>
                <w:szCs w:val="18"/>
              </w:rPr>
            </w:pPr>
            <w:r>
              <w:rPr>
                <w:rFonts w:ascii="宋体" w:hAnsi="宋体" w:cs="宋体" w:eastAsia="宋体" w:hint="default"/>
                <w:sz w:val="18"/>
                <w:szCs w:val="18"/>
              </w:rPr>
              <w:t>重庆丰东 神五热处 理工程有 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32"/>
              <w:jc w:val="left"/>
              <w:rPr>
                <w:rFonts w:ascii="宋体" w:hAnsi="宋体" w:cs="宋体" w:eastAsia="宋体" w:hint="default"/>
                <w:sz w:val="18"/>
                <w:szCs w:val="18"/>
              </w:rPr>
            </w:pPr>
            <w:r>
              <w:rPr>
                <w:rFonts w:ascii="宋体" w:hAnsi="宋体" w:cs="宋体" w:eastAsia="宋体" w:hint="default"/>
                <w:sz w:val="18"/>
                <w:szCs w:val="18"/>
              </w:rPr>
              <w:t>热处理 行业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2" w:lineRule="auto"/>
              <w:ind w:left="23" w:right="58"/>
              <w:jc w:val="both"/>
              <w:rPr>
                <w:rFonts w:ascii="宋体" w:hAnsi="宋体" w:cs="宋体" w:eastAsia="宋体" w:hint="default"/>
                <w:sz w:val="18"/>
                <w:szCs w:val="18"/>
              </w:rPr>
            </w:pPr>
            <w:r>
              <w:rPr>
                <w:rFonts w:ascii="宋体" w:hAnsi="宋体" w:cs="宋体" w:eastAsia="宋体" w:hint="default"/>
                <w:sz w:val="18"/>
                <w:szCs w:val="18"/>
              </w:rPr>
              <w:t>金属零部件 的热处理及 表面加工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28"/>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4242.03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 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56,042,423.64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46,880,953.86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17,449,832.41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-1,984,705.55</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-971,157.42</w:t>
            </w:r>
          </w:p>
        </w:tc>
      </w:tr>
      <w:tr>
        <w:trPr>
          <w:trHeight w:val="196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江苏丰东 热处理及 表面改性 工程技术 研究有限 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热处理 行业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20"/>
              <w:ind w:left="23" w:right="58"/>
              <w:jc w:val="both"/>
              <w:rPr>
                <w:rFonts w:ascii="宋体" w:hAnsi="宋体" w:cs="宋体" w:eastAsia="宋体" w:hint="default"/>
                <w:sz w:val="18"/>
                <w:szCs w:val="18"/>
              </w:rPr>
            </w:pPr>
            <w:r>
              <w:rPr>
                <w:rFonts w:ascii="宋体" w:hAnsi="宋体" w:cs="宋体" w:eastAsia="宋体" w:hint="default"/>
                <w:sz w:val="18"/>
                <w:szCs w:val="18"/>
              </w:rPr>
              <w:t>热处理设备 的研制及热 处理工艺研 究、试验、 验证及推广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5,783,702.61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4,711,863.76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6,052,250.70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741,889.44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548,373.78</w:t>
            </w:r>
          </w:p>
        </w:tc>
      </w:tr>
      <w:tr>
        <w:trPr>
          <w:trHeight w:val="102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both"/>
              <w:rPr>
                <w:rFonts w:ascii="宋体" w:hAnsi="宋体" w:cs="宋体" w:eastAsia="宋体" w:hint="default"/>
                <w:sz w:val="18"/>
                <w:szCs w:val="18"/>
              </w:rPr>
            </w:pPr>
            <w:r>
              <w:rPr>
                <w:rFonts w:ascii="宋体" w:hAnsi="宋体" w:cs="宋体" w:eastAsia="宋体" w:hint="default"/>
                <w:sz w:val="18"/>
                <w:szCs w:val="18"/>
              </w:rPr>
              <w:t>青岛丰东 热处理有 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32"/>
              <w:jc w:val="left"/>
              <w:rPr>
                <w:rFonts w:ascii="宋体" w:hAnsi="宋体" w:cs="宋体" w:eastAsia="宋体" w:hint="default"/>
                <w:sz w:val="18"/>
                <w:szCs w:val="18"/>
              </w:rPr>
            </w:pPr>
            <w:r>
              <w:rPr>
                <w:rFonts w:ascii="宋体" w:hAnsi="宋体" w:cs="宋体" w:eastAsia="宋体" w:hint="default"/>
                <w:sz w:val="18"/>
                <w:szCs w:val="18"/>
              </w:rPr>
              <w:t>热处理 行业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2" w:lineRule="auto"/>
              <w:ind w:left="23" w:right="58"/>
              <w:jc w:val="left"/>
              <w:rPr>
                <w:rFonts w:ascii="宋体" w:hAnsi="宋体" w:cs="宋体" w:eastAsia="宋体" w:hint="default"/>
                <w:sz w:val="18"/>
                <w:szCs w:val="18"/>
              </w:rPr>
            </w:pPr>
            <w:r>
              <w:rPr>
                <w:rFonts w:ascii="宋体" w:hAnsi="宋体" w:cs="宋体" w:eastAsia="宋体" w:hint="default"/>
                <w:sz w:val="18"/>
                <w:szCs w:val="18"/>
              </w:rPr>
              <w:t>热处理及表 面处理加工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3"/>
              <w:jc w:val="center"/>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21,842,516.13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13,607,534.86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21,480,927.34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2,492,579.01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2,712,910.96</w:t>
            </w: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盐城丰东 特种炉业 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热处理 行业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28"/>
              <w:ind w:left="23" w:right="58"/>
              <w:jc w:val="both"/>
              <w:rPr>
                <w:rFonts w:ascii="宋体" w:hAnsi="宋体" w:cs="宋体" w:eastAsia="宋体" w:hint="default"/>
                <w:sz w:val="18"/>
                <w:szCs w:val="18"/>
              </w:rPr>
            </w:pPr>
            <w:r>
              <w:rPr>
                <w:rFonts w:ascii="宋体" w:hAnsi="宋体" w:cs="宋体" w:eastAsia="宋体" w:hint="default"/>
                <w:sz w:val="18"/>
                <w:szCs w:val="18"/>
              </w:rPr>
              <w:t>生产热处理 设备及零部 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80.417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美元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29,199,817.26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9,614,615.08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37,933,413.43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1,991,259.75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1,761,564.27</w:t>
            </w:r>
          </w:p>
        </w:tc>
      </w:tr>
      <w:tr>
        <w:trPr>
          <w:trHeight w:val="201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16" w:lineRule="auto"/>
              <w:ind w:left="24" w:right="94"/>
              <w:jc w:val="both"/>
              <w:rPr>
                <w:rFonts w:ascii="宋体" w:hAnsi="宋体" w:cs="宋体" w:eastAsia="宋体" w:hint="default"/>
                <w:sz w:val="18"/>
                <w:szCs w:val="18"/>
              </w:rPr>
            </w:pPr>
            <w:r>
              <w:rPr>
                <w:rFonts w:ascii="宋体" w:hAnsi="宋体" w:cs="宋体" w:eastAsia="宋体" w:hint="default"/>
                <w:sz w:val="18"/>
                <w:szCs w:val="18"/>
              </w:rPr>
              <w:t>盐城高周 波热炼有 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60" w:lineRule="auto"/>
              <w:ind w:left="26" w:right="312"/>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热处理 行业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3" w:right="58"/>
              <w:jc w:val="both"/>
              <w:rPr>
                <w:rFonts w:ascii="宋体" w:hAnsi="宋体" w:cs="宋体" w:eastAsia="宋体" w:hint="default"/>
                <w:sz w:val="18"/>
                <w:szCs w:val="18"/>
              </w:rPr>
            </w:pPr>
            <w:r>
              <w:rPr>
                <w:rFonts w:ascii="宋体" w:hAnsi="宋体" w:cs="宋体" w:eastAsia="宋体" w:hint="default"/>
                <w:sz w:val="18"/>
                <w:szCs w:val="18"/>
              </w:rPr>
              <w:t>高频电源装 置、感应加 热设备以及 各种附属设 备制造，金 属零部件的 感应加热热 处理加工；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1266.315</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万美元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175,201,267.48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118,099,006.3</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92,301,542.08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21,661,629.78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15,910,178.95</w:t>
            </w:r>
          </w:p>
        </w:tc>
      </w:tr>
      <w:tr>
        <w:trPr>
          <w:trHeight w:val="153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316" w:lineRule="auto"/>
              <w:ind w:left="24" w:right="94"/>
              <w:jc w:val="both"/>
              <w:rPr>
                <w:rFonts w:ascii="宋体" w:hAnsi="宋体" w:cs="宋体" w:eastAsia="宋体" w:hint="default"/>
                <w:sz w:val="18"/>
                <w:szCs w:val="18"/>
              </w:rPr>
            </w:pPr>
            <w:r>
              <w:rPr>
                <w:rFonts w:ascii="宋体" w:hAnsi="宋体" w:cs="宋体" w:eastAsia="宋体" w:hint="default"/>
                <w:sz w:val="18"/>
                <w:szCs w:val="18"/>
              </w:rPr>
              <w:t>广州丰东 热炼有限 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57" w:lineRule="auto"/>
              <w:ind w:left="26" w:right="312"/>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热处理 行业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58"/>
              <w:jc w:val="left"/>
              <w:rPr>
                <w:rFonts w:ascii="宋体" w:hAnsi="宋体" w:cs="宋体" w:eastAsia="宋体" w:hint="default"/>
                <w:sz w:val="18"/>
                <w:szCs w:val="18"/>
              </w:rPr>
            </w:pPr>
            <w:r>
              <w:rPr>
                <w:rFonts w:ascii="宋体" w:hAnsi="宋体" w:cs="宋体" w:eastAsia="宋体" w:hint="default"/>
                <w:sz w:val="18"/>
                <w:szCs w:val="18"/>
              </w:rPr>
              <w:t>金属零部件 的综合热处 理的加工、 研发，销售 本企业产 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36,195,709.11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28,119,448.38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14,851,681.45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4,194,244.20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3,638,053.06</w:t>
            </w:r>
          </w:p>
        </w:tc>
      </w:tr>
    </w:tbl>
    <w:p>
      <w:pPr>
        <w:spacing w:line="357" w:lineRule="auto" w:before="49"/>
        <w:ind w:left="252" w:right="8054"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 报告期内取得和处置子公司的情况</w:t>
      </w:r>
    </w:p>
    <w:p>
      <w:pPr>
        <w:spacing w:before="29"/>
        <w:ind w:left="2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4"/>
        <w:spacing w:line="240" w:lineRule="auto"/>
        <w:ind w:left="252" w:right="0"/>
        <w:jc w:val="left"/>
        <w:rPr>
          <w:b w:val="0"/>
          <w:bCs w:val="0"/>
        </w:rPr>
      </w:pPr>
      <w:r>
        <w:rPr>
          <w:rFonts w:ascii="Times New Roman" w:hAnsi="Times New Roman" w:cs="Times New Roman" w:eastAsia="Times New Roman" w:hint="default"/>
        </w:rPr>
        <w:t>4</w:t>
      </w:r>
      <w:r>
        <w:rPr/>
        <w:t>、非募集资金投资的重大项目情况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260" w:type="dxa"/>
        <w:tblLayout w:type="fixed"/>
        <w:tblCellMar>
          <w:top w:w="0" w:type="dxa"/>
          <w:left w:w="0" w:type="dxa"/>
          <w:bottom w:w="0" w:type="dxa"/>
          <w:right w:w="0" w:type="dxa"/>
        </w:tblCellMar>
        <w:tblLook w:val="01E0"/>
      </w:tblPr>
      <w:tblGrid>
        <w:gridCol w:w="1584"/>
        <w:gridCol w:w="1594"/>
        <w:gridCol w:w="1606"/>
        <w:gridCol w:w="1584"/>
        <w:gridCol w:w="1594"/>
        <w:gridCol w:w="1583"/>
      </w:tblGrid>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20" w:right="72" w:hanging="361"/>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8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2"/>
              <w:jc w:val="right"/>
              <w:rPr>
                <w:rFonts w:ascii="Times New Roman" w:hAnsi="Times New Roman" w:cs="Times New Roman" w:eastAsia="Times New Roman" w:hint="default"/>
                <w:sz w:val="18"/>
                <w:szCs w:val="18"/>
              </w:rPr>
            </w:pPr>
            <w:r>
              <w:rPr>
                <w:rFonts w:ascii="Times New Roman"/>
                <w:sz w:val="18"/>
              </w:rPr>
              <w:t>0</w:t>
            </w:r>
          </w:p>
        </w:tc>
        <w:tc>
          <w:tcPr>
            <w:tcW w:w="158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4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bl>
    <w:p>
      <w:pPr>
        <w:spacing w:after="0" w:line="240" w:lineRule="auto"/>
        <w:jc w:val="center"/>
        <w:rPr>
          <w:rFonts w:ascii="宋体" w:hAnsi="宋体" w:cs="宋体" w:eastAsia="宋体" w:hint="default"/>
          <w:sz w:val="18"/>
          <w:szCs w:val="18"/>
        </w:rPr>
        <w:sectPr>
          <w:pgSz w:w="11910" w:h="16840"/>
          <w:pgMar w:header="706" w:footer="1340" w:top="1060" w:bottom="1540" w:left="8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七、公司未来发展的展望</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left="406" w:right="0"/>
        <w:jc w:val="left"/>
        <w:rPr>
          <w:b w:val="0"/>
          <w:bCs w:val="0"/>
        </w:rPr>
      </w:pPr>
      <w:r>
        <w:rPr/>
        <w:t>（一）行业竞争格局和发展趋势</w:t>
      </w:r>
      <w:r>
        <w:rPr>
          <w:b w:val="0"/>
          <w:bCs w:val="0"/>
        </w:rPr>
      </w:r>
    </w:p>
    <w:p>
      <w:pPr>
        <w:pStyle w:val="Heading2"/>
        <w:spacing w:line="240" w:lineRule="auto" w:before="118"/>
        <w:ind w:left="646" w:right="0"/>
        <w:jc w:val="left"/>
        <w:rPr>
          <w:b w:val="0"/>
          <w:bCs w:val="0"/>
        </w:rPr>
      </w:pPr>
      <w:r>
        <w:rPr>
          <w:rFonts w:ascii="Times New Roman" w:hAnsi="Times New Roman" w:cs="Times New Roman" w:eastAsia="Times New Roman" w:hint="default"/>
        </w:rPr>
        <w:t>1</w:t>
      </w:r>
      <w:r>
        <w:rPr/>
        <w:t>、行业竞争格局</w:t>
      </w:r>
      <w:r>
        <w:rPr>
          <w:b w:val="0"/>
          <w:bCs w:val="0"/>
        </w:rPr>
      </w:r>
    </w:p>
    <w:p>
      <w:pPr>
        <w:spacing w:line="240" w:lineRule="auto" w:before="8"/>
        <w:rPr>
          <w:rFonts w:ascii="宋体" w:hAnsi="宋体" w:cs="宋体" w:eastAsia="宋体" w:hint="default"/>
          <w:b/>
          <w:bCs/>
          <w:sz w:val="17"/>
          <w:szCs w:val="17"/>
        </w:rPr>
      </w:pPr>
    </w:p>
    <w:p>
      <w:pPr>
        <w:pStyle w:val="BodyText"/>
        <w:spacing w:line="240" w:lineRule="auto"/>
        <w:ind w:left="653" w:right="0"/>
        <w:jc w:val="left"/>
      </w:pPr>
      <w:r>
        <w:rPr>
          <w:rFonts w:ascii="Times New Roman" w:hAnsi="Times New Roman" w:cs="Times New Roman" w:eastAsia="Times New Roman" w:hint="default"/>
        </w:rPr>
        <w:t>1.1</w:t>
      </w:r>
      <w:r>
        <w:rPr/>
        <w:t>热处理设备制造市场</w:t>
      </w:r>
    </w:p>
    <w:p>
      <w:pPr>
        <w:spacing w:line="240" w:lineRule="auto" w:before="1"/>
        <w:rPr>
          <w:rFonts w:ascii="宋体" w:hAnsi="宋体" w:cs="宋体" w:eastAsia="宋体" w:hint="default"/>
          <w:sz w:val="19"/>
          <w:szCs w:val="19"/>
        </w:rPr>
      </w:pPr>
    </w:p>
    <w:p>
      <w:pPr>
        <w:pStyle w:val="BodyText"/>
        <w:spacing w:line="360" w:lineRule="auto"/>
        <w:ind w:right="0" w:firstLine="470"/>
        <w:jc w:val="left"/>
      </w:pPr>
      <w:r>
        <w:rPr/>
        <w:t>全国具有一定规模的热处理设备制造企业约有</w:t>
      </w:r>
      <w:r>
        <w:rPr>
          <w:rFonts w:ascii="Times New Roman" w:hAnsi="Times New Roman" w:cs="Times New Roman" w:eastAsia="Times New Roman" w:hint="default"/>
        </w:rPr>
        <w:t>300</w:t>
      </w:r>
      <w:r>
        <w:rPr>
          <w:rFonts w:ascii="Times New Roman" w:hAnsi="Times New Roman" w:cs="Times New Roman" w:eastAsia="Times New Roman" w:hint="default"/>
          <w:spacing w:val="14"/>
        </w:rPr>
        <w:t> </w:t>
      </w:r>
      <w:r>
        <w:rPr>
          <w:spacing w:val="-9"/>
        </w:rPr>
        <w:t>多家，主要集中在江苏、北京、上海、浙江、沈阳、</w:t>
      </w:r>
      <w:r>
        <w:rPr>
          <w:w w:val="100"/>
        </w:rPr>
        <w:t> </w:t>
      </w:r>
      <w:r>
        <w:rPr/>
        <w:t>武汉、天津等地，其中年总销售收入大于</w:t>
      </w:r>
      <w:r>
        <w:rPr>
          <w:rFonts w:ascii="Times New Roman" w:hAnsi="Times New Roman" w:cs="Times New Roman" w:eastAsia="Times New Roman" w:hint="default"/>
        </w:rPr>
        <w:t>1000 </w:t>
      </w:r>
      <w:r>
        <w:rPr/>
        <w:t>万元的有</w:t>
      </w:r>
      <w:r>
        <w:rPr>
          <w:rFonts w:ascii="Times New Roman" w:hAnsi="Times New Roman" w:cs="Times New Roman" w:eastAsia="Times New Roman" w:hint="default"/>
        </w:rPr>
        <w:t>50</w:t>
      </w:r>
      <w:r>
        <w:rPr/>
        <w:t>家左右，大于</w:t>
      </w:r>
      <w:r>
        <w:rPr>
          <w:rFonts w:ascii="Times New Roman" w:hAnsi="Times New Roman" w:cs="Times New Roman" w:eastAsia="Times New Roman" w:hint="default"/>
        </w:rPr>
        <w:t>1</w:t>
      </w:r>
      <w:r>
        <w:rPr/>
        <w:t>亿元的有</w:t>
      </w:r>
      <w:r>
        <w:rPr>
          <w:rFonts w:ascii="Times New Roman" w:hAnsi="Times New Roman" w:cs="Times New Roman" w:eastAsia="Times New Roman" w:hint="default"/>
        </w:rPr>
        <w:t>8</w:t>
      </w:r>
      <w:r>
        <w:rPr/>
        <w:t>家。由于中国热处理</w:t>
      </w:r>
      <w:r>
        <w:rPr>
          <w:spacing w:val="-29"/>
        </w:rPr>
        <w:t> </w:t>
      </w:r>
      <w:r>
        <w:rPr>
          <w:spacing w:val="-29"/>
        </w:rPr>
      </w:r>
      <w:r>
        <w:rPr>
          <w:spacing w:val="-2"/>
        </w:rPr>
        <w:t>行业发展水平较低，中高档热处理设备长期依赖进口，国际一流热处理企业基于争夺中国热处理市场份额</w:t>
      </w:r>
      <w:r>
        <w:rPr>
          <w:spacing w:val="-43"/>
        </w:rPr>
        <w:t> </w:t>
      </w:r>
      <w:r>
        <w:rPr>
          <w:spacing w:val="-43"/>
        </w:rPr>
      </w:r>
      <w:r>
        <w:rPr>
          <w:spacing w:val="-2"/>
        </w:rPr>
        <w:t>的需要，纷纷在华设立独资或合资公司，本公司的主要竞争对手就是这些企业。而限于技术、资金等方面</w:t>
      </w:r>
      <w:r>
        <w:rPr>
          <w:spacing w:val="-47"/>
        </w:rPr>
        <w:t> </w:t>
      </w:r>
      <w:r>
        <w:rPr>
          <w:spacing w:val="-47"/>
        </w:rPr>
      </w:r>
      <w:r>
        <w:rPr>
          <w:spacing w:val="-2"/>
        </w:rPr>
        <w:t>的壁垒，国内大多数民营热处理设备制造企业还集中在中低端产品的生产上，有实力从事中高档热处理设</w:t>
      </w:r>
      <w:r>
        <w:rPr>
          <w:spacing w:val="-44"/>
        </w:rPr>
        <w:t> </w:t>
      </w:r>
      <w:r>
        <w:rPr>
          <w:spacing w:val="-44"/>
        </w:rPr>
      </w:r>
      <w:r>
        <w:rPr/>
        <w:t>备生产的制造企业较少。</w:t>
      </w:r>
    </w:p>
    <w:p>
      <w:pPr>
        <w:pStyle w:val="BodyText"/>
        <w:spacing w:line="240" w:lineRule="auto" w:before="88"/>
        <w:ind w:left="653" w:right="0"/>
        <w:jc w:val="left"/>
      </w:pPr>
      <w:r>
        <w:rPr>
          <w:rFonts w:ascii="Times New Roman" w:hAnsi="Times New Roman" w:cs="Times New Roman" w:eastAsia="Times New Roman" w:hint="default"/>
        </w:rPr>
        <w:t>1.2</w:t>
      </w:r>
      <w:r>
        <w:rPr/>
        <w:t>专业热处理加工市场</w:t>
      </w:r>
    </w:p>
    <w:p>
      <w:pPr>
        <w:pStyle w:val="BodyText"/>
        <w:spacing w:line="348" w:lineRule="auto" w:before="177"/>
        <w:ind w:right="1128" w:firstLine="480"/>
        <w:jc w:val="both"/>
      </w:pPr>
      <w:r>
        <w:rPr/>
        <w:t>全国专业热处理加工企业约</w:t>
      </w:r>
      <w:r>
        <w:rPr>
          <w:rFonts w:ascii="Times New Roman" w:hAnsi="Times New Roman" w:cs="Times New Roman" w:eastAsia="Times New Roman" w:hint="default"/>
        </w:rPr>
        <w:t>3500</w:t>
      </w:r>
      <w:r>
        <w:rPr>
          <w:rFonts w:ascii="Times New Roman" w:hAnsi="Times New Roman" w:cs="Times New Roman" w:eastAsia="Times New Roman" w:hint="default"/>
          <w:spacing w:val="15"/>
        </w:rPr>
        <w:t> </w:t>
      </w:r>
      <w:r>
        <w:rPr/>
        <w:t>家，主要为民营企业，一般规模较小，形成一定规模的专业热处理</w:t>
      </w:r>
      <w:r>
        <w:rPr>
          <w:w w:val="100"/>
        </w:rPr>
        <w:t> </w:t>
      </w:r>
      <w:r>
        <w:rPr>
          <w:spacing w:val="-3"/>
        </w:rPr>
        <w:t>加工企业（年产值大于</w:t>
      </w:r>
      <w:r>
        <w:rPr>
          <w:rFonts w:ascii="Times New Roman" w:hAnsi="Times New Roman" w:cs="Times New Roman" w:eastAsia="Times New Roman" w:hint="default"/>
          <w:spacing w:val="-3"/>
        </w:rPr>
        <w:t>500</w:t>
      </w:r>
      <w:r>
        <w:rPr>
          <w:spacing w:val="-3"/>
        </w:rPr>
        <w:t>万元）大约有</w:t>
      </w:r>
      <w:r>
        <w:rPr>
          <w:rFonts w:ascii="Times New Roman" w:hAnsi="Times New Roman" w:cs="Times New Roman" w:eastAsia="Times New Roman" w:hint="default"/>
          <w:spacing w:val="-3"/>
        </w:rPr>
        <w:t>300</w:t>
      </w:r>
      <w:r>
        <w:rPr>
          <w:rFonts w:ascii="Times New Roman" w:hAnsi="Times New Roman" w:cs="Times New Roman" w:eastAsia="Times New Roman" w:hint="default"/>
          <w:spacing w:val="34"/>
        </w:rPr>
        <w:t> </w:t>
      </w:r>
      <w:r>
        <w:rPr>
          <w:spacing w:val="-3"/>
        </w:rPr>
        <w:t>家左右，不到专业热处理加工企业总量的</w:t>
      </w:r>
      <w:r>
        <w:rPr>
          <w:rFonts w:ascii="Times New Roman" w:hAnsi="Times New Roman" w:cs="Times New Roman" w:eastAsia="Times New Roman" w:hint="default"/>
          <w:spacing w:val="-3"/>
        </w:rPr>
        <w:t>10%</w:t>
      </w:r>
      <w:r>
        <w:rPr>
          <w:spacing w:val="-3"/>
        </w:rPr>
        <w:t>，主要集中在广</w:t>
      </w:r>
      <w:r>
        <w:rPr>
          <w:spacing w:val="-90"/>
        </w:rPr>
        <w:t> </w:t>
      </w:r>
      <w:r>
        <w:rPr>
          <w:spacing w:val="-90"/>
        </w:rPr>
      </w:r>
      <w:r>
        <w:rPr/>
        <w:t>东、浙江、上海、江苏、山东等地。</w:t>
      </w:r>
    </w:p>
    <w:p>
      <w:pPr>
        <w:pStyle w:val="BodyText"/>
        <w:spacing w:line="369" w:lineRule="auto" w:before="98"/>
        <w:ind w:right="1126" w:firstLine="480"/>
        <w:jc w:val="both"/>
      </w:pPr>
      <w:r>
        <w:rPr>
          <w:spacing w:val="-4"/>
        </w:rPr>
        <w:t>由于专业热处理加工的服务范围有一定的市场半径，区域特征强，其直接面对的竞争对手是各加工点</w:t>
      </w:r>
      <w:r>
        <w:rPr>
          <w:w w:val="100"/>
        </w:rPr>
        <w:t> </w:t>
      </w:r>
      <w:r>
        <w:rPr/>
        <w:t>市场半径内的其他专业热处理加工企业。</w:t>
      </w:r>
    </w:p>
    <w:p>
      <w:pPr>
        <w:pStyle w:val="BodyText"/>
        <w:spacing w:line="367" w:lineRule="auto" w:before="152"/>
        <w:ind w:right="1126" w:firstLine="470"/>
        <w:jc w:val="both"/>
      </w:pPr>
      <w:r>
        <w:rPr>
          <w:spacing w:val="-4"/>
        </w:rPr>
        <w:t>从全国范围看，热处理加工业务的发展趋势是专业化、连锁化、品牌化。目前国内的专业热处理加工</w:t>
      </w:r>
      <w:r>
        <w:rPr>
          <w:w w:val="100"/>
        </w:rPr>
        <w:t> </w:t>
      </w:r>
      <w:r>
        <w:rPr>
          <w:spacing w:val="-2"/>
        </w:rPr>
        <w:t>行业尚处于市场竞争的初级阶段，形成一定规模的专业热处理企业较少，进行连锁化发展的热处理加工企</w:t>
      </w:r>
      <w:r>
        <w:rPr>
          <w:spacing w:val="-44"/>
        </w:rPr>
        <w:t> </w:t>
      </w:r>
      <w:r>
        <w:rPr>
          <w:spacing w:val="-44"/>
        </w:rPr>
      </w:r>
      <w:r>
        <w:rPr/>
        <w:t>业则更少。</w:t>
      </w:r>
    </w:p>
    <w:p>
      <w:pPr>
        <w:pStyle w:val="BodyText"/>
        <w:spacing w:line="446" w:lineRule="auto" w:before="154"/>
        <w:ind w:left="643" w:right="0"/>
        <w:jc w:val="left"/>
      </w:pPr>
      <w:r>
        <w:rPr>
          <w:rFonts w:ascii="Times New Roman" w:hAnsi="Times New Roman" w:cs="Times New Roman" w:eastAsia="Times New Roman" w:hint="default"/>
        </w:rPr>
        <w:t>1.3</w:t>
      </w:r>
      <w:r>
        <w:rPr/>
        <w:t>维修及配件市场</w:t>
      </w:r>
      <w:r>
        <w:rPr>
          <w:w w:val="100"/>
        </w:rPr>
        <w:t> </w:t>
      </w:r>
      <w:r>
        <w:rPr>
          <w:spacing w:val="-6"/>
        </w:rPr>
        <w:t>受近年来原材料价格波动较大的影响，热处理设备维修及配件市场竞争加剧，利润下滑，金融危机后，</w:t>
      </w:r>
    </w:p>
    <w:p>
      <w:pPr>
        <w:pStyle w:val="BodyText"/>
        <w:spacing w:line="239" w:lineRule="exact"/>
        <w:ind w:right="0"/>
        <w:jc w:val="left"/>
      </w:pPr>
      <w:r>
        <w:rPr/>
        <w:t>为提升业务量，各类大、中、小型企业十分重视这一业务领域，纷纷增加人员并进行网络建设，以质量、</w:t>
      </w:r>
    </w:p>
    <w:p>
      <w:pPr>
        <w:pStyle w:val="BodyText"/>
        <w:spacing w:line="458" w:lineRule="auto" w:before="145"/>
        <w:ind w:left="646" w:right="0" w:hanging="474"/>
        <w:jc w:val="left"/>
      </w:pPr>
      <w:r>
        <w:rPr>
          <w:spacing w:val="-2"/>
        </w:rPr>
        <w:t>价格以及服务优势积极拓展市场，这将给原有以维修及售后服务为主要收入来源的小规模企业带来冲击。</w:t>
      </w:r>
      <w:r>
        <w:rPr>
          <w:spacing w:val="-24"/>
        </w:rPr>
        <w:t> </w:t>
      </w:r>
      <w:r>
        <w:rPr>
          <w:spacing w:val="-24"/>
        </w:rPr>
      </w:r>
      <w:r>
        <w:rPr>
          <w:rFonts w:ascii="Times New Roman" w:hAnsi="Times New Roman" w:cs="Times New Roman" w:eastAsia="Times New Roman" w:hint="default"/>
          <w:b/>
          <w:bCs/>
        </w:rPr>
        <w:t>2</w:t>
      </w:r>
      <w:r>
        <w:rPr>
          <w:rFonts w:ascii="宋体" w:hAnsi="宋体" w:cs="宋体" w:eastAsia="宋体" w:hint="default"/>
          <w:b/>
          <w:bCs/>
        </w:rPr>
        <w:t>、行业发展趋势</w:t>
      </w:r>
      <w:r>
        <w:rPr>
          <w:rFonts w:ascii="宋体" w:hAnsi="宋体" w:cs="宋体" w:eastAsia="宋体" w:hint="default"/>
          <w:b/>
          <w:bCs/>
          <w:w w:val="100"/>
        </w:rPr>
        <w:t> </w:t>
      </w:r>
      <w:r>
        <w:rPr>
          <w:spacing w:val="-4"/>
        </w:rPr>
        <w:t>热处理是机械工业的重要组成部分，是现代制造业生产链上不可或缺的极其重要环节。热处理行业作</w:t>
      </w:r>
    </w:p>
    <w:p>
      <w:pPr>
        <w:pStyle w:val="BodyText"/>
        <w:spacing w:line="229" w:lineRule="exact"/>
        <w:ind w:right="0"/>
        <w:jc w:val="left"/>
      </w:pPr>
      <w:r>
        <w:rPr/>
        <w:t>为下游机械制造行业更容易受到经济景气周期和国家调控政策的影响。</w:t>
      </w:r>
    </w:p>
    <w:p>
      <w:pPr>
        <w:pStyle w:val="BodyText"/>
        <w:spacing w:line="420" w:lineRule="exact" w:before="174"/>
        <w:ind w:right="1126" w:firstLine="480"/>
        <w:jc w:val="both"/>
      </w:pPr>
      <w:r>
        <w:rPr>
          <w:spacing w:val="-4"/>
        </w:rPr>
        <w:t>从好的方面看，国家实施积极的财政政策和稳健的货币政策，大力提倡自主创新和节能减排，各行业</w:t>
      </w:r>
      <w:r>
        <w:rPr>
          <w:w w:val="100"/>
        </w:rPr>
        <w:t> 在转</w:t>
      </w:r>
      <w:r>
        <w:rPr>
          <w:spacing w:val="-3"/>
          <w:w w:val="100"/>
        </w:rPr>
        <w:t>变</w:t>
      </w:r>
      <w:r>
        <w:rPr>
          <w:w w:val="100"/>
        </w:rPr>
        <w:t>增</w:t>
      </w:r>
      <w:r>
        <w:rPr>
          <w:spacing w:val="-3"/>
          <w:w w:val="100"/>
        </w:rPr>
        <w:t>长</w:t>
      </w:r>
      <w:r>
        <w:rPr>
          <w:w w:val="100"/>
        </w:rPr>
        <w:t>方</w:t>
      </w:r>
      <w:r>
        <w:rPr>
          <w:spacing w:val="-3"/>
          <w:w w:val="100"/>
        </w:rPr>
        <w:t>式</w:t>
      </w:r>
      <w:r>
        <w:rPr>
          <w:w w:val="100"/>
        </w:rPr>
        <w:t>、</w:t>
      </w:r>
      <w:r>
        <w:rPr>
          <w:spacing w:val="-3"/>
          <w:w w:val="100"/>
        </w:rPr>
        <w:t>优</w:t>
      </w:r>
      <w:r>
        <w:rPr>
          <w:w w:val="100"/>
        </w:rPr>
        <w:t>化</w:t>
      </w:r>
      <w:r>
        <w:rPr>
          <w:spacing w:val="-3"/>
          <w:w w:val="100"/>
        </w:rPr>
        <w:t>产</w:t>
      </w:r>
      <w:r>
        <w:rPr>
          <w:w w:val="100"/>
        </w:rPr>
        <w:t>业结</w:t>
      </w:r>
      <w:r>
        <w:rPr>
          <w:spacing w:val="-3"/>
          <w:w w:val="100"/>
        </w:rPr>
        <w:t>构</w:t>
      </w:r>
      <w:r>
        <w:rPr>
          <w:w w:val="100"/>
        </w:rPr>
        <w:t>上</w:t>
      </w:r>
      <w:r>
        <w:rPr>
          <w:spacing w:val="-3"/>
          <w:w w:val="100"/>
        </w:rPr>
        <w:t>，</w:t>
      </w:r>
      <w:r>
        <w:rPr>
          <w:w w:val="100"/>
        </w:rPr>
        <w:t>都</w:t>
      </w:r>
      <w:r>
        <w:rPr>
          <w:spacing w:val="-3"/>
          <w:w w:val="100"/>
        </w:rPr>
        <w:t>迫</w:t>
      </w:r>
      <w:r>
        <w:rPr>
          <w:w w:val="100"/>
        </w:rPr>
        <w:t>切</w:t>
      </w:r>
      <w:r>
        <w:rPr>
          <w:spacing w:val="-3"/>
          <w:w w:val="100"/>
        </w:rPr>
        <w:t>地</w:t>
      </w:r>
      <w:r>
        <w:rPr>
          <w:w w:val="100"/>
        </w:rPr>
        <w:t>需</w:t>
      </w:r>
      <w:r>
        <w:rPr>
          <w:spacing w:val="-3"/>
          <w:w w:val="100"/>
        </w:rPr>
        <w:t>要</w:t>
      </w:r>
      <w:r>
        <w:rPr>
          <w:w w:val="100"/>
        </w:rPr>
        <w:t>高水</w:t>
      </w:r>
      <w:r>
        <w:rPr>
          <w:spacing w:val="-3"/>
          <w:w w:val="100"/>
        </w:rPr>
        <w:t>平</w:t>
      </w:r>
      <w:r>
        <w:rPr>
          <w:w w:val="100"/>
        </w:rPr>
        <w:t>的</w:t>
      </w:r>
      <w:r>
        <w:rPr>
          <w:spacing w:val="-3"/>
          <w:w w:val="100"/>
        </w:rPr>
        <w:t>机</w:t>
      </w:r>
      <w:r>
        <w:rPr>
          <w:w w:val="100"/>
        </w:rPr>
        <w:t>械</w:t>
      </w:r>
      <w:r>
        <w:rPr>
          <w:spacing w:val="-3"/>
          <w:w w:val="100"/>
        </w:rPr>
        <w:t>装</w:t>
      </w:r>
      <w:r>
        <w:rPr>
          <w:w w:val="100"/>
        </w:rPr>
        <w:t>备</w:t>
      </w:r>
      <w:r>
        <w:rPr>
          <w:spacing w:val="-3"/>
          <w:w w:val="100"/>
        </w:rPr>
        <w:t>。</w:t>
      </w:r>
      <w:r>
        <w:rPr>
          <w:w w:val="100"/>
        </w:rPr>
        <w:t>另</w:t>
      </w:r>
      <w:r>
        <w:rPr>
          <w:spacing w:val="-3"/>
          <w:w w:val="100"/>
        </w:rPr>
        <w:t>外</w:t>
      </w:r>
      <w:r>
        <w:rPr>
          <w:w w:val="100"/>
        </w:rPr>
        <w:t>，</w:t>
      </w:r>
      <w:r>
        <w:rPr>
          <w:rFonts w:ascii="Times New Roman" w:hAnsi="Times New Roman" w:cs="Times New Roman" w:eastAsia="Times New Roman" w:hint="default"/>
          <w:spacing w:val="-1"/>
          <w:w w:val="44"/>
        </w:rPr>
        <w:t>―</w:t>
      </w:r>
      <w:r>
        <w:rPr>
          <w:spacing w:val="-3"/>
          <w:w w:val="100"/>
        </w:rPr>
        <w:t>十</w:t>
      </w:r>
      <w:r>
        <w:rPr>
          <w:w w:val="100"/>
        </w:rPr>
        <w:t>二五</w:t>
      </w:r>
      <w:r>
        <w:rPr>
          <w:rFonts w:ascii="Times New Roman" w:hAnsi="Times New Roman" w:cs="Times New Roman" w:eastAsia="Times New Roman" w:hint="default"/>
          <w:spacing w:val="-3"/>
          <w:w w:val="159"/>
        </w:rPr>
        <w:t>‖</w:t>
      </w:r>
      <w:r>
        <w:rPr>
          <w:w w:val="100"/>
        </w:rPr>
        <w:t>规</w:t>
      </w:r>
      <w:r>
        <w:rPr>
          <w:spacing w:val="-3"/>
          <w:w w:val="100"/>
        </w:rPr>
        <w:t>划</w:t>
      </w:r>
      <w:r>
        <w:rPr>
          <w:w w:val="100"/>
        </w:rPr>
        <w:t>的</w:t>
      </w:r>
      <w:r>
        <w:rPr>
          <w:spacing w:val="-3"/>
          <w:w w:val="100"/>
        </w:rPr>
        <w:t>实</w:t>
      </w:r>
      <w:r>
        <w:rPr>
          <w:w w:val="100"/>
        </w:rPr>
        <w:t>施</w:t>
      </w:r>
      <w:r>
        <w:rPr>
          <w:spacing w:val="-3"/>
          <w:w w:val="100"/>
        </w:rPr>
        <w:t>、</w:t>
      </w:r>
      <w:r>
        <w:rPr>
          <w:w w:val="100"/>
        </w:rPr>
        <w:t>新兴</w:t>
      </w:r>
      <w:r>
        <w:rPr>
          <w:w w:val="100"/>
        </w:rPr>
        <w:t> </w:t>
      </w:r>
      <w:r>
        <w:rPr>
          <w:spacing w:val="-2"/>
        </w:rPr>
        <w:t>战略产业的发展政策、区域发展规划以及振兴装备制造业的政策仍将为热处理装备和热处理加工提供新的</w:t>
      </w:r>
      <w:r>
        <w:rPr>
          <w:spacing w:val="-43"/>
        </w:rPr>
        <w:t> </w:t>
      </w:r>
      <w:r>
        <w:rPr>
          <w:spacing w:val="-43"/>
        </w:rPr>
      </w:r>
      <w:r>
        <w:rPr>
          <w:spacing w:val="-2"/>
        </w:rPr>
        <w:t>增长空间：①国家振兴机械工业政策，由制造大国向制造强国的发展，机械工业由粗放向集约发展模式的</w:t>
      </w:r>
    </w:p>
    <w:p>
      <w:pPr>
        <w:spacing w:after="0" w:line="420" w:lineRule="exact"/>
        <w:jc w:val="both"/>
        <w:sectPr>
          <w:pgSz w:w="11910" w:h="16840"/>
          <w:pgMar w:header="706" w:footer="1340" w:top="1060" w:bottom="1540" w:left="96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362" w:lineRule="auto"/>
        <w:ind w:right="1126"/>
        <w:jc w:val="both"/>
      </w:pPr>
      <w:r>
        <w:rPr>
          <w:spacing w:val="-2"/>
        </w:rPr>
        <w:t>转变，技术改造、自主创新、淘汰落后、兼并重组、加快产品结构调整和升级的举措需要强化热处理的支</w:t>
      </w:r>
      <w:r>
        <w:rPr>
          <w:spacing w:val="-43"/>
        </w:rPr>
        <w:t> </w:t>
      </w:r>
      <w:r>
        <w:rPr>
          <w:spacing w:val="-43"/>
        </w:rPr>
      </w:r>
      <w:r>
        <w:rPr>
          <w:spacing w:val="-2"/>
        </w:rPr>
        <w:t>持。②国家对发展中小企业的重视必将导致中小制造企业的大发展，也会掀起专业化协作的高潮，在沿海</w:t>
      </w:r>
      <w:r>
        <w:rPr>
          <w:spacing w:val="-44"/>
        </w:rPr>
        <w:t> </w:t>
      </w:r>
      <w:r>
        <w:rPr>
          <w:spacing w:val="-44"/>
        </w:rPr>
      </w:r>
      <w:r>
        <w:rPr>
          <w:spacing w:val="-2"/>
        </w:rPr>
        <w:t>和内地工业集中地区将对热处理加工协作提出更大的需求。热处理行业也面临技术改造、自主创新、淘汰</w:t>
      </w:r>
      <w:r>
        <w:rPr>
          <w:spacing w:val="-42"/>
        </w:rPr>
        <w:t> </w:t>
      </w:r>
      <w:r>
        <w:rPr>
          <w:spacing w:val="-42"/>
        </w:rPr>
      </w:r>
      <w:r>
        <w:rPr>
          <w:spacing w:val="-2"/>
        </w:rPr>
        <w:t>落后、兼并重组等问题，不只是生产技术和设备要淘汰落后，大量热处理加工企业也面临优胜劣汰、兼并</w:t>
      </w:r>
      <w:r>
        <w:rPr>
          <w:spacing w:val="-47"/>
        </w:rPr>
        <w:t> </w:t>
      </w:r>
      <w:r>
        <w:rPr>
          <w:spacing w:val="-47"/>
        </w:rPr>
      </w:r>
      <w:r>
        <w:rPr>
          <w:w w:val="100"/>
        </w:rPr>
        <w:t>重组</w:t>
      </w:r>
      <w:r>
        <w:rPr>
          <w:spacing w:val="-3"/>
          <w:w w:val="100"/>
        </w:rPr>
        <w:t>局</w:t>
      </w:r>
      <w:r>
        <w:rPr>
          <w:w w:val="100"/>
        </w:rPr>
        <w:t>面</w:t>
      </w:r>
      <w:r>
        <w:rPr>
          <w:spacing w:val="-3"/>
          <w:w w:val="100"/>
        </w:rPr>
        <w:t>。</w:t>
      </w:r>
      <w:r>
        <w:rPr>
          <w:w w:val="100"/>
        </w:rPr>
        <w:t>③</w:t>
      </w:r>
      <w:r>
        <w:rPr>
          <w:spacing w:val="-3"/>
          <w:w w:val="100"/>
        </w:rPr>
        <w:t>机</w:t>
      </w:r>
      <w:r>
        <w:rPr>
          <w:w w:val="100"/>
        </w:rPr>
        <w:t>械</w:t>
      </w:r>
      <w:r>
        <w:rPr>
          <w:spacing w:val="-3"/>
          <w:w w:val="100"/>
        </w:rPr>
        <w:t>工</w:t>
      </w:r>
      <w:r>
        <w:rPr>
          <w:w w:val="100"/>
        </w:rPr>
        <w:t>业的</w:t>
      </w:r>
      <w:r>
        <w:rPr>
          <w:rFonts w:ascii="Times New Roman" w:hAnsi="Times New Roman" w:cs="Times New Roman" w:eastAsia="Times New Roman" w:hint="default"/>
          <w:spacing w:val="-3"/>
          <w:w w:val="44"/>
        </w:rPr>
        <w:t>―</w:t>
      </w:r>
      <w:r>
        <w:rPr>
          <w:w w:val="100"/>
        </w:rPr>
        <w:t>两化</w:t>
      </w:r>
      <w:r>
        <w:rPr>
          <w:rFonts w:ascii="Times New Roman" w:hAnsi="Times New Roman" w:cs="Times New Roman" w:eastAsia="Times New Roman" w:hint="default"/>
          <w:spacing w:val="-3"/>
          <w:w w:val="159"/>
        </w:rPr>
        <w:t>‖</w:t>
      </w:r>
      <w:r>
        <w:rPr>
          <w:w w:val="100"/>
        </w:rPr>
        <w:t>方</w:t>
      </w:r>
      <w:r>
        <w:rPr>
          <w:spacing w:val="-3"/>
          <w:w w:val="100"/>
        </w:rPr>
        <w:t>针</w:t>
      </w:r>
      <w:r>
        <w:rPr>
          <w:w w:val="100"/>
        </w:rPr>
        <w:t>和重</w:t>
      </w:r>
      <w:r>
        <w:rPr>
          <w:spacing w:val="-3"/>
          <w:w w:val="100"/>
        </w:rPr>
        <w:t>点</w:t>
      </w:r>
      <w:r>
        <w:rPr>
          <w:w w:val="100"/>
        </w:rPr>
        <w:t>是</w:t>
      </w:r>
      <w:r>
        <w:rPr>
          <w:spacing w:val="-3"/>
          <w:w w:val="100"/>
        </w:rPr>
        <w:t>发</w:t>
      </w:r>
      <w:r>
        <w:rPr>
          <w:w w:val="100"/>
        </w:rPr>
        <w:t>展</w:t>
      </w:r>
      <w:r>
        <w:rPr>
          <w:spacing w:val="-3"/>
          <w:w w:val="100"/>
        </w:rPr>
        <w:t>节</w:t>
      </w:r>
      <w:r>
        <w:rPr>
          <w:w w:val="100"/>
        </w:rPr>
        <w:t>能减</w:t>
      </w:r>
      <w:r>
        <w:rPr>
          <w:spacing w:val="-3"/>
          <w:w w:val="100"/>
        </w:rPr>
        <w:t>排</w:t>
      </w:r>
      <w:r>
        <w:rPr>
          <w:w w:val="100"/>
        </w:rPr>
        <w:t>产</w:t>
      </w:r>
      <w:r>
        <w:rPr>
          <w:spacing w:val="-3"/>
          <w:w w:val="100"/>
        </w:rPr>
        <w:t>品</w:t>
      </w:r>
      <w:r>
        <w:rPr>
          <w:w w:val="100"/>
        </w:rPr>
        <w:t>，</w:t>
      </w:r>
      <w:r>
        <w:rPr>
          <w:spacing w:val="-3"/>
          <w:w w:val="100"/>
        </w:rPr>
        <w:t>把</w:t>
      </w:r>
      <w:r>
        <w:rPr>
          <w:w w:val="100"/>
        </w:rPr>
        <w:t>节</w:t>
      </w:r>
      <w:r>
        <w:rPr>
          <w:spacing w:val="-3"/>
          <w:w w:val="100"/>
        </w:rPr>
        <w:t>能</w:t>
      </w:r>
      <w:r>
        <w:rPr>
          <w:w w:val="100"/>
        </w:rPr>
        <w:t>减</w:t>
      </w:r>
      <w:r>
        <w:rPr>
          <w:spacing w:val="-3"/>
          <w:w w:val="100"/>
        </w:rPr>
        <w:t>排</w:t>
      </w:r>
      <w:r>
        <w:rPr>
          <w:w w:val="100"/>
        </w:rPr>
        <w:t>作为</w:t>
      </w:r>
      <w:r>
        <w:rPr>
          <w:spacing w:val="-3"/>
          <w:w w:val="100"/>
        </w:rPr>
        <w:t>调</w:t>
      </w:r>
      <w:r>
        <w:rPr>
          <w:w w:val="100"/>
        </w:rPr>
        <w:t>整</w:t>
      </w:r>
      <w:r>
        <w:rPr>
          <w:spacing w:val="-3"/>
          <w:w w:val="100"/>
        </w:rPr>
        <w:t>经</w:t>
      </w:r>
      <w:r>
        <w:rPr>
          <w:w w:val="100"/>
        </w:rPr>
        <w:t>济</w:t>
      </w:r>
      <w:r>
        <w:rPr>
          <w:spacing w:val="-3"/>
          <w:w w:val="100"/>
        </w:rPr>
        <w:t>结</w:t>
      </w:r>
      <w:r>
        <w:rPr>
          <w:w w:val="100"/>
        </w:rPr>
        <w:t>构</w:t>
      </w:r>
      <w:r>
        <w:rPr>
          <w:spacing w:val="-3"/>
          <w:w w:val="100"/>
        </w:rPr>
        <w:t>、转变</w:t>
      </w:r>
      <w:r>
        <w:rPr>
          <w:w w:val="100"/>
        </w:rPr>
        <w:t>发</w:t>
      </w:r>
      <w:r>
        <w:rPr>
          <w:w w:val="100"/>
        </w:rPr>
        <w:t> </w:t>
      </w:r>
      <w:r>
        <w:rPr>
          <w:spacing w:val="-2"/>
        </w:rPr>
        <w:t>展方式的重要手段，大力推行节能技术和产品，努力向优质、高效、低消耗、节能减排方向发展，提高热</w:t>
      </w:r>
      <w:r>
        <w:rPr>
          <w:spacing w:val="-42"/>
        </w:rPr>
        <w:t> </w:t>
      </w:r>
      <w:r>
        <w:rPr>
          <w:spacing w:val="-42"/>
        </w:rPr>
      </w:r>
      <w:r>
        <w:rPr>
          <w:spacing w:val="-2"/>
        </w:rPr>
        <w:t>处理的整体水平。④新兴产业对热处理的需求增加，新能源产业和新型交通运输产业的先进技术装备对热</w:t>
      </w:r>
      <w:r>
        <w:rPr>
          <w:spacing w:val="-44"/>
        </w:rPr>
        <w:t> </w:t>
      </w:r>
      <w:r>
        <w:rPr>
          <w:spacing w:val="-44"/>
        </w:rPr>
      </w:r>
      <w:r>
        <w:rPr>
          <w:spacing w:val="-2"/>
        </w:rPr>
        <w:t>处理加工提出新的更高水平要求。⑤</w:t>
      </w:r>
      <w:r>
        <w:rPr>
          <w:rFonts w:ascii="Times New Roman" w:hAnsi="Times New Roman" w:cs="Times New Roman" w:eastAsia="Times New Roman" w:hint="default"/>
          <w:spacing w:val="-2"/>
        </w:rPr>
        <w:t>2013</w:t>
      </w:r>
      <w:r>
        <w:rPr>
          <w:spacing w:val="-2"/>
        </w:rPr>
        <w:t>年及未来较长一段时期内，受益于机械工业产业升级的整机制造</w:t>
      </w:r>
      <w:r>
        <w:rPr>
          <w:spacing w:val="-40"/>
        </w:rPr>
        <w:t> </w:t>
      </w:r>
      <w:r>
        <w:rPr>
          <w:spacing w:val="-40"/>
        </w:rPr>
      </w:r>
      <w:r>
        <w:rPr>
          <w:spacing w:val="-2"/>
        </w:rPr>
        <w:t>企业，如工程机械的挖掘机生产企业、精密高端机床生产企业、拥有核心技术的高铁设备及新能源设备制</w:t>
      </w:r>
      <w:r>
        <w:rPr>
          <w:spacing w:val="-43"/>
        </w:rPr>
        <w:t> </w:t>
      </w:r>
      <w:r>
        <w:rPr>
          <w:spacing w:val="-43"/>
        </w:rPr>
      </w:r>
      <w:r>
        <w:rPr>
          <w:spacing w:val="-2"/>
        </w:rPr>
        <w:t>造商等将有很大投资潜力。在装备制造业升级中，能不断提升技术、尽快占领市场以实现进口替代的核心</w:t>
      </w:r>
      <w:r>
        <w:rPr>
          <w:spacing w:val="-44"/>
        </w:rPr>
        <w:t> </w:t>
      </w:r>
      <w:r>
        <w:rPr>
          <w:spacing w:val="-44"/>
        </w:rPr>
      </w:r>
      <w:r>
        <w:rPr/>
        <w:t>零部件企业同样会受到青睐。</w:t>
      </w:r>
    </w:p>
    <w:p>
      <w:pPr>
        <w:pStyle w:val="BodyText"/>
        <w:spacing w:line="357" w:lineRule="auto" w:before="158"/>
        <w:ind w:right="1126" w:firstLine="480"/>
        <w:jc w:val="both"/>
      </w:pPr>
      <w:r>
        <w:rPr>
          <w:spacing w:val="-3"/>
        </w:rPr>
        <w:t>从不利面看，进入</w:t>
      </w:r>
      <w:r>
        <w:rPr>
          <w:rFonts w:ascii="Times New Roman" w:hAnsi="Times New Roman" w:cs="Times New Roman" w:eastAsia="Times New Roman" w:hint="default"/>
          <w:spacing w:val="-3"/>
        </w:rPr>
        <w:t>2011</w:t>
      </w:r>
      <w:r>
        <w:rPr>
          <w:spacing w:val="-3"/>
        </w:rPr>
        <w:t>年以来，特别是</w:t>
      </w:r>
      <w:r>
        <w:rPr>
          <w:rFonts w:ascii="Times New Roman" w:hAnsi="Times New Roman" w:cs="Times New Roman" w:eastAsia="Times New Roman" w:hint="default"/>
          <w:spacing w:val="-3"/>
        </w:rPr>
        <w:t>2011</w:t>
      </w:r>
      <w:r>
        <w:rPr>
          <w:spacing w:val="-3"/>
        </w:rPr>
        <w:t>年下半年至今，受到通货膨胀、欧债危机、房地产泡沫等</w:t>
      </w:r>
      <w:r>
        <w:rPr>
          <w:w w:val="100"/>
        </w:rPr>
        <w:t> </w:t>
      </w:r>
      <w:r>
        <w:rPr>
          <w:spacing w:val="-2"/>
        </w:rPr>
        <w:t>影响，经济增长快速回落，投资放缓，对热处理行业带来需求不足的影响，当然也给公司的整体生产经营</w:t>
      </w:r>
      <w:r>
        <w:rPr>
          <w:spacing w:val="-47"/>
        </w:rPr>
        <w:t> </w:t>
      </w:r>
      <w:r>
        <w:rPr>
          <w:spacing w:val="-47"/>
        </w:rPr>
      </w:r>
      <w:r>
        <w:rPr/>
        <w:t>带来了一些困难和不确定性。</w:t>
      </w:r>
    </w:p>
    <w:p>
      <w:pPr>
        <w:pStyle w:val="BodyText"/>
        <w:spacing w:line="367" w:lineRule="auto" w:before="162"/>
        <w:ind w:right="1126" w:firstLine="420"/>
        <w:jc w:val="both"/>
      </w:pPr>
      <w:r>
        <w:rPr>
          <w:spacing w:val="-2"/>
        </w:rPr>
        <w:t>热处理行业的直接下游为机械制造行业的各零部件子行业，主要有：汽车、摩托车零部件行业，机械</w:t>
      </w:r>
      <w:r>
        <w:rPr>
          <w:w w:val="100"/>
        </w:rPr>
        <w:t> </w:t>
      </w:r>
      <w:r>
        <w:rPr>
          <w:spacing w:val="-2"/>
        </w:rPr>
        <w:t>基础件行业（包括轴承、模具、紧固件等），航空航天零部件行业，工程机械零部件行业，新能源零部件</w:t>
      </w:r>
      <w:r>
        <w:rPr>
          <w:spacing w:val="-47"/>
        </w:rPr>
        <w:t> </w:t>
      </w:r>
      <w:r>
        <w:rPr>
          <w:spacing w:val="-47"/>
        </w:rPr>
      </w:r>
      <w:r>
        <w:rPr/>
        <w:t>行业，机床零部件等行业。</w:t>
      </w:r>
    </w:p>
    <w:p>
      <w:pPr>
        <w:pStyle w:val="BodyText"/>
        <w:spacing w:line="352" w:lineRule="auto" w:before="154"/>
        <w:ind w:right="1123" w:firstLine="473"/>
        <w:jc w:val="left"/>
      </w:pPr>
      <w:r>
        <w:rPr>
          <w:rFonts w:ascii="宋体" w:hAnsi="宋体" w:cs="宋体" w:eastAsia="宋体" w:hint="default"/>
          <w:b/>
          <w:bCs/>
          <w:w w:val="100"/>
        </w:rPr>
        <w:t>汽车行业：</w:t>
      </w:r>
      <w:r>
        <w:rPr>
          <w:rFonts w:ascii="宋体" w:hAnsi="宋体" w:cs="宋体" w:eastAsia="宋体" w:hint="default"/>
          <w:b/>
          <w:bCs/>
          <w:spacing w:val="-22"/>
        </w:rPr>
        <w:t> </w:t>
      </w:r>
      <w:r>
        <w:rPr>
          <w:w w:val="100"/>
        </w:rPr>
        <w:t>从</w:t>
      </w:r>
      <w:r>
        <w:rPr>
          <w:rFonts w:ascii="Times New Roman" w:hAnsi="Times New Roman" w:cs="Times New Roman" w:eastAsia="Times New Roman" w:hint="default"/>
          <w:spacing w:val="-3"/>
          <w:w w:val="44"/>
        </w:rPr>
        <w:t>―</w:t>
      </w:r>
      <w:r>
        <w:rPr>
          <w:w w:val="100"/>
        </w:rPr>
        <w:t>成</w:t>
      </w:r>
      <w:r>
        <w:rPr>
          <w:spacing w:val="-3"/>
          <w:w w:val="100"/>
        </w:rPr>
        <w:t>本</w:t>
      </w:r>
      <w:r>
        <w:rPr>
          <w:w w:val="100"/>
        </w:rPr>
        <w:t>比拼</w:t>
      </w:r>
      <w:r>
        <w:rPr>
          <w:rFonts w:ascii="Times New Roman" w:hAnsi="Times New Roman" w:cs="Times New Roman" w:eastAsia="Times New Roman" w:hint="default"/>
          <w:spacing w:val="-3"/>
          <w:w w:val="159"/>
        </w:rPr>
        <w:t>‖</w:t>
      </w:r>
      <w:r>
        <w:rPr>
          <w:w w:val="100"/>
        </w:rPr>
        <w:t>到</w:t>
      </w:r>
      <w:r>
        <w:rPr>
          <w:rFonts w:ascii="Times New Roman" w:hAnsi="Times New Roman" w:cs="Times New Roman" w:eastAsia="Times New Roman" w:hint="default"/>
          <w:spacing w:val="-1"/>
          <w:w w:val="44"/>
        </w:rPr>
        <w:t>―</w:t>
      </w:r>
      <w:r>
        <w:rPr>
          <w:spacing w:val="-3"/>
          <w:w w:val="100"/>
        </w:rPr>
        <w:t>质</w:t>
      </w:r>
      <w:r>
        <w:rPr>
          <w:w w:val="100"/>
        </w:rPr>
        <w:t>量</w:t>
      </w:r>
      <w:r>
        <w:rPr>
          <w:spacing w:val="-3"/>
          <w:w w:val="100"/>
        </w:rPr>
        <w:t>竞</w:t>
      </w:r>
      <w:r>
        <w:rPr>
          <w:spacing w:val="-1"/>
          <w:w w:val="100"/>
        </w:rPr>
        <w:t>争</w:t>
      </w:r>
      <w:r>
        <w:rPr>
          <w:rFonts w:ascii="Times New Roman" w:hAnsi="Times New Roman" w:cs="Times New Roman" w:eastAsia="Times New Roman" w:hint="default"/>
          <w:spacing w:val="-1"/>
          <w:w w:val="159"/>
        </w:rPr>
        <w:t>‖</w:t>
      </w:r>
      <w:r>
        <w:rPr>
          <w:spacing w:val="-3"/>
          <w:w w:val="100"/>
        </w:rPr>
        <w:t>，</w:t>
      </w:r>
      <w:r>
        <w:rPr>
          <w:w w:val="100"/>
        </w:rPr>
        <w:t>中</w:t>
      </w:r>
      <w:r>
        <w:rPr>
          <w:spacing w:val="-3"/>
          <w:w w:val="100"/>
        </w:rPr>
        <w:t>国</w:t>
      </w:r>
      <w:r>
        <w:rPr>
          <w:w w:val="100"/>
        </w:rPr>
        <w:t>汽</w:t>
      </w:r>
      <w:r>
        <w:rPr>
          <w:spacing w:val="-3"/>
          <w:w w:val="100"/>
        </w:rPr>
        <w:t>车</w:t>
      </w:r>
      <w:r>
        <w:rPr>
          <w:w w:val="100"/>
        </w:rPr>
        <w:t>零部</w:t>
      </w:r>
      <w:r>
        <w:rPr>
          <w:spacing w:val="-3"/>
          <w:w w:val="100"/>
        </w:rPr>
        <w:t>件</w:t>
      </w:r>
      <w:r>
        <w:rPr>
          <w:w w:val="100"/>
        </w:rPr>
        <w:t>的</w:t>
      </w:r>
      <w:r>
        <w:rPr>
          <w:spacing w:val="-3"/>
          <w:w w:val="100"/>
        </w:rPr>
        <w:t>转</w:t>
      </w:r>
      <w:r>
        <w:rPr>
          <w:w w:val="100"/>
        </w:rPr>
        <w:t>型</w:t>
      </w:r>
      <w:r>
        <w:rPr>
          <w:spacing w:val="-3"/>
          <w:w w:val="100"/>
        </w:rPr>
        <w:t>升</w:t>
      </w:r>
      <w:r>
        <w:rPr>
          <w:w w:val="100"/>
        </w:rPr>
        <w:t>级</w:t>
      </w:r>
      <w:r>
        <w:rPr>
          <w:spacing w:val="-3"/>
          <w:w w:val="100"/>
        </w:rPr>
        <w:t>正</w:t>
      </w:r>
      <w:r>
        <w:rPr>
          <w:w w:val="100"/>
        </w:rPr>
        <w:t>在</w:t>
      </w:r>
      <w:r>
        <w:rPr>
          <w:spacing w:val="-3"/>
          <w:w w:val="100"/>
        </w:rPr>
        <w:t>迎</w:t>
      </w:r>
      <w:r>
        <w:rPr>
          <w:w w:val="100"/>
        </w:rPr>
        <w:t>来一</w:t>
      </w:r>
      <w:r>
        <w:rPr>
          <w:spacing w:val="-3"/>
          <w:w w:val="100"/>
        </w:rPr>
        <w:t>个</w:t>
      </w:r>
      <w:r>
        <w:rPr>
          <w:w w:val="100"/>
        </w:rPr>
        <w:t>新</w:t>
      </w:r>
      <w:r>
        <w:rPr>
          <w:spacing w:val="-3"/>
          <w:w w:val="100"/>
        </w:rPr>
        <w:t>的</w:t>
      </w:r>
      <w:r>
        <w:rPr>
          <w:w w:val="100"/>
        </w:rPr>
        <w:t>时</w:t>
      </w:r>
      <w:r>
        <w:rPr>
          <w:spacing w:val="-3"/>
          <w:w w:val="100"/>
        </w:rPr>
        <w:t>代</w:t>
      </w:r>
      <w:r>
        <w:rPr>
          <w:w w:val="100"/>
        </w:rPr>
        <w:t>。</w:t>
      </w:r>
      <w:r>
        <w:rPr>
          <w:spacing w:val="-3"/>
          <w:w w:val="100"/>
        </w:rPr>
        <w:t>中</w:t>
      </w:r>
      <w:r>
        <w:rPr>
          <w:w w:val="100"/>
        </w:rPr>
        <w:t>国</w:t>
      </w:r>
      <w:r>
        <w:rPr>
          <w:w w:val="100"/>
        </w:rPr>
        <w:t> </w:t>
      </w:r>
      <w:r>
        <w:rPr>
          <w:spacing w:val="-2"/>
        </w:rPr>
        <w:t>汽车市场至少还有</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20</w:t>
      </w:r>
      <w:r>
        <w:rPr>
          <w:spacing w:val="-2"/>
        </w:rPr>
        <w:t>年的高速增长期，但汽车零部件服务及售后服务市场将是一个长期、稳定的庞大</w:t>
      </w:r>
      <w:r>
        <w:rPr>
          <w:spacing w:val="-39"/>
        </w:rPr>
        <w:t> </w:t>
      </w:r>
      <w:r>
        <w:rPr>
          <w:spacing w:val="-39"/>
        </w:rPr>
      </w:r>
      <w:r>
        <w:rPr>
          <w:spacing w:val="-2"/>
        </w:rPr>
        <w:t>市场。中国汽车工业协会发布的数据表明，</w:t>
      </w:r>
      <w:r>
        <w:rPr>
          <w:rFonts w:ascii="Times New Roman" w:hAnsi="Times New Roman" w:cs="Times New Roman" w:eastAsia="Times New Roman" w:hint="default"/>
          <w:spacing w:val="-2"/>
        </w:rPr>
        <w:t>2012</w:t>
      </w:r>
      <w:r>
        <w:rPr>
          <w:spacing w:val="-2"/>
        </w:rPr>
        <w:t>年前</w:t>
      </w:r>
      <w:r>
        <w:rPr>
          <w:rFonts w:ascii="Times New Roman" w:hAnsi="Times New Roman" w:cs="Times New Roman" w:eastAsia="Times New Roman" w:hint="default"/>
          <w:spacing w:val="-2"/>
        </w:rPr>
        <w:t>10</w:t>
      </w:r>
      <w:r>
        <w:rPr>
          <w:spacing w:val="-2"/>
        </w:rPr>
        <w:t>个月，中国汽车产销分别突破了</w:t>
      </w:r>
      <w:r>
        <w:rPr>
          <w:rFonts w:ascii="Times New Roman" w:hAnsi="Times New Roman" w:cs="Times New Roman" w:eastAsia="Times New Roman" w:hint="default"/>
          <w:spacing w:val="-2"/>
        </w:rPr>
        <w:t>1500</w:t>
      </w:r>
      <w:r>
        <w:rPr>
          <w:spacing w:val="-2"/>
        </w:rPr>
        <w:t>万辆，经过连</w:t>
      </w:r>
      <w:r>
        <w:rPr>
          <w:spacing w:val="-39"/>
        </w:rPr>
        <w:t> </w:t>
      </w:r>
      <w:r>
        <w:rPr>
          <w:spacing w:val="-39"/>
        </w:rPr>
      </w:r>
      <w:r>
        <w:rPr>
          <w:w w:val="100"/>
        </w:rPr>
        <w:t>续几</w:t>
      </w:r>
      <w:r>
        <w:rPr>
          <w:spacing w:val="-3"/>
          <w:w w:val="100"/>
        </w:rPr>
        <w:t>年</w:t>
      </w:r>
      <w:r>
        <w:rPr>
          <w:w w:val="100"/>
        </w:rPr>
        <w:t>高</w:t>
      </w:r>
      <w:r>
        <w:rPr>
          <w:spacing w:val="-3"/>
          <w:w w:val="100"/>
        </w:rPr>
        <w:t>速</w:t>
      </w:r>
      <w:r>
        <w:rPr>
          <w:w w:val="100"/>
        </w:rPr>
        <w:t>增</w:t>
      </w:r>
      <w:r>
        <w:rPr>
          <w:spacing w:val="-3"/>
          <w:w w:val="100"/>
        </w:rPr>
        <w:t>长</w:t>
      </w:r>
      <w:r>
        <w:rPr>
          <w:w w:val="100"/>
        </w:rPr>
        <w:t>的</w:t>
      </w:r>
      <w:r>
        <w:rPr>
          <w:spacing w:val="-3"/>
          <w:w w:val="100"/>
        </w:rPr>
        <w:t>中</w:t>
      </w:r>
      <w:r>
        <w:rPr>
          <w:w w:val="100"/>
        </w:rPr>
        <w:t>国</w:t>
      </w:r>
      <w:r>
        <w:rPr>
          <w:spacing w:val="-3"/>
          <w:w w:val="100"/>
        </w:rPr>
        <w:t>汽</w:t>
      </w:r>
      <w:r>
        <w:rPr>
          <w:w w:val="100"/>
        </w:rPr>
        <w:t>车市</w:t>
      </w:r>
      <w:r>
        <w:rPr>
          <w:spacing w:val="-3"/>
          <w:w w:val="100"/>
        </w:rPr>
        <w:t>场</w:t>
      </w:r>
      <w:r>
        <w:rPr>
          <w:w w:val="100"/>
        </w:rPr>
        <w:t>，</w:t>
      </w:r>
      <w:r>
        <w:rPr>
          <w:spacing w:val="-3"/>
          <w:w w:val="100"/>
        </w:rPr>
        <w:t>增</w:t>
      </w:r>
      <w:r>
        <w:rPr>
          <w:w w:val="100"/>
        </w:rPr>
        <w:t>速</w:t>
      </w:r>
      <w:r>
        <w:rPr>
          <w:spacing w:val="-3"/>
          <w:w w:val="100"/>
        </w:rPr>
        <w:t>明</w:t>
      </w:r>
      <w:r>
        <w:rPr>
          <w:w w:val="100"/>
        </w:rPr>
        <w:t>显</w:t>
      </w:r>
      <w:r>
        <w:rPr>
          <w:spacing w:val="-3"/>
          <w:w w:val="100"/>
        </w:rPr>
        <w:t>放</w:t>
      </w:r>
      <w:r>
        <w:rPr>
          <w:w w:val="100"/>
        </w:rPr>
        <w:t>缓</w:t>
      </w:r>
      <w:r>
        <w:rPr>
          <w:spacing w:val="-3"/>
          <w:w w:val="100"/>
        </w:rPr>
        <w:t>，</w:t>
      </w:r>
      <w:r>
        <w:rPr>
          <w:w w:val="100"/>
        </w:rPr>
        <w:t>似已</w:t>
      </w:r>
      <w:r>
        <w:rPr>
          <w:spacing w:val="-3"/>
          <w:w w:val="100"/>
        </w:rPr>
        <w:t>迎</w:t>
      </w:r>
      <w:r>
        <w:rPr>
          <w:w w:val="100"/>
        </w:rPr>
        <w:t>来</w:t>
      </w:r>
      <w:r>
        <w:rPr>
          <w:rFonts w:ascii="Times New Roman" w:hAnsi="Times New Roman" w:cs="Times New Roman" w:eastAsia="Times New Roman" w:hint="default"/>
          <w:spacing w:val="-3"/>
          <w:w w:val="44"/>
        </w:rPr>
        <w:t>―</w:t>
      </w:r>
      <w:r>
        <w:rPr>
          <w:w w:val="100"/>
        </w:rPr>
        <w:t>微</w:t>
      </w:r>
      <w:r>
        <w:rPr>
          <w:spacing w:val="-3"/>
          <w:w w:val="100"/>
        </w:rPr>
        <w:t>增</w:t>
      </w:r>
      <w:r>
        <w:rPr>
          <w:w w:val="100"/>
        </w:rPr>
        <w:t>长</w:t>
      </w:r>
      <w:r>
        <w:rPr>
          <w:rFonts w:ascii="Times New Roman" w:hAnsi="Times New Roman" w:cs="Times New Roman" w:eastAsia="Times New Roman" w:hint="default"/>
          <w:spacing w:val="-1"/>
          <w:w w:val="159"/>
        </w:rPr>
        <w:t>‖</w:t>
      </w:r>
      <w:r>
        <w:rPr>
          <w:spacing w:val="-3"/>
          <w:w w:val="100"/>
        </w:rPr>
        <w:t>时</w:t>
      </w:r>
      <w:r>
        <w:rPr>
          <w:w w:val="100"/>
        </w:rPr>
        <w:t>代</w:t>
      </w:r>
      <w:r>
        <w:rPr>
          <w:spacing w:val="-3"/>
          <w:w w:val="100"/>
        </w:rPr>
        <w:t>。</w:t>
      </w:r>
      <w:r>
        <w:rPr>
          <w:w w:val="100"/>
        </w:rPr>
        <w:t>但汽</w:t>
      </w:r>
      <w:r>
        <w:rPr>
          <w:spacing w:val="-3"/>
          <w:w w:val="100"/>
        </w:rPr>
        <w:t>车</w:t>
      </w:r>
      <w:r>
        <w:rPr>
          <w:w w:val="100"/>
        </w:rPr>
        <w:t>零</w:t>
      </w:r>
      <w:r>
        <w:rPr>
          <w:spacing w:val="-3"/>
          <w:w w:val="100"/>
        </w:rPr>
        <w:t>部</w:t>
      </w:r>
      <w:r>
        <w:rPr>
          <w:w w:val="100"/>
        </w:rPr>
        <w:t>件</w:t>
      </w:r>
      <w:r>
        <w:rPr>
          <w:spacing w:val="-3"/>
          <w:w w:val="100"/>
        </w:rPr>
        <w:t>产</w:t>
      </w:r>
      <w:r>
        <w:rPr>
          <w:w w:val="100"/>
        </w:rPr>
        <w:t>业</w:t>
      </w:r>
      <w:r>
        <w:rPr>
          <w:spacing w:val="-3"/>
          <w:w w:val="100"/>
        </w:rPr>
        <w:t>作</w:t>
      </w:r>
      <w:r>
        <w:rPr>
          <w:w w:val="100"/>
        </w:rPr>
        <w:t>为</w:t>
      </w:r>
      <w:r>
        <w:rPr>
          <w:spacing w:val="-3"/>
          <w:w w:val="100"/>
        </w:rPr>
        <w:t>汽</w:t>
      </w:r>
      <w:r>
        <w:rPr>
          <w:w w:val="100"/>
        </w:rPr>
        <w:t>车产</w:t>
      </w:r>
      <w:r>
        <w:rPr>
          <w:w w:val="100"/>
        </w:rPr>
        <w:t> </w:t>
      </w:r>
      <w:r>
        <w:rPr>
          <w:spacing w:val="-2"/>
        </w:rPr>
        <w:t>业的重要组成部分，其发展前景依然看好。除整车制造推动了汽车零部件产业的快速发展外，日益庞大的</w:t>
      </w:r>
      <w:r>
        <w:rPr>
          <w:spacing w:val="-44"/>
        </w:rPr>
        <w:t> </w:t>
      </w:r>
      <w:r>
        <w:rPr>
          <w:spacing w:val="-44"/>
        </w:rPr>
      </w:r>
      <w:r>
        <w:rPr>
          <w:spacing w:val="-2"/>
        </w:rPr>
        <w:t>汽车保有量，也为中国汽车零部件打开了巨大的售后市场。未来几年，中国汽车零部件产业仍将保持快速</w:t>
      </w:r>
      <w:r>
        <w:rPr>
          <w:spacing w:val="-43"/>
        </w:rPr>
        <w:t> </w:t>
      </w:r>
      <w:r>
        <w:rPr>
          <w:spacing w:val="-43"/>
        </w:rPr>
      </w:r>
      <w:r>
        <w:rPr/>
        <w:t>发展的趋势。专家普遍认为，未来</w:t>
      </w:r>
      <w:r>
        <w:rPr>
          <w:rFonts w:ascii="Times New Roman" w:hAnsi="Times New Roman" w:cs="Times New Roman" w:eastAsia="Times New Roman" w:hint="default"/>
        </w:rPr>
        <w:t>5</w:t>
      </w:r>
      <w:r>
        <w:rPr/>
        <w:t>年，中国国内汽车零部件市场将至少保持</w:t>
      </w:r>
      <w:r>
        <w:rPr>
          <w:rFonts w:ascii="Times New Roman" w:hAnsi="Times New Roman" w:cs="Times New Roman" w:eastAsia="Times New Roman" w:hint="default"/>
        </w:rPr>
        <w:t>20%</w:t>
      </w:r>
      <w:r>
        <w:rPr/>
        <w:t>的年均增速。</w:t>
      </w:r>
    </w:p>
    <w:p>
      <w:pPr>
        <w:pStyle w:val="BodyText"/>
        <w:spacing w:line="352" w:lineRule="auto" w:before="140"/>
        <w:ind w:right="0" w:firstLine="473"/>
        <w:jc w:val="left"/>
      </w:pPr>
      <w:r>
        <w:rPr>
          <w:rFonts w:ascii="宋体" w:hAnsi="宋体" w:cs="宋体" w:eastAsia="宋体" w:hint="default"/>
          <w:b/>
          <w:bCs/>
          <w:spacing w:val="-3"/>
        </w:rPr>
        <w:t>工程机械行业</w:t>
      </w:r>
      <w:r>
        <w:rPr>
          <w:spacing w:val="-3"/>
        </w:rPr>
        <w:t>：</w:t>
      </w:r>
      <w:r>
        <w:rPr>
          <w:rFonts w:ascii="Times New Roman" w:hAnsi="Times New Roman" w:cs="Times New Roman" w:eastAsia="Times New Roman" w:hint="default"/>
          <w:spacing w:val="-3"/>
        </w:rPr>
        <w:t>2012</w:t>
      </w:r>
      <w:r>
        <w:rPr>
          <w:spacing w:val="-3"/>
        </w:rPr>
        <w:t>年，库存压力、应收账款激增、经济环境萎靡等负面因素一直伴随着中国工程机</w:t>
      </w:r>
      <w:r>
        <w:rPr>
          <w:w w:val="100"/>
        </w:rPr>
        <w:t> </w:t>
      </w:r>
      <w:r>
        <w:rPr/>
        <w:t>械行业，市场需求量的减少是行业面临的最大困境。自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月以来，整个工程机械行业进入发展低迷</w:t>
      </w:r>
      <w:r>
        <w:rPr>
          <w:w w:val="100"/>
        </w:rPr>
        <w:t> </w:t>
      </w:r>
      <w:r>
        <w:rPr/>
        <w:t>期，至今已有</w:t>
      </w:r>
      <w:r>
        <w:rPr>
          <w:rFonts w:ascii="Times New Roman" w:hAnsi="Times New Roman" w:cs="Times New Roman" w:eastAsia="Times New Roman" w:hint="default"/>
        </w:rPr>
        <w:t>20</w:t>
      </w:r>
      <w:r>
        <w:rPr/>
        <w:t>个月的时间。这么漫长的市场低迷期，让许多企业都感到压力重重。</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日，中</w:t>
      </w:r>
      <w:r>
        <w:rPr>
          <w:spacing w:val="-3"/>
          <w:w w:val="100"/>
        </w:rPr>
        <w:t> </w:t>
      </w:r>
      <w:r>
        <w:rPr>
          <w:spacing w:val="-2"/>
        </w:rPr>
        <w:t>共中央政治局召开会议给工程机械行业带来了新的希望，会议指出，要积极稳妥推进城镇化，未来新型城</w:t>
      </w:r>
      <w:r>
        <w:rPr>
          <w:spacing w:val="-44"/>
        </w:rPr>
        <w:t> </w:t>
      </w:r>
      <w:r>
        <w:rPr>
          <w:spacing w:val="-44"/>
        </w:rPr>
      </w:r>
      <w:r>
        <w:rPr>
          <w:w w:val="100"/>
        </w:rPr>
        <w:t>镇化</w:t>
      </w:r>
      <w:r>
        <w:rPr>
          <w:spacing w:val="-3"/>
          <w:w w:val="100"/>
        </w:rPr>
        <w:t>将</w:t>
      </w:r>
      <w:r>
        <w:rPr>
          <w:w w:val="100"/>
        </w:rPr>
        <w:t>是</w:t>
      </w:r>
      <w:r>
        <w:rPr>
          <w:spacing w:val="-3"/>
          <w:w w:val="100"/>
        </w:rPr>
        <w:t>机</w:t>
      </w:r>
      <w:r>
        <w:rPr>
          <w:w w:val="100"/>
        </w:rPr>
        <w:t>械</w:t>
      </w:r>
      <w:r>
        <w:rPr>
          <w:spacing w:val="-3"/>
          <w:w w:val="100"/>
        </w:rPr>
        <w:t>行</w:t>
      </w:r>
      <w:r>
        <w:rPr>
          <w:w w:val="100"/>
        </w:rPr>
        <w:t>业</w:t>
      </w:r>
      <w:r>
        <w:rPr>
          <w:spacing w:val="-3"/>
          <w:w w:val="100"/>
        </w:rPr>
        <w:t>发</w:t>
      </w:r>
      <w:r>
        <w:rPr>
          <w:w w:val="100"/>
        </w:rPr>
        <w:t>展</w:t>
      </w:r>
      <w:r>
        <w:rPr>
          <w:spacing w:val="-3"/>
          <w:w w:val="100"/>
        </w:rPr>
        <w:t>的</w:t>
      </w:r>
      <w:r>
        <w:rPr>
          <w:w w:val="100"/>
        </w:rPr>
        <w:t>新一</w:t>
      </w:r>
      <w:r>
        <w:rPr>
          <w:spacing w:val="-3"/>
          <w:w w:val="100"/>
        </w:rPr>
        <w:t>轮</w:t>
      </w:r>
      <w:r>
        <w:rPr>
          <w:w w:val="100"/>
        </w:rPr>
        <w:t>契</w:t>
      </w:r>
      <w:r>
        <w:rPr>
          <w:spacing w:val="-3"/>
          <w:w w:val="100"/>
        </w:rPr>
        <w:t>机</w:t>
      </w:r>
      <w:r>
        <w:rPr>
          <w:w w:val="100"/>
        </w:rPr>
        <w:t>。</w:t>
      </w:r>
      <w:r>
        <w:rPr>
          <w:rFonts w:ascii="Times New Roman" w:hAnsi="Times New Roman" w:cs="Times New Roman" w:eastAsia="Times New Roman" w:hint="default"/>
          <w:spacing w:val="-3"/>
          <w:w w:val="44"/>
        </w:rPr>
        <w:t>―</w:t>
      </w:r>
      <w:r>
        <w:rPr>
          <w:w w:val="100"/>
        </w:rPr>
        <w:t>新</w:t>
      </w:r>
      <w:r>
        <w:rPr>
          <w:spacing w:val="-3"/>
          <w:w w:val="100"/>
        </w:rPr>
        <w:t>型</w:t>
      </w:r>
      <w:r>
        <w:rPr>
          <w:w w:val="100"/>
        </w:rPr>
        <w:t>城</w:t>
      </w:r>
      <w:r>
        <w:rPr>
          <w:spacing w:val="-3"/>
          <w:w w:val="100"/>
        </w:rPr>
        <w:t>镇化</w:t>
      </w:r>
      <w:r>
        <w:rPr>
          <w:rFonts w:ascii="Times New Roman" w:hAnsi="Times New Roman" w:cs="Times New Roman" w:eastAsia="Times New Roman" w:hint="default"/>
          <w:spacing w:val="-1"/>
          <w:w w:val="159"/>
        </w:rPr>
        <w:t>‖</w:t>
      </w:r>
      <w:r>
        <w:rPr>
          <w:w w:val="100"/>
        </w:rPr>
        <w:t>已</w:t>
      </w:r>
      <w:r>
        <w:rPr>
          <w:spacing w:val="-3"/>
          <w:w w:val="100"/>
        </w:rPr>
        <w:t>经</w:t>
      </w:r>
      <w:r>
        <w:rPr>
          <w:w w:val="100"/>
        </w:rPr>
        <w:t>被</w:t>
      </w:r>
      <w:r>
        <w:rPr>
          <w:spacing w:val="-3"/>
          <w:w w:val="100"/>
        </w:rPr>
        <w:t>确</w:t>
      </w:r>
      <w:r>
        <w:rPr>
          <w:w w:val="100"/>
        </w:rPr>
        <w:t>定</w:t>
      </w:r>
      <w:r>
        <w:rPr>
          <w:spacing w:val="-3"/>
          <w:w w:val="100"/>
        </w:rPr>
        <w:t>为</w:t>
      </w:r>
      <w:r>
        <w:rPr>
          <w:w w:val="100"/>
        </w:rPr>
        <w:t>引</w:t>
      </w:r>
      <w:r>
        <w:rPr>
          <w:spacing w:val="-3"/>
          <w:w w:val="100"/>
        </w:rPr>
        <w:t>领</w:t>
      </w:r>
      <w:r>
        <w:rPr>
          <w:w w:val="100"/>
        </w:rPr>
        <w:t>中</w:t>
      </w:r>
      <w:r>
        <w:rPr>
          <w:spacing w:val="-3"/>
          <w:w w:val="100"/>
        </w:rPr>
        <w:t>国经</w:t>
      </w:r>
      <w:r>
        <w:rPr>
          <w:w w:val="100"/>
        </w:rPr>
        <w:t>济未</w:t>
      </w:r>
      <w:r>
        <w:rPr>
          <w:spacing w:val="-3"/>
          <w:w w:val="100"/>
        </w:rPr>
        <w:t>来</w:t>
      </w:r>
      <w:r>
        <w:rPr>
          <w:w w:val="100"/>
        </w:rPr>
        <w:t>发</w:t>
      </w:r>
      <w:r>
        <w:rPr>
          <w:spacing w:val="-3"/>
          <w:w w:val="100"/>
        </w:rPr>
        <w:t>展</w:t>
      </w:r>
      <w:r>
        <w:rPr>
          <w:w w:val="100"/>
        </w:rPr>
        <w:t>的</w:t>
      </w:r>
      <w:r>
        <w:rPr>
          <w:spacing w:val="-3"/>
          <w:w w:val="100"/>
        </w:rPr>
        <w:t>重</w:t>
      </w:r>
      <w:r>
        <w:rPr>
          <w:w w:val="100"/>
        </w:rPr>
        <w:t>要</w:t>
      </w:r>
      <w:r>
        <w:rPr>
          <w:spacing w:val="-3"/>
          <w:w w:val="100"/>
        </w:rPr>
        <w:t>引</w:t>
      </w:r>
      <w:r>
        <w:rPr>
          <w:w w:val="100"/>
        </w:rPr>
        <w:t>擎</w:t>
      </w:r>
      <w:r>
        <w:rPr>
          <w:spacing w:val="-3"/>
          <w:w w:val="100"/>
        </w:rPr>
        <w:t>，</w:t>
      </w:r>
      <w:r>
        <w:rPr>
          <w:w w:val="100"/>
        </w:rPr>
        <w:t>而</w:t>
      </w:r>
      <w:r>
        <w:rPr>
          <w:w w:val="100"/>
        </w:rPr>
        <w:t> </w:t>
      </w:r>
      <w:r>
        <w:rPr>
          <w:spacing w:val="-2"/>
        </w:rPr>
        <w:t>城市群则是新型城镇化的重要内容。城市群的发展需要加大对城市轨道交通和基础建设的投资，进而为机</w:t>
      </w:r>
      <w:r>
        <w:rPr>
          <w:spacing w:val="-42"/>
        </w:rPr>
        <w:t> </w:t>
      </w:r>
      <w:r>
        <w:rPr>
          <w:spacing w:val="-42"/>
        </w:rPr>
      </w:r>
      <w:r>
        <w:rPr>
          <w:spacing w:val="-2"/>
        </w:rPr>
        <w:t>械行业的发展提供了新的机遇。预计</w:t>
      </w:r>
      <w:r>
        <w:rPr>
          <w:rFonts w:ascii="Times New Roman" w:hAnsi="Times New Roman" w:cs="Times New Roman" w:eastAsia="Times New Roman" w:hint="default"/>
          <w:spacing w:val="-2"/>
        </w:rPr>
        <w:t>2013</w:t>
      </w:r>
      <w:r>
        <w:rPr>
          <w:spacing w:val="-2"/>
        </w:rPr>
        <w:t>年下游投资需求将小幅增长，从中期来看中国工程机械行业最坏</w:t>
      </w:r>
    </w:p>
    <w:p>
      <w:pPr>
        <w:pStyle w:val="BodyText"/>
        <w:spacing w:line="240" w:lineRule="auto" w:before="20"/>
        <w:ind w:right="0"/>
        <w:jc w:val="both"/>
      </w:pPr>
      <w:r>
        <w:rPr/>
        <w:t>的时期已经过去，</w:t>
      </w:r>
      <w:r>
        <w:rPr>
          <w:rFonts w:ascii="Times New Roman" w:hAnsi="Times New Roman" w:cs="Times New Roman" w:eastAsia="Times New Roman" w:hint="default"/>
        </w:rPr>
        <w:t>2013</w:t>
      </w:r>
      <w:r>
        <w:rPr/>
        <w:t>年将进入温和复苏阶段，下半年或将是工程机械行业的拐点。</w:t>
      </w:r>
    </w:p>
    <w:p>
      <w:pPr>
        <w:spacing w:after="0" w:line="240" w:lineRule="auto"/>
        <w:jc w:val="both"/>
        <w:sectPr>
          <w:footerReference w:type="default" r:id="rId28"/>
          <w:pgSz w:w="11910" w:h="16840"/>
          <w:pgMar w:footer="1299" w:header="706" w:top="1060" w:bottom="1480" w:left="960" w:right="0"/>
          <w:pgNumType w:start="2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360" w:lineRule="auto"/>
        <w:ind w:right="0" w:firstLine="473"/>
        <w:jc w:val="left"/>
      </w:pPr>
      <w:r>
        <w:rPr>
          <w:rFonts w:ascii="宋体" w:hAnsi="宋体" w:cs="宋体" w:eastAsia="宋体" w:hint="default"/>
          <w:b/>
          <w:bCs/>
        </w:rPr>
        <w:t>机械行业：</w:t>
      </w:r>
      <w:r>
        <w:rPr>
          <w:rFonts w:ascii="宋体" w:hAnsi="宋体" w:cs="宋体" w:eastAsia="宋体" w:hint="default"/>
          <w:b/>
          <w:bCs/>
          <w:spacing w:val="-25"/>
        </w:rPr>
        <w:t> </w:t>
      </w:r>
      <w:r>
        <w:rPr>
          <w:rFonts w:ascii="Times New Roman" w:hAnsi="Times New Roman" w:cs="Times New Roman" w:eastAsia="Times New Roman" w:hint="default"/>
        </w:rPr>
        <w:t>2012</w:t>
      </w:r>
      <w:r>
        <w:rPr/>
        <w:t>年，机械工业主要经济指标的增幅延续</w:t>
      </w:r>
      <w:r>
        <w:rPr>
          <w:rFonts w:ascii="Times New Roman" w:hAnsi="Times New Roman" w:cs="Times New Roman" w:eastAsia="Times New Roman" w:hint="default"/>
        </w:rPr>
        <w:t>2011</w:t>
      </w:r>
      <w:r>
        <w:rPr/>
        <w:t>年的下行趋势继续快速回落，行业已由</w:t>
      </w:r>
      <w:r>
        <w:rPr>
          <w:w w:val="100"/>
        </w:rPr>
        <w:t> </w:t>
      </w:r>
      <w:r>
        <w:rPr>
          <w:spacing w:val="-2"/>
        </w:rPr>
        <w:t>持续近十年的高速增长期转入中低速增长期。除技术尚未过关、至今仍然没能实现国产化的少数高端装备</w:t>
      </w:r>
      <w:r>
        <w:rPr>
          <w:spacing w:val="-43"/>
        </w:rPr>
        <w:t> </w:t>
      </w:r>
      <w:r>
        <w:rPr>
          <w:spacing w:val="-43"/>
        </w:rPr>
      </w:r>
      <w:r>
        <w:rPr>
          <w:spacing w:val="-2"/>
        </w:rPr>
        <w:t>外，几乎所有机械产品都面临严重的供过于求、恶性竞争的煎熬。</w:t>
      </w:r>
      <w:r>
        <w:rPr>
          <w:rFonts w:ascii="Times New Roman" w:hAnsi="Times New Roman" w:cs="Times New Roman" w:eastAsia="Times New Roman" w:hint="default"/>
          <w:spacing w:val="-2"/>
        </w:rPr>
        <w:t>2013</w:t>
      </w:r>
      <w:r>
        <w:rPr>
          <w:spacing w:val="-2"/>
        </w:rPr>
        <w:t>年机械工业发展形势会承接上年下</w:t>
      </w:r>
      <w:r>
        <w:rPr>
          <w:spacing w:val="-39"/>
        </w:rPr>
        <w:t> </w:t>
      </w:r>
      <w:r>
        <w:rPr>
          <w:spacing w:val="-39"/>
        </w:rPr>
      </w:r>
      <w:r>
        <w:rPr>
          <w:spacing w:val="-2"/>
        </w:rPr>
        <w:t>滑压力，形势依然偏紧。一方面，我国工业化初中期以需求高速增长所支撑的经济高速增长，在进入工业</w:t>
      </w:r>
      <w:r>
        <w:rPr>
          <w:spacing w:val="-47"/>
        </w:rPr>
        <w:t> </w:t>
      </w:r>
      <w:r>
        <w:rPr>
          <w:spacing w:val="-47"/>
        </w:rPr>
      </w:r>
      <w:r>
        <w:rPr>
          <w:spacing w:val="-2"/>
        </w:rPr>
        <w:t>化的中后期之后，必然随着需求增长的趋缓而趋缓；另一方面，日益提高的质量要求将倒逼机械工业加快</w:t>
      </w:r>
      <w:r>
        <w:rPr>
          <w:spacing w:val="-44"/>
        </w:rPr>
        <w:t> </w:t>
      </w:r>
      <w:r>
        <w:rPr>
          <w:spacing w:val="-44"/>
        </w:rPr>
      </w:r>
      <w:r>
        <w:rPr>
          <w:spacing w:val="-5"/>
        </w:rPr>
        <w:t>创新驱动，虽然实现创新驱动是一个艰巨的过程，而且目前尚未见到重大技术突破所带来的超常增长机遇， </w:t>
      </w:r>
      <w:r>
        <w:rPr>
          <w:spacing w:val="-5"/>
        </w:rPr>
      </w:r>
      <w:r>
        <w:rPr>
          <w:spacing w:val="-2"/>
        </w:rPr>
        <w:t>但高端装备制造业等战略性新兴产业终将逐渐成为今后持续增长的新支撑点。今后机械工业将难以实现超</w:t>
      </w:r>
      <w:r>
        <w:rPr>
          <w:spacing w:val="-43"/>
        </w:rPr>
        <w:t> </w:t>
      </w:r>
      <w:r>
        <w:rPr>
          <w:spacing w:val="-43"/>
        </w:rPr>
      </w:r>
      <w:r>
        <w:rPr/>
        <w:t>高速增长，但仍可保持适度增长。</w:t>
      </w:r>
    </w:p>
    <w:p>
      <w:pPr>
        <w:pStyle w:val="BodyText"/>
        <w:spacing w:line="367" w:lineRule="auto" w:before="160"/>
        <w:ind w:right="0" w:firstLine="473"/>
        <w:jc w:val="left"/>
      </w:pPr>
      <w:r>
        <w:rPr>
          <w:rFonts w:ascii="宋体" w:hAnsi="宋体" w:cs="宋体" w:eastAsia="宋体" w:hint="default"/>
          <w:b/>
          <w:bCs/>
          <w:spacing w:val="-4"/>
        </w:rPr>
        <w:t>机械基础零部件</w:t>
      </w:r>
      <w:r>
        <w:rPr>
          <w:spacing w:val="-4"/>
        </w:rPr>
        <w:t>（主要指轴承、齿轮、模具、液压件、气动元件、密封件、紧固件等）：机械基础零</w:t>
      </w:r>
      <w:r>
        <w:rPr>
          <w:w w:val="100"/>
        </w:rPr>
        <w:t> </w:t>
      </w:r>
      <w:r>
        <w:rPr>
          <w:spacing w:val="-3"/>
        </w:rPr>
        <w:t>部件品种规格繁多，量大面广，为航空航天、兵器、机械制造、交通运输、建设工程、冶金矿山、石油化</w:t>
      </w:r>
      <w:r>
        <w:rPr>
          <w:spacing w:val="-5"/>
        </w:rPr>
        <w:t> </w:t>
      </w:r>
      <w:r>
        <w:rPr>
          <w:spacing w:val="-5"/>
        </w:rPr>
        <w:t>工、电力能源、电子通信、轻工纺织等装备提供配套，并广泛应用于社会生活的各个方面。经过多年发展，</w:t>
      </w:r>
      <w:r>
        <w:rPr>
          <w:spacing w:val="-8"/>
        </w:rPr>
        <w:t> </w:t>
      </w:r>
      <w:r>
        <w:rPr>
          <w:spacing w:val="-8"/>
        </w:rPr>
      </w:r>
      <w:r>
        <w:rPr/>
        <w:t>我国机械基础零部件制造业已经形成门类较齐全、规模较大、具有一定竞争力的产业体系。</w:t>
      </w:r>
    </w:p>
    <w:p>
      <w:pPr>
        <w:pStyle w:val="BodyText"/>
        <w:spacing w:line="357" w:lineRule="auto" w:before="154"/>
        <w:ind w:right="0" w:firstLine="480"/>
        <w:jc w:val="left"/>
      </w:pPr>
      <w:r>
        <w:rPr>
          <w:spacing w:val="-2"/>
        </w:rPr>
        <w:t>基础件下游主要是汽车和机械行业。</w:t>
      </w:r>
      <w:r>
        <w:rPr>
          <w:rFonts w:ascii="Times New Roman" w:hAnsi="Times New Roman" w:cs="Times New Roman" w:eastAsia="Times New Roman" w:hint="default"/>
          <w:spacing w:val="-2"/>
        </w:rPr>
        <w:t>2012</w:t>
      </w:r>
      <w:r>
        <w:rPr>
          <w:spacing w:val="-2"/>
        </w:rPr>
        <w:t>年，由于宏观经济步入衰退期，汽车和机械行业需求下滑，</w:t>
      </w:r>
      <w:r>
        <w:rPr>
          <w:w w:val="100"/>
        </w:rPr>
        <w:t> </w:t>
      </w:r>
      <w:r>
        <w:rPr>
          <w:spacing w:val="-2"/>
        </w:rPr>
        <w:t>出现产能过剩，基础件行业景气度也随之下滑，但由于基础件应用领域较广，弹性较弱，同时由于新型城</w:t>
      </w:r>
      <w:r>
        <w:rPr>
          <w:spacing w:val="-47"/>
        </w:rPr>
        <w:t> </w:t>
      </w:r>
      <w:r>
        <w:rPr>
          <w:spacing w:val="-47"/>
        </w:rPr>
      </w:r>
      <w:r>
        <w:rPr/>
        <w:t>市化建设的实施，预计基础件下游行业将逐步回暖，基础件行业景气度也将随之回升。</w:t>
      </w:r>
    </w:p>
    <w:p>
      <w:pPr>
        <w:pStyle w:val="BodyText"/>
        <w:spacing w:line="367" w:lineRule="auto" w:before="162"/>
        <w:ind w:right="1023" w:firstLine="473"/>
        <w:jc w:val="both"/>
      </w:pPr>
      <w:r>
        <w:rPr>
          <w:rFonts w:ascii="宋体" w:hAnsi="宋体" w:cs="宋体" w:eastAsia="宋体" w:hint="default"/>
          <w:b/>
          <w:bCs/>
          <w:spacing w:val="-3"/>
        </w:rPr>
        <w:t>风电产业</w:t>
      </w:r>
      <w:r>
        <w:rPr>
          <w:spacing w:val="-3"/>
        </w:rPr>
        <w:t>：</w:t>
      </w:r>
      <w:r>
        <w:rPr>
          <w:rFonts w:ascii="宋体" w:hAnsi="宋体" w:cs="宋体" w:eastAsia="宋体" w:hint="default"/>
          <w:spacing w:val="-3"/>
        </w:rPr>
        <w:t>2012</w:t>
      </w:r>
      <w:r>
        <w:rPr>
          <w:spacing w:val="-3"/>
        </w:rPr>
        <w:t>年风电行业喜忧参半，一方面中国并网风电量首次超越美国，成为世界第一；另一方</w:t>
      </w:r>
      <w:r>
        <w:rPr>
          <w:w w:val="100"/>
        </w:rPr>
        <w:t> </w:t>
      </w:r>
      <w:r>
        <w:rPr>
          <w:spacing w:val="-2"/>
        </w:rPr>
        <w:t>面随着风电装机规模快速增长，竞争日益加剧，价格和毛利率迅速下降，部分企业为了能够生存便牺牲产</w:t>
      </w:r>
      <w:r>
        <w:rPr>
          <w:spacing w:val="-44"/>
        </w:rPr>
        <w:t> </w:t>
      </w:r>
      <w:r>
        <w:rPr>
          <w:spacing w:val="-44"/>
        </w:rPr>
      </w:r>
      <w:r>
        <w:rPr>
          <w:spacing w:val="-5"/>
        </w:rPr>
        <w:t>品的质量和可靠性，导致风电事故频发，部分地区“弃风”问题日趋严重，全国风电整机生产商大幅减少。</w:t>
      </w:r>
    </w:p>
    <w:p>
      <w:pPr>
        <w:pStyle w:val="BodyText"/>
        <w:spacing w:line="367" w:lineRule="auto" w:before="154"/>
        <w:ind w:right="1128" w:firstLine="480"/>
        <w:jc w:val="both"/>
      </w:pPr>
      <w:r>
        <w:rPr>
          <w:spacing w:val="-4"/>
        </w:rPr>
        <w:t>党的“十八大”报告中提到，要把生态文明建设放在突出地位，努力建设美丽中国。这一战略的提出</w:t>
      </w:r>
      <w:r>
        <w:rPr>
          <w:w w:val="100"/>
        </w:rPr>
        <w:t> </w:t>
      </w:r>
      <w:r>
        <w:rPr>
          <w:spacing w:val="-2"/>
        </w:rPr>
        <w:t>为新能源的发展带来很大空间，风电将迎来新一轮机遇。进入</w:t>
      </w:r>
      <w:r>
        <w:rPr>
          <w:rFonts w:ascii="宋体" w:hAnsi="宋体" w:cs="宋体" w:eastAsia="宋体" w:hint="default"/>
          <w:spacing w:val="-2"/>
        </w:rPr>
        <w:t>12</w:t>
      </w:r>
      <w:r>
        <w:rPr>
          <w:spacing w:val="-2"/>
        </w:rPr>
        <w:t>月，风电项目核准提速，新风电项目的核</w:t>
      </w:r>
      <w:r>
        <w:rPr>
          <w:spacing w:val="-45"/>
        </w:rPr>
        <w:t> </w:t>
      </w:r>
      <w:r>
        <w:rPr>
          <w:spacing w:val="-45"/>
        </w:rPr>
      </w:r>
      <w:r>
        <w:rPr/>
        <w:t>准，有利于拉动内需，增加风电设备订单，给风电企业带来机遇。</w:t>
      </w:r>
    </w:p>
    <w:p>
      <w:pPr>
        <w:pStyle w:val="BodyText"/>
        <w:spacing w:line="367" w:lineRule="auto" w:before="154"/>
        <w:ind w:right="0" w:firstLine="473"/>
        <w:jc w:val="left"/>
      </w:pPr>
      <w:r>
        <w:rPr>
          <w:rFonts w:ascii="宋体" w:hAnsi="宋体" w:cs="宋体" w:eastAsia="宋体" w:hint="default"/>
          <w:b/>
          <w:bCs/>
          <w:spacing w:val="-3"/>
        </w:rPr>
        <w:t>铁路产业</w:t>
      </w:r>
      <w:r>
        <w:rPr>
          <w:spacing w:val="-3"/>
        </w:rPr>
        <w:t>：</w:t>
      </w:r>
      <w:r>
        <w:rPr>
          <w:rFonts w:ascii="宋体" w:hAnsi="宋体" w:cs="宋体" w:eastAsia="宋体" w:hint="default"/>
          <w:spacing w:val="-3"/>
        </w:rPr>
        <w:t>2012</w:t>
      </w:r>
      <w:r>
        <w:rPr>
          <w:spacing w:val="-3"/>
        </w:rPr>
        <w:t>年，铁道部三次上调铁路固定资产投资，从年初的</w:t>
      </w:r>
      <w:r>
        <w:rPr>
          <w:rFonts w:ascii="宋体" w:hAnsi="宋体" w:cs="宋体" w:eastAsia="宋体" w:hint="default"/>
          <w:spacing w:val="-3"/>
        </w:rPr>
        <w:t>5160</w:t>
      </w:r>
      <w:r>
        <w:rPr>
          <w:spacing w:val="-3"/>
        </w:rPr>
        <w:t>亿元上调至</w:t>
      </w:r>
      <w:r>
        <w:rPr>
          <w:rFonts w:ascii="宋体" w:hAnsi="宋体" w:cs="宋体" w:eastAsia="宋体" w:hint="default"/>
          <w:spacing w:val="-3"/>
        </w:rPr>
        <w:t>6300</w:t>
      </w:r>
      <w:r>
        <w:rPr>
          <w:spacing w:val="-3"/>
        </w:rPr>
        <w:t>亿元，全年投</w:t>
      </w:r>
      <w:r>
        <w:rPr>
          <w:w w:val="100"/>
        </w:rPr>
        <w:t> </w:t>
      </w:r>
      <w:r>
        <w:rPr/>
        <w:t>资总规模上涨了近</w:t>
      </w:r>
      <w:r>
        <w:rPr>
          <w:rFonts w:ascii="宋体" w:hAnsi="宋体" w:cs="宋体" w:eastAsia="宋体" w:hint="default"/>
        </w:rPr>
        <w:t>22%</w:t>
      </w:r>
      <w:r>
        <w:rPr/>
        <w:t>，下半年起铁路投资逐渐回暖。与此同时铁道部发布了《关于鼓励和引导民间资本</w:t>
      </w:r>
      <w:r>
        <w:rPr>
          <w:w w:val="100"/>
        </w:rPr>
        <w:t> </w:t>
      </w:r>
      <w:r>
        <w:rPr>
          <w:spacing w:val="-2"/>
        </w:rPr>
        <w:t>投资铁路的实施意见》，鼓励民间资本进入，虽然铁道部动车招标迟迟未重新启动，但是种种政策和措施</w:t>
      </w:r>
      <w:r>
        <w:rPr>
          <w:spacing w:val="-47"/>
        </w:rPr>
        <w:t> </w:t>
      </w:r>
      <w:r>
        <w:rPr>
          <w:spacing w:val="-47"/>
        </w:rPr>
      </w:r>
      <w:r>
        <w:rPr>
          <w:spacing w:val="-2"/>
        </w:rPr>
        <w:t>还是对该板块造成刺激，拉动了铁路设备板块</w:t>
      </w:r>
      <w:r>
        <w:rPr>
          <w:rFonts w:ascii="宋体" w:hAnsi="宋体" w:cs="宋体" w:eastAsia="宋体" w:hint="default"/>
          <w:spacing w:val="-2"/>
        </w:rPr>
        <w:t>2012</w:t>
      </w:r>
      <w:r>
        <w:rPr>
          <w:spacing w:val="-2"/>
        </w:rPr>
        <w:t>年度表现较好。此外，全国有</w:t>
      </w:r>
      <w:r>
        <w:rPr>
          <w:rFonts w:ascii="宋体" w:hAnsi="宋体" w:cs="宋体" w:eastAsia="宋体" w:hint="default"/>
          <w:spacing w:val="-2"/>
        </w:rPr>
        <w:t>35</w:t>
      </w:r>
      <w:r>
        <w:rPr>
          <w:spacing w:val="-2"/>
        </w:rPr>
        <w:t>个城市在建设轨道交通</w:t>
      </w:r>
      <w:r>
        <w:rPr>
          <w:spacing w:val="-37"/>
        </w:rPr>
        <w:t> </w:t>
      </w:r>
      <w:r>
        <w:rPr>
          <w:spacing w:val="-37"/>
        </w:rPr>
      </w:r>
      <w:r>
        <w:rPr>
          <w:spacing w:val="-2"/>
        </w:rPr>
        <w:t>线路，估算完成总投资约需</w:t>
      </w:r>
      <w:r>
        <w:rPr>
          <w:rFonts w:ascii="宋体" w:hAnsi="宋体" w:cs="宋体" w:eastAsia="宋体" w:hint="default"/>
          <w:spacing w:val="-2"/>
        </w:rPr>
        <w:t>2600</w:t>
      </w:r>
      <w:r>
        <w:rPr>
          <w:spacing w:val="-2"/>
        </w:rPr>
        <w:t>亿元，这对相关整车和基建类企业带来较大需求。预计</w:t>
      </w:r>
      <w:r>
        <w:rPr>
          <w:rFonts w:ascii="宋体" w:hAnsi="宋体" w:cs="宋体" w:eastAsia="宋体" w:hint="default"/>
          <w:spacing w:val="-2"/>
        </w:rPr>
        <w:t>2013</w:t>
      </w:r>
      <w:r>
        <w:rPr>
          <w:spacing w:val="-2"/>
        </w:rPr>
        <w:t>年城市轨道交</w:t>
      </w:r>
      <w:r>
        <w:rPr>
          <w:spacing w:val="-35"/>
        </w:rPr>
        <w:t> </w:t>
      </w:r>
      <w:r>
        <w:rPr>
          <w:spacing w:val="-35"/>
        </w:rPr>
      </w:r>
      <w:r>
        <w:rPr/>
        <w:t>通将进入高速发展期。</w:t>
      </w:r>
    </w:p>
    <w:p>
      <w:pPr>
        <w:pStyle w:val="BodyText"/>
        <w:spacing w:line="360" w:lineRule="auto" w:before="154"/>
        <w:ind w:right="1019" w:firstLine="473"/>
        <w:jc w:val="left"/>
      </w:pPr>
      <w:r>
        <w:rPr>
          <w:rFonts w:ascii="宋体" w:hAnsi="宋体" w:cs="宋体" w:eastAsia="宋体" w:hint="default"/>
          <w:b/>
          <w:bCs/>
        </w:rPr>
        <w:t>军工行业</w:t>
      </w:r>
      <w:r>
        <w:rPr/>
        <w:t>（包含航空、航天、兵器）</w:t>
      </w:r>
      <w:r>
        <w:rPr>
          <w:rFonts w:ascii="宋体" w:hAnsi="宋体" w:cs="宋体" w:eastAsia="宋体" w:hint="default"/>
          <w:b/>
          <w:bCs/>
        </w:rPr>
        <w:t>：</w:t>
      </w:r>
      <w:r>
        <w:rPr/>
        <w:t>回顾</w:t>
      </w:r>
      <w:r>
        <w:rPr>
          <w:rFonts w:ascii="宋体" w:hAnsi="宋体" w:cs="宋体" w:eastAsia="宋体" w:hint="default"/>
        </w:rPr>
        <w:t>2012</w:t>
      </w:r>
      <w:r>
        <w:rPr/>
        <w:t>年，“辽宁号”航空母舰首次出海、歼</w:t>
      </w:r>
      <w:r>
        <w:rPr>
          <w:rFonts w:ascii="宋体" w:hAnsi="宋体" w:cs="宋体" w:eastAsia="宋体" w:hint="default"/>
        </w:rPr>
        <w:t>-15</w:t>
      </w:r>
      <w:r>
        <w:rPr/>
        <w:t>舰载机成</w:t>
      </w:r>
      <w:r>
        <w:rPr>
          <w:w w:val="100"/>
        </w:rPr>
        <w:t> </w:t>
      </w:r>
      <w:r>
        <w:rPr>
          <w:spacing w:val="-2"/>
        </w:rPr>
        <w:t>功起降、北斗卫星亚太区组网即将完成等事件让军工行业在</w:t>
      </w:r>
      <w:r>
        <w:rPr>
          <w:rFonts w:ascii="宋体" w:hAnsi="宋体" w:cs="宋体" w:eastAsia="宋体" w:hint="default"/>
          <w:spacing w:val="-2"/>
        </w:rPr>
        <w:t>2012</w:t>
      </w:r>
      <w:r>
        <w:rPr>
          <w:spacing w:val="-2"/>
        </w:rPr>
        <w:t>年一直处于市场的焦点。由于经济总量连</w:t>
      </w:r>
      <w:r>
        <w:rPr>
          <w:spacing w:val="-40"/>
        </w:rPr>
        <w:t> </w:t>
      </w:r>
      <w:r>
        <w:rPr>
          <w:spacing w:val="-40"/>
        </w:rPr>
      </w:r>
      <w:r>
        <w:rPr>
          <w:w w:val="100"/>
        </w:rPr>
        <w:t>年增</w:t>
      </w:r>
      <w:r>
        <w:rPr>
          <w:spacing w:val="-3"/>
          <w:w w:val="100"/>
        </w:rPr>
        <w:t>长</w:t>
      </w:r>
      <w:r>
        <w:rPr>
          <w:spacing w:val="-53"/>
          <w:w w:val="100"/>
        </w:rPr>
        <w:t>，</w:t>
      </w:r>
      <w:r>
        <w:rPr>
          <w:spacing w:val="-3"/>
          <w:w w:val="100"/>
        </w:rPr>
        <w:t>我</w:t>
      </w:r>
      <w:r>
        <w:rPr>
          <w:w w:val="100"/>
        </w:rPr>
        <w:t>国的</w:t>
      </w:r>
      <w:r>
        <w:rPr>
          <w:spacing w:val="-3"/>
          <w:w w:val="100"/>
        </w:rPr>
        <w:t>国</w:t>
      </w:r>
      <w:r>
        <w:rPr>
          <w:w w:val="100"/>
        </w:rPr>
        <w:t>防</w:t>
      </w:r>
      <w:r>
        <w:rPr>
          <w:spacing w:val="-3"/>
          <w:w w:val="100"/>
        </w:rPr>
        <w:t>预算</w:t>
      </w:r>
      <w:r>
        <w:rPr>
          <w:w w:val="100"/>
        </w:rPr>
        <w:t>和支</w:t>
      </w:r>
      <w:r>
        <w:rPr>
          <w:spacing w:val="-3"/>
          <w:w w:val="100"/>
        </w:rPr>
        <w:t>出</w:t>
      </w:r>
      <w:r>
        <w:rPr>
          <w:w w:val="100"/>
        </w:rPr>
        <w:t>也</w:t>
      </w:r>
      <w:r>
        <w:rPr>
          <w:spacing w:val="-3"/>
          <w:w w:val="100"/>
        </w:rPr>
        <w:t>呈</w:t>
      </w:r>
      <w:r>
        <w:rPr>
          <w:w w:val="100"/>
        </w:rPr>
        <w:t>连</w:t>
      </w:r>
      <w:r>
        <w:rPr>
          <w:spacing w:val="-3"/>
          <w:w w:val="100"/>
        </w:rPr>
        <w:t>续</w:t>
      </w:r>
      <w:r>
        <w:rPr>
          <w:w w:val="100"/>
        </w:rPr>
        <w:t>增</w:t>
      </w:r>
      <w:r>
        <w:rPr>
          <w:spacing w:val="-3"/>
          <w:w w:val="100"/>
        </w:rPr>
        <w:t>长</w:t>
      </w:r>
      <w:r>
        <w:rPr>
          <w:w w:val="100"/>
        </w:rPr>
        <w:t>态</w:t>
      </w:r>
      <w:r>
        <w:rPr>
          <w:spacing w:val="-3"/>
          <w:w w:val="100"/>
        </w:rPr>
        <w:t>势</w:t>
      </w:r>
      <w:r>
        <w:rPr>
          <w:spacing w:val="-53"/>
          <w:w w:val="100"/>
        </w:rPr>
        <w:t>，</w:t>
      </w:r>
      <w:r>
        <w:rPr>
          <w:rFonts w:ascii="Times New Roman" w:hAnsi="Times New Roman" w:cs="Times New Roman" w:eastAsia="Times New Roman" w:hint="default"/>
          <w:spacing w:val="-1"/>
          <w:w w:val="44"/>
        </w:rPr>
        <w:t>―</w:t>
      </w:r>
      <w:r>
        <w:rPr>
          <w:w w:val="100"/>
        </w:rPr>
        <w:t>十</w:t>
      </w:r>
      <w:r>
        <w:rPr>
          <w:spacing w:val="-3"/>
          <w:w w:val="100"/>
        </w:rPr>
        <w:t>二</w:t>
      </w:r>
      <w:r>
        <w:rPr>
          <w:w w:val="100"/>
        </w:rPr>
        <w:t>五</w:t>
      </w:r>
      <w:r>
        <w:rPr>
          <w:rFonts w:ascii="Times New Roman" w:hAnsi="Times New Roman" w:cs="Times New Roman" w:eastAsia="Times New Roman" w:hint="default"/>
          <w:spacing w:val="-1"/>
          <w:w w:val="159"/>
        </w:rPr>
        <w:t>‖</w:t>
      </w:r>
      <w:r>
        <w:rPr>
          <w:spacing w:val="-3"/>
          <w:w w:val="100"/>
        </w:rPr>
        <w:t>规</w:t>
      </w:r>
      <w:r>
        <w:rPr>
          <w:w w:val="100"/>
        </w:rPr>
        <w:t>划</w:t>
      </w:r>
      <w:r>
        <w:rPr>
          <w:spacing w:val="-3"/>
          <w:w w:val="100"/>
        </w:rPr>
        <w:t>中</w:t>
      </w:r>
      <w:r>
        <w:rPr>
          <w:w w:val="100"/>
        </w:rPr>
        <w:t>继</w:t>
      </w:r>
      <w:r>
        <w:rPr>
          <w:spacing w:val="-3"/>
          <w:w w:val="100"/>
        </w:rPr>
        <w:t>续</w:t>
      </w:r>
      <w:r>
        <w:rPr>
          <w:w w:val="100"/>
        </w:rPr>
        <w:t>提</w:t>
      </w:r>
      <w:r>
        <w:rPr>
          <w:spacing w:val="-3"/>
          <w:w w:val="100"/>
        </w:rPr>
        <w:t>出</w:t>
      </w:r>
      <w:r>
        <w:rPr>
          <w:w w:val="100"/>
        </w:rPr>
        <w:t>加强</w:t>
      </w:r>
      <w:r>
        <w:rPr>
          <w:spacing w:val="-3"/>
          <w:w w:val="100"/>
        </w:rPr>
        <w:t>国</w:t>
      </w:r>
      <w:r>
        <w:rPr>
          <w:w w:val="100"/>
        </w:rPr>
        <w:t>防</w:t>
      </w:r>
      <w:r>
        <w:rPr>
          <w:spacing w:val="-3"/>
          <w:w w:val="100"/>
        </w:rPr>
        <w:t>和</w:t>
      </w:r>
      <w:r>
        <w:rPr>
          <w:w w:val="100"/>
        </w:rPr>
        <w:t>军</w:t>
      </w:r>
      <w:r>
        <w:rPr>
          <w:spacing w:val="-3"/>
          <w:w w:val="100"/>
        </w:rPr>
        <w:t>队</w:t>
      </w:r>
      <w:r>
        <w:rPr>
          <w:w w:val="100"/>
        </w:rPr>
        <w:t>现</w:t>
      </w:r>
      <w:r>
        <w:rPr>
          <w:spacing w:val="-3"/>
          <w:w w:val="100"/>
        </w:rPr>
        <w:t>代</w:t>
      </w:r>
      <w:r>
        <w:rPr>
          <w:w w:val="100"/>
        </w:rPr>
        <w:t>化</w:t>
      </w:r>
      <w:r>
        <w:rPr>
          <w:spacing w:val="-3"/>
          <w:w w:val="100"/>
        </w:rPr>
        <w:t>建</w:t>
      </w:r>
      <w:r>
        <w:rPr>
          <w:w w:val="100"/>
        </w:rPr>
        <w:t>设，</w:t>
      </w:r>
      <w:r>
        <w:rPr>
          <w:w w:val="100"/>
        </w:rPr>
        <w:t> </w:t>
      </w:r>
      <w:r>
        <w:rPr/>
        <w:t>军工行业发展前景广阔。军工行业热处理设备两级分化，高档热处理设备多以进口和国外品牌为主，中低</w:t>
      </w:r>
    </w:p>
    <w:p>
      <w:pPr>
        <w:spacing w:after="0" w:line="360" w:lineRule="auto"/>
        <w:jc w:val="left"/>
        <w:sectPr>
          <w:footerReference w:type="default" r:id="rId29"/>
          <w:pgSz w:w="11910" w:h="16840"/>
          <w:pgMar w:footer="1306" w:header="706" w:top="1060" w:bottom="1500" w:left="960" w:right="0"/>
          <w:pgNumType w:start="22"/>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right="0"/>
        <w:jc w:val="left"/>
      </w:pPr>
      <w:r>
        <w:rPr/>
        <w:t>档热处理设备仍处于相对落后的地位，产业升级空间巨大。</w:t>
      </w:r>
    </w:p>
    <w:p>
      <w:pPr>
        <w:spacing w:line="240" w:lineRule="auto" w:before="4"/>
        <w:rPr>
          <w:rFonts w:ascii="宋体" w:hAnsi="宋体" w:cs="宋体" w:eastAsia="宋体" w:hint="default"/>
          <w:sz w:val="20"/>
          <w:szCs w:val="20"/>
        </w:rPr>
      </w:pPr>
    </w:p>
    <w:p>
      <w:pPr>
        <w:pStyle w:val="Heading4"/>
        <w:spacing w:line="240" w:lineRule="auto"/>
        <w:ind w:left="646" w:right="0"/>
        <w:jc w:val="left"/>
        <w:rPr>
          <w:b w:val="0"/>
          <w:bCs w:val="0"/>
        </w:rPr>
      </w:pPr>
      <w:r>
        <w:rPr>
          <w:rFonts w:ascii="Times New Roman" w:hAnsi="Times New Roman" w:cs="Times New Roman" w:eastAsia="Times New Roman" w:hint="default"/>
        </w:rPr>
        <w:t>3</w:t>
      </w:r>
      <w:r>
        <w:rPr/>
        <w:t>、公司的竞争优势</w:t>
      </w:r>
      <w:r>
        <w:rPr>
          <w:b w:val="0"/>
          <w:bCs w:val="0"/>
        </w:rPr>
      </w:r>
    </w:p>
    <w:p>
      <w:pPr>
        <w:spacing w:line="240" w:lineRule="auto" w:before="1"/>
        <w:rPr>
          <w:rFonts w:ascii="宋体" w:hAnsi="宋体" w:cs="宋体" w:eastAsia="宋体" w:hint="default"/>
          <w:b/>
          <w:bCs/>
          <w:sz w:val="19"/>
          <w:szCs w:val="19"/>
        </w:rPr>
      </w:pPr>
    </w:p>
    <w:p>
      <w:pPr>
        <w:pStyle w:val="BodyText"/>
        <w:spacing w:line="360" w:lineRule="auto"/>
        <w:ind w:right="1126" w:firstLine="470"/>
        <w:jc w:val="both"/>
      </w:pPr>
      <w:r>
        <w:rPr>
          <w:rFonts w:ascii="Times New Roman" w:hAnsi="Times New Roman" w:cs="Times New Roman" w:eastAsia="Times New Roman" w:hint="default"/>
        </w:rPr>
        <w:t>3.1</w:t>
      </w:r>
      <w:r>
        <w:rPr/>
        <w:t>公司是行业内拥有产品品种最丰富的制造商，可以根据不同的客户需求提供不同的产品，设备应</w:t>
      </w:r>
      <w:r>
        <w:rPr>
          <w:w w:val="100"/>
        </w:rPr>
        <w:t> </w:t>
      </w:r>
      <w:r>
        <w:rPr>
          <w:spacing w:val="-2"/>
        </w:rPr>
        <w:t>用领域广阔，在汽车、工程机械、航空航天、风电、铁路、军工等领域均有所应用，避免了过度依赖于某</w:t>
      </w:r>
      <w:r>
        <w:rPr>
          <w:spacing w:val="-47"/>
        </w:rPr>
        <w:t> </w:t>
      </w:r>
      <w:r>
        <w:rPr>
          <w:spacing w:val="-47"/>
        </w:rPr>
      </w:r>
      <w:r>
        <w:rPr>
          <w:spacing w:val="-2"/>
        </w:rPr>
        <w:t>一下游行业的被动局面；同时公司不断开发新产品，提高高附加值产品和服务在公司收入中的比重，可以</w:t>
      </w:r>
      <w:r>
        <w:rPr>
          <w:spacing w:val="-43"/>
        </w:rPr>
        <w:t> </w:t>
      </w:r>
      <w:r>
        <w:rPr>
          <w:spacing w:val="-43"/>
        </w:rPr>
      </w:r>
      <w:r>
        <w:rPr/>
        <w:t>为公司带来新的利润增长点，技术优势有利于公司保持较强的议价能力和较高的毛利率水平。</w:t>
      </w:r>
    </w:p>
    <w:p>
      <w:pPr>
        <w:pStyle w:val="BodyText"/>
        <w:spacing w:line="357" w:lineRule="auto" w:before="160"/>
        <w:ind w:right="1126" w:firstLine="470"/>
        <w:jc w:val="both"/>
      </w:pPr>
      <w:r>
        <w:rPr>
          <w:rFonts w:ascii="Times New Roman" w:hAnsi="Times New Roman" w:cs="Times New Roman" w:eastAsia="Times New Roman" w:hint="default"/>
        </w:rPr>
        <w:t>3.2</w:t>
      </w:r>
      <w:r>
        <w:rPr/>
        <w:t>公司作为国内热处理行业的龙头骨干企业，是行业内唯一的上市公司，品牌影响力和美誉度得到</w:t>
      </w:r>
      <w:r>
        <w:rPr>
          <w:w w:val="100"/>
        </w:rPr>
        <w:t> </w:t>
      </w:r>
      <w:r>
        <w:rPr>
          <w:spacing w:val="-2"/>
        </w:rPr>
        <w:t>大幅提升，公司的产品和服务被更多的客户、尤其是中高端客户所认可和接受，而这些客户一般品牌忠诚</w:t>
      </w:r>
      <w:r>
        <w:rPr>
          <w:spacing w:val="-43"/>
        </w:rPr>
        <w:t> </w:t>
      </w:r>
      <w:r>
        <w:rPr>
          <w:spacing w:val="-43"/>
        </w:rPr>
      </w:r>
      <w:r>
        <w:rPr/>
        <w:t>度较高，较为稳定的客户结构有利于公司未来盈利能力的稳定增长。</w:t>
      </w:r>
    </w:p>
    <w:p>
      <w:pPr>
        <w:pStyle w:val="Heading4"/>
        <w:spacing w:line="240" w:lineRule="auto" w:before="162"/>
        <w:ind w:left="408" w:right="0"/>
        <w:jc w:val="left"/>
        <w:rPr>
          <w:b w:val="0"/>
          <w:bCs w:val="0"/>
        </w:rPr>
      </w:pPr>
      <w:r>
        <w:rPr/>
        <w:t>（二）公司发展战略</w:t>
      </w:r>
      <w:r>
        <w:rPr>
          <w:b w:val="0"/>
          <w:bCs w:val="0"/>
        </w:rPr>
      </w:r>
    </w:p>
    <w:p>
      <w:pPr>
        <w:spacing w:line="240" w:lineRule="auto" w:before="10"/>
        <w:rPr>
          <w:rFonts w:ascii="宋体" w:hAnsi="宋体" w:cs="宋体" w:eastAsia="宋体" w:hint="default"/>
          <w:b/>
          <w:bCs/>
          <w:sz w:val="14"/>
          <w:szCs w:val="14"/>
        </w:rPr>
      </w:pPr>
    </w:p>
    <w:p>
      <w:pPr>
        <w:pStyle w:val="BodyText"/>
        <w:spacing w:line="388" w:lineRule="auto"/>
        <w:ind w:left="653" w:right="1019"/>
        <w:jc w:val="left"/>
      </w:pPr>
      <w:r>
        <w:rPr>
          <w:rFonts w:ascii="Times New Roman" w:hAnsi="Times New Roman" w:cs="Times New Roman" w:eastAsia="Times New Roman" w:hint="default"/>
          <w:b/>
          <w:bCs/>
        </w:rPr>
        <w:t>1</w:t>
      </w:r>
      <w:r>
        <w:rPr>
          <w:rFonts w:ascii="宋体" w:hAnsi="宋体" w:cs="宋体" w:eastAsia="宋体" w:hint="default"/>
          <w:b/>
          <w:bCs/>
        </w:rPr>
        <w:t>、发展战略</w:t>
      </w:r>
      <w:r>
        <w:rPr>
          <w:rFonts w:ascii="宋体" w:hAnsi="宋体" w:cs="宋体" w:eastAsia="宋体" w:hint="default"/>
          <w:b/>
          <w:bCs/>
          <w:spacing w:val="-104"/>
        </w:rPr>
        <w:t> </w:t>
      </w:r>
      <w:r>
        <w:rPr>
          <w:spacing w:val="-2"/>
        </w:rPr>
        <w:t>一方面受制于下游行业景气度的影响，另一方面公司拥有独特的产品、技术、经营模式等竞争优势，</w:t>
      </w:r>
    </w:p>
    <w:p>
      <w:pPr>
        <w:pStyle w:val="BodyText"/>
        <w:spacing w:line="408" w:lineRule="auto" w:before="17"/>
        <w:ind w:left="655" w:right="0" w:hanging="483"/>
        <w:jc w:val="left"/>
      </w:pPr>
      <w:r>
        <w:rPr/>
        <w:t>未来公司面临的发展机遇与挑战并存。</w:t>
      </w:r>
      <w:r>
        <w:rPr>
          <w:w w:val="100"/>
        </w:rPr>
        <w:t> </w:t>
      </w:r>
      <w:r>
        <w:rPr>
          <w:rFonts w:ascii="宋体" w:hAnsi="宋体" w:cs="宋体" w:eastAsia="宋体" w:hint="default"/>
          <w:b/>
          <w:bCs/>
          <w:spacing w:val="-4"/>
        </w:rPr>
        <w:t>发展战略：</w:t>
      </w:r>
      <w:r>
        <w:rPr>
          <w:spacing w:val="-4"/>
        </w:rPr>
        <w:t>公司将以技术创新为基础，高技术热处理装备制造和专业热处理加工业务同步发展，致力</w:t>
      </w:r>
    </w:p>
    <w:p>
      <w:pPr>
        <w:pStyle w:val="BodyText"/>
        <w:spacing w:line="240" w:lineRule="auto"/>
        <w:ind w:right="0"/>
        <w:jc w:val="left"/>
      </w:pPr>
      <w:r>
        <w:rPr>
          <w:w w:val="100"/>
        </w:rPr>
        <w:t>于成</w:t>
      </w:r>
      <w:r>
        <w:rPr>
          <w:spacing w:val="-2"/>
          <w:w w:val="100"/>
        </w:rPr>
        <w:t>为</w:t>
      </w:r>
      <w:r>
        <w:rPr>
          <w:rFonts w:ascii="Times New Roman" w:hAnsi="Times New Roman" w:cs="Times New Roman" w:eastAsia="Times New Roman" w:hint="default"/>
          <w:spacing w:val="-1"/>
          <w:w w:val="44"/>
        </w:rPr>
        <w:t>―</w:t>
      </w:r>
      <w:r>
        <w:rPr>
          <w:spacing w:val="-3"/>
          <w:w w:val="100"/>
        </w:rPr>
        <w:t>国</w:t>
      </w:r>
      <w:r>
        <w:rPr>
          <w:w w:val="100"/>
        </w:rPr>
        <w:t>际</w:t>
      </w:r>
      <w:r>
        <w:rPr>
          <w:spacing w:val="-3"/>
          <w:w w:val="100"/>
        </w:rPr>
        <w:t>一</w:t>
      </w:r>
      <w:r>
        <w:rPr>
          <w:w w:val="100"/>
        </w:rPr>
        <w:t>流</w:t>
      </w:r>
      <w:r>
        <w:rPr>
          <w:spacing w:val="-3"/>
          <w:w w:val="100"/>
        </w:rPr>
        <w:t>的</w:t>
      </w:r>
      <w:r>
        <w:rPr>
          <w:w w:val="100"/>
        </w:rPr>
        <w:t>热</w:t>
      </w:r>
      <w:r>
        <w:rPr>
          <w:spacing w:val="-3"/>
          <w:w w:val="100"/>
        </w:rPr>
        <w:t>处理</w:t>
      </w:r>
      <w:r>
        <w:rPr>
          <w:w w:val="100"/>
        </w:rPr>
        <w:t>综合</w:t>
      </w:r>
      <w:r>
        <w:rPr>
          <w:spacing w:val="-3"/>
          <w:w w:val="100"/>
        </w:rPr>
        <w:t>解</w:t>
      </w:r>
      <w:r>
        <w:rPr>
          <w:w w:val="100"/>
        </w:rPr>
        <w:t>决</w:t>
      </w:r>
      <w:r>
        <w:rPr>
          <w:spacing w:val="-3"/>
          <w:w w:val="100"/>
        </w:rPr>
        <w:t>方</w:t>
      </w:r>
      <w:r>
        <w:rPr>
          <w:w w:val="100"/>
        </w:rPr>
        <w:t>案</w:t>
      </w:r>
      <w:r>
        <w:rPr>
          <w:spacing w:val="-3"/>
          <w:w w:val="100"/>
        </w:rPr>
        <w:t>提</w:t>
      </w:r>
      <w:r>
        <w:rPr>
          <w:w w:val="100"/>
        </w:rPr>
        <w:t>供</w:t>
      </w:r>
      <w:r>
        <w:rPr>
          <w:spacing w:val="-3"/>
          <w:w w:val="100"/>
        </w:rPr>
        <w:t>商</w:t>
      </w:r>
      <w:r>
        <w:rPr>
          <w:rFonts w:ascii="Times New Roman" w:hAnsi="Times New Roman" w:cs="Times New Roman" w:eastAsia="Times New Roman" w:hint="default"/>
          <w:spacing w:val="-1"/>
          <w:w w:val="159"/>
        </w:rPr>
        <w:t>‖</w:t>
      </w:r>
      <w:r>
        <w:rPr>
          <w:spacing w:val="-3"/>
          <w:w w:val="100"/>
        </w:rPr>
        <w:t>，为</w:t>
      </w:r>
      <w:r>
        <w:rPr>
          <w:w w:val="100"/>
        </w:rPr>
        <w:t>社会</w:t>
      </w:r>
      <w:r>
        <w:rPr>
          <w:spacing w:val="-3"/>
          <w:w w:val="100"/>
        </w:rPr>
        <w:t>、</w:t>
      </w:r>
      <w:r>
        <w:rPr>
          <w:w w:val="100"/>
        </w:rPr>
        <w:t>股</w:t>
      </w:r>
      <w:r>
        <w:rPr>
          <w:spacing w:val="-3"/>
          <w:w w:val="100"/>
        </w:rPr>
        <w:t>东</w:t>
      </w:r>
      <w:r>
        <w:rPr>
          <w:w w:val="100"/>
        </w:rPr>
        <w:t>、</w:t>
      </w:r>
      <w:r>
        <w:rPr>
          <w:spacing w:val="-3"/>
          <w:w w:val="100"/>
        </w:rPr>
        <w:t>员</w:t>
      </w:r>
      <w:r>
        <w:rPr>
          <w:w w:val="100"/>
        </w:rPr>
        <w:t>工</w:t>
      </w:r>
      <w:r>
        <w:rPr>
          <w:spacing w:val="-3"/>
          <w:w w:val="100"/>
        </w:rPr>
        <w:t>创</w:t>
      </w:r>
      <w:r>
        <w:rPr>
          <w:w w:val="100"/>
        </w:rPr>
        <w:t>造</w:t>
      </w:r>
      <w:r>
        <w:rPr>
          <w:spacing w:val="-3"/>
          <w:w w:val="100"/>
        </w:rPr>
        <w:t>长</w:t>
      </w:r>
      <w:r>
        <w:rPr>
          <w:w w:val="100"/>
        </w:rPr>
        <w:t>期价</w:t>
      </w:r>
      <w:r>
        <w:rPr>
          <w:spacing w:val="-3"/>
          <w:w w:val="100"/>
        </w:rPr>
        <w:t>值</w:t>
      </w:r>
      <w:r>
        <w:rPr>
          <w:w w:val="100"/>
        </w:rPr>
        <w:t>。</w:t>
      </w:r>
    </w:p>
    <w:p>
      <w:pPr>
        <w:pStyle w:val="Heading4"/>
        <w:spacing w:line="240" w:lineRule="auto" w:before="177"/>
        <w:ind w:left="655" w:right="0"/>
        <w:jc w:val="left"/>
        <w:rPr>
          <w:b w:val="0"/>
          <w:bCs w:val="0"/>
        </w:rPr>
      </w:pPr>
      <w:r>
        <w:rPr>
          <w:rFonts w:ascii="Times New Roman" w:hAnsi="Times New Roman" w:cs="Times New Roman" w:eastAsia="Times New Roman" w:hint="default"/>
        </w:rPr>
        <w:t>2</w:t>
      </w:r>
      <w:r>
        <w:rPr/>
        <w:t>、业务发展规划</w:t>
      </w:r>
      <w:r>
        <w:rPr>
          <w:b w:val="0"/>
          <w:bCs w:val="0"/>
        </w:rPr>
      </w:r>
    </w:p>
    <w:p>
      <w:pPr>
        <w:pStyle w:val="BodyText"/>
        <w:spacing w:line="348" w:lineRule="auto" w:before="177"/>
        <w:ind w:right="1131" w:firstLine="480"/>
        <w:jc w:val="both"/>
      </w:pPr>
      <w:r>
        <w:rPr>
          <w:rFonts w:ascii="Times New Roman" w:hAnsi="Times New Roman" w:cs="Times New Roman" w:eastAsia="Times New Roman" w:hint="default"/>
          <w:w w:val="100"/>
        </w:rPr>
        <w:t>2.</w:t>
      </w:r>
      <w:r>
        <w:rPr>
          <w:rFonts w:ascii="Times New Roman" w:hAnsi="Times New Roman" w:cs="Times New Roman" w:eastAsia="Times New Roman" w:hint="default"/>
          <w:spacing w:val="2"/>
          <w:w w:val="100"/>
        </w:rPr>
        <w:t>1</w:t>
      </w:r>
      <w:r>
        <w:rPr>
          <w:w w:val="100"/>
        </w:rPr>
        <w:t>增</w:t>
      </w:r>
      <w:r>
        <w:rPr>
          <w:spacing w:val="2"/>
          <w:w w:val="100"/>
        </w:rPr>
        <w:t>加</w:t>
      </w:r>
      <w:r>
        <w:rPr>
          <w:w w:val="100"/>
        </w:rPr>
        <w:t>科</w:t>
      </w:r>
      <w:r>
        <w:rPr>
          <w:spacing w:val="2"/>
          <w:w w:val="100"/>
        </w:rPr>
        <w:t>技</w:t>
      </w:r>
      <w:r>
        <w:rPr>
          <w:w w:val="100"/>
        </w:rPr>
        <w:t>和</w:t>
      </w:r>
      <w:r>
        <w:rPr>
          <w:spacing w:val="2"/>
          <w:w w:val="100"/>
        </w:rPr>
        <w:t>研</w:t>
      </w:r>
      <w:r>
        <w:rPr>
          <w:w w:val="100"/>
        </w:rPr>
        <w:t>发</w:t>
      </w:r>
      <w:r>
        <w:rPr>
          <w:spacing w:val="2"/>
          <w:w w:val="100"/>
        </w:rPr>
        <w:t>投</w:t>
      </w:r>
      <w:r>
        <w:rPr>
          <w:w w:val="100"/>
        </w:rPr>
        <w:t>入，</w:t>
      </w:r>
      <w:r>
        <w:rPr>
          <w:spacing w:val="2"/>
          <w:w w:val="100"/>
        </w:rPr>
        <w:t>开</w:t>
      </w:r>
      <w:r>
        <w:rPr>
          <w:spacing w:val="4"/>
          <w:w w:val="100"/>
        </w:rPr>
        <w:t>发</w:t>
      </w:r>
      <w:r>
        <w:rPr>
          <w:rFonts w:ascii="Times New Roman" w:hAnsi="Times New Roman" w:cs="Times New Roman" w:eastAsia="Times New Roman" w:hint="default"/>
          <w:spacing w:val="-1"/>
          <w:w w:val="44"/>
        </w:rPr>
        <w:t>―</w:t>
      </w:r>
      <w:r>
        <w:rPr>
          <w:spacing w:val="2"/>
          <w:w w:val="100"/>
        </w:rPr>
        <w:t>清</w:t>
      </w:r>
      <w:r>
        <w:rPr>
          <w:w w:val="100"/>
        </w:rPr>
        <w:t>洁</w:t>
      </w:r>
      <w:r>
        <w:rPr>
          <w:spacing w:val="2"/>
          <w:w w:val="100"/>
        </w:rPr>
        <w:t>、</w:t>
      </w:r>
      <w:r>
        <w:rPr>
          <w:w w:val="100"/>
        </w:rPr>
        <w:t>节</w:t>
      </w:r>
      <w:r>
        <w:rPr>
          <w:spacing w:val="2"/>
          <w:w w:val="100"/>
        </w:rPr>
        <w:t>能</w:t>
      </w:r>
      <w:r>
        <w:rPr>
          <w:w w:val="100"/>
        </w:rPr>
        <w:t>、环</w:t>
      </w:r>
      <w:r>
        <w:rPr>
          <w:spacing w:val="2"/>
          <w:w w:val="100"/>
        </w:rPr>
        <w:t>保</w:t>
      </w:r>
      <w:r>
        <w:rPr>
          <w:w w:val="100"/>
        </w:rPr>
        <w:t>、</w:t>
      </w:r>
      <w:r>
        <w:rPr>
          <w:spacing w:val="2"/>
          <w:w w:val="100"/>
        </w:rPr>
        <w:t>高</w:t>
      </w:r>
      <w:r>
        <w:rPr>
          <w:spacing w:val="4"/>
          <w:w w:val="100"/>
        </w:rPr>
        <w:t>效</w:t>
      </w:r>
      <w:r>
        <w:rPr>
          <w:rFonts w:ascii="Times New Roman" w:hAnsi="Times New Roman" w:cs="Times New Roman" w:eastAsia="Times New Roman" w:hint="default"/>
          <w:spacing w:val="-1"/>
          <w:w w:val="159"/>
        </w:rPr>
        <w:t>‖</w:t>
      </w:r>
      <w:r>
        <w:rPr>
          <w:spacing w:val="2"/>
          <w:w w:val="100"/>
        </w:rPr>
        <w:t>的</w:t>
      </w:r>
      <w:r>
        <w:rPr>
          <w:w w:val="100"/>
        </w:rPr>
        <w:t>新</w:t>
      </w:r>
      <w:r>
        <w:rPr>
          <w:spacing w:val="2"/>
          <w:w w:val="100"/>
        </w:rPr>
        <w:t>型</w:t>
      </w:r>
      <w:r>
        <w:rPr>
          <w:w w:val="100"/>
        </w:rPr>
        <w:t>热</w:t>
      </w:r>
      <w:r>
        <w:rPr>
          <w:spacing w:val="2"/>
          <w:w w:val="100"/>
        </w:rPr>
        <w:t>处</w:t>
      </w:r>
      <w:r>
        <w:rPr>
          <w:w w:val="100"/>
        </w:rPr>
        <w:t>理装</w:t>
      </w:r>
      <w:r>
        <w:rPr>
          <w:spacing w:val="2"/>
          <w:w w:val="100"/>
        </w:rPr>
        <w:t>备</w:t>
      </w:r>
      <w:r>
        <w:rPr>
          <w:w w:val="100"/>
        </w:rPr>
        <w:t>，</w:t>
      </w:r>
      <w:r>
        <w:rPr>
          <w:spacing w:val="2"/>
          <w:w w:val="100"/>
        </w:rPr>
        <w:t>进</w:t>
      </w:r>
      <w:r>
        <w:rPr>
          <w:w w:val="100"/>
        </w:rPr>
        <w:t>一</w:t>
      </w:r>
      <w:r>
        <w:rPr>
          <w:spacing w:val="2"/>
          <w:w w:val="100"/>
        </w:rPr>
        <w:t>步</w:t>
      </w:r>
      <w:r>
        <w:rPr>
          <w:w w:val="100"/>
        </w:rPr>
        <w:t>抢</w:t>
      </w:r>
      <w:r>
        <w:rPr>
          <w:spacing w:val="2"/>
          <w:w w:val="100"/>
        </w:rPr>
        <w:t>占</w:t>
      </w:r>
      <w:r>
        <w:rPr>
          <w:w w:val="100"/>
        </w:rPr>
        <w:t>热</w:t>
      </w:r>
      <w:r>
        <w:rPr>
          <w:spacing w:val="2"/>
          <w:w w:val="100"/>
        </w:rPr>
        <w:t>处</w:t>
      </w:r>
      <w:r>
        <w:rPr>
          <w:w w:val="100"/>
        </w:rPr>
        <w:t>理设</w:t>
      </w:r>
      <w:r>
        <w:rPr>
          <w:w w:val="100"/>
        </w:rPr>
        <w:t> </w:t>
      </w:r>
      <w:r>
        <w:rPr/>
        <w:t>备市场。</w:t>
      </w:r>
    </w:p>
    <w:p>
      <w:pPr>
        <w:pStyle w:val="BodyText"/>
        <w:spacing w:line="357" w:lineRule="auto" w:before="98"/>
        <w:ind w:right="1126" w:firstLine="480"/>
        <w:jc w:val="both"/>
      </w:pPr>
      <w:r>
        <w:rPr>
          <w:rFonts w:ascii="Times New Roman" w:hAnsi="Times New Roman" w:cs="Times New Roman" w:eastAsia="Times New Roman" w:hint="default"/>
        </w:rPr>
        <w:t>2.2</w:t>
      </w:r>
      <w:r>
        <w:rPr/>
        <w:t>在制造业发展集中地区采用更加先进的装备和工艺增加热处理专业化服务网点数量，提高现有热</w:t>
      </w:r>
      <w:r>
        <w:rPr>
          <w:w w:val="100"/>
        </w:rPr>
        <w:t> </w:t>
      </w:r>
      <w:r>
        <w:rPr>
          <w:spacing w:val="-2"/>
        </w:rPr>
        <w:t>处理加工中心的工艺装备技术和工艺服务能力，满足制造业对先进热处理专业服务的要求，提高热处理加</w:t>
      </w:r>
      <w:r>
        <w:rPr>
          <w:spacing w:val="-43"/>
        </w:rPr>
        <w:t> </w:t>
      </w:r>
      <w:r>
        <w:rPr>
          <w:spacing w:val="-43"/>
        </w:rPr>
      </w:r>
      <w:r>
        <w:rPr>
          <w:spacing w:val="-2"/>
          <w:w w:val="100"/>
        </w:rPr>
        <w:t>工业务在公司主营业务中的比重，积极探索</w:t>
      </w:r>
      <w:r>
        <w:rPr>
          <w:rFonts w:ascii="Times New Roman" w:hAnsi="Times New Roman" w:cs="Times New Roman" w:eastAsia="Times New Roman" w:hint="default"/>
          <w:spacing w:val="-2"/>
          <w:w w:val="100"/>
        </w:rPr>
        <w:t>―</w:t>
      </w:r>
      <w:r>
        <w:rPr>
          <w:spacing w:val="-2"/>
          <w:w w:val="100"/>
        </w:rPr>
        <w:t>厂中厂</w:t>
      </w:r>
      <w:r>
        <w:rPr>
          <w:rFonts w:ascii="Times New Roman" w:hAnsi="Times New Roman" w:cs="Times New Roman" w:eastAsia="Times New Roman" w:hint="default"/>
          <w:spacing w:val="-2"/>
          <w:w w:val="100"/>
        </w:rPr>
        <w:t>‖</w:t>
      </w:r>
      <w:r>
        <w:rPr>
          <w:spacing w:val="-2"/>
          <w:w w:val="100"/>
        </w:rPr>
        <w:t>热加工配套模式。</w:t>
      </w:r>
    </w:p>
    <w:p>
      <w:pPr>
        <w:pStyle w:val="Heading4"/>
        <w:spacing w:line="240" w:lineRule="auto" w:before="63"/>
        <w:ind w:left="408" w:right="0"/>
        <w:jc w:val="left"/>
        <w:rPr>
          <w:b w:val="0"/>
          <w:bCs w:val="0"/>
        </w:rPr>
      </w:pPr>
      <w:r>
        <w:rPr/>
        <w:t>（三）经营计划</w:t>
      </w:r>
      <w:r>
        <w:rPr>
          <w:b w:val="0"/>
          <w:bCs w:val="0"/>
        </w:rPr>
      </w:r>
    </w:p>
    <w:p>
      <w:pPr>
        <w:spacing w:line="240" w:lineRule="auto" w:before="6"/>
        <w:rPr>
          <w:rFonts w:ascii="宋体" w:hAnsi="宋体" w:cs="宋体" w:eastAsia="宋体" w:hint="default"/>
          <w:b/>
          <w:bCs/>
          <w:sz w:val="20"/>
          <w:szCs w:val="20"/>
        </w:rPr>
      </w:pPr>
    </w:p>
    <w:p>
      <w:pPr>
        <w:pStyle w:val="Heading4"/>
        <w:spacing w:line="240" w:lineRule="auto"/>
        <w:ind w:left="655" w:right="0"/>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年度经营目标</w:t>
      </w:r>
      <w:r>
        <w:rPr>
          <w:b w:val="0"/>
          <w:bCs w:val="0"/>
        </w:rPr>
      </w:r>
    </w:p>
    <w:p>
      <w:pPr>
        <w:spacing w:line="240" w:lineRule="auto" w:before="1"/>
        <w:rPr>
          <w:rFonts w:ascii="宋体" w:hAnsi="宋体" w:cs="宋体" w:eastAsia="宋体" w:hint="default"/>
          <w:b/>
          <w:bCs/>
          <w:sz w:val="19"/>
          <w:szCs w:val="19"/>
        </w:rPr>
      </w:pPr>
    </w:p>
    <w:p>
      <w:pPr>
        <w:pStyle w:val="BodyText"/>
        <w:spacing w:line="345" w:lineRule="auto"/>
        <w:ind w:right="1131" w:firstLine="492"/>
        <w:jc w:val="both"/>
      </w:pPr>
      <w:r>
        <w:rPr>
          <w:rFonts w:ascii="Times New Roman" w:hAnsi="Times New Roman" w:cs="Times New Roman" w:eastAsia="Times New Roman" w:hint="default"/>
          <w:spacing w:val="-4"/>
        </w:rPr>
        <w:t>2013</w:t>
      </w:r>
      <w:r>
        <w:rPr>
          <w:spacing w:val="-4"/>
        </w:rPr>
        <w:t>年世界经济仍处在深度调整期，国内需求面临一定下行风险，物价上涨压力有所上升，全年经济</w:t>
      </w:r>
      <w:r>
        <w:rPr>
          <w:w w:val="100"/>
        </w:rPr>
        <w:t> </w:t>
      </w:r>
      <w:r>
        <w:rPr/>
        <w:t>增长预计与</w:t>
      </w:r>
      <w:r>
        <w:rPr>
          <w:rFonts w:ascii="Times New Roman" w:hAnsi="Times New Roman" w:cs="Times New Roman" w:eastAsia="Times New Roman" w:hint="default"/>
        </w:rPr>
        <w:t>2012</w:t>
      </w:r>
      <w:r>
        <w:rPr/>
        <w:t>年大体持平。</w:t>
      </w:r>
    </w:p>
    <w:p>
      <w:pPr>
        <w:pStyle w:val="BodyText"/>
        <w:spacing w:line="345" w:lineRule="auto" w:before="149"/>
        <w:ind w:right="1126" w:firstLine="492"/>
        <w:jc w:val="both"/>
      </w:pPr>
      <w:r>
        <w:rPr>
          <w:spacing w:val="-4"/>
        </w:rPr>
        <w:t>综合分析</w:t>
      </w:r>
      <w:r>
        <w:rPr>
          <w:rFonts w:ascii="Times New Roman" w:hAnsi="Times New Roman" w:cs="Times New Roman" w:eastAsia="Times New Roman" w:hint="default"/>
          <w:spacing w:val="-4"/>
        </w:rPr>
        <w:t>2013</w:t>
      </w:r>
      <w:r>
        <w:rPr>
          <w:spacing w:val="-4"/>
        </w:rPr>
        <w:t>年的市场预期和潜在的不确定因素，以及公司的实际生产能力，确定</w:t>
      </w:r>
      <w:r>
        <w:rPr>
          <w:rFonts w:ascii="Times New Roman" w:hAnsi="Times New Roman" w:cs="Times New Roman" w:eastAsia="Times New Roman" w:hint="default"/>
          <w:spacing w:val="-4"/>
        </w:rPr>
        <w:t>2013</w:t>
      </w:r>
      <w:r>
        <w:rPr>
          <w:spacing w:val="-4"/>
        </w:rPr>
        <w:t>年公司的总体</w:t>
      </w:r>
      <w:r>
        <w:rPr>
          <w:w w:val="100"/>
        </w:rPr>
        <w:t> </w:t>
      </w:r>
      <w:r>
        <w:rPr>
          <w:spacing w:val="-1"/>
        </w:rPr>
        <w:t>经营目标为：</w:t>
      </w:r>
      <w:r>
        <w:rPr>
          <w:rFonts w:ascii="Times New Roman" w:hAnsi="Times New Roman" w:cs="Times New Roman" w:eastAsia="Times New Roman" w:hint="default"/>
          <w:spacing w:val="-1"/>
        </w:rPr>
        <w:t>2013</w:t>
      </w:r>
      <w:r>
        <w:rPr>
          <w:spacing w:val="-1"/>
        </w:rPr>
        <w:t>年度实现营业收入和归属于母公司股东的净利润均比</w:t>
      </w:r>
      <w:r>
        <w:rPr>
          <w:rFonts w:ascii="Times New Roman" w:hAnsi="Times New Roman" w:cs="Times New Roman" w:eastAsia="Times New Roman" w:hint="default"/>
          <w:spacing w:val="-1"/>
        </w:rPr>
        <w:t>2012</w:t>
      </w:r>
      <w:r>
        <w:rPr>
          <w:spacing w:val="-1"/>
        </w:rPr>
        <w:t>年度增长</w:t>
      </w:r>
      <w:r>
        <w:rPr>
          <w:rFonts w:ascii="Times New Roman" w:hAnsi="Times New Roman" w:cs="Times New Roman" w:eastAsia="Times New Roman" w:hint="default"/>
          <w:spacing w:val="-1"/>
        </w:rPr>
        <w:t>10%</w:t>
      </w:r>
      <w:r>
        <w:rPr>
          <w:spacing w:val="-1"/>
        </w:rPr>
        <w:t>以上，继续保持</w:t>
      </w:r>
      <w:r>
        <w:rPr>
          <w:spacing w:val="-47"/>
        </w:rPr>
        <w:t> </w:t>
      </w:r>
      <w:r>
        <w:rPr>
          <w:spacing w:val="-47"/>
        </w:rPr>
      </w:r>
      <w:r>
        <w:rPr/>
        <w:t>持续稳定的增长。</w:t>
      </w:r>
    </w:p>
    <w:p>
      <w:pPr>
        <w:pStyle w:val="Heading4"/>
        <w:spacing w:line="420" w:lineRule="exact" w:before="15"/>
        <w:ind w:right="1129" w:firstLine="482"/>
        <w:jc w:val="both"/>
        <w:rPr>
          <w:b w:val="0"/>
          <w:bCs w:val="0"/>
        </w:rPr>
      </w:pPr>
      <w:r>
        <w:rPr/>
        <w:t>以上目标仅为公司董事会确定的</w:t>
      </w:r>
      <w:r>
        <w:rPr>
          <w:rFonts w:ascii="Times New Roman" w:hAnsi="Times New Roman" w:cs="Times New Roman" w:eastAsia="Times New Roman" w:hint="default"/>
        </w:rPr>
        <w:t>2013</w:t>
      </w:r>
      <w:r>
        <w:rPr/>
        <w:t>年度总体经营目标，不代表公司对</w:t>
      </w:r>
      <w:r>
        <w:rPr>
          <w:rFonts w:ascii="Times New Roman" w:hAnsi="Times New Roman" w:cs="Times New Roman" w:eastAsia="Times New Roman" w:hint="default"/>
        </w:rPr>
        <w:t>2013</w:t>
      </w:r>
      <w:r>
        <w:rPr/>
        <w:t>年度的盈利预测，实现</w:t>
      </w:r>
      <w:r>
        <w:rPr>
          <w:spacing w:val="2"/>
          <w:w w:val="100"/>
        </w:rPr>
        <w:t> </w:t>
      </w:r>
      <w:r>
        <w:rPr>
          <w:spacing w:val="-2"/>
        </w:rPr>
        <w:t>情况如何取决于宏观经济环境、行业发展状况、市场状况变化及经营团队的努力程度等诸多因素，存在一</w:t>
      </w:r>
      <w:r>
        <w:rPr>
          <w:b w:val="0"/>
          <w:bCs w:val="0"/>
          <w:spacing w:val="-2"/>
        </w:rPr>
      </w:r>
    </w:p>
    <w:p>
      <w:pPr>
        <w:spacing w:after="0" w:line="420" w:lineRule="exact"/>
        <w:jc w:val="both"/>
        <w:sectPr>
          <w:pgSz w:w="11910" w:h="16840"/>
          <w:pgMar w:header="706" w:footer="1306" w:top="1060" w:bottom="1540" w:left="960" w:right="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4"/>
        <w:spacing w:line="240" w:lineRule="auto"/>
        <w:ind w:right="0"/>
        <w:jc w:val="left"/>
        <w:rPr>
          <w:b w:val="0"/>
          <w:bCs w:val="0"/>
        </w:rPr>
      </w:pPr>
      <w:r>
        <w:rPr/>
        <w:t>定的不确定性，敬请广大投资者注意投资风险。</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655" w:right="0"/>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年经营计划</w:t>
      </w:r>
      <w:r>
        <w:rPr>
          <w:b w:val="0"/>
          <w:bCs w:val="0"/>
        </w:rPr>
      </w:r>
    </w:p>
    <w:p>
      <w:pPr>
        <w:pStyle w:val="BodyText"/>
        <w:spacing w:line="357" w:lineRule="auto" w:before="179"/>
        <w:ind w:right="1126" w:firstLine="482"/>
        <w:jc w:val="both"/>
      </w:pPr>
      <w:r>
        <w:rPr>
          <w:rFonts w:ascii="Times New Roman" w:hAnsi="Times New Roman" w:cs="Times New Roman" w:eastAsia="Times New Roman" w:hint="default"/>
          <w:b/>
          <w:bCs/>
        </w:rPr>
        <w:t>2.1</w:t>
      </w:r>
      <w:r>
        <w:rPr>
          <w:rFonts w:ascii="宋体" w:hAnsi="宋体" w:cs="宋体" w:eastAsia="宋体" w:hint="default"/>
          <w:b/>
          <w:bCs/>
        </w:rPr>
        <w:t>加强产品开发，满足客户市场需求。</w:t>
      </w:r>
      <w:r>
        <w:rPr/>
        <w:t>公司将在优化现有热处理炉相关工艺参数的前提下，紧密结</w:t>
      </w:r>
      <w:r>
        <w:rPr>
          <w:w w:val="100"/>
        </w:rPr>
        <w:t> </w:t>
      </w:r>
      <w:r>
        <w:rPr>
          <w:spacing w:val="-2"/>
        </w:rPr>
        <w:t>合热处理市场的需求、国家产业政策和行业技术标准，有针对性地进行新产品开发，不断满足客户市场需</w:t>
      </w:r>
      <w:r>
        <w:rPr>
          <w:spacing w:val="-43"/>
        </w:rPr>
        <w:t> </w:t>
      </w:r>
      <w:r>
        <w:rPr>
          <w:spacing w:val="-43"/>
        </w:rPr>
      </w:r>
      <w:r>
        <w:rPr/>
        <w:t>求。</w:t>
      </w:r>
    </w:p>
    <w:p>
      <w:pPr>
        <w:pStyle w:val="BodyText"/>
        <w:spacing w:line="357" w:lineRule="auto" w:before="90"/>
        <w:ind w:right="1126" w:firstLine="482"/>
        <w:jc w:val="both"/>
      </w:pPr>
      <w:r>
        <w:rPr>
          <w:rFonts w:ascii="Times New Roman" w:hAnsi="Times New Roman" w:cs="Times New Roman" w:eastAsia="Times New Roman" w:hint="default"/>
          <w:b/>
          <w:bCs/>
          <w:w w:val="100"/>
        </w:rPr>
        <w:t>2.2</w:t>
      </w:r>
      <w:r>
        <w:rPr>
          <w:rFonts w:ascii="宋体" w:hAnsi="宋体" w:cs="宋体" w:eastAsia="宋体" w:hint="default"/>
          <w:b/>
          <w:bCs/>
          <w:spacing w:val="2"/>
          <w:w w:val="100"/>
        </w:rPr>
        <w:t>着力技术</w:t>
      </w:r>
      <w:r>
        <w:rPr>
          <w:rFonts w:ascii="宋体" w:hAnsi="宋体" w:cs="宋体" w:eastAsia="宋体" w:hint="default"/>
          <w:b/>
          <w:bCs/>
          <w:w w:val="100"/>
        </w:rPr>
        <w:t>研</w:t>
      </w:r>
      <w:r>
        <w:rPr>
          <w:rFonts w:ascii="宋体" w:hAnsi="宋体" w:cs="宋体" w:eastAsia="宋体" w:hint="default"/>
          <w:b/>
          <w:bCs/>
          <w:spacing w:val="2"/>
          <w:w w:val="100"/>
        </w:rPr>
        <w:t>发</w:t>
      </w:r>
      <w:r>
        <w:rPr>
          <w:rFonts w:ascii="宋体" w:hAnsi="宋体" w:cs="宋体" w:eastAsia="宋体" w:hint="default"/>
          <w:b/>
          <w:bCs/>
          <w:spacing w:val="1"/>
          <w:w w:val="100"/>
        </w:rPr>
        <w:t>，</w:t>
      </w:r>
      <w:r>
        <w:rPr>
          <w:rFonts w:ascii="宋体" w:hAnsi="宋体" w:cs="宋体" w:eastAsia="宋体" w:hint="default"/>
          <w:b/>
          <w:bCs/>
          <w:spacing w:val="2"/>
          <w:w w:val="100"/>
        </w:rPr>
        <w:t>提升</w:t>
      </w:r>
      <w:r>
        <w:rPr>
          <w:rFonts w:ascii="宋体" w:hAnsi="宋体" w:cs="宋体" w:eastAsia="宋体" w:hint="default"/>
          <w:b/>
          <w:bCs/>
          <w:w w:val="100"/>
        </w:rPr>
        <w:t>核</w:t>
      </w:r>
      <w:r>
        <w:rPr>
          <w:rFonts w:ascii="宋体" w:hAnsi="宋体" w:cs="宋体" w:eastAsia="宋体" w:hint="default"/>
          <w:b/>
          <w:bCs/>
          <w:spacing w:val="2"/>
          <w:w w:val="100"/>
        </w:rPr>
        <w:t>心竞争</w:t>
      </w:r>
      <w:r>
        <w:rPr>
          <w:rFonts w:ascii="宋体" w:hAnsi="宋体" w:cs="宋体" w:eastAsia="宋体" w:hint="default"/>
          <w:b/>
          <w:bCs/>
          <w:w w:val="100"/>
        </w:rPr>
        <w:t>能</w:t>
      </w:r>
      <w:r>
        <w:rPr>
          <w:rFonts w:ascii="宋体" w:hAnsi="宋体" w:cs="宋体" w:eastAsia="宋体" w:hint="default"/>
          <w:b/>
          <w:bCs/>
          <w:spacing w:val="2"/>
          <w:w w:val="100"/>
        </w:rPr>
        <w:t>力</w:t>
      </w:r>
      <w:r>
        <w:rPr>
          <w:rFonts w:ascii="宋体" w:hAnsi="宋体" w:cs="宋体" w:eastAsia="宋体" w:hint="default"/>
          <w:b/>
          <w:bCs/>
          <w:spacing w:val="4"/>
          <w:w w:val="100"/>
        </w:rPr>
        <w:t>。</w:t>
      </w:r>
      <w:r>
        <w:rPr>
          <w:w w:val="100"/>
        </w:rPr>
        <w:t>公司将</w:t>
      </w:r>
      <w:r>
        <w:rPr>
          <w:spacing w:val="2"/>
          <w:w w:val="100"/>
        </w:rPr>
        <w:t>充</w:t>
      </w:r>
      <w:r>
        <w:rPr>
          <w:w w:val="100"/>
        </w:rPr>
        <w:t>分</w:t>
      </w:r>
      <w:r>
        <w:rPr>
          <w:spacing w:val="2"/>
          <w:w w:val="100"/>
        </w:rPr>
        <w:t>利</w:t>
      </w:r>
      <w:r>
        <w:rPr>
          <w:w w:val="100"/>
        </w:rPr>
        <w:t>用募</w:t>
      </w:r>
      <w:r>
        <w:rPr>
          <w:spacing w:val="2"/>
          <w:w w:val="100"/>
        </w:rPr>
        <w:t>投</w:t>
      </w:r>
      <w:r>
        <w:rPr>
          <w:w w:val="100"/>
        </w:rPr>
        <w:t>项</w:t>
      </w:r>
      <w:r>
        <w:rPr>
          <w:spacing w:val="3"/>
          <w:w w:val="100"/>
        </w:rPr>
        <w:t>目</w:t>
      </w:r>
      <w:r>
        <w:rPr>
          <w:rFonts w:ascii="Times New Roman" w:hAnsi="Times New Roman" w:cs="Times New Roman" w:eastAsia="Times New Roman" w:hint="default"/>
          <w:spacing w:val="-1"/>
          <w:w w:val="44"/>
        </w:rPr>
        <w:t>―</w:t>
      </w:r>
      <w:r>
        <w:rPr>
          <w:w w:val="100"/>
        </w:rPr>
        <w:t>热</w:t>
      </w:r>
      <w:r>
        <w:rPr>
          <w:spacing w:val="2"/>
          <w:w w:val="100"/>
        </w:rPr>
        <w:t>处</w:t>
      </w:r>
      <w:r>
        <w:rPr>
          <w:w w:val="100"/>
        </w:rPr>
        <w:t>理工艺</w:t>
      </w:r>
      <w:r>
        <w:rPr>
          <w:spacing w:val="2"/>
          <w:w w:val="100"/>
        </w:rPr>
        <w:t>装</w:t>
      </w:r>
      <w:r>
        <w:rPr>
          <w:w w:val="100"/>
        </w:rPr>
        <w:t>备技</w:t>
      </w:r>
      <w:r>
        <w:rPr>
          <w:spacing w:val="2"/>
          <w:w w:val="100"/>
        </w:rPr>
        <w:t>术</w:t>
      </w:r>
      <w:r>
        <w:rPr>
          <w:w w:val="100"/>
        </w:rPr>
        <w:t>研发</w:t>
      </w:r>
      <w:r>
        <w:rPr>
          <w:spacing w:val="2"/>
          <w:w w:val="100"/>
        </w:rPr>
        <w:t>中</w:t>
      </w:r>
      <w:r>
        <w:rPr>
          <w:spacing w:val="1"/>
          <w:w w:val="100"/>
        </w:rPr>
        <w:t>心</w:t>
      </w:r>
      <w:r>
        <w:rPr>
          <w:rFonts w:ascii="Times New Roman" w:hAnsi="Times New Roman" w:cs="Times New Roman" w:eastAsia="Times New Roman" w:hint="default"/>
          <w:spacing w:val="2"/>
          <w:w w:val="159"/>
        </w:rPr>
        <w:t>‖</w:t>
      </w:r>
      <w:r>
        <w:rPr>
          <w:w w:val="100"/>
        </w:rPr>
        <w:t>的 </w:t>
      </w:r>
      <w:r>
        <w:rPr>
          <w:spacing w:val="-2"/>
        </w:rPr>
        <w:t>平台，利用先进的研发、检测设备进行热处理设备和热处理加工工艺的研发，不断提升公司的核心竞争能</w:t>
      </w:r>
      <w:r>
        <w:rPr>
          <w:spacing w:val="-44"/>
        </w:rPr>
        <w:t> </w:t>
      </w:r>
      <w:r>
        <w:rPr>
          <w:spacing w:val="-44"/>
        </w:rPr>
      </w:r>
      <w:r>
        <w:rPr/>
        <w:t>力。</w:t>
      </w:r>
    </w:p>
    <w:p>
      <w:pPr>
        <w:pStyle w:val="BodyText"/>
        <w:spacing w:line="360" w:lineRule="auto" w:before="90"/>
        <w:ind w:right="1126" w:firstLine="482"/>
        <w:jc w:val="both"/>
      </w:pPr>
      <w:r>
        <w:rPr>
          <w:rFonts w:ascii="Times New Roman" w:hAnsi="Times New Roman" w:cs="Times New Roman" w:eastAsia="Times New Roman" w:hint="default"/>
          <w:b/>
          <w:bCs/>
        </w:rPr>
        <w:t>2.3</w:t>
      </w:r>
      <w:r>
        <w:rPr>
          <w:rFonts w:ascii="宋体" w:hAnsi="宋体" w:cs="宋体" w:eastAsia="宋体" w:hint="default"/>
          <w:b/>
          <w:bCs/>
        </w:rPr>
        <w:t>狠抓成本控制，有效提升经营效益。</w:t>
      </w:r>
      <w:r>
        <w:rPr>
          <w:rFonts w:ascii="Times New Roman" w:hAnsi="Times New Roman" w:cs="Times New Roman" w:eastAsia="Times New Roman" w:hint="default"/>
        </w:rPr>
        <w:t>2013</w:t>
      </w:r>
      <w:r>
        <w:rPr/>
        <w:t>年公司将成本控制作为核心管理工作来抓，一方面严格</w:t>
      </w:r>
      <w:r>
        <w:rPr>
          <w:w w:val="100"/>
        </w:rPr>
        <w:t> </w:t>
      </w:r>
      <w:r>
        <w:rPr>
          <w:spacing w:val="-2"/>
        </w:rPr>
        <w:t>控制设计成本，要求技术研发部门提高技术设计的一次成功率，从源头上控制因设计问题带来的返工及其</w:t>
      </w:r>
      <w:r>
        <w:rPr>
          <w:spacing w:val="-43"/>
        </w:rPr>
        <w:t> </w:t>
      </w:r>
      <w:r>
        <w:rPr>
          <w:spacing w:val="-43"/>
        </w:rPr>
      </w:r>
      <w:r>
        <w:rPr>
          <w:spacing w:val="-2"/>
        </w:rPr>
        <w:t>它成本费用的支出；另一方面更关键的是要加强采购成本的控制，将采购成本控制纳入相关职能部门的考</w:t>
      </w:r>
      <w:r>
        <w:rPr>
          <w:spacing w:val="-42"/>
        </w:rPr>
        <w:t> </w:t>
      </w:r>
      <w:r>
        <w:rPr>
          <w:spacing w:val="-42"/>
        </w:rPr>
      </w:r>
      <w:r>
        <w:rPr/>
        <w:t>核范畴。</w:t>
      </w:r>
    </w:p>
    <w:p>
      <w:pPr>
        <w:pStyle w:val="BodyText"/>
        <w:spacing w:line="357" w:lineRule="auto" w:before="88"/>
        <w:ind w:right="1129" w:firstLine="482"/>
        <w:jc w:val="both"/>
      </w:pPr>
      <w:r>
        <w:rPr>
          <w:rFonts w:ascii="Times New Roman" w:hAnsi="Times New Roman" w:cs="Times New Roman" w:eastAsia="Times New Roman" w:hint="default"/>
          <w:b/>
          <w:bCs/>
        </w:rPr>
        <w:t>2.4</w:t>
      </w:r>
      <w:r>
        <w:rPr>
          <w:rFonts w:ascii="宋体" w:hAnsi="宋体" w:cs="宋体" w:eastAsia="宋体" w:hint="default"/>
          <w:b/>
          <w:bCs/>
        </w:rPr>
        <w:t>完善考核体系，实现增效节支目标。</w:t>
      </w:r>
      <w:r>
        <w:rPr/>
        <w:t>公司将进一步完善考核方案，提高员工薪酬与公司整体经营</w:t>
      </w:r>
      <w:r>
        <w:rPr>
          <w:w w:val="100"/>
        </w:rPr>
        <w:t> </w:t>
      </w:r>
      <w:r>
        <w:rPr>
          <w:spacing w:val="-2"/>
        </w:rPr>
        <w:t>业绩以及具体职能分工的关联度。通过考核体系的完善，实现增加效益、节约成本的目标，真正体现效率</w:t>
      </w:r>
      <w:r>
        <w:rPr>
          <w:spacing w:val="-47"/>
        </w:rPr>
        <w:t> </w:t>
      </w:r>
      <w:r>
        <w:rPr>
          <w:spacing w:val="-47"/>
        </w:rPr>
      </w:r>
      <w:r>
        <w:rPr/>
        <w:t>公平、多劳多得，让公司经营利润率的增长部分与全体员工共享。</w:t>
      </w:r>
    </w:p>
    <w:p>
      <w:pPr>
        <w:pStyle w:val="BodyText"/>
        <w:spacing w:line="348" w:lineRule="auto" w:before="90"/>
        <w:ind w:right="1124" w:firstLine="482"/>
        <w:jc w:val="both"/>
      </w:pPr>
      <w:r>
        <w:rPr>
          <w:rFonts w:ascii="Times New Roman" w:hAnsi="Times New Roman" w:cs="Times New Roman" w:eastAsia="Times New Roman" w:hint="default"/>
          <w:b/>
          <w:bCs/>
          <w:w w:val="100"/>
        </w:rPr>
        <w:t>2.5</w:t>
      </w:r>
      <w:r>
        <w:rPr>
          <w:rFonts w:ascii="宋体" w:hAnsi="宋体" w:cs="宋体" w:eastAsia="宋体" w:hint="default"/>
          <w:b/>
          <w:bCs/>
          <w:spacing w:val="2"/>
          <w:w w:val="100"/>
        </w:rPr>
        <w:t>强化投资</w:t>
      </w:r>
      <w:r>
        <w:rPr>
          <w:rFonts w:ascii="宋体" w:hAnsi="宋体" w:cs="宋体" w:eastAsia="宋体" w:hint="default"/>
          <w:b/>
          <w:bCs/>
          <w:w w:val="100"/>
        </w:rPr>
        <w:t>管</w:t>
      </w:r>
      <w:r>
        <w:rPr>
          <w:rFonts w:ascii="宋体" w:hAnsi="宋体" w:cs="宋体" w:eastAsia="宋体" w:hint="default"/>
          <w:b/>
          <w:bCs/>
          <w:spacing w:val="2"/>
          <w:w w:val="100"/>
        </w:rPr>
        <w:t>理</w:t>
      </w:r>
      <w:r>
        <w:rPr>
          <w:rFonts w:ascii="宋体" w:hAnsi="宋体" w:cs="宋体" w:eastAsia="宋体" w:hint="default"/>
          <w:b/>
          <w:bCs/>
          <w:w w:val="100"/>
        </w:rPr>
        <w:t>，</w:t>
      </w:r>
      <w:r>
        <w:rPr>
          <w:rFonts w:ascii="宋体" w:hAnsi="宋体" w:cs="宋体" w:eastAsia="宋体" w:hint="default"/>
          <w:b/>
          <w:bCs/>
          <w:spacing w:val="2"/>
          <w:w w:val="100"/>
        </w:rPr>
        <w:t>促进</w:t>
      </w:r>
      <w:r>
        <w:rPr>
          <w:rFonts w:ascii="宋体" w:hAnsi="宋体" w:cs="宋体" w:eastAsia="宋体" w:hint="default"/>
          <w:b/>
          <w:bCs/>
          <w:w w:val="100"/>
        </w:rPr>
        <w:t>投</w:t>
      </w:r>
      <w:r>
        <w:rPr>
          <w:rFonts w:ascii="宋体" w:hAnsi="宋体" w:cs="宋体" w:eastAsia="宋体" w:hint="default"/>
          <w:b/>
          <w:bCs/>
          <w:spacing w:val="2"/>
          <w:w w:val="100"/>
        </w:rPr>
        <w:t>资效益</w:t>
      </w:r>
      <w:r>
        <w:rPr>
          <w:rFonts w:ascii="宋体" w:hAnsi="宋体" w:cs="宋体" w:eastAsia="宋体" w:hint="default"/>
          <w:b/>
          <w:bCs/>
          <w:w w:val="100"/>
        </w:rPr>
        <w:t>实</w:t>
      </w:r>
      <w:r>
        <w:rPr>
          <w:rFonts w:ascii="宋体" w:hAnsi="宋体" w:cs="宋体" w:eastAsia="宋体" w:hint="default"/>
          <w:b/>
          <w:bCs/>
          <w:spacing w:val="2"/>
          <w:w w:val="100"/>
        </w:rPr>
        <w:t>现</w:t>
      </w:r>
      <w:r>
        <w:rPr>
          <w:rFonts w:ascii="宋体" w:hAnsi="宋体" w:cs="宋体" w:eastAsia="宋体" w:hint="default"/>
          <w:b/>
          <w:bCs/>
          <w:spacing w:val="6"/>
          <w:w w:val="100"/>
        </w:rPr>
        <w:t>。</w:t>
      </w:r>
      <w:r>
        <w:rPr>
          <w:w w:val="100"/>
        </w:rPr>
        <w:t>公司将</w:t>
      </w:r>
      <w:r>
        <w:rPr>
          <w:spacing w:val="2"/>
          <w:w w:val="100"/>
        </w:rPr>
        <w:t>强</w:t>
      </w:r>
      <w:r>
        <w:rPr>
          <w:w w:val="100"/>
        </w:rPr>
        <w:t>化</w:t>
      </w:r>
      <w:r>
        <w:rPr>
          <w:spacing w:val="2"/>
          <w:w w:val="100"/>
        </w:rPr>
        <w:t>对</w:t>
      </w:r>
      <w:r>
        <w:rPr>
          <w:w w:val="100"/>
        </w:rPr>
        <w:t>子公</w:t>
      </w:r>
      <w:r>
        <w:rPr>
          <w:spacing w:val="2"/>
          <w:w w:val="100"/>
        </w:rPr>
        <w:t>司</w:t>
      </w:r>
      <w:r>
        <w:rPr>
          <w:w w:val="100"/>
        </w:rPr>
        <w:t>的管</w:t>
      </w:r>
      <w:r>
        <w:rPr>
          <w:spacing w:val="2"/>
          <w:w w:val="100"/>
        </w:rPr>
        <w:t>理</w:t>
      </w:r>
      <w:r>
        <w:rPr>
          <w:w w:val="100"/>
        </w:rPr>
        <w:t>，实</w:t>
      </w:r>
      <w:r>
        <w:rPr>
          <w:spacing w:val="3"/>
          <w:w w:val="100"/>
        </w:rPr>
        <w:t>施</w:t>
      </w:r>
      <w:r>
        <w:rPr>
          <w:rFonts w:ascii="Times New Roman" w:hAnsi="Times New Roman" w:cs="Times New Roman" w:eastAsia="Times New Roman" w:hint="default"/>
          <w:spacing w:val="-1"/>
          <w:w w:val="44"/>
        </w:rPr>
        <w:t>―</w:t>
      </w:r>
      <w:r>
        <w:rPr>
          <w:w w:val="100"/>
        </w:rPr>
        <w:t>主</w:t>
      </w:r>
      <w:r>
        <w:rPr>
          <w:spacing w:val="2"/>
          <w:w w:val="100"/>
        </w:rPr>
        <w:t>要</w:t>
      </w:r>
      <w:r>
        <w:rPr>
          <w:w w:val="100"/>
        </w:rPr>
        <w:t>负责</w:t>
      </w:r>
      <w:r>
        <w:rPr>
          <w:spacing w:val="2"/>
          <w:w w:val="100"/>
        </w:rPr>
        <w:t>人</w:t>
      </w:r>
      <w:r>
        <w:rPr>
          <w:w w:val="100"/>
        </w:rPr>
        <w:t>挂钩</w:t>
      </w:r>
      <w:r>
        <w:rPr>
          <w:spacing w:val="3"/>
          <w:w w:val="100"/>
        </w:rPr>
        <w:t>制</w:t>
      </w:r>
      <w:r>
        <w:rPr>
          <w:rFonts w:ascii="Times New Roman" w:hAnsi="Times New Roman" w:cs="Times New Roman" w:eastAsia="Times New Roman" w:hint="default"/>
          <w:spacing w:val="-1"/>
          <w:w w:val="159"/>
        </w:rPr>
        <w:t>‖</w:t>
      </w:r>
      <w:r>
        <w:rPr>
          <w:spacing w:val="2"/>
          <w:w w:val="100"/>
        </w:rPr>
        <w:t>，根 </w:t>
      </w:r>
      <w:r>
        <w:rPr>
          <w:spacing w:val="-2"/>
        </w:rPr>
        <w:t>据</w:t>
      </w:r>
      <w:r>
        <w:rPr>
          <w:rFonts w:ascii="Times New Roman" w:hAnsi="Times New Roman" w:cs="Times New Roman" w:eastAsia="Times New Roman" w:hint="default"/>
          <w:spacing w:val="-2"/>
        </w:rPr>
        <w:t>2012</w:t>
      </w:r>
      <w:r>
        <w:rPr>
          <w:spacing w:val="-2"/>
        </w:rPr>
        <w:t>年度子公司经营业绩的排名情况，对排名靠后的子公司由母公司主要负责人挂钩重点管理，通过强</w:t>
      </w:r>
      <w:r>
        <w:rPr>
          <w:spacing w:val="-39"/>
        </w:rPr>
        <w:t> </w:t>
      </w:r>
      <w:r>
        <w:rPr>
          <w:spacing w:val="-39"/>
        </w:rPr>
      </w:r>
      <w:r>
        <w:rPr/>
        <w:t>化管理促进投资效益的尽快实现。</w:t>
      </w:r>
    </w:p>
    <w:p>
      <w:pPr>
        <w:pStyle w:val="BodyText"/>
        <w:spacing w:line="357" w:lineRule="auto" w:before="98"/>
        <w:ind w:right="1126" w:firstLine="482"/>
        <w:jc w:val="both"/>
      </w:pPr>
      <w:r>
        <w:rPr>
          <w:rFonts w:ascii="Times New Roman" w:hAnsi="Times New Roman" w:cs="Times New Roman" w:eastAsia="Times New Roman" w:hint="default"/>
          <w:b/>
          <w:bCs/>
        </w:rPr>
        <w:t>2.6</w:t>
      </w:r>
      <w:r>
        <w:rPr>
          <w:rFonts w:ascii="宋体" w:hAnsi="宋体" w:cs="宋体" w:eastAsia="宋体" w:hint="default"/>
          <w:b/>
          <w:bCs/>
        </w:rPr>
        <w:t>建立人才储备，保持持续长远发展。</w:t>
      </w:r>
      <w:r>
        <w:rPr/>
        <w:t>公司进行热处理加工网点的建设和新型热处理设备的开发需</w:t>
      </w:r>
      <w:r>
        <w:rPr>
          <w:w w:val="100"/>
        </w:rPr>
        <w:t> </w:t>
      </w:r>
      <w:r>
        <w:rPr>
          <w:spacing w:val="-2"/>
        </w:rPr>
        <w:t>要大量高素质的人才，尤其是热处理加工业务对管理、技术复合型人才及优秀的财务人员有较大需求，公</w:t>
      </w:r>
      <w:r>
        <w:rPr>
          <w:spacing w:val="-43"/>
        </w:rPr>
        <w:t> </w:t>
      </w:r>
      <w:r>
        <w:rPr>
          <w:spacing w:val="-43"/>
        </w:rPr>
      </w:r>
      <w:r>
        <w:rPr/>
        <w:t>司将通过内部培养和外部引进，建立人才储备，确保人才供给能够满足公司持续长远发展的需要。</w:t>
      </w:r>
    </w:p>
    <w:p>
      <w:pPr>
        <w:pStyle w:val="BodyText"/>
        <w:spacing w:line="360" w:lineRule="auto" w:before="90"/>
        <w:ind w:right="1126" w:firstLine="482"/>
        <w:jc w:val="both"/>
      </w:pPr>
      <w:r>
        <w:rPr>
          <w:rFonts w:ascii="Times New Roman" w:hAnsi="Times New Roman" w:cs="Times New Roman" w:eastAsia="Times New Roman" w:hint="default"/>
          <w:b/>
          <w:bCs/>
        </w:rPr>
        <w:t>2.7</w:t>
      </w:r>
      <w:r>
        <w:rPr>
          <w:rFonts w:ascii="宋体" w:hAnsi="宋体" w:cs="宋体" w:eastAsia="宋体" w:hint="default"/>
          <w:b/>
          <w:bCs/>
        </w:rPr>
        <w:t>做好项目论证，合理利用募集资金。</w:t>
      </w:r>
      <w:r>
        <w:rPr>
          <w:rFonts w:ascii="Times New Roman" w:hAnsi="Times New Roman" w:cs="Times New Roman" w:eastAsia="Times New Roman" w:hint="default"/>
        </w:rPr>
        <w:t>2013</w:t>
      </w:r>
      <w:r>
        <w:rPr/>
        <w:t>年公司一方面将对目前进展缓慢的募投项目进行深入分</w:t>
      </w:r>
      <w:r>
        <w:rPr>
          <w:w w:val="100"/>
        </w:rPr>
        <w:t> </w:t>
      </w:r>
      <w:r>
        <w:rPr>
          <w:spacing w:val="-2"/>
        </w:rPr>
        <w:t>析和认真论证，对市场环境可能发生变化、投资收益不佳的募投项目暂缓投入；另一方面将进一步调研市</w:t>
      </w:r>
      <w:r>
        <w:rPr>
          <w:spacing w:val="-44"/>
        </w:rPr>
        <w:t> </w:t>
      </w:r>
      <w:r>
        <w:rPr>
          <w:spacing w:val="-44"/>
        </w:rPr>
      </w:r>
      <w:r>
        <w:rPr>
          <w:spacing w:val="-2"/>
        </w:rPr>
        <w:t>场，整合资源，拓宽业务渠道，稳妥推进项目实施。公司将合理使用募集资金，努力提高募集资金的使用</w:t>
      </w:r>
      <w:r>
        <w:rPr>
          <w:spacing w:val="-43"/>
        </w:rPr>
        <w:t> </w:t>
      </w:r>
      <w:r>
        <w:rPr>
          <w:spacing w:val="-43"/>
        </w:rPr>
      </w:r>
      <w:r>
        <w:rPr/>
        <w:t>效率和效益。</w:t>
      </w:r>
    </w:p>
    <w:p>
      <w:pPr>
        <w:pStyle w:val="BodyText"/>
        <w:spacing w:line="357" w:lineRule="auto" w:before="88"/>
        <w:ind w:right="0" w:firstLine="482"/>
        <w:jc w:val="left"/>
      </w:pPr>
      <w:r>
        <w:rPr>
          <w:rFonts w:ascii="Times New Roman" w:hAnsi="Times New Roman" w:cs="Times New Roman" w:eastAsia="Times New Roman" w:hint="default"/>
          <w:b/>
          <w:bCs/>
          <w:spacing w:val="-2"/>
        </w:rPr>
        <w:t>2.8</w:t>
      </w:r>
      <w:r>
        <w:rPr>
          <w:rFonts w:ascii="宋体" w:hAnsi="宋体" w:cs="宋体" w:eastAsia="宋体" w:hint="default"/>
          <w:b/>
          <w:bCs/>
          <w:spacing w:val="-2"/>
        </w:rPr>
        <w:t>提升管理水平，完善法人治理结构。</w:t>
      </w:r>
      <w:r>
        <w:rPr>
          <w:spacing w:val="-2"/>
        </w:rPr>
        <w:t>公司将持续提升规范运作水平，不断完善公司法人治理结构，</w:t>
      </w:r>
      <w:r>
        <w:rPr>
          <w:w w:val="100"/>
        </w:rPr>
        <w:t> </w:t>
      </w:r>
      <w:r>
        <w:rPr>
          <w:spacing w:val="-2"/>
        </w:rPr>
        <w:t>强化激励与约束机制，从制度、程序上保证股东大会、董事会、监事会、经理层各司其职、各负其责；与</w:t>
      </w:r>
      <w:r>
        <w:rPr>
          <w:spacing w:val="-49"/>
        </w:rPr>
        <w:t> </w:t>
      </w:r>
      <w:r>
        <w:rPr>
          <w:spacing w:val="-49"/>
        </w:rPr>
      </w:r>
      <w:r>
        <w:rPr/>
        <w:t>此同时，建立健全各项内控制度，确保在实际工作中得以有效执行和实施，防范企业经营风险。</w:t>
      </w:r>
    </w:p>
    <w:p>
      <w:pPr>
        <w:spacing w:line="408" w:lineRule="auto" w:before="162"/>
        <w:ind w:left="653" w:right="0" w:hanging="245"/>
        <w:jc w:val="left"/>
        <w:rPr>
          <w:rFonts w:ascii="宋体" w:hAnsi="宋体" w:cs="宋体" w:eastAsia="宋体" w:hint="default"/>
          <w:sz w:val="21"/>
          <w:szCs w:val="21"/>
        </w:rPr>
      </w:pPr>
      <w:r>
        <w:rPr>
          <w:rFonts w:ascii="宋体" w:hAnsi="宋体" w:cs="宋体" w:eastAsia="宋体" w:hint="default"/>
          <w:b/>
          <w:bCs/>
          <w:sz w:val="21"/>
          <w:szCs w:val="21"/>
        </w:rPr>
        <w:t>（四）资金需求及使用计划</w:t>
      </w:r>
      <w:r>
        <w:rPr>
          <w:rFonts w:ascii="宋体" w:hAnsi="宋体" w:cs="宋体" w:eastAsia="宋体" w:hint="default"/>
          <w:b/>
          <w:bCs/>
          <w:w w:val="100"/>
          <w:sz w:val="21"/>
          <w:szCs w:val="21"/>
        </w:rPr>
        <w:t> </w:t>
      </w:r>
      <w:r>
        <w:rPr>
          <w:rFonts w:ascii="宋体" w:hAnsi="宋体" w:cs="宋体" w:eastAsia="宋体" w:hint="default"/>
          <w:spacing w:val="-4"/>
          <w:sz w:val="21"/>
          <w:szCs w:val="21"/>
        </w:rPr>
        <w:t>公司目前财务状况良好，可以满足生产经营需要。公司公开发行股票所募集资金，为未来公司发展提</w:t>
      </w:r>
    </w:p>
    <w:p>
      <w:pPr>
        <w:pStyle w:val="BodyText"/>
        <w:spacing w:line="273" w:lineRule="exact"/>
        <w:ind w:right="0"/>
        <w:jc w:val="left"/>
      </w:pPr>
      <w:r>
        <w:rPr/>
        <w:t>供了资金保证。公司将本着审慎的原则，严格执行上市公司募集资金使用的相关规定，管好、用好募集资</w:t>
      </w:r>
    </w:p>
    <w:p>
      <w:pPr>
        <w:spacing w:after="0" w:line="273" w:lineRule="exact"/>
        <w:jc w:val="left"/>
        <w:sectPr>
          <w:pgSz w:w="11910" w:h="16840"/>
          <w:pgMar w:header="706" w:footer="1306" w:top="1060" w:bottom="1540" w:left="96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367" w:lineRule="auto"/>
        <w:ind w:right="1131"/>
        <w:jc w:val="both"/>
      </w:pPr>
      <w:r>
        <w:rPr>
          <w:spacing w:val="-2"/>
        </w:rPr>
        <w:t>金。公司将进一步充分调研市场，研究同行业对手状况，联合有技术和有市场的各类资源，拓宽公司的产</w:t>
      </w:r>
      <w:r>
        <w:rPr>
          <w:spacing w:val="-50"/>
        </w:rPr>
        <w:t> </w:t>
      </w:r>
      <w:r>
        <w:rPr>
          <w:spacing w:val="-50"/>
        </w:rPr>
      </w:r>
      <w:r>
        <w:rPr/>
        <w:t>品线和业务渠道，加强产业资本和金融资本的相结合，提高公司资金的使用效率。</w:t>
      </w:r>
    </w:p>
    <w:p>
      <w:pPr>
        <w:pStyle w:val="BodyText"/>
        <w:spacing w:line="345" w:lineRule="auto" w:before="154"/>
        <w:ind w:right="1128" w:firstLine="480"/>
        <w:jc w:val="both"/>
      </w:pPr>
      <w:r>
        <w:rPr>
          <w:rFonts w:ascii="Times New Roman" w:hAnsi="Times New Roman" w:cs="Times New Roman" w:eastAsia="Times New Roman" w:hint="default"/>
          <w:spacing w:val="-4"/>
        </w:rPr>
        <w:t>2013</w:t>
      </w:r>
      <w:r>
        <w:rPr>
          <w:spacing w:val="-4"/>
        </w:rPr>
        <w:t>年公司将根据市场调研和论证的情况，对公司主营业务有良好成长性发展的项目，将尽快着手落</w:t>
      </w:r>
      <w:r>
        <w:rPr>
          <w:w w:val="100"/>
        </w:rPr>
        <w:t> </w:t>
      </w:r>
      <w:r>
        <w:rPr/>
        <w:t>实。该部分项目建设资金的使用时点和额度尚不能确定。</w:t>
      </w:r>
    </w:p>
    <w:p>
      <w:pPr>
        <w:pStyle w:val="Heading4"/>
        <w:spacing w:line="240" w:lineRule="auto" w:before="172"/>
        <w:ind w:left="526" w:right="0"/>
        <w:jc w:val="left"/>
        <w:rPr>
          <w:b w:val="0"/>
          <w:bCs w:val="0"/>
        </w:rPr>
      </w:pPr>
      <w:r>
        <w:rPr/>
        <w:t>（五）可能面临的风险及应对措施</w:t>
      </w:r>
      <w:r>
        <w:rPr>
          <w:b w:val="0"/>
          <w:bCs w:val="0"/>
        </w:rPr>
      </w:r>
    </w:p>
    <w:p>
      <w:pPr>
        <w:spacing w:line="240" w:lineRule="auto" w:before="10"/>
        <w:rPr>
          <w:rFonts w:ascii="宋体" w:hAnsi="宋体" w:cs="宋体" w:eastAsia="宋体" w:hint="default"/>
          <w:b/>
          <w:bCs/>
          <w:sz w:val="14"/>
          <w:szCs w:val="14"/>
        </w:rPr>
      </w:pPr>
    </w:p>
    <w:p>
      <w:pPr>
        <w:pStyle w:val="BodyText"/>
        <w:spacing w:line="388" w:lineRule="auto"/>
        <w:ind w:left="653" w:right="1124" w:firstLine="2"/>
        <w:jc w:val="left"/>
      </w:pPr>
      <w:r>
        <w:rPr>
          <w:rFonts w:ascii="Times New Roman" w:hAnsi="Times New Roman" w:cs="Times New Roman" w:eastAsia="Times New Roman" w:hint="default"/>
          <w:b/>
          <w:bCs/>
        </w:rPr>
        <w:t>1</w:t>
      </w:r>
      <w:r>
        <w:rPr>
          <w:rFonts w:ascii="宋体" w:hAnsi="宋体" w:cs="宋体" w:eastAsia="宋体" w:hint="default"/>
          <w:b/>
          <w:bCs/>
        </w:rPr>
        <w:t>、市场风险</w:t>
      </w:r>
      <w:r>
        <w:rPr>
          <w:rFonts w:ascii="宋体" w:hAnsi="宋体" w:cs="宋体" w:eastAsia="宋体" w:hint="default"/>
          <w:b/>
          <w:bCs/>
          <w:w w:val="100"/>
        </w:rPr>
        <w:t> </w:t>
      </w:r>
      <w:r>
        <w:rPr>
          <w:spacing w:val="-4"/>
        </w:rPr>
        <w:t>热处理是机械工业的重要组成部分，是现代制造业生产链上不可或缺的极其重要环节。热处理行业的</w:t>
      </w:r>
    </w:p>
    <w:p>
      <w:pPr>
        <w:pStyle w:val="BodyText"/>
        <w:spacing w:line="367" w:lineRule="auto" w:before="17"/>
        <w:ind w:right="1126"/>
        <w:jc w:val="both"/>
      </w:pPr>
      <w:r>
        <w:rPr>
          <w:spacing w:val="-2"/>
        </w:rPr>
        <w:t>市场需求与下游行业的发展和景气度具有较强的联动性，而下游机械制造行业容易受到经济景气周期和国</w:t>
      </w:r>
      <w:r>
        <w:rPr>
          <w:spacing w:val="-43"/>
        </w:rPr>
        <w:t> </w:t>
      </w:r>
      <w:r>
        <w:rPr>
          <w:spacing w:val="-43"/>
        </w:rPr>
      </w:r>
      <w:r>
        <w:rPr>
          <w:spacing w:val="-2"/>
        </w:rPr>
        <w:t>家调控政策影响，如果机械制造行业不景气或者发生重大不利变化，将会对公司的生产经营产生直接的负</w:t>
      </w:r>
      <w:r>
        <w:rPr>
          <w:spacing w:val="-43"/>
        </w:rPr>
        <w:t> </w:t>
      </w:r>
      <w:r>
        <w:rPr>
          <w:spacing w:val="-43"/>
        </w:rPr>
      </w:r>
      <w:r>
        <w:rPr/>
        <w:t>面影响。</w:t>
      </w:r>
    </w:p>
    <w:p>
      <w:pPr>
        <w:pStyle w:val="BodyText"/>
        <w:spacing w:line="367" w:lineRule="auto" w:before="82"/>
        <w:ind w:right="1126" w:firstLine="480"/>
        <w:jc w:val="both"/>
      </w:pPr>
      <w:r>
        <w:rPr>
          <w:spacing w:val="-4"/>
        </w:rPr>
        <w:t>为减少这些客观因素对公司主营业务的影响，公司必须在市场开拓、产品研发、持续创新上给予更大</w:t>
      </w:r>
      <w:r>
        <w:rPr>
          <w:w w:val="100"/>
        </w:rPr>
        <w:t> </w:t>
      </w:r>
      <w:r>
        <w:rPr>
          <w:spacing w:val="-2"/>
        </w:rPr>
        <w:t>的投入，从而开拓更多行业的客户，使公司的主营业务服务范围扩大到更多的领域，分散客户行业的集中</w:t>
      </w:r>
      <w:r>
        <w:rPr>
          <w:spacing w:val="-43"/>
        </w:rPr>
        <w:t> </w:t>
      </w:r>
      <w:r>
        <w:rPr>
          <w:spacing w:val="-43"/>
        </w:rPr>
      </w:r>
      <w:r>
        <w:rPr/>
        <w:t>度。</w:t>
      </w:r>
    </w:p>
    <w:p>
      <w:pPr>
        <w:pStyle w:val="BodyText"/>
        <w:spacing w:line="446" w:lineRule="auto" w:before="154"/>
        <w:ind w:left="653" w:right="1124" w:firstLine="2"/>
        <w:jc w:val="left"/>
      </w:pPr>
      <w:r>
        <w:rPr>
          <w:rFonts w:ascii="Times New Roman" w:hAnsi="Times New Roman" w:cs="Times New Roman" w:eastAsia="Times New Roman" w:hint="default"/>
          <w:b/>
          <w:bCs/>
        </w:rPr>
        <w:t>2</w:t>
      </w:r>
      <w:r>
        <w:rPr>
          <w:rFonts w:ascii="宋体" w:hAnsi="宋体" w:cs="宋体" w:eastAsia="宋体" w:hint="default"/>
          <w:b/>
          <w:bCs/>
        </w:rPr>
        <w:t>、管理风险</w:t>
      </w:r>
      <w:r>
        <w:rPr>
          <w:rFonts w:ascii="宋体" w:hAnsi="宋体" w:cs="宋体" w:eastAsia="宋体" w:hint="default"/>
          <w:b/>
          <w:bCs/>
          <w:w w:val="100"/>
        </w:rPr>
        <w:t> </w:t>
      </w:r>
      <w:r>
        <w:rPr>
          <w:spacing w:val="-4"/>
        </w:rPr>
        <w:t>伴随着公司生产经营规模的进一步扩大，将对现有的管理体系、管理人员提出更高的要求。尽管公司</w:t>
      </w:r>
    </w:p>
    <w:p>
      <w:pPr>
        <w:pStyle w:val="BodyText"/>
        <w:spacing w:line="239" w:lineRule="exact"/>
        <w:ind w:right="0"/>
        <w:jc w:val="both"/>
      </w:pPr>
      <w:r>
        <w:rPr/>
        <w:t>已经积累了较丰富的企业管理经验，建立了规范的法人治理结构和健全的内部控制制度，生产经营能保持</w:t>
      </w:r>
    </w:p>
    <w:p>
      <w:pPr>
        <w:pStyle w:val="BodyText"/>
        <w:spacing w:line="367" w:lineRule="auto" w:before="145"/>
        <w:ind w:right="1126"/>
        <w:jc w:val="both"/>
      </w:pPr>
      <w:r>
        <w:rPr>
          <w:spacing w:val="-2"/>
        </w:rPr>
        <w:t>有序运行，但是如果公司管理水平不能随着公司业务规模的扩大而提高，将会对公司的发展构成一定的制</w:t>
      </w:r>
      <w:r>
        <w:rPr>
          <w:spacing w:val="-43"/>
        </w:rPr>
        <w:t> </w:t>
      </w:r>
      <w:r>
        <w:rPr>
          <w:spacing w:val="-43"/>
        </w:rPr>
      </w:r>
      <w:r>
        <w:rPr/>
        <w:t>约风险。</w:t>
      </w:r>
    </w:p>
    <w:p>
      <w:pPr>
        <w:pStyle w:val="BodyText"/>
        <w:spacing w:line="367" w:lineRule="auto" w:before="154"/>
        <w:ind w:right="1126" w:firstLine="480"/>
        <w:jc w:val="both"/>
      </w:pPr>
      <w:r>
        <w:rPr>
          <w:spacing w:val="-4"/>
        </w:rPr>
        <w:t>对此，公司一方面需要进一步完善现有管理体系和内部控制制度，强化内控制度的执行与评估，加强</w:t>
      </w:r>
      <w:r>
        <w:rPr>
          <w:w w:val="100"/>
        </w:rPr>
        <w:t> </w:t>
      </w:r>
      <w:r>
        <w:rPr>
          <w:spacing w:val="-2"/>
        </w:rPr>
        <w:t>对子公司的有效控制；另一方面通过内部培养和外部引进、完善公司绩效考核体系，储备具有高素质的管</w:t>
      </w:r>
      <w:r>
        <w:rPr>
          <w:spacing w:val="-43"/>
        </w:rPr>
        <w:t> </w:t>
      </w:r>
      <w:r>
        <w:rPr>
          <w:spacing w:val="-43"/>
        </w:rPr>
      </w:r>
      <w:r>
        <w:rPr/>
        <w:t>理、技术复合型人才和营销、技术复合型人才，提升管理能力和经营效率，满足公司长远发展的需要。</w:t>
      </w:r>
    </w:p>
    <w:p>
      <w:pPr>
        <w:pStyle w:val="BodyText"/>
        <w:spacing w:line="446" w:lineRule="auto" w:before="154"/>
        <w:ind w:left="653" w:right="1124" w:firstLine="2"/>
        <w:jc w:val="left"/>
      </w:pPr>
      <w:r>
        <w:rPr>
          <w:rFonts w:ascii="Times New Roman" w:hAnsi="Times New Roman" w:cs="Times New Roman" w:eastAsia="Times New Roman" w:hint="default"/>
          <w:b/>
          <w:bCs/>
        </w:rPr>
        <w:t>3</w:t>
      </w:r>
      <w:r>
        <w:rPr>
          <w:rFonts w:ascii="宋体" w:hAnsi="宋体" w:cs="宋体" w:eastAsia="宋体" w:hint="default"/>
          <w:b/>
          <w:bCs/>
        </w:rPr>
        <w:t>、项目风险</w:t>
      </w:r>
      <w:r>
        <w:rPr>
          <w:rFonts w:ascii="宋体" w:hAnsi="宋体" w:cs="宋体" w:eastAsia="宋体" w:hint="default"/>
          <w:b/>
          <w:bCs/>
          <w:w w:val="100"/>
        </w:rPr>
        <w:t> </w:t>
      </w:r>
      <w:r>
        <w:rPr>
          <w:spacing w:val="-4"/>
        </w:rPr>
        <w:t>受整体经济环境的影响，募投项目的市场条件可能会发生变化，市场竞争加剧，部分募投项目的投资</w:t>
      </w:r>
    </w:p>
    <w:p>
      <w:pPr>
        <w:pStyle w:val="BodyText"/>
        <w:spacing w:line="239" w:lineRule="exact"/>
        <w:ind w:right="0"/>
        <w:jc w:val="both"/>
      </w:pPr>
      <w:r>
        <w:rPr/>
        <w:t>进度和投资效益可能不能实现当初的预期，从而会影响公司的整体经营业绩。</w:t>
      </w:r>
    </w:p>
    <w:p>
      <w:pPr>
        <w:spacing w:line="240" w:lineRule="auto" w:before="4"/>
        <w:rPr>
          <w:rFonts w:ascii="宋体" w:hAnsi="宋体" w:cs="宋体" w:eastAsia="宋体" w:hint="default"/>
          <w:sz w:val="20"/>
          <w:szCs w:val="20"/>
        </w:rPr>
      </w:pPr>
    </w:p>
    <w:p>
      <w:pPr>
        <w:pStyle w:val="BodyText"/>
        <w:spacing w:line="367" w:lineRule="auto"/>
        <w:ind w:right="1105" w:firstLine="480"/>
        <w:jc w:val="both"/>
      </w:pPr>
      <w:r>
        <w:rPr>
          <w:spacing w:val="-4"/>
        </w:rPr>
        <w:t>公司建设的募投项目是在前期充分论证的基础上形成的，同时经过多年的积累，公司已经具备了一定</w:t>
      </w:r>
      <w:r>
        <w:rPr>
          <w:w w:val="100"/>
        </w:rPr>
        <w:t> </w:t>
      </w:r>
      <w:r>
        <w:rPr>
          <w:spacing w:val="-2"/>
        </w:rPr>
        <w:t>的热处理加工技术和管理的经验，具有长期稳定的客户基础，一旦外部市场条件有变，公司会早做打算，</w:t>
      </w:r>
      <w:r>
        <w:rPr>
          <w:spacing w:val="-21"/>
        </w:rPr>
        <w:t> </w:t>
      </w:r>
      <w:r>
        <w:rPr>
          <w:spacing w:val="-21"/>
        </w:rPr>
      </w:r>
      <w:r>
        <w:rPr>
          <w:spacing w:val="-2"/>
        </w:rPr>
        <w:t>并积极充分地进行市场可行性调研与论证，适时调整募投项目的投资策略，使募投项目的建设不仅在进度</w:t>
      </w:r>
      <w:r>
        <w:rPr>
          <w:spacing w:val="-43"/>
        </w:rPr>
        <w:t> </w:t>
      </w:r>
      <w:r>
        <w:rPr>
          <w:spacing w:val="-43"/>
        </w:rPr>
      </w:r>
      <w:r>
        <w:rPr/>
        <w:t>上有要求，更要使募投项目的建设质量有保障。</w:t>
      </w:r>
    </w:p>
    <w:p>
      <w:pPr>
        <w:spacing w:after="0" w:line="367" w:lineRule="auto"/>
        <w:jc w:val="both"/>
        <w:sectPr>
          <w:pgSz w:w="11910" w:h="16840"/>
          <w:pgMar w:header="706" w:footer="1306" w:top="1060" w:bottom="1540" w:left="96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八、董事会对会计师事务所本报告期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698" w:right="0"/>
        <w:jc w:val="left"/>
      </w:pPr>
      <w:r>
        <w:rPr>
          <w:w w:val="100"/>
        </w:rPr>
        <w:t>董事</w:t>
      </w:r>
      <w:r>
        <w:rPr>
          <w:spacing w:val="-3"/>
          <w:w w:val="100"/>
        </w:rPr>
        <w:t>会</w:t>
      </w:r>
      <w:r>
        <w:rPr>
          <w:w w:val="100"/>
        </w:rPr>
        <w:t>对</w:t>
      </w:r>
      <w:r>
        <w:rPr>
          <w:spacing w:val="-3"/>
          <w:w w:val="100"/>
        </w:rPr>
        <w:t>会</w:t>
      </w:r>
      <w:r>
        <w:rPr>
          <w:w w:val="100"/>
        </w:rPr>
        <w:t>计</w:t>
      </w:r>
      <w:r>
        <w:rPr>
          <w:spacing w:val="-3"/>
          <w:w w:val="100"/>
        </w:rPr>
        <w:t>师</w:t>
      </w:r>
      <w:r>
        <w:rPr>
          <w:w w:val="100"/>
        </w:rPr>
        <w:t>事</w:t>
      </w:r>
      <w:r>
        <w:rPr>
          <w:spacing w:val="-3"/>
          <w:w w:val="100"/>
        </w:rPr>
        <w:t>务</w:t>
      </w:r>
      <w:r>
        <w:rPr>
          <w:w w:val="100"/>
        </w:rPr>
        <w:t>所</w:t>
      </w:r>
      <w:r>
        <w:rPr>
          <w:spacing w:val="-3"/>
          <w:w w:val="100"/>
        </w:rPr>
        <w:t>本</w:t>
      </w:r>
      <w:r>
        <w:rPr>
          <w:w w:val="100"/>
        </w:rPr>
        <w:t>报告</w:t>
      </w:r>
      <w:r>
        <w:rPr>
          <w:spacing w:val="-3"/>
          <w:w w:val="100"/>
        </w:rPr>
        <w:t>期</w:t>
      </w:r>
      <w:r>
        <w:rPr>
          <w:w w:val="100"/>
        </w:rPr>
        <w:t>无</w:t>
      </w:r>
      <w:r>
        <w:rPr>
          <w:rFonts w:ascii="Times New Roman" w:hAnsi="Times New Roman" w:cs="Times New Roman" w:eastAsia="Times New Roman" w:hint="default"/>
          <w:spacing w:val="-3"/>
          <w:w w:val="44"/>
        </w:rPr>
        <w:t>―</w:t>
      </w:r>
      <w:r>
        <w:rPr>
          <w:w w:val="100"/>
        </w:rPr>
        <w:t>非</w:t>
      </w:r>
      <w:r>
        <w:rPr>
          <w:spacing w:val="-3"/>
          <w:w w:val="100"/>
        </w:rPr>
        <w:t>标</w:t>
      </w:r>
      <w:r>
        <w:rPr>
          <w:w w:val="100"/>
        </w:rPr>
        <w:t>准</w:t>
      </w:r>
      <w:r>
        <w:rPr>
          <w:spacing w:val="-3"/>
          <w:w w:val="100"/>
        </w:rPr>
        <w:t>审</w:t>
      </w:r>
      <w:r>
        <w:rPr>
          <w:w w:val="100"/>
        </w:rPr>
        <w:t>计</w:t>
      </w:r>
      <w:r>
        <w:rPr>
          <w:spacing w:val="-3"/>
          <w:w w:val="100"/>
        </w:rPr>
        <w:t>报告</w:t>
      </w:r>
      <w:r>
        <w:rPr>
          <w:rFonts w:ascii="Times New Roman" w:hAnsi="Times New Roman" w:cs="Times New Roman" w:eastAsia="Times New Roman" w:hint="default"/>
          <w:spacing w:val="-1"/>
          <w:w w:val="159"/>
        </w:rPr>
        <w:t>‖</w:t>
      </w:r>
      <w:r>
        <w:rPr>
          <w:w w:val="100"/>
        </w:rPr>
        <w:t>的</w:t>
      </w:r>
      <w:r>
        <w:rPr>
          <w:spacing w:val="-3"/>
          <w:w w:val="100"/>
        </w:rPr>
        <w:t>说</w:t>
      </w:r>
      <w:r>
        <w:rPr>
          <w:w w:val="100"/>
        </w:rPr>
        <w:t>明</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r>
        <w:rPr/>
        <w:t>九、与上年度财务报告相比，会计政策、会计估计和核算方法发生变化的情况说明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698" w:right="0"/>
        <w:jc w:val="left"/>
      </w:pPr>
      <w:r>
        <w:rPr/>
        <w:t>与上年度财务报告相比，会计政策、会计估计和核算方法未发生变化的情况</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十、报告期内发生重大会计差错更正需追溯重述的情况说明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698" w:right="0"/>
        <w:jc w:val="left"/>
      </w:pPr>
      <w:r>
        <w:rPr/>
        <w:t>报告期内未发生重大会计差错更正需追溯重述的情况</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十一、与上年度财务报告相比，合并报表范围发生变化的情况说明</w:t>
      </w:r>
      <w:r>
        <w:rPr>
          <w:b w:val="0"/>
          <w:bCs w:val="0"/>
        </w:rPr>
      </w:r>
    </w:p>
    <w:p>
      <w:pPr>
        <w:spacing w:line="240" w:lineRule="auto" w:before="9"/>
        <w:rPr>
          <w:rFonts w:ascii="宋体" w:hAnsi="宋体" w:cs="宋体" w:eastAsia="宋体" w:hint="default"/>
          <w:b/>
          <w:bCs/>
          <w:sz w:val="24"/>
          <w:szCs w:val="24"/>
        </w:rPr>
      </w:pPr>
    </w:p>
    <w:p>
      <w:pPr>
        <w:pStyle w:val="BodyText"/>
        <w:spacing w:line="256" w:lineRule="auto"/>
        <w:ind w:right="0" w:firstLine="420"/>
        <w:jc w:val="left"/>
      </w:pPr>
      <w:r>
        <w:rPr>
          <w:spacing w:val="-2"/>
        </w:rPr>
        <w:t>本报告期合并范围变更情况：</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月底，孙公司上海丰东热处理工程有限公司（上海昂先实业有</w:t>
      </w:r>
      <w:r>
        <w:rPr>
          <w:w w:val="100"/>
        </w:rPr>
        <w:t> </w:t>
      </w:r>
      <w:r>
        <w:rPr/>
        <w:t>限公司原子公司）完成全部注销手续，不再纳入合并报表范围。</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r>
        <w:rPr/>
        <w:t>十二、公司利润分配及分红派息情况</w:t>
      </w:r>
      <w:r>
        <w:rPr>
          <w:b w:val="0"/>
          <w:bCs w:val="0"/>
        </w:rPr>
      </w:r>
    </w:p>
    <w:p>
      <w:pPr>
        <w:spacing w:line="240" w:lineRule="auto" w:before="6"/>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spacing w:line="240" w:lineRule="auto" w:before="1"/>
        <w:rPr>
          <w:rFonts w:ascii="宋体" w:hAnsi="宋体" w:cs="宋体" w:eastAsia="宋体" w:hint="default"/>
          <w:sz w:val="15"/>
          <w:szCs w:val="15"/>
        </w:rPr>
      </w:pPr>
    </w:p>
    <w:p>
      <w:pPr>
        <w:pStyle w:val="BodyText"/>
        <w:spacing w:line="355" w:lineRule="auto"/>
        <w:ind w:right="1021" w:firstLine="504"/>
        <w:jc w:val="left"/>
      </w:pPr>
      <w:r>
        <w:rPr/>
        <w:t>根据中国证监会《关于进一步落实上市公司现金分红有关事项的通知》及江苏证监局《关于进一步</w:t>
      </w:r>
      <w:r>
        <w:rPr>
          <w:w w:val="100"/>
        </w:rPr>
        <w:t> </w:t>
      </w:r>
      <w:r>
        <w:rPr>
          <w:spacing w:val="-3"/>
        </w:rPr>
        <w:t>落实上市公司现金分红有关要求的通知》（苏证监公司字</w:t>
      </w:r>
      <w:r>
        <w:rPr>
          <w:rFonts w:ascii="Times New Roman" w:hAnsi="Times New Roman" w:cs="Times New Roman" w:eastAsia="Times New Roman" w:hint="default"/>
          <w:spacing w:val="-3"/>
        </w:rPr>
        <w:t>[2012]276</w:t>
      </w:r>
      <w:r>
        <w:rPr>
          <w:spacing w:val="-3"/>
        </w:rPr>
        <w:t>号）文件的指示精神，结合公司实际情</w:t>
      </w:r>
      <w:r>
        <w:rPr>
          <w:spacing w:val="-18"/>
        </w:rPr>
        <w:t> </w:t>
      </w:r>
      <w:r>
        <w:rPr>
          <w:spacing w:val="-18"/>
        </w:rPr>
      </w:r>
      <w:r>
        <w:rPr>
          <w:spacing w:val="-2"/>
        </w:rPr>
        <w:t>况，对《公司章程》中涉及利润分配事项的部分条款进行了修订，修订后的利润分配政策，明确了分红标</w:t>
      </w:r>
      <w:r>
        <w:rPr>
          <w:spacing w:val="-43"/>
        </w:rPr>
        <w:t> </w:t>
      </w:r>
      <w:r>
        <w:rPr>
          <w:spacing w:val="-43"/>
        </w:rPr>
      </w:r>
      <w:r>
        <w:rPr>
          <w:spacing w:val="-5"/>
        </w:rPr>
        <w:t>准和分红比例，增加了利润分配政策的透明度和可操作性，提高了中小股东对利润分配方案调整的话语权， </w:t>
      </w:r>
      <w:r>
        <w:rPr>
          <w:spacing w:val="-5"/>
        </w:rPr>
      </w:r>
      <w:r>
        <w:rPr>
          <w:spacing w:val="-4"/>
        </w:rPr>
        <w:t>充分保护中小股东利益，同时，还制定了《公司未来三年（</w:t>
      </w:r>
      <w:r>
        <w:rPr>
          <w:rFonts w:ascii="Times New Roman" w:hAnsi="Times New Roman" w:cs="Times New Roman" w:eastAsia="Times New Roman" w:hint="default"/>
          <w:spacing w:val="-4"/>
        </w:rPr>
        <w:t>2012-2014</w:t>
      </w:r>
      <w:r>
        <w:rPr>
          <w:spacing w:val="-4"/>
        </w:rPr>
        <w:t>年）股东回报规划》及《公司利润分 </w:t>
      </w:r>
      <w:r>
        <w:rPr/>
        <w:t>配管理制度》，并经</w:t>
      </w:r>
      <w:r>
        <w:rPr>
          <w:rFonts w:ascii="Times New Roman" w:hAnsi="Times New Roman" w:cs="Times New Roman" w:eastAsia="Times New Roman" w:hint="default"/>
        </w:rPr>
        <w:t>2012</w:t>
      </w:r>
      <w:r>
        <w:rPr/>
        <w:t>年第一次临时股东大会审议通过。具体内容详见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日公司在巨潮资讯</w:t>
      </w:r>
      <w:r>
        <w:rPr>
          <w:w w:val="100"/>
        </w:rPr>
        <w:t> </w:t>
      </w:r>
      <w:r>
        <w:rPr/>
        <w:t>网</w:t>
      </w:r>
      <w:hyperlink r:id="rId30">
        <w:r>
          <w:rPr>
            <w:rFonts w:ascii="Times New Roman" w:hAnsi="Times New Roman" w:cs="Times New Roman" w:eastAsia="Times New Roman" w:hint="default"/>
          </w:rPr>
          <w:t>http://www.cninfo.com.cn</w:t>
        </w:r>
        <w:r>
          <w:rPr/>
          <w:t>上相关信息披露</w:t>
        </w:r>
      </w:hyperlink>
      <w:r>
        <w:rPr/>
        <w:t>。报告期内公司严格执行了法律法规及公司章程中对现金分红</w:t>
      </w:r>
      <w:r>
        <w:rPr>
          <w:w w:val="100"/>
        </w:rPr>
        <w:t> </w:t>
      </w:r>
      <w:r>
        <w:rPr/>
        <w:t>的规定。</w:t>
      </w:r>
    </w:p>
    <w:p>
      <w:pPr>
        <w:spacing w:before="2"/>
        <w:ind w:left="172" w:right="0" w:firstLine="0"/>
        <w:jc w:val="left"/>
        <w:rPr>
          <w:rFonts w:ascii="宋体" w:hAnsi="宋体" w:cs="宋体" w:eastAsia="宋体" w:hint="default"/>
          <w:sz w:val="18"/>
          <w:szCs w:val="18"/>
        </w:rPr>
      </w:pPr>
      <w:r>
        <w:rPr>
          <w:rFonts w:ascii="宋体" w:hAnsi="宋体" w:cs="宋体" w:eastAsia="宋体" w:hint="default"/>
          <w:sz w:val="18"/>
          <w:szCs w:val="18"/>
        </w:rPr>
        <w:t>本年度利润分配及资本公积金转增股本预案</w:t>
      </w:r>
    </w:p>
    <w:p>
      <w:pPr>
        <w:spacing w:before="117"/>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3696"/>
        <w:gridCol w:w="5863"/>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0.6</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268,000,000.00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16,080,000.00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128,214,434.82</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715"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3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以公司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日的总股本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268,000,000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股为基数，向全体股东每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股派发现金红利</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0.60</w:t>
            </w:r>
          </w:p>
          <w:p>
            <w:pPr>
              <w:pStyle w:val="TableParagraph"/>
              <w:spacing w:line="240" w:lineRule="auto" w:before="21"/>
              <w:ind w:left="12" w:right="0"/>
              <w:jc w:val="left"/>
              <w:rPr>
                <w:rFonts w:ascii="宋体" w:hAnsi="宋体" w:cs="宋体" w:eastAsia="宋体" w:hint="default"/>
                <w:sz w:val="21"/>
                <w:szCs w:val="21"/>
              </w:rPr>
            </w:pPr>
            <w:r>
              <w:rPr>
                <w:rFonts w:ascii="宋体" w:hAnsi="宋体" w:cs="宋体" w:eastAsia="宋体" w:hint="default"/>
                <w:w w:val="100"/>
                <w:sz w:val="21"/>
                <w:szCs w:val="21"/>
              </w:rPr>
              <w:t>元（</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共</w:t>
            </w:r>
            <w:r>
              <w:rPr>
                <w:rFonts w:ascii="宋体" w:hAnsi="宋体" w:cs="宋体" w:eastAsia="宋体" w:hint="default"/>
                <w:w w:val="100"/>
                <w:sz w:val="21"/>
                <w:szCs w:val="21"/>
              </w:rPr>
              <w:t>计</w:t>
            </w:r>
            <w:r>
              <w:rPr>
                <w:rFonts w:ascii="宋体" w:hAnsi="宋体" w:cs="宋体" w:eastAsia="宋体" w:hint="default"/>
                <w:spacing w:val="-3"/>
                <w:w w:val="100"/>
                <w:sz w:val="21"/>
                <w:szCs w:val="21"/>
              </w:rPr>
              <w:t>派</w:t>
            </w:r>
            <w:r>
              <w:rPr>
                <w:rFonts w:ascii="宋体" w:hAnsi="宋体" w:cs="宋体" w:eastAsia="宋体" w:hint="default"/>
                <w:w w:val="100"/>
                <w:sz w:val="21"/>
                <w:szCs w:val="21"/>
              </w:rPr>
              <w:t>发</w:t>
            </w:r>
            <w:r>
              <w:rPr>
                <w:rFonts w:ascii="宋体" w:hAnsi="宋体" w:cs="宋体" w:eastAsia="宋体" w:hint="default"/>
                <w:spacing w:val="-3"/>
                <w:w w:val="100"/>
                <w:sz w:val="21"/>
                <w:szCs w:val="21"/>
              </w:rPr>
              <w:t>现金</w:t>
            </w:r>
            <w:r>
              <w:rPr>
                <w:rFonts w:ascii="宋体" w:hAnsi="宋体" w:cs="宋体" w:eastAsia="宋体" w:hint="default"/>
                <w:w w:val="100"/>
                <w:sz w:val="21"/>
                <w:szCs w:val="21"/>
              </w:rPr>
              <w:t>红利</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6,08</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,000</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元。</w:t>
            </w:r>
          </w:p>
        </w:tc>
      </w:tr>
    </w:tbl>
    <w:p>
      <w:pPr>
        <w:spacing w:after="0" w:line="240" w:lineRule="auto"/>
        <w:jc w:val="left"/>
        <w:rPr>
          <w:rFonts w:ascii="宋体" w:hAnsi="宋体" w:cs="宋体" w:eastAsia="宋体" w:hint="default"/>
          <w:sz w:val="21"/>
          <w:szCs w:val="21"/>
        </w:rPr>
        <w:sectPr>
          <w:pgSz w:w="11910" w:h="16840"/>
          <w:pgMar w:header="706" w:footer="1306" w:top="1060" w:bottom="1540" w:left="96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公司近</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年（含报告期）的利润分配方案及资本公积金转增股本方案情况</w:t>
      </w:r>
    </w:p>
    <w:p>
      <w:pPr>
        <w:pStyle w:val="BodyText"/>
        <w:spacing w:line="345" w:lineRule="auto" w:before="165"/>
        <w:ind w:left="761" w:right="0" w:hanging="8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年度利润分配方案</w:t>
      </w:r>
      <w:r>
        <w:rPr>
          <w:w w:val="100"/>
        </w:rPr>
        <w:t> </w:t>
      </w:r>
      <w:r>
        <w:rPr>
          <w:spacing w:val="-2"/>
        </w:rPr>
        <w:t>以公司总股本</w:t>
      </w:r>
      <w:r>
        <w:rPr>
          <w:rFonts w:ascii="Times New Roman" w:hAnsi="Times New Roman" w:cs="Times New Roman" w:eastAsia="Times New Roman" w:hint="default"/>
          <w:spacing w:val="-2"/>
        </w:rPr>
        <w:t>134,000,000</w:t>
      </w:r>
      <w:r>
        <w:rPr>
          <w:spacing w:val="-2"/>
        </w:rPr>
        <w:t>股为基数，向全体股东按每</w:t>
      </w:r>
      <w:r>
        <w:rPr>
          <w:rFonts w:ascii="Times New Roman" w:hAnsi="Times New Roman" w:cs="Times New Roman" w:eastAsia="Times New Roman" w:hint="default"/>
          <w:spacing w:val="-2"/>
        </w:rPr>
        <w:t>10</w:t>
      </w:r>
      <w:r>
        <w:rPr>
          <w:spacing w:val="-2"/>
        </w:rPr>
        <w:t>股派发</w:t>
      </w:r>
      <w:r>
        <w:rPr>
          <w:rFonts w:ascii="Times New Roman" w:hAnsi="Times New Roman" w:cs="Times New Roman" w:eastAsia="Times New Roman" w:hint="default"/>
          <w:spacing w:val="-2"/>
        </w:rPr>
        <w:t>2.00</w:t>
      </w:r>
      <w:r>
        <w:rPr>
          <w:spacing w:val="-2"/>
        </w:rPr>
        <w:t>元人民币现金（含税），共派发</w:t>
      </w:r>
    </w:p>
    <w:p>
      <w:pPr>
        <w:pStyle w:val="BodyText"/>
        <w:spacing w:line="240" w:lineRule="auto" w:before="27"/>
        <w:ind w:right="0"/>
        <w:jc w:val="left"/>
      </w:pPr>
      <w:r>
        <w:rPr/>
        <w:t>现金红利</w:t>
      </w:r>
      <w:r>
        <w:rPr>
          <w:rFonts w:ascii="Times New Roman" w:hAnsi="Times New Roman" w:cs="Times New Roman" w:eastAsia="Times New Roman" w:hint="default"/>
        </w:rPr>
        <w:t>26,800,000.00</w:t>
      </w:r>
      <w:r>
        <w:rPr/>
        <w:t>元。</w:t>
      </w:r>
    </w:p>
    <w:p>
      <w:pPr>
        <w:pStyle w:val="BodyText"/>
        <w:spacing w:line="345" w:lineRule="auto" w:before="129"/>
        <w:ind w:left="761" w:right="0" w:hanging="8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年度利润分配方案</w:t>
      </w:r>
      <w:r>
        <w:rPr>
          <w:w w:val="100"/>
        </w:rPr>
        <w:t> </w:t>
      </w:r>
      <w:r>
        <w:rPr>
          <w:spacing w:val="-2"/>
        </w:rPr>
        <w:t>以公司总股本</w:t>
      </w:r>
      <w:r>
        <w:rPr>
          <w:rFonts w:ascii="Times New Roman" w:hAnsi="Times New Roman" w:cs="Times New Roman" w:eastAsia="Times New Roman" w:hint="default"/>
          <w:spacing w:val="-2"/>
        </w:rPr>
        <w:t>134,000,000</w:t>
      </w:r>
      <w:r>
        <w:rPr>
          <w:spacing w:val="-2"/>
        </w:rPr>
        <w:t>股为基数，向全体股东每</w:t>
      </w:r>
      <w:r>
        <w:rPr>
          <w:rFonts w:ascii="Times New Roman" w:hAnsi="Times New Roman" w:cs="Times New Roman" w:eastAsia="Times New Roman" w:hint="default"/>
          <w:spacing w:val="-2"/>
        </w:rPr>
        <w:t>10</w:t>
      </w:r>
      <w:r>
        <w:rPr>
          <w:spacing w:val="-2"/>
        </w:rPr>
        <w:t>股派发</w:t>
      </w:r>
      <w:r>
        <w:rPr>
          <w:rFonts w:ascii="Times New Roman" w:hAnsi="Times New Roman" w:cs="Times New Roman" w:eastAsia="Times New Roman" w:hint="default"/>
          <w:spacing w:val="-2"/>
        </w:rPr>
        <w:t>1.20</w:t>
      </w:r>
      <w:r>
        <w:rPr>
          <w:spacing w:val="-2"/>
        </w:rPr>
        <w:t>元人民币现金（含税），共派发现</w:t>
      </w:r>
    </w:p>
    <w:p>
      <w:pPr>
        <w:pStyle w:val="BodyText"/>
        <w:spacing w:line="345" w:lineRule="auto" w:before="27"/>
        <w:ind w:right="0"/>
        <w:jc w:val="left"/>
      </w:pPr>
      <w:r>
        <w:rPr>
          <w:spacing w:val="-4"/>
        </w:rPr>
        <w:t>金红利</w:t>
      </w:r>
      <w:r>
        <w:rPr>
          <w:rFonts w:ascii="Times New Roman" w:hAnsi="Times New Roman" w:cs="Times New Roman" w:eastAsia="Times New Roman" w:hint="default"/>
          <w:spacing w:val="-4"/>
        </w:rPr>
        <w:t>16,080,000.00</w:t>
      </w:r>
      <w:r>
        <w:rPr>
          <w:spacing w:val="-4"/>
        </w:rPr>
        <w:t>元；同时，以资本公积金向全体股东每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10</w:t>
      </w:r>
      <w:r>
        <w:rPr>
          <w:spacing w:val="-4"/>
        </w:rPr>
        <w:t>股，转增后公司总股本由</w:t>
      </w:r>
      <w:r>
        <w:rPr>
          <w:rFonts w:ascii="Times New Roman" w:hAnsi="Times New Roman" w:cs="Times New Roman" w:eastAsia="Times New Roman" w:hint="default"/>
          <w:spacing w:val="-4"/>
        </w:rPr>
        <w:t>134,000,000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股增至</w:t>
      </w:r>
      <w:r>
        <w:rPr>
          <w:rFonts w:ascii="Times New Roman" w:hAnsi="Times New Roman" w:cs="Times New Roman" w:eastAsia="Times New Roman" w:hint="default"/>
        </w:rPr>
        <w:t>268,000,000</w:t>
      </w:r>
      <w:r>
        <w:rPr/>
        <w:t>股。</w:t>
      </w:r>
    </w:p>
    <w:p>
      <w:pPr>
        <w:pStyle w:val="BodyText"/>
        <w:spacing w:line="348" w:lineRule="auto" w:before="27"/>
        <w:ind w:left="761" w:right="0" w:hanging="84"/>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年度利润分配预案</w:t>
      </w:r>
      <w:r>
        <w:rPr>
          <w:w w:val="100"/>
        </w:rPr>
        <w:t> </w:t>
      </w:r>
      <w:r>
        <w:rPr>
          <w:spacing w:val="-2"/>
        </w:rPr>
        <w:t>以公司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日的总股本</w:t>
      </w:r>
      <w:r>
        <w:rPr>
          <w:rFonts w:ascii="Times New Roman" w:hAnsi="Times New Roman" w:cs="Times New Roman" w:eastAsia="Times New Roman" w:hint="default"/>
          <w:spacing w:val="-2"/>
        </w:rPr>
        <w:t>268,000,000</w:t>
      </w:r>
      <w:r>
        <w:rPr>
          <w:spacing w:val="-2"/>
        </w:rPr>
        <w:t>股为基数，向全体股东实施每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0.60</w:t>
      </w:r>
      <w:r>
        <w:rPr>
          <w:spacing w:val="-2"/>
        </w:rPr>
        <w:t>元</w:t>
      </w:r>
    </w:p>
    <w:p>
      <w:pPr>
        <w:pStyle w:val="BodyText"/>
        <w:spacing w:line="240" w:lineRule="auto" w:before="24"/>
        <w:ind w:right="0"/>
        <w:jc w:val="left"/>
      </w:pPr>
      <w:r>
        <w:rPr/>
        <w:t>（含税），共计派发现金红利</w:t>
      </w:r>
      <w:r>
        <w:rPr>
          <w:rFonts w:ascii="Times New Roman" w:hAnsi="Times New Roman" w:cs="Times New Roman" w:eastAsia="Times New Roman" w:hint="default"/>
        </w:rPr>
        <w:t>16,080,000.00</w:t>
      </w:r>
      <w:r>
        <w:rPr/>
        <w:t>元。</w:t>
      </w:r>
    </w:p>
    <w:p>
      <w:pPr>
        <w:spacing w:line="240" w:lineRule="auto" w:before="2"/>
        <w:rPr>
          <w:rFonts w:ascii="宋体" w:hAnsi="宋体" w:cs="宋体" w:eastAsia="宋体" w:hint="default"/>
          <w:sz w:val="27"/>
          <w:szCs w:val="27"/>
        </w:rPr>
      </w:pP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90" w:right="110"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50,101,739.39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32.0947%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48,548,696.21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33.1214%</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33,493,968.81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80.0144%</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5"/>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41"/>
        <w:ind w:right="0"/>
        <w:jc w:val="left"/>
        <w:rPr>
          <w:b w:val="0"/>
          <w:bCs w:val="0"/>
        </w:rPr>
      </w:pPr>
      <w:r>
        <w:rPr/>
        <w:t>十三、报告期内接待调研、沟通、采访等活动登记表</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tbl>
      <w:tblPr>
        <w:tblW w:w="0" w:type="auto"/>
        <w:jc w:val="left"/>
        <w:tblInd w:w="167" w:type="dxa"/>
        <w:tblLayout w:type="fixed"/>
        <w:tblCellMar>
          <w:top w:w="0" w:type="dxa"/>
          <w:left w:w="0" w:type="dxa"/>
          <w:bottom w:w="0" w:type="dxa"/>
          <w:right w:w="0" w:type="dxa"/>
        </w:tblCellMar>
        <w:tblLook w:val="01E0"/>
      </w:tblPr>
      <w:tblGrid>
        <w:gridCol w:w="1496"/>
        <w:gridCol w:w="914"/>
        <w:gridCol w:w="1136"/>
        <w:gridCol w:w="850"/>
        <w:gridCol w:w="994"/>
        <w:gridCol w:w="4181"/>
      </w:tblGrid>
      <w:tr>
        <w:trPr>
          <w:trHeight w:val="715"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2"/>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9" w:right="59"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75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20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z w:val="18"/>
                <w:szCs w:val="18"/>
              </w:rPr>
              <w:t>机构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31" w:right="130"/>
              <w:jc w:val="left"/>
              <w:rPr>
                <w:rFonts w:ascii="宋体" w:hAnsi="宋体" w:cs="宋体" w:eastAsia="宋体" w:hint="default"/>
                <w:sz w:val="18"/>
                <w:szCs w:val="18"/>
              </w:rPr>
            </w:pPr>
            <w:r>
              <w:rPr>
                <w:rFonts w:ascii="宋体" w:hAnsi="宋体" w:cs="宋体" w:eastAsia="宋体" w:hint="default"/>
                <w:sz w:val="18"/>
                <w:szCs w:val="18"/>
              </w:rPr>
              <w:t>国信证券 长安基金</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39"/>
              <w:jc w:val="left"/>
              <w:rPr>
                <w:rFonts w:ascii="宋体" w:hAnsi="宋体" w:cs="宋体" w:eastAsia="宋体" w:hint="default"/>
                <w:sz w:val="18"/>
                <w:szCs w:val="18"/>
              </w:rPr>
            </w:pPr>
            <w:r>
              <w:rPr>
                <w:rFonts w:ascii="宋体" w:hAnsi="宋体" w:cs="宋体" w:eastAsia="宋体" w:hint="default"/>
                <w:sz w:val="18"/>
                <w:szCs w:val="18"/>
              </w:rPr>
              <w:t>已披露信息中募投项目进展情况、合资外方股东情 况、行业状况、公司产品及技术情况等</w:t>
            </w:r>
            <w:r>
              <w:rPr>
                <w:rFonts w:ascii="Times New Roman" w:hAnsi="Times New Roman" w:cs="Times New Roman" w:eastAsia="Times New Roman" w:hint="default"/>
                <w:sz w:val="18"/>
                <w:szCs w:val="18"/>
              </w:rPr>
              <w:t>,</w:t>
            </w:r>
            <w:r>
              <w:rPr>
                <w:rFonts w:ascii="宋体" w:hAnsi="宋体" w:cs="宋体" w:eastAsia="宋体" w:hint="default"/>
                <w:sz w:val="18"/>
                <w:szCs w:val="18"/>
              </w:rPr>
              <w:t>未提供资料</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0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39"/>
              <w:jc w:val="right"/>
              <w:rPr>
                <w:rFonts w:ascii="宋体" w:hAnsi="宋体" w:cs="宋体" w:eastAsia="宋体" w:hint="default"/>
                <w:sz w:val="18"/>
                <w:szCs w:val="18"/>
              </w:rPr>
            </w:pPr>
            <w:r>
              <w:rPr>
                <w:rFonts w:ascii="宋体" w:hAnsi="宋体" w:cs="宋体" w:eastAsia="宋体" w:hint="default"/>
                <w:sz w:val="18"/>
                <w:szCs w:val="18"/>
              </w:rPr>
              <w:t>机构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中信证券</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
              <w:jc w:val="both"/>
              <w:rPr>
                <w:rFonts w:ascii="宋体" w:hAnsi="宋体" w:cs="宋体" w:eastAsia="宋体" w:hint="default"/>
                <w:sz w:val="18"/>
                <w:szCs w:val="18"/>
              </w:rPr>
            </w:pPr>
            <w:r>
              <w:rPr>
                <w:rFonts w:ascii="宋体" w:hAnsi="宋体" w:cs="宋体" w:eastAsia="宋体" w:hint="default"/>
                <w:sz w:val="18"/>
                <w:szCs w:val="18"/>
              </w:rPr>
              <w:t>已披露信息中行业情况、公司产品结构及技术、公司 日方合作对象情况、公司经营情况、关联交易情况、 人员情况、募投项目进展情况等</w:t>
            </w:r>
            <w:r>
              <w:rPr>
                <w:rFonts w:ascii="Times New Roman" w:hAnsi="Times New Roman" w:cs="Times New Roman" w:eastAsia="Times New Roman" w:hint="default"/>
                <w:sz w:val="18"/>
                <w:szCs w:val="18"/>
              </w:rPr>
              <w:t>,</w:t>
            </w:r>
            <w:r>
              <w:rPr>
                <w:rFonts w:ascii="宋体" w:hAnsi="宋体" w:cs="宋体" w:eastAsia="宋体" w:hint="default"/>
                <w:sz w:val="18"/>
                <w:szCs w:val="18"/>
              </w:rPr>
              <w:t>未提供资料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z w:val="18"/>
                <w:szCs w:val="18"/>
              </w:rPr>
              <w:t>机构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中金公司</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1"/>
                <w:sz w:val="18"/>
                <w:szCs w:val="18"/>
              </w:rPr>
              <w:t>已披露信息中行业状况、公司产品结构情况、日方股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东情况、公司未来发展等，未提供资料</w:t>
            </w:r>
          </w:p>
        </w:tc>
      </w:tr>
      <w:tr>
        <w:trPr>
          <w:trHeight w:val="110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z w:val="18"/>
                <w:szCs w:val="18"/>
              </w:rPr>
              <w:t>机构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31" w:right="130"/>
              <w:jc w:val="both"/>
              <w:rPr>
                <w:rFonts w:ascii="宋体" w:hAnsi="宋体" w:cs="宋体" w:eastAsia="宋体" w:hint="default"/>
                <w:sz w:val="18"/>
                <w:szCs w:val="18"/>
              </w:rPr>
            </w:pPr>
            <w:r>
              <w:rPr>
                <w:rFonts w:ascii="宋体" w:hAnsi="宋体" w:cs="宋体" w:eastAsia="宋体" w:hint="default"/>
                <w:sz w:val="18"/>
                <w:szCs w:val="18"/>
              </w:rPr>
              <w:t>东方证券 华宝信托 平安资产</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9"/>
              <w:ind w:left="23" w:right="20"/>
              <w:jc w:val="both"/>
              <w:rPr>
                <w:rFonts w:ascii="宋体" w:hAnsi="宋体" w:cs="宋体" w:eastAsia="宋体" w:hint="default"/>
                <w:sz w:val="18"/>
                <w:szCs w:val="18"/>
              </w:rPr>
            </w:pPr>
            <w:r>
              <w:rPr>
                <w:rFonts w:ascii="宋体" w:hAnsi="宋体" w:cs="宋体" w:eastAsia="宋体" w:hint="default"/>
                <w:spacing w:val="-1"/>
                <w:sz w:val="18"/>
                <w:szCs w:val="18"/>
              </w:rPr>
              <w:t>已披露信息中行业状况、公司产品结构情况、公司经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营情况、合营企业情况、日方股东情况、募集资金使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用情况、机构调研情况等，未提供资料</w:t>
            </w:r>
          </w:p>
        </w:tc>
      </w:tr>
    </w:tbl>
    <w:p>
      <w:pPr>
        <w:spacing w:after="0" w:line="316" w:lineRule="auto"/>
        <w:jc w:val="both"/>
        <w:rPr>
          <w:rFonts w:ascii="宋体" w:hAnsi="宋体" w:cs="宋体" w:eastAsia="宋体" w:hint="default"/>
          <w:sz w:val="18"/>
          <w:szCs w:val="18"/>
        </w:rPr>
        <w:sectPr>
          <w:pgSz w:w="11910" w:h="16840"/>
          <w:pgMar w:header="706" w:footer="1306" w:top="1060" w:bottom="1540" w:left="9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7" w:type="dxa"/>
        <w:tblLayout w:type="fixed"/>
        <w:tblCellMar>
          <w:top w:w="0" w:type="dxa"/>
          <w:left w:w="0" w:type="dxa"/>
          <w:bottom w:w="0" w:type="dxa"/>
          <w:right w:w="0" w:type="dxa"/>
        </w:tblCellMar>
        <w:tblLook w:val="01E0"/>
      </w:tblPr>
      <w:tblGrid>
        <w:gridCol w:w="1496"/>
        <w:gridCol w:w="914"/>
        <w:gridCol w:w="1136"/>
        <w:gridCol w:w="850"/>
        <w:gridCol w:w="994"/>
        <w:gridCol w:w="4181"/>
      </w:tblGrid>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39"/>
              <w:jc w:val="right"/>
              <w:rPr>
                <w:rFonts w:ascii="宋体" w:hAnsi="宋体" w:cs="宋体" w:eastAsia="宋体" w:hint="default"/>
                <w:sz w:val="18"/>
                <w:szCs w:val="18"/>
              </w:rPr>
            </w:pPr>
            <w:r>
              <w:rPr>
                <w:rFonts w:ascii="宋体" w:hAnsi="宋体" w:cs="宋体" w:eastAsia="宋体" w:hint="default"/>
                <w:sz w:val="18"/>
                <w:szCs w:val="18"/>
              </w:rPr>
              <w:t>机构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57" w:lineRule="auto"/>
              <w:ind w:left="131" w:right="130"/>
              <w:jc w:val="left"/>
              <w:rPr>
                <w:rFonts w:ascii="宋体" w:hAnsi="宋体" w:cs="宋体" w:eastAsia="宋体" w:hint="default"/>
                <w:sz w:val="18"/>
                <w:szCs w:val="18"/>
              </w:rPr>
            </w:pPr>
            <w:r>
              <w:rPr>
                <w:rFonts w:ascii="宋体" w:hAnsi="宋体" w:cs="宋体" w:eastAsia="宋体" w:hint="default"/>
                <w:sz w:val="18"/>
                <w:szCs w:val="18"/>
              </w:rPr>
              <w:t>华创证券 华夏基金</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both"/>
              <w:rPr>
                <w:rFonts w:ascii="宋体" w:hAnsi="宋体" w:cs="宋体" w:eastAsia="宋体" w:hint="default"/>
                <w:sz w:val="18"/>
                <w:szCs w:val="18"/>
              </w:rPr>
            </w:pPr>
            <w:r>
              <w:rPr>
                <w:rFonts w:ascii="宋体" w:hAnsi="宋体" w:cs="宋体" w:eastAsia="宋体" w:hint="default"/>
                <w:spacing w:val="-1"/>
                <w:sz w:val="18"/>
                <w:szCs w:val="18"/>
              </w:rPr>
              <w:t>已披露信息中行业情况、公司产品及技术情况、经营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情况、联营公司情况、日方股东参与经营情况、募投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项目进展情况等，未提供资料</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9"/>
              <w:jc w:val="right"/>
              <w:rPr>
                <w:rFonts w:ascii="宋体" w:hAnsi="宋体" w:cs="宋体" w:eastAsia="宋体" w:hint="default"/>
                <w:sz w:val="18"/>
                <w:szCs w:val="18"/>
              </w:rPr>
            </w:pPr>
            <w:r>
              <w:rPr>
                <w:rFonts w:ascii="宋体" w:hAnsi="宋体" w:cs="宋体" w:eastAsia="宋体" w:hint="default"/>
                <w:sz w:val="18"/>
                <w:szCs w:val="18"/>
              </w:rPr>
              <w:t>机构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中信证券</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both"/>
              <w:rPr>
                <w:rFonts w:ascii="宋体" w:hAnsi="宋体" w:cs="宋体" w:eastAsia="宋体" w:hint="default"/>
                <w:sz w:val="18"/>
                <w:szCs w:val="18"/>
              </w:rPr>
            </w:pPr>
            <w:r>
              <w:rPr>
                <w:rFonts w:ascii="宋体" w:hAnsi="宋体" w:cs="宋体" w:eastAsia="宋体" w:hint="default"/>
                <w:spacing w:val="-1"/>
                <w:sz w:val="18"/>
                <w:szCs w:val="18"/>
              </w:rPr>
              <w:t>已披露信息中行业情况、公司生产经营情况、日方股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东参与经营情况、公司产品及技术情况、主要竞争对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手情况、人员情况等，未提供资料</w:t>
            </w:r>
          </w:p>
        </w:tc>
      </w:tr>
      <w:tr>
        <w:trPr>
          <w:trHeight w:val="75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0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z w:val="18"/>
                <w:szCs w:val="18"/>
              </w:rPr>
              <w:t>机构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31" w:right="130"/>
              <w:jc w:val="left"/>
              <w:rPr>
                <w:rFonts w:ascii="宋体" w:hAnsi="宋体" w:cs="宋体" w:eastAsia="宋体" w:hint="default"/>
                <w:sz w:val="18"/>
                <w:szCs w:val="18"/>
              </w:rPr>
            </w:pPr>
            <w:r>
              <w:rPr>
                <w:rFonts w:ascii="宋体" w:hAnsi="宋体" w:cs="宋体" w:eastAsia="宋体" w:hint="default"/>
                <w:sz w:val="18"/>
                <w:szCs w:val="18"/>
              </w:rPr>
              <w:t>中信证券 博时基金</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20"/>
              <w:jc w:val="left"/>
              <w:rPr>
                <w:rFonts w:ascii="宋体" w:hAnsi="宋体" w:cs="宋体" w:eastAsia="宋体" w:hint="default"/>
                <w:sz w:val="18"/>
                <w:szCs w:val="18"/>
              </w:rPr>
            </w:pPr>
            <w:r>
              <w:rPr>
                <w:rFonts w:ascii="宋体" w:hAnsi="宋体" w:cs="宋体" w:eastAsia="宋体" w:hint="default"/>
                <w:spacing w:val="-1"/>
                <w:sz w:val="18"/>
                <w:szCs w:val="18"/>
              </w:rPr>
              <w:t>已披露信息中行业情况、公司产品及技术情况、经营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情况等，未提供资料</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39"/>
              <w:jc w:val="right"/>
              <w:rPr>
                <w:rFonts w:ascii="宋体" w:hAnsi="宋体" w:cs="宋体" w:eastAsia="宋体" w:hint="default"/>
                <w:sz w:val="18"/>
                <w:szCs w:val="18"/>
              </w:rPr>
            </w:pPr>
            <w:r>
              <w:rPr>
                <w:rFonts w:ascii="宋体" w:hAnsi="宋体" w:cs="宋体" w:eastAsia="宋体" w:hint="default"/>
                <w:sz w:val="18"/>
                <w:szCs w:val="18"/>
              </w:rPr>
              <w:t>机构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华泰证券</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1"/>
                <w:sz w:val="18"/>
                <w:szCs w:val="18"/>
              </w:rPr>
              <w:t>已披露公司产品及技术情况、经营情况、营销人员情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况、应收账款情况、主要竞争对手情况、募投项目进</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展情况、机构调研情况等，未提供资料</w:t>
            </w:r>
          </w:p>
        </w:tc>
      </w:tr>
    </w:tbl>
    <w:p>
      <w:pPr>
        <w:spacing w:after="0" w:line="316" w:lineRule="auto"/>
        <w:jc w:val="both"/>
        <w:rPr>
          <w:rFonts w:ascii="宋体" w:hAnsi="宋体" w:cs="宋体" w:eastAsia="宋体" w:hint="default"/>
          <w:sz w:val="18"/>
          <w:szCs w:val="18"/>
        </w:rPr>
        <w:sectPr>
          <w:pgSz w:w="11910" w:h="16840"/>
          <w:pgMar w:header="706" w:footer="1306" w:top="1060" w:bottom="1540" w:left="9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956"/>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spacing w:line="348" w:lineRule="auto" w:before="0"/>
        <w:ind w:left="17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 媒体质疑情况</w:t>
      </w:r>
    </w:p>
    <w:p>
      <w:pPr>
        <w:spacing w:line="340" w:lineRule="auto" w:before="36"/>
        <w:ind w:left="17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本年度公司无媒体质疑事项。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1027"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03" w:right="22" w:hanging="181"/>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95" w:right="23" w:hanging="272"/>
              <w:jc w:val="left"/>
              <w:rPr>
                <w:rFonts w:ascii="宋体" w:hAnsi="宋体" w:cs="宋体" w:eastAsia="宋体" w:hint="default"/>
                <w:sz w:val="18"/>
                <w:szCs w:val="18"/>
              </w:rPr>
            </w:pPr>
            <w:r>
              <w:rPr>
                <w:rFonts w:ascii="宋体" w:hAnsi="宋体" w:cs="宋体" w:eastAsia="宋体" w:hint="default"/>
                <w:sz w:val="18"/>
                <w:szCs w:val="18"/>
              </w:rPr>
              <w:t>期初数（万 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23" w:hanging="89"/>
              <w:jc w:val="left"/>
              <w:rPr>
                <w:rFonts w:ascii="宋体" w:hAnsi="宋体" w:cs="宋体" w:eastAsia="宋体" w:hint="default"/>
                <w:sz w:val="18"/>
                <w:szCs w:val="18"/>
              </w:rPr>
            </w:pPr>
            <w:r>
              <w:rPr>
                <w:rFonts w:ascii="宋体" w:hAnsi="宋体" w:cs="宋体" w:eastAsia="宋体" w:hint="default"/>
                <w:sz w:val="18"/>
                <w:szCs w:val="18"/>
              </w:rPr>
              <w:t>报告期新增 占用金额</w:t>
            </w:r>
          </w:p>
          <w:p>
            <w:pPr>
              <w:pStyle w:val="TableParagraph"/>
              <w:spacing w:line="240" w:lineRule="auto" w:before="19"/>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jc w:val="center"/>
              <w:rPr>
                <w:rFonts w:ascii="宋体" w:hAnsi="宋体" w:cs="宋体" w:eastAsia="宋体" w:hint="default"/>
                <w:sz w:val="18"/>
                <w:szCs w:val="18"/>
              </w:rPr>
            </w:pPr>
            <w:r>
              <w:rPr>
                <w:rFonts w:ascii="宋体" w:hAnsi="宋体" w:cs="宋体" w:eastAsia="宋体" w:hint="default"/>
                <w:sz w:val="18"/>
                <w:szCs w:val="18"/>
              </w:rPr>
              <w:t>报告期偿还 总金额（万 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92" w:right="23" w:hanging="269"/>
              <w:jc w:val="left"/>
              <w:rPr>
                <w:rFonts w:ascii="宋体" w:hAnsi="宋体" w:cs="宋体" w:eastAsia="宋体" w:hint="default"/>
                <w:sz w:val="18"/>
                <w:szCs w:val="18"/>
              </w:rPr>
            </w:pPr>
            <w:r>
              <w:rPr>
                <w:rFonts w:ascii="宋体" w:hAnsi="宋体" w:cs="宋体" w:eastAsia="宋体" w:hint="default"/>
                <w:sz w:val="18"/>
                <w:szCs w:val="18"/>
              </w:rPr>
              <w:t>期末数（万 元）</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预计偿还金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期末合计值占期末净资产的比例</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6699" w:type="dxa"/>
            <w:gridSpan w:val="7"/>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699" w:type="dxa"/>
            <w:gridSpan w:val="7"/>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7"/>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699" w:type="dxa"/>
            <w:gridSpan w:val="7"/>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报告期内，公司未发生破产重组等相关事项。</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四、资产交易事项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pict>
          <v:shape style="position:absolute;margin-left:234.287003pt;margin-top:80.543663pt;width:118.85pt;height:15.6pt;mso-position-horizontal-relative:page;mso-position-vertical-relative:paragraph;z-index:-85952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9" w:type="dxa"/>
        <w:tblLayout w:type="fixed"/>
        <w:tblCellMar>
          <w:top w:w="0" w:type="dxa"/>
          <w:left w:w="0" w:type="dxa"/>
          <w:bottom w:w="0" w:type="dxa"/>
          <w:right w:w="0" w:type="dxa"/>
        </w:tblCellMar>
        <w:tblLook w:val="01E0"/>
      </w:tblPr>
      <w:tblGrid>
        <w:gridCol w:w="748"/>
        <w:gridCol w:w="751"/>
        <w:gridCol w:w="749"/>
        <w:gridCol w:w="747"/>
        <w:gridCol w:w="1217"/>
        <w:gridCol w:w="1743"/>
        <w:gridCol w:w="991"/>
        <w:gridCol w:w="710"/>
        <w:gridCol w:w="992"/>
        <w:gridCol w:w="425"/>
        <w:gridCol w:w="497"/>
      </w:tblGrid>
      <w:tr>
        <w:trPr>
          <w:trHeight w:val="2273" w:hRule="exact"/>
        </w:trPr>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9" w:right="96"/>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00" w:right="9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2"/>
              <w:ind w:left="278" w:right="98" w:hanging="180"/>
              <w:jc w:val="left"/>
              <w:rPr>
                <w:rFonts w:ascii="宋体" w:hAnsi="宋体" w:cs="宋体" w:eastAsia="宋体" w:hint="default"/>
                <w:sz w:val="18"/>
                <w:szCs w:val="18"/>
              </w:rPr>
            </w:pPr>
            <w:r>
              <w:rPr>
                <w:rFonts w:ascii="宋体" w:hAnsi="宋体" w:cs="宋体" w:eastAsia="宋体" w:hint="default"/>
                <w:sz w:val="18"/>
                <w:szCs w:val="18"/>
              </w:rPr>
              <w:t>进展情 况</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2" w:firstLine="38"/>
              <w:jc w:val="both"/>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净利润</w:t>
            </w:r>
          </w:p>
          <w:p>
            <w:pPr>
              <w:pStyle w:val="TableParagraph"/>
              <w:spacing w:line="316" w:lineRule="auto" w:before="19"/>
              <w:ind w:left="62" w:right="62"/>
              <w:jc w:val="center"/>
              <w:rPr>
                <w:rFonts w:ascii="宋体" w:hAnsi="宋体" w:cs="宋体" w:eastAsia="宋体" w:hint="default"/>
                <w:sz w:val="18"/>
                <w:szCs w:val="18"/>
              </w:rPr>
            </w:pPr>
            <w:r>
              <w:rPr>
                <w:rFonts w:ascii="宋体" w:hAnsi="宋体" w:cs="宋体" w:eastAsia="宋体" w:hint="default"/>
                <w:sz w:val="18"/>
                <w:szCs w:val="18"/>
              </w:rPr>
              <w:t>（适用于非同 一控制下的企 业合并）</w:t>
            </w: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22" w:firstLine="2"/>
              <w:jc w:val="center"/>
              <w:rPr>
                <w:rFonts w:ascii="宋体" w:hAnsi="宋体" w:cs="宋体" w:eastAsia="宋体" w:hint="default"/>
                <w:sz w:val="18"/>
                <w:szCs w:val="18"/>
              </w:rPr>
            </w:pPr>
            <w:r>
              <w:rPr>
                <w:rFonts w:ascii="宋体" w:hAnsi="宋体" w:cs="宋体" w:eastAsia="宋体" w:hint="default"/>
                <w:sz w:val="18"/>
                <w:szCs w:val="18"/>
              </w:rPr>
              <w:t>自本期初至报告期末 为上市公司贡献的净 </w:t>
            </w:r>
            <w:r>
              <w:rPr>
                <w:rFonts w:ascii="宋体" w:hAnsi="宋体" w:cs="宋体" w:eastAsia="宋体" w:hint="default"/>
                <w:spacing w:val="-12"/>
                <w:sz w:val="18"/>
                <w:szCs w:val="18"/>
              </w:rPr>
              <w:t>利润（万元）（适用于</w:t>
            </w:r>
            <w:r>
              <w:rPr>
                <w:rFonts w:ascii="宋体" w:hAnsi="宋体" w:cs="宋体" w:eastAsia="宋体" w:hint="default"/>
                <w:sz w:val="18"/>
                <w:szCs w:val="18"/>
              </w:rPr>
              <w:t> 同一控制下的企业合 并）</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40" w:right="38"/>
              <w:jc w:val="center"/>
              <w:rPr>
                <w:rFonts w:ascii="Times New Roman" w:hAnsi="Times New Roman" w:cs="Times New Roman" w:eastAsia="Times New Roman" w:hint="default"/>
                <w:sz w:val="18"/>
                <w:szCs w:val="18"/>
              </w:rPr>
            </w:pPr>
            <w:r>
              <w:rPr>
                <w:rFonts w:ascii="宋体" w:hAnsi="宋体" w:cs="宋体" w:eastAsia="宋体" w:hint="default"/>
                <w:sz w:val="18"/>
                <w:szCs w:val="18"/>
              </w:rPr>
              <w:t>该资产为上 市公司贡献 的净利润占 利润总额的 比率</w:t>
            </w:r>
            <w:r>
              <w:rPr>
                <w:rFonts w:ascii="Times New Roman" w:hAnsi="Times New Roman" w:cs="Times New Roman" w:eastAsia="Times New Roman"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79" w:right="79"/>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4" w:lineRule="auto"/>
              <w:ind w:left="41" w:right="38"/>
              <w:jc w:val="left"/>
              <w:rPr>
                <w:rFonts w:ascii="宋体" w:hAnsi="宋体" w:cs="宋体" w:eastAsia="宋体" w:hint="default"/>
                <w:sz w:val="18"/>
                <w:szCs w:val="18"/>
              </w:rPr>
            </w:pPr>
            <w:r>
              <w:rPr>
                <w:rFonts w:ascii="宋体" w:hAnsi="宋体" w:cs="宋体" w:eastAsia="宋体" w:hint="default"/>
                <w:sz w:val="18"/>
                <w:szCs w:val="18"/>
              </w:rPr>
              <w:t>与交易对方 的关联关系</w:t>
            </w:r>
          </w:p>
          <w:p>
            <w:pPr>
              <w:pStyle w:val="TableParagraph"/>
              <w:spacing w:line="316" w:lineRule="auto" w:before="20"/>
              <w:ind w:left="132" w:right="38" w:hanging="92"/>
              <w:jc w:val="left"/>
              <w:rPr>
                <w:rFonts w:ascii="宋体" w:hAnsi="宋体" w:cs="宋体" w:eastAsia="宋体" w:hint="default"/>
                <w:sz w:val="18"/>
                <w:szCs w:val="18"/>
              </w:rPr>
            </w:pPr>
            <w:r>
              <w:rPr>
                <w:rFonts w:ascii="宋体" w:hAnsi="宋体" w:cs="宋体" w:eastAsia="宋体" w:hint="default"/>
                <w:sz w:val="18"/>
                <w:szCs w:val="18"/>
              </w:rPr>
              <w:t>（适用关联 交易情形</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2"/>
              <w:ind w:left="28" w:right="24"/>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2"/>
              <w:ind w:left="64" w:right="60"/>
              <w:jc w:val="left"/>
              <w:rPr>
                <w:rFonts w:ascii="宋体" w:hAnsi="宋体" w:cs="宋体" w:eastAsia="宋体" w:hint="default"/>
                <w:sz w:val="18"/>
                <w:szCs w:val="18"/>
              </w:rPr>
            </w:pPr>
            <w:r>
              <w:rPr>
                <w:rFonts w:ascii="宋体" w:hAnsi="宋体" w:cs="宋体" w:eastAsia="宋体" w:hint="default"/>
                <w:sz w:val="18"/>
                <w:szCs w:val="18"/>
              </w:rPr>
              <w:t>披露 索引</w:t>
            </w:r>
          </w:p>
        </w:tc>
      </w:tr>
    </w:tbl>
    <w:p>
      <w:pPr>
        <w:spacing w:after="0" w:line="314" w:lineRule="auto"/>
        <w:jc w:val="left"/>
        <w:rPr>
          <w:rFonts w:ascii="宋体" w:hAnsi="宋体" w:cs="宋体" w:eastAsia="宋体" w:hint="default"/>
          <w:sz w:val="18"/>
          <w:szCs w:val="18"/>
        </w:rPr>
        <w:sectPr>
          <w:pgSz w:w="11910" w:h="16840"/>
          <w:pgMar w:header="706" w:footer="1306" w:top="1060" w:bottom="1540" w:left="960" w:right="0"/>
        </w:sectPr>
      </w:pPr>
    </w:p>
    <w:p>
      <w:pPr>
        <w:spacing w:line="240" w:lineRule="auto" w:before="9"/>
        <w:rPr>
          <w:rFonts w:ascii="宋体" w:hAnsi="宋体" w:cs="宋体" w:eastAsia="宋体" w:hint="default"/>
          <w:b/>
          <w:bCs/>
          <w:sz w:val="25"/>
          <w:szCs w:val="25"/>
        </w:rPr>
      </w:pPr>
    </w:p>
    <w:p>
      <w:pPr>
        <w:spacing w:before="44"/>
        <w:ind w:left="252" w:right="0" w:firstLine="0"/>
        <w:jc w:val="left"/>
        <w:rPr>
          <w:rFonts w:ascii="宋体" w:hAnsi="宋体" w:cs="宋体" w:eastAsia="宋体" w:hint="default"/>
          <w:sz w:val="18"/>
          <w:szCs w:val="18"/>
        </w:rPr>
      </w:pPr>
      <w:r>
        <w:rPr>
          <w:rFonts w:ascii="宋体" w:hAnsi="宋体" w:cs="宋体" w:eastAsia="宋体" w:hint="default"/>
          <w:sz w:val="18"/>
          <w:szCs w:val="18"/>
        </w:rPr>
        <w:t>收购资产情况概述</w:t>
      </w:r>
    </w:p>
    <w:p>
      <w:pPr>
        <w:pStyle w:val="BodyText"/>
        <w:spacing w:line="240" w:lineRule="auto" w:before="97"/>
        <w:ind w:left="252" w:right="0"/>
        <w:jc w:val="left"/>
      </w:pPr>
      <w:r>
        <w:rPr/>
        <w:t>报告期内，公司未发生重大收购资产事项。</w:t>
      </w:r>
    </w:p>
    <w:p>
      <w:pPr>
        <w:spacing w:line="240" w:lineRule="auto" w:before="10"/>
        <w:rPr>
          <w:rFonts w:ascii="宋体" w:hAnsi="宋体" w:cs="宋体" w:eastAsia="宋体" w:hint="default"/>
          <w:sz w:val="25"/>
          <w:szCs w:val="25"/>
        </w:rPr>
      </w:pPr>
    </w:p>
    <w:p>
      <w:pPr>
        <w:pStyle w:val="Heading4"/>
        <w:spacing w:line="240" w:lineRule="auto"/>
        <w:ind w:left="252"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7"/>
        <w:rPr>
          <w:rFonts w:ascii="宋体" w:hAnsi="宋体" w:cs="宋体" w:eastAsia="宋体" w:hint="default"/>
          <w:b/>
          <w:bCs/>
          <w:sz w:val="25"/>
          <w:szCs w:val="25"/>
        </w:rPr>
      </w:pPr>
    </w:p>
    <w:tbl>
      <w:tblPr>
        <w:tblW w:w="0" w:type="auto"/>
        <w:jc w:val="left"/>
        <w:tblInd w:w="249" w:type="dxa"/>
        <w:tblLayout w:type="fixed"/>
        <w:tblCellMar>
          <w:top w:w="0" w:type="dxa"/>
          <w:left w:w="0" w:type="dxa"/>
          <w:bottom w:w="0" w:type="dxa"/>
          <w:right w:w="0" w:type="dxa"/>
        </w:tblCellMar>
        <w:tblLook w:val="01E0"/>
      </w:tblPr>
      <w:tblGrid>
        <w:gridCol w:w="683"/>
        <w:gridCol w:w="684"/>
        <w:gridCol w:w="684"/>
        <w:gridCol w:w="685"/>
        <w:gridCol w:w="686"/>
        <w:gridCol w:w="684"/>
        <w:gridCol w:w="684"/>
        <w:gridCol w:w="684"/>
        <w:gridCol w:w="682"/>
        <w:gridCol w:w="684"/>
        <w:gridCol w:w="684"/>
        <w:gridCol w:w="680"/>
        <w:gridCol w:w="682"/>
        <w:gridCol w:w="679"/>
      </w:tblGrid>
      <w:tr>
        <w:trPr>
          <w:trHeight w:val="2900"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246" w:right="65"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155" w:right="65" w:hanging="89"/>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5"/>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67" w:right="65"/>
              <w:jc w:val="both"/>
              <w:rPr>
                <w:rFonts w:ascii="宋体" w:hAnsi="宋体" w:cs="宋体" w:eastAsia="宋体" w:hint="default"/>
                <w:sz w:val="18"/>
                <w:szCs w:val="18"/>
              </w:rPr>
            </w:pPr>
            <w:r>
              <w:rPr>
                <w:rFonts w:ascii="宋体" w:hAnsi="宋体" w:cs="宋体" w:eastAsia="宋体" w:hint="default"/>
                <w:sz w:val="18"/>
                <w:szCs w:val="18"/>
              </w:rPr>
              <w:t>出售产 生的损 益（万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资产出 售为上 市公司 贡献的 净利润 占利润 总额的 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7" w:right="6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69" w:right="62"/>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4" w:right="63"/>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244" w:right="6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before="49"/>
        <w:ind w:left="252" w:right="0" w:firstLine="0"/>
        <w:jc w:val="left"/>
        <w:rPr>
          <w:rFonts w:ascii="宋体" w:hAnsi="宋体" w:cs="宋体" w:eastAsia="宋体" w:hint="default"/>
          <w:sz w:val="18"/>
          <w:szCs w:val="18"/>
        </w:rPr>
      </w:pPr>
      <w:r>
        <w:rPr>
          <w:rFonts w:ascii="宋体" w:hAnsi="宋体" w:cs="宋体" w:eastAsia="宋体" w:hint="default"/>
          <w:sz w:val="18"/>
          <w:szCs w:val="18"/>
        </w:rPr>
        <w:t>出售资产情况概述</w:t>
      </w:r>
    </w:p>
    <w:p>
      <w:pPr>
        <w:spacing w:line="518" w:lineRule="auto" w:before="94"/>
        <w:ind w:left="252" w:right="6658" w:firstLine="0"/>
        <w:jc w:val="left"/>
        <w:rPr>
          <w:rFonts w:ascii="宋体" w:hAnsi="宋体" w:cs="宋体" w:eastAsia="宋体" w:hint="default"/>
          <w:sz w:val="24"/>
          <w:szCs w:val="24"/>
        </w:rPr>
      </w:pPr>
      <w:r>
        <w:rPr>
          <w:rFonts w:ascii="宋体" w:hAnsi="宋体" w:cs="宋体" w:eastAsia="宋体" w:hint="default"/>
          <w:sz w:val="21"/>
          <w:szCs w:val="21"/>
        </w:rPr>
        <w:t>报告期内，公司未发生重大出售资产事项。</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、企业合并情况</w:t>
      </w:r>
      <w:r>
        <w:rPr>
          <w:rFonts w:ascii="宋体" w:hAnsi="宋体" w:cs="宋体" w:eastAsia="宋体" w:hint="default"/>
          <w:b/>
          <w:bCs/>
          <w:spacing w:val="-103"/>
          <w:sz w:val="21"/>
          <w:szCs w:val="21"/>
        </w:rPr>
        <w:t> </w:t>
      </w:r>
      <w:r>
        <w:rPr>
          <w:rFonts w:ascii="宋体" w:hAnsi="宋体" w:cs="宋体" w:eastAsia="宋体" w:hint="default"/>
          <w:sz w:val="21"/>
          <w:szCs w:val="21"/>
        </w:rPr>
        <w:t>报告期内，公司未发生企业合并事项。</w:t>
      </w:r>
      <w:r>
        <w:rPr>
          <w:rFonts w:ascii="宋体" w:hAnsi="宋体" w:cs="宋体" w:eastAsia="宋体" w:hint="default"/>
          <w:w w:val="100"/>
          <w:sz w:val="21"/>
          <w:szCs w:val="21"/>
        </w:rPr>
        <w:t> </w:t>
      </w:r>
      <w:r>
        <w:rPr>
          <w:rFonts w:ascii="宋体" w:hAnsi="宋体" w:cs="宋体" w:eastAsia="宋体" w:hint="default"/>
          <w:b/>
          <w:bCs/>
          <w:sz w:val="24"/>
          <w:szCs w:val="24"/>
        </w:rPr>
        <w:t>五、公司股权激励的实施情况及其影响</w:t>
      </w:r>
      <w:r>
        <w:rPr>
          <w:rFonts w:ascii="宋体" w:hAnsi="宋体" w:cs="宋体" w:eastAsia="宋体" w:hint="default"/>
          <w:sz w:val="24"/>
          <w:szCs w:val="24"/>
        </w:rPr>
      </w:r>
    </w:p>
    <w:p>
      <w:pPr>
        <w:spacing w:line="501" w:lineRule="auto" w:before="45"/>
        <w:ind w:left="252" w:right="6658" w:firstLine="0"/>
        <w:jc w:val="left"/>
        <w:rPr>
          <w:rFonts w:ascii="宋体" w:hAnsi="宋体" w:cs="宋体" w:eastAsia="宋体" w:hint="default"/>
          <w:sz w:val="21"/>
          <w:szCs w:val="21"/>
        </w:rPr>
      </w:pPr>
      <w:r>
        <w:rPr>
          <w:rFonts w:ascii="宋体" w:hAnsi="宋体" w:cs="宋体" w:eastAsia="宋体" w:hint="default"/>
          <w:spacing w:val="-2"/>
          <w:sz w:val="21"/>
          <w:szCs w:val="21"/>
        </w:rPr>
        <w:t>报告期内，公司未实施有关股权激励事项。</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4"/>
          <w:szCs w:val="24"/>
        </w:rPr>
        <w:t>六、重大关联交易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9"/>
        <w:rPr>
          <w:rFonts w:ascii="宋体" w:hAnsi="宋体" w:cs="宋体" w:eastAsia="宋体" w:hint="default"/>
          <w:b/>
          <w:bCs/>
          <w:sz w:val="6"/>
          <w:szCs w:val="6"/>
        </w:rPr>
      </w:pPr>
    </w:p>
    <w:tbl>
      <w:tblPr>
        <w:tblW w:w="0" w:type="auto"/>
        <w:jc w:val="left"/>
        <w:tblInd w:w="106" w:type="dxa"/>
        <w:tblLayout w:type="fixed"/>
        <w:tblCellMar>
          <w:top w:w="0" w:type="dxa"/>
          <w:left w:w="0" w:type="dxa"/>
          <w:bottom w:w="0" w:type="dxa"/>
          <w:right w:w="0" w:type="dxa"/>
        </w:tblCellMar>
        <w:tblLook w:val="01E0"/>
      </w:tblPr>
      <w:tblGrid>
        <w:gridCol w:w="1277"/>
        <w:gridCol w:w="425"/>
        <w:gridCol w:w="850"/>
        <w:gridCol w:w="783"/>
        <w:gridCol w:w="799"/>
        <w:gridCol w:w="797"/>
        <w:gridCol w:w="800"/>
        <w:gridCol w:w="797"/>
        <w:gridCol w:w="799"/>
        <w:gridCol w:w="797"/>
        <w:gridCol w:w="950"/>
        <w:gridCol w:w="850"/>
      </w:tblGrid>
      <w:tr>
        <w:trPr>
          <w:trHeight w:val="1056"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182"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316" w:lineRule="auto"/>
              <w:ind w:left="206" w:right="26"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4"/>
              <w:ind w:left="213" w:right="34" w:hanging="180"/>
              <w:jc w:val="left"/>
              <w:rPr>
                <w:rFonts w:ascii="宋体" w:hAnsi="宋体" w:cs="宋体" w:eastAsia="宋体" w:hint="default"/>
                <w:sz w:val="18"/>
                <w:szCs w:val="18"/>
              </w:rPr>
            </w:pPr>
            <w:r>
              <w:rPr>
                <w:rFonts w:ascii="宋体" w:hAnsi="宋体" w:cs="宋体" w:eastAsia="宋体" w:hint="default"/>
                <w:sz w:val="18"/>
                <w:szCs w:val="18"/>
              </w:rPr>
              <w:t>关联交易 金额</w:t>
            </w:r>
          </w:p>
          <w:p>
            <w:pPr>
              <w:pStyle w:val="TableParagraph"/>
              <w:spacing w:line="240" w:lineRule="auto" w:before="61"/>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3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3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11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6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61"/>
              <w:jc w:val="left"/>
              <w:rPr>
                <w:rFonts w:ascii="宋体" w:hAnsi="宋体" w:cs="宋体" w:eastAsia="宋体" w:hint="default"/>
                <w:sz w:val="18"/>
                <w:szCs w:val="18"/>
              </w:rPr>
            </w:pPr>
            <w:r>
              <w:rPr>
                <w:rFonts w:ascii="宋体" w:hAnsi="宋体" w:cs="宋体" w:eastAsia="宋体" w:hint="default"/>
                <w:sz w:val="18"/>
                <w:szCs w:val="18"/>
              </w:rPr>
              <w:t>日本国东方工 程株式会社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商品采购</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材料采购</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10383696</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1,038.37</w:t>
            </w:r>
          </w:p>
        </w:tc>
        <w:tc>
          <w:tcPr>
            <w:tcW w:w="797"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1038.37</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2012-007</w:t>
            </w:r>
          </w:p>
        </w:tc>
      </w:tr>
      <w:tr>
        <w:trPr>
          <w:trHeight w:val="71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日本国东方工 程株式会社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销售配件</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14169.84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2012-007</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日本国和华株 式会社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商品采购</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材料采购</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3024857.</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302.49</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2012-007</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日本国和华株 式会社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销售设备</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2523830.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252.38</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2012-007</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日本国和华株 式会社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销售配件</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31114.83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5"/>
                <w:sz w:val="18"/>
              </w:rPr>
              <w:t>3.11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2012-007</w:t>
            </w:r>
          </w:p>
        </w:tc>
      </w:tr>
    </w:tbl>
    <w:p>
      <w:pPr>
        <w:spacing w:after="0" w:line="240" w:lineRule="auto"/>
        <w:jc w:val="left"/>
        <w:rPr>
          <w:rFonts w:ascii="Times New Roman" w:hAnsi="Times New Roman" w:cs="Times New Roman" w:eastAsia="Times New Roman" w:hint="default"/>
          <w:sz w:val="18"/>
          <w:szCs w:val="18"/>
        </w:rPr>
        <w:sectPr>
          <w:pgSz w:w="11910" w:h="16840"/>
          <w:pgMar w:header="706" w:footer="1306" w:top="1060" w:bottom="1540" w:left="880" w:right="0"/>
        </w:sectPr>
      </w:pPr>
    </w:p>
    <w:p>
      <w:pPr>
        <w:spacing w:line="240" w:lineRule="auto" w:before="6"/>
        <w:rPr>
          <w:rFonts w:ascii="宋体" w:hAnsi="宋体" w:cs="宋体" w:eastAsia="宋体" w:hint="default"/>
          <w:b/>
          <w:bCs/>
          <w:sz w:val="28"/>
          <w:szCs w:val="28"/>
        </w:rPr>
      </w:pPr>
    </w:p>
    <w:tbl>
      <w:tblPr>
        <w:tblW w:w="0" w:type="auto"/>
        <w:jc w:val="left"/>
        <w:tblInd w:w="106" w:type="dxa"/>
        <w:tblLayout w:type="fixed"/>
        <w:tblCellMar>
          <w:top w:w="0" w:type="dxa"/>
          <w:left w:w="0" w:type="dxa"/>
          <w:bottom w:w="0" w:type="dxa"/>
          <w:right w:w="0" w:type="dxa"/>
        </w:tblCellMar>
        <w:tblLook w:val="01E0"/>
      </w:tblPr>
      <w:tblGrid>
        <w:gridCol w:w="1277"/>
        <w:gridCol w:w="425"/>
        <w:gridCol w:w="850"/>
        <w:gridCol w:w="783"/>
        <w:gridCol w:w="799"/>
        <w:gridCol w:w="797"/>
        <w:gridCol w:w="800"/>
        <w:gridCol w:w="797"/>
        <w:gridCol w:w="799"/>
        <w:gridCol w:w="797"/>
        <w:gridCol w:w="950"/>
        <w:gridCol w:w="850"/>
      </w:tblGrid>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广州丰东热炼 有限公司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联营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销售配件</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62"/>
              <w:jc w:val="center"/>
              <w:rPr>
                <w:rFonts w:ascii="Times New Roman" w:hAnsi="Times New Roman" w:cs="Times New Roman" w:eastAsia="Times New Roman" w:hint="default"/>
                <w:sz w:val="18"/>
                <w:szCs w:val="18"/>
              </w:rPr>
            </w:pPr>
            <w:r>
              <w:rPr>
                <w:rFonts w:ascii="Times New Roman"/>
                <w:sz w:val="18"/>
              </w:rPr>
              <w:t>72429.06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2012-007</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广州丰东热炼 有限公司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联营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销售设备</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1282051.</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128.21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2012-007</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盐城高周波热 炼有限公司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合营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销售设备</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5969434.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596.94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2012-007</w:t>
            </w:r>
          </w:p>
        </w:tc>
      </w:tr>
      <w:tr>
        <w:trPr>
          <w:trHeight w:val="403" w:hRule="exact"/>
        </w:trPr>
        <w:tc>
          <w:tcPr>
            <w:tcW w:w="33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2,330.16</w:t>
            </w:r>
          </w:p>
        </w:tc>
        <w:tc>
          <w:tcPr>
            <w:tcW w:w="7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4"/>
              <w:jc w:val="right"/>
              <w:rPr>
                <w:rFonts w:ascii="Times New Roman" w:hAnsi="Times New Roman" w:cs="Times New Roman" w:eastAsia="Times New Roman" w:hint="default"/>
                <w:sz w:val="18"/>
                <w:szCs w:val="18"/>
              </w:rPr>
            </w:pPr>
            <w:r>
              <w:rPr>
                <w:rFonts w:ascii="Times New Roman"/>
                <w:spacing w:val="-1"/>
                <w:sz w:val="18"/>
              </w:rPr>
              <w:t>12.11%</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33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0"/>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关联交易的必要性、持续性、选择与关联 方（而非市场其他交易方）进行交易的原 因</w:t>
            </w:r>
          </w:p>
        </w:tc>
        <w:tc>
          <w:tcPr>
            <w:tcW w:w="6589" w:type="dxa"/>
            <w:gridSpan w:val="8"/>
            <w:tcBorders>
              <w:top w:val="single" w:sz="4" w:space="0" w:color="000000"/>
              <w:left w:val="single" w:sz="13" w:space="0" w:color="D2D2D2"/>
              <w:bottom w:val="single" w:sz="4" w:space="0" w:color="000000"/>
              <w:right w:val="single" w:sz="4" w:space="0" w:color="000000"/>
            </w:tcBorders>
          </w:tcPr>
          <w:p>
            <w:pPr>
              <w:pStyle w:val="TableParagraph"/>
              <w:spacing w:line="316" w:lineRule="auto" w:before="49"/>
              <w:ind w:left="11" w:right="73"/>
              <w:jc w:val="both"/>
              <w:rPr>
                <w:rFonts w:ascii="宋体" w:hAnsi="宋体" w:cs="宋体" w:eastAsia="宋体" w:hint="default"/>
                <w:sz w:val="18"/>
                <w:szCs w:val="18"/>
              </w:rPr>
            </w:pPr>
            <w:r>
              <w:rPr>
                <w:rFonts w:ascii="宋体" w:hAnsi="宋体" w:cs="宋体" w:eastAsia="宋体" w:hint="default"/>
                <w:sz w:val="18"/>
                <w:szCs w:val="18"/>
              </w:rPr>
              <w:t>公司与各关联方发生的热处理设备零配件采购及热处理设备、零配件销售等交易是 公司业务发展及生产经营的正常需要，预计在今后的生产经营中，日常关联交易还 会持续</w:t>
            </w:r>
          </w:p>
        </w:tc>
      </w:tr>
      <w:tr>
        <w:trPr>
          <w:trHeight w:val="319" w:hRule="exact"/>
        </w:trPr>
        <w:tc>
          <w:tcPr>
            <w:tcW w:w="3335"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589" w:type="dxa"/>
            <w:gridSpan w:val="8"/>
            <w:vMerge w:val="restart"/>
            <w:tcBorders>
              <w:top w:val="single" w:sz="4" w:space="0" w:color="000000"/>
              <w:left w:val="single" w:sz="10" w:space="0" w:color="D2D2D2"/>
              <w:right w:val="single" w:sz="4" w:space="0" w:color="000000"/>
            </w:tcBorders>
          </w:tcPr>
          <w:p>
            <w:pPr>
              <w:pStyle w:val="TableParagraph"/>
              <w:spacing w:line="316" w:lineRule="auto" w:before="51"/>
              <w:ind w:left="16" w:right="73"/>
              <w:jc w:val="both"/>
              <w:rPr>
                <w:rFonts w:ascii="宋体" w:hAnsi="宋体" w:cs="宋体" w:eastAsia="宋体" w:hint="default"/>
                <w:sz w:val="18"/>
                <w:szCs w:val="18"/>
              </w:rPr>
            </w:pPr>
            <w:r>
              <w:rPr>
                <w:rFonts w:ascii="宋体" w:hAnsi="宋体" w:cs="宋体" w:eastAsia="宋体" w:hint="default"/>
                <w:sz w:val="18"/>
                <w:szCs w:val="18"/>
              </w:rPr>
              <w:t>日常关联交易定价原则为市场价格，具有公允性，不存在损害公司和非关联股东利 益，交易的决策严格按照法律法规及公司的相关制度进行，日常关联交易不会对公 司造成不利影响。</w:t>
            </w:r>
          </w:p>
        </w:tc>
      </w:tr>
      <w:tr>
        <w:trPr>
          <w:trHeight w:val="392" w:hRule="exact"/>
        </w:trPr>
        <w:tc>
          <w:tcPr>
            <w:tcW w:w="3335"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589" w:type="dxa"/>
            <w:gridSpan w:val="8"/>
            <w:vMerge/>
            <w:tcBorders>
              <w:left w:val="single" w:sz="10" w:space="0" w:color="D2D2D2"/>
              <w:right w:val="single" w:sz="4" w:space="0" w:color="000000"/>
            </w:tcBorders>
          </w:tcPr>
          <w:p>
            <w:pPr/>
          </w:p>
        </w:tc>
      </w:tr>
      <w:tr>
        <w:trPr>
          <w:trHeight w:val="317" w:hRule="exact"/>
        </w:trPr>
        <w:tc>
          <w:tcPr>
            <w:tcW w:w="3335"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589" w:type="dxa"/>
            <w:gridSpan w:val="8"/>
            <w:vMerge/>
            <w:tcBorders>
              <w:left w:val="single" w:sz="10" w:space="0" w:color="D2D2D2"/>
              <w:bottom w:val="single" w:sz="4" w:space="0" w:color="000000"/>
              <w:right w:val="single" w:sz="4" w:space="0" w:color="000000"/>
            </w:tcBorders>
          </w:tcPr>
          <w:p>
            <w:pPr/>
          </w:p>
        </w:tc>
      </w:tr>
      <w:tr>
        <w:trPr>
          <w:trHeight w:val="713" w:hRule="exact"/>
        </w:trPr>
        <w:tc>
          <w:tcPr>
            <w:tcW w:w="33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公司对关联方的依赖程度，以及相关解决 措施（如有）</w:t>
            </w:r>
          </w:p>
        </w:tc>
        <w:tc>
          <w:tcPr>
            <w:tcW w:w="6589" w:type="dxa"/>
            <w:gridSpan w:val="8"/>
            <w:tcBorders>
              <w:top w:val="single" w:sz="4" w:space="0" w:color="000000"/>
              <w:left w:val="single" w:sz="13" w:space="0" w:color="D2D2D2"/>
              <w:bottom w:val="single" w:sz="4" w:space="0" w:color="000000"/>
              <w:right w:val="single" w:sz="4" w:space="0" w:color="000000"/>
            </w:tcBorders>
          </w:tcPr>
          <w:p>
            <w:pPr>
              <w:pStyle w:val="TableParagraph"/>
              <w:spacing w:line="316" w:lineRule="auto" w:before="49"/>
              <w:ind w:left="11" w:right="73"/>
              <w:jc w:val="left"/>
              <w:rPr>
                <w:rFonts w:ascii="宋体" w:hAnsi="宋体" w:cs="宋体" w:eastAsia="宋体" w:hint="default"/>
                <w:sz w:val="18"/>
                <w:szCs w:val="18"/>
              </w:rPr>
            </w:pPr>
            <w:r>
              <w:rPr>
                <w:rFonts w:ascii="宋体" w:hAnsi="宋体" w:cs="宋体" w:eastAsia="宋体" w:hint="default"/>
                <w:sz w:val="18"/>
                <w:szCs w:val="18"/>
              </w:rPr>
              <w:t>公司与关联方之间关联交易与公司全年的营业收入相比金额较小，公司的业务不会 因为上述关联交易对关联方形成依赖关系，不会影响本公司的独立性</w:t>
            </w:r>
          </w:p>
        </w:tc>
      </w:tr>
      <w:tr>
        <w:trPr>
          <w:trHeight w:val="1027" w:hRule="exact"/>
        </w:trPr>
        <w:tc>
          <w:tcPr>
            <w:tcW w:w="33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0"/>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按类别对本期将发生的日常关联交易进行 总金额预计的，在报告期内的实际履行情 况（如有）</w:t>
            </w:r>
          </w:p>
        </w:tc>
        <w:tc>
          <w:tcPr>
            <w:tcW w:w="6589"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报告期内，实际发生的日常关联交易金额在</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年度预计日常关联交易额度范围内</w:t>
            </w:r>
          </w:p>
        </w:tc>
      </w:tr>
      <w:tr>
        <w:trPr>
          <w:trHeight w:val="403" w:hRule="exact"/>
        </w:trPr>
        <w:tc>
          <w:tcPr>
            <w:tcW w:w="33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w:t>
            </w:r>
          </w:p>
        </w:tc>
        <w:tc>
          <w:tcPr>
            <w:tcW w:w="6589"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b/>
          <w:bCs/>
          <w:sz w:val="19"/>
          <w:szCs w:val="19"/>
        </w:rPr>
      </w:pPr>
    </w:p>
    <w:p>
      <w:pPr>
        <w:pStyle w:val="Heading4"/>
        <w:spacing w:line="240" w:lineRule="auto" w:before="36"/>
        <w:ind w:left="252"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7"/>
        <w:rPr>
          <w:rFonts w:ascii="宋体" w:hAnsi="宋体" w:cs="宋体" w:eastAsia="宋体" w:hint="default"/>
          <w:b/>
          <w:bCs/>
          <w:sz w:val="25"/>
          <w:szCs w:val="25"/>
        </w:rPr>
      </w:pPr>
    </w:p>
    <w:tbl>
      <w:tblPr>
        <w:tblW w:w="0" w:type="auto"/>
        <w:jc w:val="left"/>
        <w:tblInd w:w="249" w:type="dxa"/>
        <w:tblLayout w:type="fixed"/>
        <w:tblCellMar>
          <w:top w:w="0" w:type="dxa"/>
          <w:left w:w="0" w:type="dxa"/>
          <w:bottom w:w="0" w:type="dxa"/>
          <w:right w:w="0" w:type="dxa"/>
        </w:tblCellMar>
        <w:tblLook w:val="01E0"/>
      </w:tblPr>
      <w:tblGrid>
        <w:gridCol w:w="736"/>
        <w:gridCol w:w="744"/>
        <w:gridCol w:w="734"/>
        <w:gridCol w:w="745"/>
        <w:gridCol w:w="734"/>
        <w:gridCol w:w="732"/>
        <w:gridCol w:w="734"/>
        <w:gridCol w:w="737"/>
        <w:gridCol w:w="734"/>
        <w:gridCol w:w="734"/>
        <w:gridCol w:w="740"/>
        <w:gridCol w:w="732"/>
        <w:gridCol w:w="730"/>
      </w:tblGrid>
      <w:tr>
        <w:trPr>
          <w:trHeight w:val="1339"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78" w:right="93"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95" w:right="98"/>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6" w:right="89"/>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19"/>
              <w:ind w:left="26" w:right="-20"/>
              <w:jc w:val="left"/>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92"/>
              <w:jc w:val="both"/>
              <w:rPr>
                <w:rFonts w:ascii="宋体" w:hAnsi="宋体" w:cs="宋体" w:eastAsia="宋体" w:hint="default"/>
                <w:sz w:val="18"/>
                <w:szCs w:val="18"/>
              </w:rPr>
            </w:pPr>
            <w:r>
              <w:rPr>
                <w:rFonts w:ascii="宋体" w:hAnsi="宋体" w:cs="宋体" w:eastAsia="宋体" w:hint="default"/>
                <w:sz w:val="18"/>
                <w:szCs w:val="18"/>
              </w:rPr>
              <w:t>转让资 产获得 的收益</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71" w:right="8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68" w:right="8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line="240" w:lineRule="auto" w:before="3"/>
        <w:rPr>
          <w:rFonts w:ascii="宋体" w:hAnsi="宋体" w:cs="宋体" w:eastAsia="宋体" w:hint="default"/>
          <w:b/>
          <w:bCs/>
          <w:sz w:val="19"/>
          <w:szCs w:val="19"/>
        </w:rPr>
      </w:pPr>
    </w:p>
    <w:p>
      <w:pPr>
        <w:pStyle w:val="Heading4"/>
        <w:spacing w:line="240" w:lineRule="auto" w:before="36"/>
        <w:ind w:left="252"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8"/>
        <w:rPr>
          <w:rFonts w:ascii="宋体" w:hAnsi="宋体" w:cs="宋体" w:eastAsia="宋体" w:hint="default"/>
          <w:b/>
          <w:bCs/>
          <w:sz w:val="25"/>
          <w:szCs w:val="25"/>
        </w:rPr>
      </w:pPr>
    </w:p>
    <w:tbl>
      <w:tblPr>
        <w:tblW w:w="0" w:type="auto"/>
        <w:jc w:val="left"/>
        <w:tblInd w:w="249" w:type="dxa"/>
        <w:tblLayout w:type="fixed"/>
        <w:tblCellMar>
          <w:top w:w="0" w:type="dxa"/>
          <w:left w:w="0" w:type="dxa"/>
          <w:bottom w:w="0" w:type="dxa"/>
          <w:right w:w="0" w:type="dxa"/>
        </w:tblCellMar>
        <w:tblLook w:val="01E0"/>
      </w:tblPr>
      <w:tblGrid>
        <w:gridCol w:w="1062"/>
        <w:gridCol w:w="1063"/>
        <w:gridCol w:w="1066"/>
        <w:gridCol w:w="1066"/>
        <w:gridCol w:w="1066"/>
        <w:gridCol w:w="1063"/>
        <w:gridCol w:w="1063"/>
        <w:gridCol w:w="1065"/>
        <w:gridCol w:w="1044"/>
      </w:tblGrid>
      <w:tr>
        <w:trPr>
          <w:trHeight w:val="102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75"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56" w:right="77" w:hanging="180"/>
              <w:jc w:val="left"/>
              <w:rPr>
                <w:rFonts w:ascii="宋体" w:hAnsi="宋体" w:cs="宋体" w:eastAsia="宋体" w:hint="default"/>
                <w:sz w:val="18"/>
                <w:szCs w:val="18"/>
              </w:rPr>
            </w:pPr>
            <w:r>
              <w:rPr>
                <w:rFonts w:ascii="宋体" w:hAnsi="宋体" w:cs="宋体" w:eastAsia="宋体" w:hint="default"/>
                <w:sz w:val="18"/>
                <w:szCs w:val="18"/>
              </w:rPr>
              <w:t>共同投资定 价原则</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59" w:right="74"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79" w:right="75"/>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76" w:right="74"/>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19" w:hanging="3"/>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2"/>
                <w:sz w:val="18"/>
                <w:szCs w:val="18"/>
              </w:rPr>
              <w:t>的总资产（万</w:t>
            </w:r>
            <w:r>
              <w:rPr>
                <w:rFonts w:ascii="宋体" w:hAnsi="宋体" w:cs="宋体" w:eastAsia="宋体" w:hint="default"/>
                <w:sz w:val="18"/>
                <w:szCs w:val="18"/>
              </w:rPr>
              <w:t> 元）</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1" w:hanging="3"/>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2"/>
                <w:sz w:val="18"/>
                <w:szCs w:val="18"/>
              </w:rPr>
              <w:t>的净资产（万</w:t>
            </w:r>
            <w:r>
              <w:rPr>
                <w:rFonts w:ascii="宋体" w:hAnsi="宋体" w:cs="宋体" w:eastAsia="宋体" w:hint="default"/>
                <w:sz w:val="18"/>
                <w:szCs w:val="18"/>
              </w:rPr>
              <w:t> 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4"/>
                <w:sz w:val="18"/>
                <w:szCs w:val="18"/>
              </w:rPr>
              <w:t>的净利润（万</w:t>
            </w:r>
            <w:r>
              <w:rPr>
                <w:rFonts w:ascii="宋体" w:hAnsi="宋体" w:cs="宋体" w:eastAsia="宋体" w:hint="default"/>
                <w:sz w:val="18"/>
                <w:szCs w:val="18"/>
              </w:rPr>
              <w:t> 元）</w:t>
            </w:r>
          </w:p>
        </w:tc>
      </w:tr>
    </w:tbl>
    <w:p>
      <w:pPr>
        <w:spacing w:line="240" w:lineRule="auto" w:before="3"/>
        <w:rPr>
          <w:rFonts w:ascii="宋体" w:hAnsi="宋体" w:cs="宋体" w:eastAsia="宋体" w:hint="default"/>
          <w:b/>
          <w:bCs/>
          <w:sz w:val="19"/>
          <w:szCs w:val="19"/>
        </w:rPr>
      </w:pPr>
    </w:p>
    <w:p>
      <w:pPr>
        <w:pStyle w:val="Heading4"/>
        <w:spacing w:line="240" w:lineRule="auto" w:before="36"/>
        <w:ind w:left="252"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before="0"/>
        <w:ind w:left="252" w:right="0" w:firstLine="0"/>
        <w:jc w:val="left"/>
        <w:rPr>
          <w:rFonts w:ascii="宋体" w:hAnsi="宋体" w:cs="宋体" w:eastAsia="宋体" w:hint="default"/>
          <w:sz w:val="18"/>
          <w:szCs w:val="18"/>
        </w:rPr>
      </w:pPr>
      <w:r>
        <w:rPr>
          <w:rFonts w:ascii="宋体" w:hAnsi="宋体" w:cs="宋体" w:eastAsia="宋体" w:hint="default"/>
          <w:sz w:val="18"/>
          <w:szCs w:val="18"/>
        </w:rPr>
        <w:t>是否存在非经营性关联债权债务往来</w:t>
      </w:r>
    </w:p>
    <w:p>
      <w:pPr>
        <w:spacing w:before="115"/>
        <w:ind w:left="2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1734"/>
        <w:gridCol w:w="1119"/>
        <w:gridCol w:w="1118"/>
        <w:gridCol w:w="1121"/>
        <w:gridCol w:w="1119"/>
        <w:gridCol w:w="1118"/>
        <w:gridCol w:w="1119"/>
        <w:gridCol w:w="1121"/>
      </w:tblGrid>
      <w:tr>
        <w:trPr>
          <w:trHeight w:val="1026" w:hRule="exact"/>
        </w:trPr>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65" w:right="101"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6"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6" w:right="101"/>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74" w:right="19" w:hanging="351"/>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76" w:right="19" w:hanging="351"/>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bl>
    <w:p>
      <w:pPr>
        <w:spacing w:after="0" w:line="316" w:lineRule="auto"/>
        <w:jc w:val="left"/>
        <w:rPr>
          <w:rFonts w:ascii="宋体" w:hAnsi="宋体" w:cs="宋体" w:eastAsia="宋体" w:hint="default"/>
          <w:sz w:val="18"/>
          <w:szCs w:val="18"/>
        </w:rPr>
        <w:sectPr>
          <w:pgSz w:w="11910" w:h="16840"/>
          <w:pgMar w:header="706" w:footer="1306" w:top="1060" w:bottom="1540" w:left="8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spacing w:line="360" w:lineRule="auto" w:before="0"/>
        <w:ind w:left="172" w:right="7514" w:firstLine="0"/>
        <w:jc w:val="left"/>
        <w:rPr>
          <w:rFonts w:ascii="宋体" w:hAnsi="宋体" w:cs="宋体" w:eastAsia="宋体" w:hint="default"/>
          <w:sz w:val="18"/>
          <w:szCs w:val="18"/>
        </w:rPr>
      </w:pPr>
      <w:r>
        <w:rPr>
          <w:rFonts w:ascii="宋体" w:hAnsi="宋体" w:cs="宋体" w:eastAsia="宋体" w:hint="default"/>
          <w:sz w:val="18"/>
          <w:szCs w:val="18"/>
        </w:rPr>
        <w:t>不适用 重大关联交易临时报告披露网站相关查询</w:t>
      </w:r>
    </w:p>
    <w:tbl>
      <w:tblPr>
        <w:tblW w:w="0" w:type="auto"/>
        <w:jc w:val="left"/>
        <w:tblInd w:w="169" w:type="dxa"/>
        <w:tblLayout w:type="fixed"/>
        <w:tblCellMar>
          <w:top w:w="0" w:type="dxa"/>
          <w:left w:w="0" w:type="dxa"/>
          <w:bottom w:w="0" w:type="dxa"/>
          <w:right w:w="0" w:type="dxa"/>
        </w:tblCellMar>
        <w:tblLook w:val="01E0"/>
      </w:tblPr>
      <w:tblGrid>
        <w:gridCol w:w="3458"/>
        <w:gridCol w:w="2650"/>
        <w:gridCol w:w="3449"/>
      </w:tblGrid>
      <w:tr>
        <w:trPr>
          <w:trHeight w:val="402" w:hRule="exact"/>
        </w:trPr>
        <w:tc>
          <w:tcPr>
            <w:tcW w:w="3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7"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bl>
    <w:p>
      <w:pPr>
        <w:spacing w:line="240" w:lineRule="auto" w:before="5"/>
        <w:rPr>
          <w:rFonts w:ascii="宋体" w:hAnsi="宋体" w:cs="宋体" w:eastAsia="宋体" w:hint="default"/>
          <w:sz w:val="19"/>
          <w:szCs w:val="19"/>
        </w:rPr>
      </w:pPr>
    </w:p>
    <w:p>
      <w:pPr>
        <w:pStyle w:val="Heading2"/>
        <w:spacing w:line="240" w:lineRule="auto" w:before="26"/>
        <w:ind w:right="0"/>
        <w:jc w:val="left"/>
        <w:rPr>
          <w:b w:val="0"/>
          <w:bCs w:val="0"/>
        </w:rPr>
      </w:pP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1594"/>
        <w:gridCol w:w="935"/>
        <w:gridCol w:w="940"/>
        <w:gridCol w:w="1213"/>
        <w:gridCol w:w="1178"/>
        <w:gridCol w:w="1093"/>
        <w:gridCol w:w="1019"/>
        <w:gridCol w:w="803"/>
        <w:gridCol w:w="787"/>
      </w:tblGrid>
      <w:tr>
        <w:trPr>
          <w:trHeight w:val="401"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69"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8"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47"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8"/>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9"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1"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4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47"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8"/>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2"/>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4"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130"/>
              <w:jc w:val="left"/>
              <w:rPr>
                <w:rFonts w:ascii="宋体" w:hAnsi="宋体" w:cs="宋体" w:eastAsia="宋体" w:hint="default"/>
                <w:sz w:val="18"/>
                <w:szCs w:val="18"/>
              </w:rPr>
            </w:pPr>
            <w:r>
              <w:rPr>
                <w:rFonts w:ascii="宋体" w:hAnsi="宋体" w:cs="宋体" w:eastAsia="宋体" w:hint="default"/>
                <w:sz w:val="18"/>
                <w:szCs w:val="18"/>
              </w:rPr>
              <w:t>盐城丰东特种炉业 有限公司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5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3"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73"/>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330</w:t>
            </w:r>
          </w:p>
        </w:tc>
      </w:tr>
      <w:tr>
        <w:trPr>
          <w:trHeight w:val="718" w:hRule="exact"/>
        </w:trPr>
        <w:tc>
          <w:tcPr>
            <w:tcW w:w="25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3"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73"/>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8" w:hRule="exact"/>
        </w:trPr>
        <w:tc>
          <w:tcPr>
            <w:tcW w:w="25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3"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5" w:right="73"/>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330</w:t>
            </w:r>
          </w:p>
        </w:tc>
      </w:tr>
      <w:tr>
        <w:trPr>
          <w:trHeight w:val="716" w:hRule="exact"/>
        </w:trPr>
        <w:tc>
          <w:tcPr>
            <w:tcW w:w="25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3"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6"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06" w:footer="1306" w:top="1060" w:bottom="1540" w:left="960" w:right="0"/>
        </w:sectPr>
      </w:pPr>
    </w:p>
    <w:p>
      <w:pPr>
        <w:spacing w:line="240" w:lineRule="auto" w:before="9"/>
        <w:rPr>
          <w:rFonts w:ascii="宋体" w:hAnsi="宋体" w:cs="宋体" w:eastAsia="宋体" w:hint="default"/>
          <w:sz w:val="25"/>
          <w:szCs w:val="25"/>
        </w:rPr>
      </w:pP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1616"/>
        <w:gridCol w:w="1995"/>
        <w:gridCol w:w="1983"/>
        <w:gridCol w:w="1980"/>
        <w:gridCol w:w="1983"/>
      </w:tblGrid>
      <w:tr>
        <w:trPr>
          <w:trHeight w:val="403"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违规对外担保类型</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报告期增加金额</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报告期减少金额</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 净资产的比例</w:t>
            </w:r>
            <w:r>
              <w:rPr>
                <w:rFonts w:ascii="Times New Roman" w:hAnsi="Times New Roman" w:cs="Times New Roman" w:eastAsia="Times New Roman" w:hint="default"/>
                <w:sz w:val="18"/>
                <w:szCs w:val="18"/>
              </w:rPr>
              <w:t>(%)</w:t>
            </w:r>
          </w:p>
        </w:tc>
        <w:tc>
          <w:tcPr>
            <w:tcW w:w="7941"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jc w:val="both"/>
              <w:rPr>
                <w:rFonts w:ascii="宋体" w:hAnsi="宋体" w:cs="宋体" w:eastAsia="宋体" w:hint="default"/>
                <w:sz w:val="18"/>
                <w:szCs w:val="18"/>
              </w:rPr>
            </w:pPr>
            <w:r>
              <w:rPr>
                <w:rFonts w:ascii="宋体" w:hAnsi="宋体" w:cs="宋体" w:eastAsia="宋体" w:hint="default"/>
                <w:sz w:val="18"/>
                <w:szCs w:val="18"/>
              </w:rPr>
              <w:t>违规对外担保情况 及解决措施情况说 明</w:t>
            </w:r>
          </w:p>
        </w:tc>
        <w:tc>
          <w:tcPr>
            <w:tcW w:w="7941"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5"/>
          <w:szCs w:val="25"/>
        </w:rPr>
      </w:pPr>
    </w:p>
    <w:tbl>
      <w:tblPr>
        <w:tblW w:w="0" w:type="auto"/>
        <w:jc w:val="left"/>
        <w:tblInd w:w="169" w:type="dxa"/>
        <w:tblLayout w:type="fixed"/>
        <w:tblCellMar>
          <w:top w:w="0" w:type="dxa"/>
          <w:left w:w="0" w:type="dxa"/>
          <w:bottom w:w="0" w:type="dxa"/>
          <w:right w:w="0" w:type="dxa"/>
        </w:tblCellMar>
        <w:tblLook w:val="01E0"/>
      </w:tblPr>
      <w:tblGrid>
        <w:gridCol w:w="870"/>
        <w:gridCol w:w="869"/>
        <w:gridCol w:w="871"/>
        <w:gridCol w:w="869"/>
        <w:gridCol w:w="871"/>
        <w:gridCol w:w="867"/>
        <w:gridCol w:w="869"/>
        <w:gridCol w:w="869"/>
        <w:gridCol w:w="869"/>
        <w:gridCol w:w="871"/>
        <w:gridCol w:w="869"/>
      </w:tblGrid>
      <w:tr>
        <w:trPr>
          <w:trHeight w:val="1338"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8" w:right="70"/>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firstLine="45"/>
              <w:jc w:val="both"/>
              <w:rPr>
                <w:rFonts w:ascii="宋体" w:hAnsi="宋体" w:cs="宋体" w:eastAsia="宋体" w:hint="default"/>
                <w:sz w:val="18"/>
                <w:szCs w:val="18"/>
              </w:rPr>
            </w:pPr>
            <w:r>
              <w:rPr>
                <w:rFonts w:ascii="宋体" w:hAnsi="宋体" w:cs="宋体" w:eastAsia="宋体" w:hint="default"/>
                <w:sz w:val="18"/>
                <w:szCs w:val="18"/>
              </w:rPr>
              <w:t>合同涉及 资产的账 </w:t>
            </w:r>
            <w:r>
              <w:rPr>
                <w:rFonts w:ascii="宋体" w:hAnsi="宋体" w:cs="宋体" w:eastAsia="宋体" w:hint="default"/>
                <w:spacing w:val="-18"/>
                <w:sz w:val="18"/>
                <w:szCs w:val="18"/>
              </w:rPr>
              <w:t>面价值（万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46"/>
              <w:jc w:val="both"/>
              <w:rPr>
                <w:rFonts w:ascii="宋体" w:hAnsi="宋体" w:cs="宋体" w:eastAsia="宋体" w:hint="default"/>
                <w:sz w:val="18"/>
                <w:szCs w:val="18"/>
              </w:rPr>
            </w:pPr>
            <w:r>
              <w:rPr>
                <w:rFonts w:ascii="宋体" w:hAnsi="宋体" w:cs="宋体" w:eastAsia="宋体" w:hint="default"/>
                <w:sz w:val="18"/>
                <w:szCs w:val="18"/>
              </w:rPr>
              <w:t>合同涉及 资产的评 </w:t>
            </w:r>
            <w:r>
              <w:rPr>
                <w:rFonts w:ascii="宋体" w:hAnsi="宋体" w:cs="宋体" w:eastAsia="宋体" w:hint="default"/>
                <w:spacing w:val="-18"/>
                <w:sz w:val="18"/>
                <w:szCs w:val="18"/>
              </w:rPr>
              <w:t>估价值（万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1"/>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评估基准</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9" w:right="68"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pict>
          <v:shape style="position:absolute;margin-left:154.216995pt;margin-top:-29.924368pt;width:75.150pt;height:17.55pt;mso-position-horizontal-relative:page;mso-position-vertical-relative:paragraph;z-index:-859504"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shape style="position:absolute;margin-left:197.777008pt;margin-top:-37.724369pt;width:75.05pt;height:20pt;mso-position-horizontal-relative:page;mso-position-vertical-relative:paragraph;z-index:-859480" type="#_x0000_t202" filled="false" stroked="false">
            <v:textbox inset="0,0,0,0">
              <w:txbxContent>
                <w:p>
                  <w:pPr>
                    <w:spacing w:line="240" w:lineRule="auto" w:before="7"/>
                    <w:rPr>
                      <w:rFonts w:ascii="宋体" w:hAnsi="宋体" w:cs="宋体" w:eastAsia="宋体" w:hint="default"/>
                      <w:b/>
                      <w:bCs/>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shape style="position:absolute;margin-left:275.690002pt;margin-top:-55.364368pt;width:84.05pt;height:22.05pt;mso-position-horizontal-relative:page;mso-position-vertical-relative:paragraph;z-index:-859456" type="#_x0000_t202" filled="false" stroked="false">
            <v:textbox inset="0,0,0,0">
              <w:txbxContent>
                <w:p>
                  <w:pPr>
                    <w:spacing w:line="240" w:lineRule="auto" w:before="9"/>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日（如有）</w:t>
                  </w:r>
                </w:p>
              </w:txbxContent>
            </v:textbox>
            <w10:wrap type="none"/>
          </v:shape>
        </w:pict>
      </w:r>
      <w:r>
        <w:rPr/>
        <w:t>八、承诺事项履行情况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67" w:type="dxa"/>
        <w:tblLayout w:type="fixed"/>
        <w:tblCellMar>
          <w:top w:w="0" w:type="dxa"/>
          <w:left w:w="0" w:type="dxa"/>
          <w:bottom w:w="0" w:type="dxa"/>
          <w:right w:w="0" w:type="dxa"/>
        </w:tblCellMar>
        <w:tblLook w:val="01E0"/>
      </w:tblPr>
      <w:tblGrid>
        <w:gridCol w:w="1844"/>
        <w:gridCol w:w="1702"/>
        <w:gridCol w:w="3118"/>
        <w:gridCol w:w="994"/>
        <w:gridCol w:w="992"/>
        <w:gridCol w:w="922"/>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702"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702"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702"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314" w:lineRule="auto"/>
              <w:ind w:left="24"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07" w:lineRule="auto"/>
              <w:ind w:left="23" w:right="20"/>
              <w:jc w:val="both"/>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）公司控股股东大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丰市东润投资管理有 限公司</w:t>
            </w:r>
          </w:p>
          <w:p>
            <w:pPr>
              <w:pStyle w:val="TableParagraph"/>
              <w:spacing w:line="309" w:lineRule="auto" w:before="26"/>
              <w:ind w:left="23"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）公司实际控制 人、公司董事长兼总 经理朱文明先生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）公司控股股东大丰市东润投资管理</w:t>
            </w:r>
            <w:r>
              <w:rPr>
                <w:rFonts w:ascii="宋体" w:hAnsi="宋体" w:cs="宋体" w:eastAsia="宋体" w:hint="default"/>
                <w:sz w:val="18"/>
                <w:szCs w:val="18"/>
              </w:rPr>
              <w:t> 有限公司承诺：自本公司股票上市之日 起三十六个月内，不转让或者委托他人 管理本次发行前持有的本公司股份，也 不由本公司回购该部分股份。</w:t>
            </w:r>
          </w:p>
          <w:p>
            <w:pPr>
              <w:pStyle w:val="TableParagraph"/>
              <w:spacing w:line="314" w:lineRule="auto" w:before="22"/>
              <w:ind w:left="23" w:right="19"/>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）公司实际控制人、公司董事长兼总</w:t>
            </w:r>
            <w:r>
              <w:rPr>
                <w:rFonts w:ascii="宋体" w:hAnsi="宋体" w:cs="宋体" w:eastAsia="宋体" w:hint="default"/>
                <w:sz w:val="18"/>
                <w:szCs w:val="18"/>
              </w:rPr>
              <w:t> 经理朱文明先生承诺：自本公司股票上 市起三十六个月内，不转让或者委托他 人管理本次发行前持有的本公司股东大 丰市东润投资管理有限公司的股权，也 不由大丰市东润投资管理有限公司回购 该部分股权。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6" w:lineRule="auto"/>
              <w:ind w:left="23" w:right="-13"/>
              <w:jc w:val="left"/>
              <w:rPr>
                <w:rFonts w:ascii="宋体" w:hAnsi="宋体" w:cs="宋体" w:eastAsia="宋体" w:hint="default"/>
                <w:sz w:val="18"/>
                <w:szCs w:val="18"/>
              </w:rPr>
            </w:pPr>
            <w:r>
              <w:rPr>
                <w:rFonts w:ascii="宋体" w:hAnsi="宋体" w:cs="宋体" w:eastAsia="宋体" w:hint="default"/>
                <w:sz w:val="18"/>
                <w:szCs w:val="18"/>
              </w:rPr>
              <w:t>报告期内， 承诺人均 严格履行 了承诺内 容。</w:t>
            </w:r>
          </w:p>
        </w:tc>
      </w:tr>
    </w:tbl>
    <w:p>
      <w:pPr>
        <w:spacing w:after="0" w:line="316" w:lineRule="auto"/>
        <w:jc w:val="left"/>
        <w:rPr>
          <w:rFonts w:ascii="宋体" w:hAnsi="宋体" w:cs="宋体" w:eastAsia="宋体" w:hint="default"/>
          <w:sz w:val="18"/>
          <w:szCs w:val="18"/>
        </w:rPr>
        <w:sectPr>
          <w:pgSz w:w="11910" w:h="16840"/>
          <w:pgMar w:header="706" w:footer="1306" w:top="1060" w:bottom="1540" w:left="960" w:right="0"/>
        </w:sectPr>
      </w:pPr>
    </w:p>
    <w:p>
      <w:pPr>
        <w:spacing w:line="240" w:lineRule="auto" w:before="0"/>
        <w:rPr>
          <w:rFonts w:ascii="Times New Roman" w:hAnsi="Times New Roman" w:cs="Times New Roman" w:eastAsia="Times New Roman" w:hint="default"/>
          <w:sz w:val="20"/>
          <w:szCs w:val="20"/>
        </w:rPr>
      </w:pPr>
      <w:r>
        <w:rPr/>
        <w:pict>
          <v:shape style="position:absolute;margin-left:357.072998pt;margin-top:72.475983pt;width:82.2pt;height:78.05pt;mso-position-horizontal-relative:page;mso-position-vertical-relative:page;z-index:-8594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定期内，</w:t>
                  </w:r>
                </w:p>
              </w:txbxContent>
            </v:textbox>
            <w10:wrap type="none"/>
          </v:shape>
        </w:pict>
      </w:r>
    </w:p>
    <w:p>
      <w:pPr>
        <w:spacing w:line="240" w:lineRule="auto" w:before="7"/>
        <w:rPr>
          <w:rFonts w:ascii="Times New Roman" w:hAnsi="Times New Roman" w:cs="Times New Roman" w:eastAsia="Times New Roman" w:hint="default"/>
          <w:sz w:val="11"/>
          <w:szCs w:val="11"/>
        </w:rPr>
      </w:pPr>
    </w:p>
    <w:tbl>
      <w:tblPr>
        <w:tblW w:w="0" w:type="auto"/>
        <w:jc w:val="left"/>
        <w:tblInd w:w="169" w:type="dxa"/>
        <w:tblLayout w:type="fixed"/>
        <w:tblCellMar>
          <w:top w:w="0" w:type="dxa"/>
          <w:left w:w="0" w:type="dxa"/>
          <w:bottom w:w="0" w:type="dxa"/>
          <w:right w:w="0" w:type="dxa"/>
        </w:tblCellMar>
        <w:tblLook w:val="01E0"/>
      </w:tblPr>
      <w:tblGrid>
        <w:gridCol w:w="1842"/>
        <w:gridCol w:w="1702"/>
        <w:gridCol w:w="3118"/>
        <w:gridCol w:w="994"/>
        <w:gridCol w:w="992"/>
        <w:gridCol w:w="922"/>
      </w:tblGrid>
      <w:tr>
        <w:trPr>
          <w:trHeight w:val="3833" w:hRule="exact"/>
        </w:trPr>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38" w:lineRule="auto"/>
              <w:ind w:left="23" w:right="46"/>
              <w:jc w:val="left"/>
              <w:rPr>
                <w:rFonts w:ascii="宋体" w:hAnsi="宋体" w:cs="宋体" w:eastAsia="宋体" w:hint="default"/>
                <w:sz w:val="18"/>
                <w:szCs w:val="18"/>
              </w:rPr>
            </w:pPr>
            <w:r>
              <w:rPr>
                <w:rFonts w:ascii="宋体" w:hAnsi="宋体" w:cs="宋体" w:eastAsia="宋体" w:hint="default"/>
                <w:sz w:val="18"/>
                <w:szCs w:val="18"/>
              </w:rPr>
              <w:t>公司股东日本东方工 程株式会社 江苏高科技投资集团</w:t>
            </w:r>
          </w:p>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承诺其所持有的公司股份自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日锁定到期后，继续延长锁定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316"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个月至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pacing w:val="-22"/>
                <w:sz w:val="18"/>
                <w:szCs w:val="18"/>
              </w:rPr>
              <w:t>日。在锁</w:t>
            </w:r>
            <w:r>
              <w:rPr>
                <w:rFonts w:ascii="宋体" w:hAnsi="宋体" w:cs="宋体" w:eastAsia="宋体" w:hint="default"/>
                <w:sz w:val="18"/>
                <w:szCs w:val="18"/>
              </w:rPr>
              <w:t> 本公司承诺不转让或者委托他人管理本 公司所持有的丰东股份的股份，也不会 要求丰东股份回购本公司持有的股份。 若在股份锁定期间发生资本公积转增股 本、派送股票红利、配股、增发等使股 份数量发生变动的事项，上述锁定股份 数量相应调整。在锁定期间若违反上述 承诺，本公司同意将减持股份的全部所 得上缴丰东股份。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560"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49.1pt;height:78.05pt;mso-position-horizontal-relative:char;mso-position-vertical-relative:line" coordorigin="0,0" coordsize="982,1561">
                  <v:group style="position:absolute;left:0;top:0;width:982;height:1561" coordorigin="0,0" coordsize="982,1561">
                    <v:shape style="position:absolute;left:0;top:0;width:982;height:1561" coordorigin="0,0" coordsize="982,1561" path="m0,1560l982,1560,982,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3"/>
              <w:jc w:val="left"/>
              <w:rPr>
                <w:rFonts w:ascii="宋体" w:hAnsi="宋体" w:cs="宋体" w:eastAsia="宋体" w:hint="default"/>
                <w:sz w:val="18"/>
                <w:szCs w:val="18"/>
              </w:rPr>
            </w:pPr>
            <w:r>
              <w:rPr>
                <w:rFonts w:ascii="宋体" w:hAnsi="宋体" w:cs="宋体" w:eastAsia="宋体" w:hint="default"/>
                <w:sz w:val="18"/>
                <w:szCs w:val="18"/>
              </w:rPr>
              <w:t>报告期内， 承诺人均 严格履行 了承诺内 容。</w:t>
            </w:r>
          </w:p>
        </w:tc>
      </w:tr>
      <w:tr>
        <w:trPr>
          <w:trHeight w:val="404"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7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2" w:right="189"/>
              <w:jc w:val="left"/>
              <w:rPr>
                <w:rFonts w:ascii="宋体" w:hAnsi="宋体" w:cs="宋体" w:eastAsia="宋体" w:hint="default"/>
                <w:sz w:val="18"/>
                <w:szCs w:val="18"/>
              </w:rPr>
            </w:pPr>
            <w:r>
              <w:rPr>
                <w:rFonts w:ascii="宋体" w:hAnsi="宋体" w:cs="宋体" w:eastAsia="宋体" w:hint="default"/>
                <w:sz w:val="18"/>
                <w:szCs w:val="18"/>
              </w:rPr>
              <w:t>未完成履行的具体原 因及下一步计划</w:t>
            </w:r>
          </w:p>
        </w:tc>
        <w:tc>
          <w:tcPr>
            <w:tcW w:w="77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22" w:right="187"/>
              <w:jc w:val="both"/>
              <w:rPr>
                <w:rFonts w:ascii="宋体" w:hAnsi="宋体" w:cs="宋体" w:eastAsia="宋体" w:hint="default"/>
                <w:sz w:val="18"/>
                <w:szCs w:val="18"/>
              </w:rPr>
            </w:pPr>
            <w:r>
              <w:rPr>
                <w:rFonts w:ascii="宋体" w:hAnsi="宋体" w:cs="宋体" w:eastAsia="宋体" w:hint="default"/>
                <w:sz w:val="18"/>
                <w:szCs w:val="18"/>
              </w:rPr>
              <w:t>是否就导致的同业竞 争和关联交易问题作 出承诺</w:t>
            </w:r>
          </w:p>
        </w:tc>
        <w:tc>
          <w:tcPr>
            <w:tcW w:w="77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77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467"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7727" w:type="dxa"/>
            <w:gridSpan w:val="5"/>
            <w:tcBorders>
              <w:top w:val="single" w:sz="4" w:space="0" w:color="000000"/>
              <w:left w:val="single" w:sz="4" w:space="0" w:color="000000"/>
              <w:bottom w:val="single" w:sz="4" w:space="0" w:color="000000"/>
              <w:right w:val="single" w:sz="4" w:space="0" w:color="000000"/>
            </w:tcBorders>
          </w:tcPr>
          <w:p>
            <w:pPr>
              <w:pStyle w:val="TableParagraph"/>
              <w:spacing w:line="300" w:lineRule="auto" w:before="61"/>
              <w:ind w:left="23" w:right="4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、为避免同业竞争，本公司控股股东大丰市东润投资管理有限公司、实际控制人朱文明已分 别于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日向本公司出具了《关于避免同业竞争的非竞争承诺书》，作为承诺方向本公</w:t>
            </w:r>
            <w:r>
              <w:rPr>
                <w:rFonts w:ascii="宋体" w:hAnsi="宋体" w:cs="宋体" w:eastAsia="宋体" w:hint="default"/>
                <w:sz w:val="18"/>
                <w:szCs w:val="18"/>
              </w:rPr>
              <w:t> 司分别承诺：</w:t>
            </w:r>
          </w:p>
          <w:p>
            <w:pPr>
              <w:pStyle w:val="TableParagraph"/>
              <w:spacing w:line="316" w:lineRule="auto" w:before="72"/>
              <w:ind w:left="23" w:right="23" w:firstLine="360"/>
              <w:jc w:val="both"/>
              <w:rPr>
                <w:rFonts w:ascii="宋体" w:hAnsi="宋体" w:cs="宋体" w:eastAsia="宋体" w:hint="default"/>
                <w:sz w:val="18"/>
                <w:szCs w:val="18"/>
              </w:rPr>
            </w:pPr>
            <w:r>
              <w:rPr>
                <w:rFonts w:ascii="宋体" w:hAnsi="宋体" w:cs="宋体" w:eastAsia="宋体" w:hint="default"/>
                <w:spacing w:val="-2"/>
                <w:sz w:val="18"/>
                <w:szCs w:val="18"/>
              </w:rPr>
              <w:t>对于江苏丰东热技术股份有限公司正在或已经进行生产开发的产品、经营的业务以及研究的新</w:t>
            </w:r>
            <w:r>
              <w:rPr>
                <w:rFonts w:ascii="宋体" w:hAnsi="宋体" w:cs="宋体" w:eastAsia="宋体" w:hint="default"/>
                <w:sz w:val="18"/>
                <w:szCs w:val="18"/>
              </w:rPr>
              <w:t> </w:t>
            </w:r>
            <w:r>
              <w:rPr>
                <w:rFonts w:ascii="宋体" w:hAnsi="宋体" w:cs="宋体" w:eastAsia="宋体" w:hint="default"/>
                <w:spacing w:val="-2"/>
                <w:sz w:val="18"/>
                <w:szCs w:val="18"/>
              </w:rPr>
              <w:t>产品、新技术，承诺方保证现在和将来不生产、开发任何对江苏丰东热技术股份有限公司生产的产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品构成直接竞争的同类产品，亦不直接经营或间接经营与江苏丰东热技术股份有限公司业务、新产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品、新技术有竞争或可能有竞争的企业、业务、新产品、新技术。承诺方也保证不利用其控股股东</w:t>
            </w:r>
          </w:p>
          <w:p>
            <w:pPr>
              <w:pStyle w:val="TableParagraph"/>
              <w:spacing w:line="316" w:lineRule="auto" w:before="19"/>
              <w:ind w:left="23" w:right="23"/>
              <w:jc w:val="left"/>
              <w:rPr>
                <w:rFonts w:ascii="宋体" w:hAnsi="宋体" w:cs="宋体" w:eastAsia="宋体" w:hint="default"/>
                <w:sz w:val="18"/>
                <w:szCs w:val="18"/>
              </w:rPr>
            </w:pPr>
            <w:r>
              <w:rPr>
                <w:rFonts w:ascii="宋体" w:hAnsi="宋体" w:cs="宋体" w:eastAsia="宋体" w:hint="default"/>
                <w:spacing w:val="-2"/>
                <w:sz w:val="18"/>
                <w:szCs w:val="18"/>
              </w:rPr>
              <w:t>（或实际控制人）的地位损害江苏丰东热技术股份有限公司及其它股东的正当权益。同时承诺方将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促使承诺方全资拥有或其拥有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股权以上或相对控制的下属子公司遵守上述承诺。</w:t>
            </w:r>
          </w:p>
          <w:p>
            <w:pPr>
              <w:pStyle w:val="TableParagraph"/>
              <w:spacing w:line="338" w:lineRule="auto" w:before="40"/>
              <w:ind w:left="38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以上股份的股东日本东方工程株式会社关于避免同业竞争的承诺 </w:t>
            </w:r>
            <w:r>
              <w:rPr>
                <w:rFonts w:ascii="宋体" w:hAnsi="宋体" w:cs="宋体" w:eastAsia="宋体" w:hint="default"/>
                <w:w w:val="100"/>
                <w:sz w:val="18"/>
                <w:szCs w:val="18"/>
              </w:rPr>
              <w:t>公司股东日本东方工程株式会社（以下简称</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日本东方</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）与本公司分别于</w:t>
            </w:r>
            <w:r>
              <w:rPr>
                <w:rFonts w:ascii="宋体" w:hAnsi="宋体" w:cs="宋体" w:eastAsia="宋体" w:hint="default"/>
                <w:spacing w:val="-57"/>
                <w:w w:val="100"/>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p>
            <w:pPr>
              <w:pStyle w:val="TableParagraph"/>
              <w:spacing w:line="23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日签订了关于避免同业竞争的《避免竞争协议》及《关于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避免同业竞争</w:t>
            </w:r>
            <w:r>
              <w:rPr>
                <w:rFonts w:ascii="Times New Roman" w:hAnsi="Times New Roman" w:cs="Times New Roman" w:eastAsia="Times New Roman" w:hint="default"/>
                <w:sz w:val="18"/>
                <w:szCs w:val="18"/>
              </w:rPr>
              <w:t>&gt;</w:t>
            </w:r>
            <w:r>
              <w:rPr>
                <w:rFonts w:ascii="宋体" w:hAnsi="宋体" w:cs="宋体" w:eastAsia="宋体" w:hint="default"/>
                <w:sz w:val="18"/>
                <w:szCs w:val="18"/>
              </w:rPr>
              <w:t>之补充协</w:t>
            </w:r>
          </w:p>
          <w:p>
            <w:pPr>
              <w:pStyle w:val="TableParagraph"/>
              <w:spacing w:line="360" w:lineRule="auto" w:before="63"/>
              <w:ind w:left="383" w:right="21" w:hanging="360"/>
              <w:jc w:val="left"/>
              <w:rPr>
                <w:rFonts w:ascii="宋体" w:hAnsi="宋体" w:cs="宋体" w:eastAsia="宋体" w:hint="default"/>
                <w:sz w:val="18"/>
                <w:szCs w:val="18"/>
              </w:rPr>
            </w:pPr>
            <w:r>
              <w:rPr>
                <w:rFonts w:ascii="宋体" w:hAnsi="宋体" w:cs="宋体" w:eastAsia="宋体" w:hint="default"/>
                <w:spacing w:val="-5"/>
                <w:sz w:val="18"/>
                <w:szCs w:val="18"/>
              </w:rPr>
              <w:t>议》，双方就避免同业竞争作出约定如下：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在销售市场方面：在日本国市场上，日本东方可销售自有产品，本公司不得销售自有产品；在</w:t>
            </w:r>
          </w:p>
          <w:p>
            <w:pPr>
              <w:pStyle w:val="TableParagraph"/>
              <w:spacing w:line="223"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东南亚国家市场，日本东方只向日资控股的企业销售自有产品，本公司则可向除日资控股的企业以</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pacing w:val="-2"/>
                <w:sz w:val="18"/>
                <w:szCs w:val="18"/>
              </w:rPr>
              <w:t>外的所有企业销售自有产品；对于除日本国及东南亚的世界任何其他市场，日本东方不得以任何方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式销售自有产品，本公司则可自由销售。</w:t>
            </w:r>
          </w:p>
          <w:p>
            <w:pPr>
              <w:pStyle w:val="TableParagraph"/>
              <w:spacing w:line="316" w:lineRule="auto" w:before="59"/>
              <w:ind w:left="23" w:right="22" w:firstLine="360"/>
              <w:jc w:val="both"/>
              <w:rPr>
                <w:rFonts w:ascii="宋体" w:hAnsi="宋体" w:cs="宋体" w:eastAsia="宋体" w:hint="default"/>
                <w:sz w:val="18"/>
                <w:szCs w:val="18"/>
              </w:rPr>
            </w:pPr>
            <w:r>
              <w:rPr>
                <w:rFonts w:ascii="宋体" w:hAnsi="宋体" w:cs="宋体" w:eastAsia="宋体" w:hint="default"/>
                <w:spacing w:val="-2"/>
                <w:sz w:val="18"/>
                <w:szCs w:val="18"/>
              </w:rPr>
              <w:t>热处理加工业务方面：日本东方可继续在日本国从事热处理加工业务，但本公司不得在日本国</w:t>
            </w:r>
            <w:r>
              <w:rPr>
                <w:rFonts w:ascii="宋体" w:hAnsi="宋体" w:cs="宋体" w:eastAsia="宋体" w:hint="default"/>
                <w:sz w:val="18"/>
                <w:szCs w:val="18"/>
              </w:rPr>
              <w:t> </w:t>
            </w:r>
            <w:r>
              <w:rPr>
                <w:rFonts w:ascii="宋体" w:hAnsi="宋体" w:cs="宋体" w:eastAsia="宋体" w:hint="default"/>
                <w:spacing w:val="-2"/>
                <w:sz w:val="18"/>
                <w:szCs w:val="18"/>
              </w:rPr>
              <w:t>从事该等业务；在东南亚国家，日本东方只能承接日资控股企业的热处理加工业务，本公司则可承</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接除日资控股企业以外的所有企业的热处理加工业务；在除日本国及东南亚的世界任何其它国家和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地区，本公司可从事热处理加工业务，但日本东方不得从事该等业务。</w:t>
            </w:r>
          </w:p>
          <w:p>
            <w:pPr>
              <w:pStyle w:val="TableParagraph"/>
              <w:spacing w:line="316" w:lineRule="auto" w:before="57"/>
              <w:ind w:left="23" w:right="23" w:firstLine="360"/>
              <w:jc w:val="both"/>
              <w:rPr>
                <w:rFonts w:ascii="宋体" w:hAnsi="宋体" w:cs="宋体" w:eastAsia="宋体" w:hint="default"/>
                <w:sz w:val="18"/>
                <w:szCs w:val="18"/>
              </w:rPr>
            </w:pPr>
            <w:r>
              <w:rPr>
                <w:rFonts w:ascii="宋体" w:hAnsi="宋体" w:cs="宋体" w:eastAsia="宋体" w:hint="default"/>
                <w:spacing w:val="-2"/>
                <w:sz w:val="18"/>
                <w:szCs w:val="18"/>
              </w:rPr>
              <w:t>在投资方面：本公司可继续在中国以任何方式进行投资以从事热处理设备销售和热处理加工业</w:t>
            </w:r>
            <w:r>
              <w:rPr>
                <w:rFonts w:ascii="宋体" w:hAnsi="宋体" w:cs="宋体" w:eastAsia="宋体" w:hint="default"/>
                <w:sz w:val="18"/>
                <w:szCs w:val="18"/>
              </w:rPr>
              <w:t> </w:t>
            </w:r>
            <w:r>
              <w:rPr>
                <w:rFonts w:ascii="宋体" w:hAnsi="宋体" w:cs="宋体" w:eastAsia="宋体" w:hint="default"/>
                <w:spacing w:val="-1"/>
                <w:w w:val="98"/>
                <w:sz w:val="18"/>
                <w:szCs w:val="18"/>
              </w:rPr>
              <w:t>务；除</w:t>
            </w:r>
            <w:r>
              <w:rPr>
                <w:rFonts w:ascii="Times New Roman" w:hAnsi="Times New Roman" w:cs="Times New Roman" w:eastAsia="Times New Roman" w:hint="default"/>
                <w:spacing w:val="-1"/>
                <w:w w:val="98"/>
                <w:sz w:val="18"/>
                <w:szCs w:val="18"/>
              </w:rPr>
              <w:t>―</w:t>
            </w:r>
            <w:r>
              <w:rPr>
                <w:rFonts w:ascii="宋体" w:hAnsi="宋体" w:cs="宋体" w:eastAsia="宋体" w:hint="default"/>
                <w:spacing w:val="-1"/>
                <w:w w:val="98"/>
                <w:sz w:val="18"/>
                <w:szCs w:val="18"/>
              </w:rPr>
              <w:t>本协议生效之前，日本东方已与本公司共同投资设立的合营企业</w:t>
            </w:r>
            <w:r>
              <w:rPr>
                <w:rFonts w:ascii="Times New Roman" w:hAnsi="Times New Roman" w:cs="Times New Roman" w:eastAsia="Times New Roman" w:hint="default"/>
                <w:spacing w:val="-1"/>
                <w:w w:val="98"/>
                <w:sz w:val="18"/>
                <w:szCs w:val="18"/>
              </w:rPr>
              <w:t>‖</w:t>
            </w:r>
            <w:r>
              <w:rPr>
                <w:rFonts w:ascii="宋体" w:hAnsi="宋体" w:cs="宋体" w:eastAsia="宋体" w:hint="default"/>
                <w:spacing w:val="-1"/>
                <w:w w:val="98"/>
                <w:sz w:val="18"/>
                <w:szCs w:val="18"/>
              </w:rPr>
              <w:t>且</w:t>
            </w:r>
            <w:r>
              <w:rPr>
                <w:rFonts w:ascii="Times New Roman" w:hAnsi="Times New Roman" w:cs="Times New Roman" w:eastAsia="Times New Roman" w:hint="default"/>
                <w:spacing w:val="-1"/>
                <w:w w:val="98"/>
                <w:sz w:val="18"/>
                <w:szCs w:val="18"/>
              </w:rPr>
              <w:t>―</w:t>
            </w:r>
            <w:r>
              <w:rPr>
                <w:rFonts w:ascii="宋体" w:hAnsi="宋体" w:cs="宋体" w:eastAsia="宋体" w:hint="default"/>
                <w:spacing w:val="-1"/>
                <w:w w:val="98"/>
                <w:sz w:val="18"/>
                <w:szCs w:val="18"/>
              </w:rPr>
              <w:t>合营企业为本公司所</w:t>
            </w:r>
          </w:p>
        </w:tc>
      </w:tr>
    </w:tbl>
    <w:p>
      <w:pPr>
        <w:spacing w:after="0" w:line="316" w:lineRule="auto"/>
        <w:jc w:val="both"/>
        <w:rPr>
          <w:rFonts w:ascii="宋体" w:hAnsi="宋体" w:cs="宋体" w:eastAsia="宋体" w:hint="default"/>
          <w:sz w:val="18"/>
          <w:szCs w:val="18"/>
        </w:rPr>
        <w:sectPr>
          <w:pgSz w:w="11910" w:h="16840"/>
          <w:pgMar w:header="706" w:footer="1306" w:top="1060" w:bottom="1540" w:left="9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9" w:type="dxa"/>
        <w:tblLayout w:type="fixed"/>
        <w:tblCellMar>
          <w:top w:w="0" w:type="dxa"/>
          <w:left w:w="0" w:type="dxa"/>
          <w:bottom w:w="0" w:type="dxa"/>
          <w:right w:w="0" w:type="dxa"/>
        </w:tblCellMar>
        <w:tblLook w:val="01E0"/>
      </w:tblPr>
      <w:tblGrid>
        <w:gridCol w:w="1842"/>
        <w:gridCol w:w="7727"/>
      </w:tblGrid>
      <w:tr>
        <w:trPr>
          <w:trHeight w:val="1649"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52"/>
              <w:jc w:val="left"/>
              <w:rPr>
                <w:rFonts w:ascii="宋体" w:hAnsi="宋体" w:cs="宋体" w:eastAsia="宋体" w:hint="default"/>
                <w:sz w:val="18"/>
                <w:szCs w:val="18"/>
              </w:rPr>
            </w:pPr>
            <w:r>
              <w:rPr>
                <w:rFonts w:ascii="宋体" w:hAnsi="宋体" w:cs="宋体" w:eastAsia="宋体" w:hint="default"/>
                <w:sz w:val="18"/>
                <w:szCs w:val="18"/>
              </w:rPr>
              <w:t>控股</w:t>
            </w:r>
            <w:r>
              <w:rPr>
                <w:rFonts w:ascii="Times New Roman" w:hAnsi="Times New Roman" w:cs="Times New Roman" w:eastAsia="Times New Roman" w:hint="default"/>
                <w:sz w:val="18"/>
                <w:szCs w:val="18"/>
              </w:rPr>
              <w:t>‖</w:t>
            </w:r>
            <w:r>
              <w:rPr>
                <w:rFonts w:ascii="宋体" w:hAnsi="宋体" w:cs="宋体" w:eastAsia="宋体" w:hint="default"/>
                <w:sz w:val="18"/>
                <w:szCs w:val="18"/>
              </w:rPr>
              <w:t>的情形外，日本东方不得以直接投资、委托投资、受托经营等任何方式在中国从事热处理设</w:t>
            </w:r>
            <w:r>
              <w:rPr>
                <w:rFonts w:ascii="宋体" w:hAnsi="宋体" w:cs="宋体" w:eastAsia="宋体" w:hint="default"/>
                <w:spacing w:val="-62"/>
                <w:sz w:val="18"/>
                <w:szCs w:val="18"/>
              </w:rPr>
              <w:t> </w:t>
            </w:r>
            <w:r>
              <w:rPr>
                <w:rFonts w:ascii="宋体" w:hAnsi="宋体" w:cs="宋体" w:eastAsia="宋体" w:hint="default"/>
                <w:sz w:val="18"/>
                <w:szCs w:val="18"/>
              </w:rPr>
              <w:t>备销售和热处理加工业务。</w:t>
            </w:r>
          </w:p>
          <w:p>
            <w:pPr>
              <w:pStyle w:val="TableParagraph"/>
              <w:spacing w:line="316" w:lineRule="auto" w:before="72"/>
              <w:ind w:left="23" w:right="24" w:firstLine="360"/>
              <w:jc w:val="both"/>
              <w:rPr>
                <w:rFonts w:ascii="宋体" w:hAnsi="宋体" w:cs="宋体" w:eastAsia="宋体" w:hint="default"/>
                <w:sz w:val="18"/>
                <w:szCs w:val="18"/>
              </w:rPr>
            </w:pPr>
            <w:r>
              <w:rPr>
                <w:rFonts w:ascii="宋体" w:hAnsi="宋体" w:cs="宋体" w:eastAsia="宋体" w:hint="default"/>
                <w:spacing w:val="-2"/>
                <w:sz w:val="18"/>
                <w:szCs w:val="18"/>
              </w:rPr>
              <w:t>在知识产权的转让方面，除非受让方明确承诺接受本协议的条款和条件并由其承继日本东方在</w:t>
            </w:r>
            <w:r>
              <w:rPr>
                <w:rFonts w:ascii="宋体" w:hAnsi="宋体" w:cs="宋体" w:eastAsia="宋体" w:hint="default"/>
                <w:sz w:val="18"/>
                <w:szCs w:val="18"/>
              </w:rPr>
              <w:t> </w:t>
            </w:r>
            <w:r>
              <w:rPr>
                <w:rFonts w:ascii="宋体" w:hAnsi="宋体" w:cs="宋体" w:eastAsia="宋体" w:hint="default"/>
                <w:spacing w:val="-2"/>
                <w:sz w:val="18"/>
                <w:szCs w:val="18"/>
              </w:rPr>
              <w:t>本协议项下的全部义务和责任，否则日本东方不得向其他自然人、公司、企业或其它组织转让或许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可使用与研发、生产和销售热处理设备以及从事热处理加工业务有关的知识产权。</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报告期内，承诺人均严格履行了承诺内容。</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6"/>
        <w:rPr>
          <w:rFonts w:ascii="宋体" w:hAnsi="宋体" w:cs="宋体" w:eastAsia="宋体" w:hint="default"/>
          <w:b/>
          <w:bCs/>
          <w:sz w:val="25"/>
          <w:szCs w:val="25"/>
        </w:rPr>
      </w:pPr>
    </w:p>
    <w:tbl>
      <w:tblPr>
        <w:tblW w:w="0" w:type="auto"/>
        <w:jc w:val="left"/>
        <w:tblInd w:w="169" w:type="dxa"/>
        <w:tblLayout w:type="fixed"/>
        <w:tblCellMar>
          <w:top w:w="0" w:type="dxa"/>
          <w:left w:w="0" w:type="dxa"/>
          <w:bottom w:w="0" w:type="dxa"/>
          <w:right w:w="0" w:type="dxa"/>
        </w:tblCellMar>
        <w:tblLook w:val="01E0"/>
      </w:tblPr>
      <w:tblGrid>
        <w:gridCol w:w="1194"/>
        <w:gridCol w:w="1195"/>
        <w:gridCol w:w="1196"/>
        <w:gridCol w:w="1198"/>
        <w:gridCol w:w="1196"/>
        <w:gridCol w:w="1195"/>
        <w:gridCol w:w="1198"/>
        <w:gridCol w:w="1198"/>
      </w:tblGrid>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0"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1" w:hanging="449"/>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九、聘任、解聘会计师事务所情况</w:t>
      </w:r>
      <w:r>
        <w:rPr>
          <w:b w:val="0"/>
          <w:bCs w:val="0"/>
        </w:rPr>
      </w:r>
    </w:p>
    <w:p>
      <w:pPr>
        <w:spacing w:line="240" w:lineRule="auto" w:before="4"/>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上海众华沪银会计师事务所有限公司</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51.41</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沈蓉、郑珮</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7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3"/>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2"/>
        <w:rPr>
          <w:rFonts w:ascii="宋体" w:hAnsi="宋体" w:cs="宋体" w:eastAsia="宋体" w:hint="default"/>
          <w:b/>
          <w:bCs/>
          <w:sz w:val="24"/>
          <w:szCs w:val="24"/>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十一、处罚及整改情况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4"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line="357" w:lineRule="auto" w:before="49"/>
        <w:ind w:left="172" w:right="9674" w:firstLine="0"/>
        <w:jc w:val="left"/>
        <w:rPr>
          <w:rFonts w:ascii="宋体" w:hAnsi="宋体" w:cs="宋体" w:eastAsia="宋体" w:hint="default"/>
          <w:sz w:val="18"/>
          <w:szCs w:val="18"/>
        </w:rPr>
      </w:pPr>
      <w:r>
        <w:rPr>
          <w:rFonts w:ascii="宋体" w:hAnsi="宋体" w:cs="宋体" w:eastAsia="宋体" w:hint="default"/>
          <w:sz w:val="18"/>
          <w:szCs w:val="18"/>
        </w:rPr>
        <w:t>整改情况说明 不适用</w:t>
      </w:r>
    </w:p>
    <w:p>
      <w:pPr>
        <w:spacing w:before="29"/>
        <w:ind w:left="17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以上的股东涉嫌违规买卖公司股票且公司已披露将收回涉嫌违规所得收益的情况</w:t>
      </w:r>
    </w:p>
    <w:p>
      <w:pPr>
        <w:spacing w:before="101"/>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十二、年度报告披露后面临暂停上市和终止上市情况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公司不存在年度报告披露后面临暂停上市和终止上市的情况。</w:t>
      </w:r>
    </w:p>
    <w:p>
      <w:pPr>
        <w:spacing w:after="0"/>
        <w:jc w:val="left"/>
        <w:rPr>
          <w:rFonts w:ascii="宋体" w:hAnsi="宋体" w:cs="宋体" w:eastAsia="宋体" w:hint="default"/>
          <w:sz w:val="18"/>
          <w:szCs w:val="18"/>
        </w:rPr>
        <w:sectPr>
          <w:pgSz w:w="11910" w:h="16840"/>
          <w:pgMar w:header="706" w:footer="1306" w:top="1060" w:bottom="1520" w:left="96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十三、其他重大事项的说明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本报告期内公司无其他应该披露而未披露的重大事项。</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十四、公司子公司重要事项</w:t>
      </w:r>
      <w:r>
        <w:rPr>
          <w:b w:val="0"/>
          <w:bCs w:val="0"/>
        </w:rPr>
      </w:r>
    </w:p>
    <w:p>
      <w:pPr>
        <w:spacing w:line="240" w:lineRule="auto" w:before="4"/>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本报告期内公司子公司无其他应该披露而未披露的重要事项。</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十五、公司发行公司债券的情况</w:t>
      </w:r>
      <w:r>
        <w:rPr>
          <w:b w:val="0"/>
          <w:bCs w:val="0"/>
        </w:rPr>
      </w:r>
    </w:p>
    <w:p>
      <w:pPr>
        <w:spacing w:line="240" w:lineRule="auto" w:before="6"/>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本报告期内公司不存在发行公司债券的情况。</w:t>
      </w:r>
    </w:p>
    <w:p>
      <w:pPr>
        <w:spacing w:after="0"/>
        <w:jc w:val="left"/>
        <w:rPr>
          <w:rFonts w:ascii="宋体" w:hAnsi="宋体" w:cs="宋体" w:eastAsia="宋体" w:hint="default"/>
          <w:sz w:val="18"/>
          <w:szCs w:val="18"/>
        </w:rPr>
        <w:sectPr>
          <w:pgSz w:w="11910" w:h="16840"/>
          <w:pgMar w:header="706" w:footer="1306" w:top="1060" w:bottom="1520" w:left="9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84" w:right="0"/>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80" w:type="dxa"/>
        <w:tblLayout w:type="fixed"/>
        <w:tblCellMar>
          <w:top w:w="0" w:type="dxa"/>
          <w:left w:w="0" w:type="dxa"/>
          <w:bottom w:w="0" w:type="dxa"/>
          <w:right w:w="0" w:type="dxa"/>
        </w:tblCellMar>
        <w:tblLook w:val="01E0"/>
      </w:tblPr>
      <w:tblGrid>
        <w:gridCol w:w="1679"/>
        <w:gridCol w:w="1005"/>
        <w:gridCol w:w="850"/>
        <w:gridCol w:w="708"/>
        <w:gridCol w:w="710"/>
        <w:gridCol w:w="992"/>
        <w:gridCol w:w="991"/>
        <w:gridCol w:w="994"/>
        <w:gridCol w:w="991"/>
        <w:gridCol w:w="737"/>
      </w:tblGrid>
      <w:tr>
        <w:trPr>
          <w:trHeight w:val="401"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82"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00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49"/>
              <w:ind w:left="170" w:right="167"/>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0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08"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005"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37"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679" w:type="dxa"/>
            <w:vMerge/>
            <w:tcBorders>
              <w:left w:val="single" w:sz="4" w:space="0" w:color="000000"/>
              <w:bottom w:val="single" w:sz="4" w:space="0" w:color="000000"/>
              <w:right w:val="single" w:sz="4" w:space="0" w:color="000000"/>
            </w:tcBorders>
            <w:shd w:val="clear" w:color="auto" w:fill="D2D2D2"/>
          </w:tcPr>
          <w:p>
            <w:pPr/>
          </w:p>
        </w:tc>
        <w:tc>
          <w:tcPr>
            <w:tcW w:w="100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89,050,000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66.46%</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89,050,000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-74,540,000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103,560,000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38.64%</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6,670,000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4.98%</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6,670,000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-13,340,000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-6,670,000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51,780,000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38.64%</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51,780,000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51,780,000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103,560,000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38.64%</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51,780,000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38.64%</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51,780,000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51,780,000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103,560,000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38.64%</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22.84%</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-61,200,000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-30,600,000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22.84%</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-61,200,000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-30,600,000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33.54%</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74,540,000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119,490,000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164,440,000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61.36%</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44,950,000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33.54%</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74,540,000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119,490,000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164,440,000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61.36%</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240" w:lineRule="auto" w:before="2"/>
        <w:rPr>
          <w:rFonts w:ascii="宋体" w:hAnsi="宋体" w:cs="宋体" w:eastAsia="宋体" w:hint="default"/>
          <w:sz w:val="21"/>
          <w:szCs w:val="21"/>
        </w:rPr>
      </w:pPr>
    </w:p>
    <w:p>
      <w:pPr>
        <w:pStyle w:val="BodyText"/>
        <w:spacing w:line="345" w:lineRule="auto"/>
        <w:ind w:right="1155" w:firstLine="482"/>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月，公司实施了</w:t>
      </w:r>
      <w:r>
        <w:rPr>
          <w:rFonts w:ascii="Times New Roman" w:hAnsi="Times New Roman" w:cs="Times New Roman" w:eastAsia="Times New Roman" w:hint="default"/>
          <w:spacing w:val="-2"/>
        </w:rPr>
        <w:t>2011</w:t>
      </w:r>
      <w:r>
        <w:rPr>
          <w:spacing w:val="-2"/>
        </w:rPr>
        <w:t>年度利润分配方案，以总股本</w:t>
      </w:r>
      <w:r>
        <w:rPr>
          <w:rFonts w:ascii="Times New Roman" w:hAnsi="Times New Roman" w:cs="Times New Roman" w:eastAsia="Times New Roman" w:hint="default"/>
          <w:spacing w:val="-2"/>
        </w:rPr>
        <w:t>13,400</w:t>
      </w:r>
      <w:r>
        <w:rPr>
          <w:spacing w:val="-2"/>
        </w:rPr>
        <w:t>万股为基数，向全体股东实施每</w:t>
      </w:r>
      <w:r>
        <w:rPr>
          <w:rFonts w:ascii="Times New Roman" w:hAnsi="Times New Roman" w:cs="Times New Roman" w:eastAsia="Times New Roman" w:hint="default"/>
          <w:spacing w:val="-2"/>
        </w:rPr>
        <w:t>10</w:t>
      </w:r>
      <w:r>
        <w:rPr>
          <w:rFonts w:ascii="Times New Roman" w:hAnsi="Times New Roman" w:cs="Times New Roman" w:eastAsia="Times New Roman" w:hint="default"/>
          <w:w w:val="100"/>
        </w:rPr>
        <w:t> </w:t>
      </w:r>
      <w:r>
        <w:rPr>
          <w:spacing w:val="-2"/>
        </w:rPr>
        <w:t>股派发现金红利</w:t>
      </w:r>
      <w:r>
        <w:rPr>
          <w:rFonts w:ascii="Times New Roman" w:hAnsi="Times New Roman" w:cs="Times New Roman" w:eastAsia="Times New Roman" w:hint="default"/>
          <w:spacing w:val="-2"/>
        </w:rPr>
        <w:t>1.20</w:t>
      </w:r>
      <w:r>
        <w:rPr>
          <w:spacing w:val="-2"/>
        </w:rPr>
        <w:t>元（含税），同时以资本公积向全体股东每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股。本次利润分配实施后，公</w:t>
      </w:r>
      <w:r>
        <w:rPr>
          <w:spacing w:val="-10"/>
        </w:rPr>
        <w:t> </w:t>
      </w:r>
      <w:r>
        <w:rPr>
          <w:spacing w:val="-10"/>
        </w:rPr>
      </w:r>
      <w:r>
        <w:rPr/>
        <w:t>司总股本由</w:t>
      </w:r>
      <w:r>
        <w:rPr>
          <w:rFonts w:ascii="Times New Roman" w:hAnsi="Times New Roman" w:cs="Times New Roman" w:eastAsia="Times New Roman" w:hint="default"/>
        </w:rPr>
        <w:t>13,400</w:t>
      </w:r>
      <w:r>
        <w:rPr/>
        <w:t>万股增加至</w:t>
      </w:r>
      <w:r>
        <w:rPr>
          <w:rFonts w:ascii="Times New Roman" w:hAnsi="Times New Roman" w:cs="Times New Roman" w:eastAsia="Times New Roman" w:hint="default"/>
        </w:rPr>
        <w:t>26,800</w:t>
      </w:r>
      <w:r>
        <w:rPr/>
        <w:t>万股。</w:t>
      </w:r>
    </w:p>
    <w:p>
      <w:pPr>
        <w:pStyle w:val="BodyText"/>
        <w:spacing w:line="345" w:lineRule="auto" w:before="147"/>
        <w:ind w:right="1219" w:firstLine="566"/>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日，公司首次公开发行前已发行股份（追加延长锁定承诺到期）解除限售</w:t>
      </w:r>
      <w:r>
        <w:rPr>
          <w:rFonts w:ascii="Times New Roman" w:hAnsi="Times New Roman" w:cs="Times New Roman" w:eastAsia="Times New Roman" w:hint="default"/>
          <w:spacing w:val="-2"/>
        </w:rPr>
        <w:t>7,454</w:t>
      </w:r>
      <w:r>
        <w:rPr>
          <w:spacing w:val="-2"/>
        </w:rPr>
        <w:t>万股，</w:t>
      </w:r>
      <w:r>
        <w:rPr>
          <w:w w:val="100"/>
        </w:rPr>
        <w:t> </w:t>
      </w:r>
      <w:r>
        <w:rPr/>
        <w:t>占公司股本总额的</w:t>
      </w:r>
      <w:r>
        <w:rPr>
          <w:rFonts w:ascii="Times New Roman" w:hAnsi="Times New Roman" w:cs="Times New Roman" w:eastAsia="Times New Roman" w:hint="default"/>
        </w:rPr>
        <w:t>27.81%</w:t>
      </w:r>
      <w:r>
        <w:rPr/>
        <w:t>，上市流通日为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w:t>
      </w:r>
    </w:p>
    <w:p>
      <w:pPr>
        <w:spacing w:line="240" w:lineRule="auto" w:before="9"/>
        <w:rPr>
          <w:rFonts w:ascii="宋体" w:hAnsi="宋体" w:cs="宋体" w:eastAsia="宋体" w:hint="default"/>
          <w:sz w:val="22"/>
          <w:szCs w:val="22"/>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7"/>
        <w:ind w:left="17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before="43"/>
        <w:ind w:left="172"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7"/>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4395"/>
        <w:gridCol w:w="2268"/>
        <w:gridCol w:w="2268"/>
      </w:tblGrid>
      <w:tr>
        <w:trPr>
          <w:trHeight w:val="667" w:hRule="exact"/>
        </w:trPr>
        <w:tc>
          <w:tcPr>
            <w:tcW w:w="4395"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本次股份变动前</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2268"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本次股份变动后</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r>
        <w:trPr>
          <w:trHeight w:val="353" w:hRule="exact"/>
        </w:trPr>
        <w:tc>
          <w:tcPr>
            <w:tcW w:w="439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股份总数（股）</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134,000,000</w:t>
            </w:r>
          </w:p>
        </w:tc>
        <w:tc>
          <w:tcPr>
            <w:tcW w:w="22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268,000,000</w:t>
            </w:r>
          </w:p>
        </w:tc>
      </w:tr>
      <w:tr>
        <w:trPr>
          <w:trHeight w:val="350" w:hRule="exact"/>
        </w:trPr>
        <w:tc>
          <w:tcPr>
            <w:tcW w:w="439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归属于上市公司股东的净利润（元）</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48,548,696.21</w:t>
            </w:r>
          </w:p>
        </w:tc>
        <w:tc>
          <w:tcPr>
            <w:tcW w:w="22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50,101,739.39</w:t>
            </w:r>
          </w:p>
        </w:tc>
      </w:tr>
      <w:tr>
        <w:trPr>
          <w:trHeight w:val="353" w:hRule="exact"/>
        </w:trPr>
        <w:tc>
          <w:tcPr>
            <w:tcW w:w="4395"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z w:val="21"/>
              </w:rPr>
              <w:t>0.362</w:t>
            </w:r>
          </w:p>
        </w:tc>
        <w:tc>
          <w:tcPr>
            <w:tcW w:w="22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2"/>
              <w:jc w:val="right"/>
              <w:rPr>
                <w:rFonts w:ascii="Times New Roman" w:hAnsi="Times New Roman" w:cs="Times New Roman" w:eastAsia="Times New Roman" w:hint="default"/>
                <w:sz w:val="21"/>
                <w:szCs w:val="21"/>
              </w:rPr>
            </w:pPr>
            <w:r>
              <w:rPr>
                <w:rFonts w:ascii="Times New Roman"/>
                <w:sz w:val="21"/>
              </w:rPr>
              <w:t>0.187</w:t>
            </w:r>
          </w:p>
        </w:tc>
      </w:tr>
    </w:tbl>
    <w:p>
      <w:pPr>
        <w:spacing w:after="0" w:line="240" w:lineRule="auto"/>
        <w:jc w:val="right"/>
        <w:rPr>
          <w:rFonts w:ascii="Times New Roman" w:hAnsi="Times New Roman" w:cs="Times New Roman" w:eastAsia="Times New Roman" w:hint="default"/>
          <w:sz w:val="21"/>
          <w:szCs w:val="21"/>
        </w:rPr>
        <w:sectPr>
          <w:pgSz w:w="11910" w:h="16840"/>
          <w:pgMar w:header="706" w:footer="1306" w:top="1060" w:bottom="1520" w:left="960" w:right="0"/>
        </w:sectPr>
      </w:pPr>
    </w:p>
    <w:p>
      <w:pPr>
        <w:spacing w:line="240" w:lineRule="auto" w:before="6"/>
        <w:rPr>
          <w:rFonts w:ascii="宋体" w:hAnsi="宋体" w:cs="宋体" w:eastAsia="宋体" w:hint="default"/>
          <w:sz w:val="28"/>
          <w:szCs w:val="28"/>
        </w:rPr>
      </w:pPr>
    </w:p>
    <w:tbl>
      <w:tblPr>
        <w:tblW w:w="0" w:type="auto"/>
        <w:jc w:val="left"/>
        <w:tblInd w:w="165" w:type="dxa"/>
        <w:tblLayout w:type="fixed"/>
        <w:tblCellMar>
          <w:top w:w="0" w:type="dxa"/>
          <w:left w:w="0" w:type="dxa"/>
          <w:bottom w:w="0" w:type="dxa"/>
          <w:right w:w="0" w:type="dxa"/>
        </w:tblCellMar>
        <w:tblLook w:val="01E0"/>
      </w:tblPr>
      <w:tblGrid>
        <w:gridCol w:w="4395"/>
        <w:gridCol w:w="2268"/>
        <w:gridCol w:w="2268"/>
      </w:tblGrid>
      <w:tr>
        <w:trPr>
          <w:trHeight w:val="356" w:hRule="exact"/>
        </w:trPr>
        <w:tc>
          <w:tcPr>
            <w:tcW w:w="4395"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归属于上市公司股东的所有者权益（元）</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589,511,644.85</w:t>
            </w:r>
          </w:p>
        </w:tc>
        <w:tc>
          <w:tcPr>
            <w:tcW w:w="22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623,533,384.24</w:t>
            </w:r>
          </w:p>
        </w:tc>
      </w:tr>
      <w:tr>
        <w:trPr>
          <w:trHeight w:val="353" w:hRule="exact"/>
        </w:trPr>
        <w:tc>
          <w:tcPr>
            <w:tcW w:w="4395"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4"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z w:val="21"/>
              </w:rPr>
              <w:t>4.399</w:t>
            </w:r>
          </w:p>
        </w:tc>
        <w:tc>
          <w:tcPr>
            <w:tcW w:w="22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z w:val="21"/>
              </w:rPr>
              <w:t>2.327</w:t>
            </w:r>
          </w:p>
        </w:tc>
      </w:tr>
    </w:tbl>
    <w:p>
      <w:pPr>
        <w:spacing w:line="240" w:lineRule="auto" w:before="2"/>
        <w:rPr>
          <w:rFonts w:ascii="宋体" w:hAnsi="宋体" w:cs="宋体" w:eastAsia="宋体" w:hint="default"/>
          <w:sz w:val="24"/>
          <w:szCs w:val="24"/>
        </w:rPr>
      </w:pP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5"/>
          <w:szCs w:val="25"/>
        </w:rPr>
      </w:pPr>
    </w:p>
    <w:tbl>
      <w:tblPr>
        <w:tblW w:w="0" w:type="auto"/>
        <w:jc w:val="left"/>
        <w:tblInd w:w="167" w:type="dxa"/>
        <w:tblLayout w:type="fixed"/>
        <w:tblCellMar>
          <w:top w:w="0" w:type="dxa"/>
          <w:left w:w="0" w:type="dxa"/>
          <w:bottom w:w="0" w:type="dxa"/>
          <w:right w:w="0" w:type="dxa"/>
        </w:tblCellMar>
        <w:tblLook w:val="01E0"/>
      </w:tblPr>
      <w:tblGrid>
        <w:gridCol w:w="1368"/>
        <w:gridCol w:w="1753"/>
        <w:gridCol w:w="1274"/>
        <w:gridCol w:w="1073"/>
        <w:gridCol w:w="1478"/>
        <w:gridCol w:w="1258"/>
        <w:gridCol w:w="1368"/>
      </w:tblGrid>
      <w:tr>
        <w:trPr>
          <w:trHeight w:val="74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410"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115"/>
              <w:ind w:left="182"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443" w:right="82"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1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IPO</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34,000,000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34,000,000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前三年历次证券发行情况的说明</w:t>
      </w:r>
    </w:p>
    <w:p>
      <w:pPr>
        <w:spacing w:line="240" w:lineRule="auto" w:before="2"/>
        <w:rPr>
          <w:rFonts w:ascii="宋体" w:hAnsi="宋体" w:cs="宋体" w:eastAsia="宋体" w:hint="default"/>
          <w:sz w:val="21"/>
          <w:szCs w:val="21"/>
        </w:rPr>
      </w:pPr>
    </w:p>
    <w:p>
      <w:pPr>
        <w:pStyle w:val="BodyText"/>
        <w:spacing w:line="348" w:lineRule="auto"/>
        <w:ind w:right="1123" w:firstLine="482"/>
        <w:jc w:val="left"/>
      </w:pPr>
      <w:r>
        <w:rPr>
          <w:w w:val="100"/>
        </w:rPr>
        <w:t>公司</w:t>
      </w:r>
      <w:r>
        <w:rPr>
          <w:spacing w:val="-3"/>
          <w:w w:val="100"/>
        </w:rPr>
        <w:t>于</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0</w:t>
      </w:r>
      <w:r>
        <w:rPr>
          <w:w w:val="100"/>
        </w:rPr>
        <w:t>年</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2</w:t>
      </w:r>
      <w:r>
        <w:rPr>
          <w:w w:val="100"/>
        </w:rPr>
        <w:t>月</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2</w:t>
      </w:r>
      <w:r>
        <w:rPr>
          <w:w w:val="100"/>
        </w:rPr>
        <w:t>日</w:t>
      </w:r>
      <w:r>
        <w:rPr>
          <w:spacing w:val="-3"/>
          <w:w w:val="100"/>
        </w:rPr>
        <w:t>经</w:t>
      </w:r>
      <w:r>
        <w:rPr>
          <w:w w:val="100"/>
        </w:rPr>
        <w:t>中国</w:t>
      </w:r>
      <w:r>
        <w:rPr>
          <w:spacing w:val="-3"/>
          <w:w w:val="100"/>
        </w:rPr>
        <w:t>证</w:t>
      </w:r>
      <w:r>
        <w:rPr>
          <w:w w:val="100"/>
        </w:rPr>
        <w:t>券</w:t>
      </w:r>
      <w:r>
        <w:rPr>
          <w:spacing w:val="-3"/>
          <w:w w:val="100"/>
        </w:rPr>
        <w:t>监</w:t>
      </w:r>
      <w:r>
        <w:rPr>
          <w:w w:val="100"/>
        </w:rPr>
        <w:t>督</w:t>
      </w:r>
      <w:r>
        <w:rPr>
          <w:spacing w:val="-3"/>
          <w:w w:val="100"/>
        </w:rPr>
        <w:t>管</w:t>
      </w:r>
      <w:r>
        <w:rPr>
          <w:w w:val="100"/>
        </w:rPr>
        <w:t>理</w:t>
      </w:r>
      <w:r>
        <w:rPr>
          <w:spacing w:val="-3"/>
          <w:w w:val="100"/>
        </w:rPr>
        <w:t>委</w:t>
      </w:r>
      <w:r>
        <w:rPr>
          <w:w w:val="100"/>
        </w:rPr>
        <w:t>员</w:t>
      </w:r>
      <w:r>
        <w:rPr>
          <w:spacing w:val="-3"/>
          <w:w w:val="100"/>
        </w:rPr>
        <w:t>会</w:t>
      </w:r>
      <w:r>
        <w:rPr>
          <w:rFonts w:ascii="Times New Roman" w:hAnsi="Times New Roman" w:cs="Times New Roman" w:eastAsia="Times New Roman" w:hint="default"/>
          <w:spacing w:val="-3"/>
          <w:w w:val="44"/>
        </w:rPr>
        <w:t>―</w:t>
      </w:r>
      <w:r>
        <w:rPr>
          <w:w w:val="100"/>
        </w:rPr>
        <w:t>证监</w:t>
      </w:r>
      <w:r>
        <w:rPr>
          <w:spacing w:val="-3"/>
          <w:w w:val="100"/>
        </w:rPr>
        <w:t>许</w:t>
      </w:r>
      <w:r>
        <w:rPr>
          <w:w w:val="100"/>
        </w:rPr>
        <w:t>可</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17</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spacing w:val="-1"/>
          <w:w w:val="100"/>
        </w:rPr>
        <w:t>7</w:t>
      </w:r>
      <w:r>
        <w:rPr>
          <w:w w:val="100"/>
        </w:rPr>
        <w:t>号</w:t>
      </w:r>
      <w:r>
        <w:rPr>
          <w:rFonts w:ascii="Times New Roman" w:hAnsi="Times New Roman" w:cs="Times New Roman" w:eastAsia="Times New Roman" w:hint="default"/>
          <w:spacing w:val="-3"/>
          <w:w w:val="159"/>
        </w:rPr>
        <w:t>‖</w:t>
      </w:r>
      <w:r>
        <w:rPr>
          <w:spacing w:val="-3"/>
          <w:w w:val="100"/>
        </w:rPr>
        <w:t>文</w:t>
      </w:r>
      <w:r>
        <w:rPr>
          <w:w w:val="100"/>
        </w:rPr>
        <w:t>核准</w:t>
      </w:r>
      <w:r>
        <w:rPr>
          <w:spacing w:val="-3"/>
          <w:w w:val="100"/>
        </w:rPr>
        <w:t>，</w:t>
      </w:r>
      <w:r>
        <w:rPr>
          <w:w w:val="100"/>
        </w:rPr>
        <w:t>向</w:t>
      </w:r>
      <w:r>
        <w:rPr>
          <w:spacing w:val="-3"/>
          <w:w w:val="100"/>
        </w:rPr>
        <w:t>社</w:t>
      </w:r>
      <w:r>
        <w:rPr>
          <w:w w:val="100"/>
        </w:rPr>
        <w:t>会</w:t>
      </w:r>
      <w:r>
        <w:rPr>
          <w:spacing w:val="-3"/>
          <w:w w:val="100"/>
        </w:rPr>
        <w:t>公</w:t>
      </w:r>
      <w:r>
        <w:rPr>
          <w:w w:val="100"/>
        </w:rPr>
        <w:t>众</w:t>
      </w:r>
      <w:r>
        <w:rPr>
          <w:spacing w:val="-3"/>
          <w:w w:val="100"/>
        </w:rPr>
        <w:t>公</w:t>
      </w:r>
      <w:r>
        <w:rPr>
          <w:w w:val="100"/>
        </w:rPr>
        <w:t>开</w:t>
      </w:r>
      <w:r>
        <w:rPr>
          <w:w w:val="100"/>
        </w:rPr>
        <w:t> 发行</w:t>
      </w:r>
      <w:r>
        <w:rPr>
          <w:spacing w:val="-3"/>
          <w:w w:val="100"/>
        </w:rPr>
        <w:t>人</w:t>
      </w:r>
      <w:r>
        <w:rPr>
          <w:w w:val="100"/>
        </w:rPr>
        <w:t>民</w:t>
      </w:r>
      <w:r>
        <w:rPr>
          <w:spacing w:val="-3"/>
          <w:w w:val="100"/>
        </w:rPr>
        <w:t>币</w:t>
      </w:r>
      <w:r>
        <w:rPr>
          <w:w w:val="100"/>
        </w:rPr>
        <w:t>普</w:t>
      </w:r>
      <w:r>
        <w:rPr>
          <w:spacing w:val="-3"/>
          <w:w w:val="100"/>
        </w:rPr>
        <w:t>通</w:t>
      </w:r>
      <w:r>
        <w:rPr>
          <w:w w:val="100"/>
        </w:rPr>
        <w:t>股</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40</w:t>
      </w:r>
      <w:r>
        <w:rPr>
          <w:rFonts w:ascii="Times New Roman" w:hAnsi="Times New Roman" w:cs="Times New Roman" w:eastAsia="Times New Roman" w:hint="default"/>
          <w:spacing w:val="-3"/>
          <w:w w:val="100"/>
        </w:rPr>
        <w:t>0</w:t>
      </w:r>
      <w:r>
        <w:rPr>
          <w:spacing w:val="-3"/>
          <w:w w:val="100"/>
        </w:rPr>
        <w:t>万</w:t>
      </w:r>
      <w:r>
        <w:rPr>
          <w:w w:val="100"/>
        </w:rPr>
        <w:t>股</w:t>
      </w:r>
      <w:r>
        <w:rPr>
          <w:spacing w:val="-44"/>
          <w:w w:val="100"/>
        </w:rPr>
        <w:t>。</w:t>
      </w:r>
      <w:r>
        <w:rPr>
          <w:spacing w:val="-3"/>
          <w:w w:val="100"/>
        </w:rPr>
        <w:t>经</w:t>
      </w:r>
      <w:r>
        <w:rPr>
          <w:w w:val="100"/>
        </w:rPr>
        <w:t>深</w:t>
      </w:r>
      <w:r>
        <w:rPr>
          <w:spacing w:val="-3"/>
          <w:w w:val="100"/>
        </w:rPr>
        <w:t>圳</w:t>
      </w:r>
      <w:r>
        <w:rPr>
          <w:w w:val="100"/>
        </w:rPr>
        <w:t>证</w:t>
      </w:r>
      <w:r>
        <w:rPr>
          <w:spacing w:val="-3"/>
          <w:w w:val="100"/>
        </w:rPr>
        <w:t>券</w:t>
      </w:r>
      <w:r>
        <w:rPr>
          <w:w w:val="100"/>
        </w:rPr>
        <w:t>交</w:t>
      </w:r>
      <w:r>
        <w:rPr>
          <w:spacing w:val="-3"/>
          <w:w w:val="100"/>
        </w:rPr>
        <w:t>易</w:t>
      </w:r>
      <w:r>
        <w:rPr>
          <w:w w:val="100"/>
        </w:rPr>
        <w:t>所</w:t>
      </w:r>
      <w:r>
        <w:rPr>
          <w:rFonts w:ascii="Times New Roman" w:hAnsi="Times New Roman" w:cs="Times New Roman" w:eastAsia="Times New Roman" w:hint="default"/>
          <w:spacing w:val="-1"/>
          <w:w w:val="44"/>
        </w:rPr>
        <w:t>―</w:t>
      </w:r>
      <w:r>
        <w:rPr>
          <w:spacing w:val="-3"/>
          <w:w w:val="100"/>
        </w:rPr>
        <w:t>深</w:t>
      </w:r>
      <w:r>
        <w:rPr>
          <w:w w:val="100"/>
        </w:rPr>
        <w:t>证上</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42</w:t>
      </w:r>
      <w:r>
        <w:rPr>
          <w:rFonts w:ascii="Times New Roman" w:hAnsi="Times New Roman" w:cs="Times New Roman" w:eastAsia="Times New Roman" w:hint="default"/>
          <w:spacing w:val="-3"/>
          <w:w w:val="100"/>
        </w:rPr>
        <w:t>9</w:t>
      </w:r>
      <w:r>
        <w:rPr>
          <w:w w:val="100"/>
        </w:rPr>
        <w:t>号</w:t>
      </w:r>
      <w:r>
        <w:rPr>
          <w:rFonts w:ascii="Times New Roman" w:hAnsi="Times New Roman" w:cs="Times New Roman" w:eastAsia="Times New Roman" w:hint="default"/>
          <w:spacing w:val="-3"/>
          <w:w w:val="159"/>
        </w:rPr>
        <w:t>‖</w:t>
      </w:r>
      <w:r>
        <w:rPr>
          <w:w w:val="100"/>
        </w:rPr>
        <w:t>文</w:t>
      </w:r>
      <w:r>
        <w:rPr>
          <w:spacing w:val="-3"/>
          <w:w w:val="100"/>
        </w:rPr>
        <w:t>同</w:t>
      </w:r>
      <w:r>
        <w:rPr>
          <w:w w:val="100"/>
        </w:rPr>
        <w:t>意</w:t>
      </w:r>
      <w:r>
        <w:rPr>
          <w:spacing w:val="-46"/>
          <w:w w:val="100"/>
        </w:rPr>
        <w:t>，</w:t>
      </w:r>
      <w:r>
        <w:rPr>
          <w:w w:val="100"/>
        </w:rPr>
        <w:t>公司</w:t>
      </w:r>
      <w:r>
        <w:rPr>
          <w:spacing w:val="-2"/>
          <w:w w:val="100"/>
        </w:rPr>
        <w:t>于</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0</w:t>
      </w:r>
      <w:r>
        <w:rPr>
          <w:w w:val="100"/>
        </w:rPr>
        <w:t>年</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2</w:t>
      </w:r>
      <w:r>
        <w:rPr>
          <w:w w:val="100"/>
        </w:rPr>
        <w:t>月</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1</w:t>
      </w:r>
      <w:r>
        <w:rPr>
          <w:w w:val="100"/>
        </w:rPr>
        <w:t>日</w:t>
      </w:r>
      <w:r>
        <w:rPr>
          <w:spacing w:val="-3"/>
          <w:w w:val="100"/>
        </w:rPr>
        <w:t>在</w:t>
      </w:r>
      <w:r>
        <w:rPr>
          <w:w w:val="100"/>
        </w:rPr>
        <w:t>深</w:t>
      </w:r>
      <w:r>
        <w:rPr>
          <w:w w:val="100"/>
        </w:rPr>
        <w:t> </w:t>
      </w:r>
      <w:r>
        <w:rPr/>
        <w:t>圳证券交易所上市，公司向社会公开发行人民币普通股（</w:t>
      </w:r>
      <w:r>
        <w:rPr>
          <w:rFonts w:ascii="Times New Roman" w:hAnsi="Times New Roman" w:cs="Times New Roman" w:eastAsia="Times New Roman" w:hint="default"/>
        </w:rPr>
        <w:t>A</w:t>
      </w:r>
      <w:r>
        <w:rPr/>
        <w:t>）股股票</w:t>
      </w:r>
      <w:r>
        <w:rPr>
          <w:rFonts w:ascii="Times New Roman" w:hAnsi="Times New Roman" w:cs="Times New Roman" w:eastAsia="Times New Roman" w:hint="default"/>
        </w:rPr>
        <w:t>3,400</w:t>
      </w:r>
      <w:r>
        <w:rPr/>
        <w:t>万股，每股面值</w:t>
      </w:r>
      <w:r>
        <w:rPr>
          <w:rFonts w:ascii="Times New Roman" w:hAnsi="Times New Roman" w:cs="Times New Roman" w:eastAsia="Times New Roman" w:hint="default"/>
        </w:rPr>
        <w:t>1</w:t>
      </w:r>
      <w:r>
        <w:rPr/>
        <w:t>元，每股发行</w:t>
      </w:r>
      <w:r>
        <w:rPr>
          <w:w w:val="100"/>
        </w:rPr>
        <w:t> </w:t>
      </w:r>
      <w:r>
        <w:rPr>
          <w:spacing w:val="-6"/>
          <w:w w:val="100"/>
        </w:rPr>
        <w:t>价格为人民币</w:t>
      </w:r>
      <w:r>
        <w:rPr>
          <w:rFonts w:ascii="Times New Roman" w:hAnsi="Times New Roman" w:cs="Times New Roman" w:eastAsia="Times New Roman" w:hint="default"/>
          <w:spacing w:val="-6"/>
          <w:w w:val="100"/>
        </w:rPr>
        <w:t>12</w:t>
      </w:r>
      <w:r>
        <w:rPr>
          <w:spacing w:val="-6"/>
          <w:w w:val="100"/>
        </w:rPr>
        <w:t>元，募集资金总额</w:t>
      </w:r>
      <w:r>
        <w:rPr>
          <w:rFonts w:ascii="Times New Roman" w:hAnsi="Times New Roman" w:cs="Times New Roman" w:eastAsia="Times New Roman" w:hint="default"/>
          <w:spacing w:val="-6"/>
          <w:w w:val="100"/>
        </w:rPr>
        <w:t>40,800</w:t>
      </w:r>
      <w:r>
        <w:rPr>
          <w:spacing w:val="-6"/>
          <w:w w:val="100"/>
        </w:rPr>
        <w:t>万元。本次公开发行完成后，公司总股本由</w:t>
      </w:r>
      <w:r>
        <w:rPr>
          <w:rFonts w:ascii="Times New Roman" w:hAnsi="Times New Roman" w:cs="Times New Roman" w:eastAsia="Times New Roman" w:hint="default"/>
          <w:spacing w:val="-6"/>
          <w:w w:val="100"/>
        </w:rPr>
        <w:t>10,000</w:t>
      </w:r>
      <w:r>
        <w:rPr>
          <w:spacing w:val="-6"/>
          <w:w w:val="100"/>
        </w:rPr>
        <w:t>万股增加至</w:t>
      </w:r>
      <w:r>
        <w:rPr>
          <w:rFonts w:ascii="Times New Roman" w:hAnsi="Times New Roman" w:cs="Times New Roman" w:eastAsia="Times New Roman" w:hint="default"/>
          <w:spacing w:val="-6"/>
          <w:w w:val="100"/>
        </w:rPr>
        <w:t>13,400</w:t>
      </w:r>
      <w:r>
        <w:rPr>
          <w:rFonts w:ascii="Times New Roman" w:hAnsi="Times New Roman" w:cs="Times New Roman" w:eastAsia="Times New Roman" w:hint="default"/>
          <w:w w:val="100"/>
        </w:rPr>
        <w:t> </w:t>
      </w:r>
      <w:r>
        <w:rPr/>
        <w:t>万股。本次发行属于公司首次公开募股发行（</w:t>
      </w:r>
      <w:r>
        <w:rPr>
          <w:rFonts w:ascii="Times New Roman" w:hAnsi="Times New Roman" w:cs="Times New Roman" w:eastAsia="Times New Roman" w:hint="default"/>
        </w:rPr>
        <w:t>IPO</w:t>
      </w:r>
      <w:r>
        <w:rPr/>
        <w:t>）。</w:t>
      </w:r>
    </w:p>
    <w:p>
      <w:pPr>
        <w:spacing w:line="240" w:lineRule="auto" w:before="12"/>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32"/>
          <w:szCs w:val="32"/>
        </w:rPr>
      </w:pPr>
    </w:p>
    <w:p>
      <w:pPr>
        <w:pStyle w:val="BodyText"/>
        <w:spacing w:line="345" w:lineRule="auto"/>
        <w:ind w:right="1128" w:firstLine="552"/>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月，公司实施了</w:t>
      </w:r>
      <w:r>
        <w:rPr>
          <w:rFonts w:ascii="Times New Roman" w:hAnsi="Times New Roman" w:cs="Times New Roman" w:eastAsia="Times New Roman" w:hint="default"/>
          <w:spacing w:val="-2"/>
        </w:rPr>
        <w:t>2011</w:t>
      </w:r>
      <w:r>
        <w:rPr>
          <w:spacing w:val="-2"/>
        </w:rPr>
        <w:t>年度利润分配方案，以总股本</w:t>
      </w:r>
      <w:r>
        <w:rPr>
          <w:rFonts w:ascii="Times New Roman" w:hAnsi="Times New Roman" w:cs="Times New Roman" w:eastAsia="Times New Roman" w:hint="default"/>
          <w:spacing w:val="-2"/>
        </w:rPr>
        <w:t>13,400</w:t>
      </w:r>
      <w:r>
        <w:rPr>
          <w:spacing w:val="-2"/>
        </w:rPr>
        <w:t>万股为基数，向全体股东实施每</w:t>
      </w:r>
      <w:r>
        <w:rPr>
          <w:rFonts w:ascii="Times New Roman" w:hAnsi="Times New Roman" w:cs="Times New Roman" w:eastAsia="Times New Roman" w:hint="default"/>
          <w:spacing w:val="-2"/>
        </w:rPr>
        <w:t>10</w:t>
      </w:r>
      <w:r>
        <w:rPr>
          <w:rFonts w:ascii="Times New Roman" w:hAnsi="Times New Roman" w:cs="Times New Roman" w:eastAsia="Times New Roman" w:hint="default"/>
          <w:w w:val="100"/>
        </w:rPr>
        <w:t> </w:t>
      </w:r>
      <w:r>
        <w:rPr>
          <w:spacing w:val="-2"/>
        </w:rPr>
        <w:t>股派发现金红利</w:t>
      </w:r>
      <w:r>
        <w:rPr>
          <w:rFonts w:ascii="Times New Roman" w:hAnsi="Times New Roman" w:cs="Times New Roman" w:eastAsia="Times New Roman" w:hint="default"/>
          <w:spacing w:val="-2"/>
        </w:rPr>
        <w:t>1.20</w:t>
      </w:r>
      <w:r>
        <w:rPr>
          <w:spacing w:val="-2"/>
        </w:rPr>
        <w:t>元（含税），同时以资本公积向全体股东每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股。本次利润分配实施后，公</w:t>
      </w:r>
      <w:r>
        <w:rPr>
          <w:spacing w:val="-10"/>
        </w:rPr>
        <w:t> </w:t>
      </w:r>
      <w:r>
        <w:rPr>
          <w:spacing w:val="-10"/>
        </w:rPr>
      </w:r>
      <w:r>
        <w:rPr/>
        <w:t>司总股本由</w:t>
      </w:r>
      <w:r>
        <w:rPr>
          <w:rFonts w:ascii="Times New Roman" w:hAnsi="Times New Roman" w:cs="Times New Roman" w:eastAsia="Times New Roman" w:hint="default"/>
        </w:rPr>
        <w:t>13,400</w:t>
      </w:r>
      <w:r>
        <w:rPr/>
        <w:t>万股增加至</w:t>
      </w:r>
      <w:r>
        <w:rPr>
          <w:rFonts w:ascii="Times New Roman" w:hAnsi="Times New Roman" w:cs="Times New Roman" w:eastAsia="Times New Roman" w:hint="default"/>
        </w:rPr>
        <w:t>26,800</w:t>
      </w:r>
      <w:r>
        <w:rPr/>
        <w:t>万股。</w:t>
      </w:r>
    </w:p>
    <w:p>
      <w:pPr>
        <w:spacing w:line="240" w:lineRule="auto" w:before="2"/>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5"/>
          <w:szCs w:val="25"/>
        </w:rPr>
      </w:pPr>
    </w:p>
    <w:tbl>
      <w:tblPr>
        <w:tblW w:w="0" w:type="auto"/>
        <w:jc w:val="left"/>
        <w:tblInd w:w="180" w:type="dxa"/>
        <w:tblLayout w:type="fixed"/>
        <w:tblCellMar>
          <w:top w:w="0" w:type="dxa"/>
          <w:left w:w="0" w:type="dxa"/>
          <w:bottom w:w="0" w:type="dxa"/>
          <w:right w:w="0" w:type="dxa"/>
        </w:tblCellMar>
        <w:tblLook w:val="01E0"/>
      </w:tblPr>
      <w:tblGrid>
        <w:gridCol w:w="2507"/>
        <w:gridCol w:w="3860"/>
        <w:gridCol w:w="3191"/>
      </w:tblGrid>
      <w:tr>
        <w:trPr>
          <w:trHeight w:val="401"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0"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r>
        <w:trPr>
          <w:trHeight w:val="403"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1"/>
              <w:jc w:val="center"/>
              <w:rPr>
                <w:rFonts w:ascii="宋体" w:hAnsi="宋体" w:cs="宋体" w:eastAsia="宋体" w:hint="default"/>
                <w:sz w:val="18"/>
                <w:szCs w:val="18"/>
              </w:rPr>
            </w:pPr>
            <w:r>
              <w:rPr>
                <w:rFonts w:ascii="宋体" w:hAnsi="宋体" w:cs="宋体" w:eastAsia="宋体" w:hint="default"/>
                <w:sz w:val="18"/>
                <w:szCs w:val="18"/>
              </w:rPr>
              <w:t>现存的内部职工股情况的说明</w:t>
            </w:r>
          </w:p>
        </w:tc>
        <w:tc>
          <w:tcPr>
            <w:tcW w:w="705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06" w:footer="1306" w:top="1060" w:bottom="1520" w:left="960" w:right="0"/>
        </w:sectPr>
      </w:pPr>
    </w:p>
    <w:p>
      <w:pPr>
        <w:spacing w:line="240" w:lineRule="auto" w:before="8"/>
        <w:rPr>
          <w:rFonts w:ascii="宋体" w:hAnsi="宋体" w:cs="宋体" w:eastAsia="宋体" w:hint="default"/>
          <w:b/>
          <w:bCs/>
          <w:sz w:val="23"/>
          <w:szCs w:val="23"/>
        </w:rPr>
      </w:pPr>
    </w:p>
    <w:p>
      <w:pPr>
        <w:pStyle w:val="Heading2"/>
        <w:spacing w:line="240" w:lineRule="auto" w:before="26"/>
        <w:ind w:left="212"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212"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857"/>
        <w:gridCol w:w="95"/>
        <w:gridCol w:w="1114"/>
        <w:gridCol w:w="736"/>
        <w:gridCol w:w="1127"/>
        <w:gridCol w:w="1019"/>
        <w:gridCol w:w="1249"/>
        <w:gridCol w:w="1274"/>
        <w:gridCol w:w="796"/>
        <w:gridCol w:w="550"/>
      </w:tblGrid>
      <w:tr>
        <w:trPr>
          <w:trHeight w:val="401" w:hRule="exact"/>
        </w:trPr>
        <w:tc>
          <w:tcPr>
            <w:tcW w:w="1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945" w:type="dxa"/>
            <w:gridSpan w:val="3"/>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13,939</w:t>
            </w:r>
          </w:p>
        </w:tc>
        <w:tc>
          <w:tcPr>
            <w:tcW w:w="46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45"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808" w:right="0"/>
              <w:jc w:val="left"/>
              <w:rPr>
                <w:rFonts w:ascii="Times New Roman" w:hAnsi="Times New Roman" w:cs="Times New Roman" w:eastAsia="Times New Roman" w:hint="default"/>
                <w:sz w:val="18"/>
                <w:szCs w:val="18"/>
              </w:rPr>
            </w:pPr>
            <w:r>
              <w:rPr>
                <w:rFonts w:ascii="Times New Roman"/>
                <w:sz w:val="18"/>
              </w:rPr>
              <w:t>15,060</w:t>
            </w:r>
          </w:p>
        </w:tc>
      </w:tr>
      <w:tr>
        <w:trPr>
          <w:trHeight w:val="398" w:hRule="exact"/>
        </w:trPr>
        <w:tc>
          <w:tcPr>
            <w:tcW w:w="981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211" w:hRule="exact"/>
        </w:trPr>
        <w:tc>
          <w:tcPr>
            <w:tcW w:w="195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1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6" w:right="8" w:firstLine="64"/>
              <w:jc w:val="left"/>
              <w:rPr>
                <w:rFonts w:ascii="宋体" w:hAnsi="宋体" w:cs="宋体" w:eastAsia="宋体"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86" w:right="10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1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40" w:right="66"/>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2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68" w:right="89"/>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93" w:right="88"/>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3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4" w:hRule="exact"/>
        </w:trPr>
        <w:tc>
          <w:tcPr>
            <w:tcW w:w="195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1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36" w:type="dxa"/>
            <w:vMerge/>
            <w:tcBorders>
              <w:left w:val="single" w:sz="4" w:space="0" w:color="000000"/>
              <w:right w:val="single" w:sz="4" w:space="0" w:color="000000"/>
            </w:tcBorders>
            <w:shd w:val="clear" w:color="auto" w:fill="D2D2D2"/>
          </w:tcPr>
          <w:p>
            <w:pPr/>
          </w:p>
        </w:tc>
        <w:tc>
          <w:tcPr>
            <w:tcW w:w="1127" w:type="dxa"/>
            <w:vMerge/>
            <w:tcBorders>
              <w:left w:val="single" w:sz="4" w:space="0" w:color="000000"/>
              <w:right w:val="single" w:sz="4" w:space="0" w:color="000000"/>
            </w:tcBorders>
            <w:shd w:val="clear" w:color="auto" w:fill="D2D2D2"/>
          </w:tcPr>
          <w:p>
            <w:pPr/>
          </w:p>
        </w:tc>
        <w:tc>
          <w:tcPr>
            <w:tcW w:w="1019" w:type="dxa"/>
            <w:vMerge/>
            <w:tcBorders>
              <w:left w:val="single" w:sz="4" w:space="0" w:color="000000"/>
              <w:right w:val="single" w:sz="4" w:space="0" w:color="000000"/>
            </w:tcBorders>
            <w:shd w:val="clear" w:color="auto" w:fill="D2D2D2"/>
          </w:tcPr>
          <w:p>
            <w:pPr/>
          </w:p>
        </w:tc>
        <w:tc>
          <w:tcPr>
            <w:tcW w:w="1249"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345"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52" w:type="dxa"/>
            <w:gridSpan w:val="2"/>
            <w:vMerge/>
            <w:tcBorders>
              <w:left w:val="single" w:sz="4" w:space="0" w:color="000000"/>
              <w:bottom w:val="nil" w:sz="6" w:space="0" w:color="auto"/>
              <w:right w:val="single" w:sz="4" w:space="0" w:color="000000"/>
            </w:tcBorders>
            <w:shd w:val="clear" w:color="auto" w:fill="D2D2D2"/>
          </w:tcPr>
          <w:p>
            <w:pPr/>
          </w:p>
        </w:tc>
        <w:tc>
          <w:tcPr>
            <w:tcW w:w="1114" w:type="dxa"/>
            <w:vMerge/>
            <w:tcBorders>
              <w:left w:val="single" w:sz="4" w:space="0" w:color="000000"/>
              <w:bottom w:val="nil" w:sz="6" w:space="0" w:color="auto"/>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1127" w:type="dxa"/>
            <w:vMerge/>
            <w:tcBorders>
              <w:left w:val="single" w:sz="4" w:space="0" w:color="000000"/>
              <w:right w:val="single" w:sz="4" w:space="0" w:color="000000"/>
            </w:tcBorders>
            <w:shd w:val="clear" w:color="auto" w:fill="D2D2D2"/>
          </w:tcPr>
          <w:p>
            <w:pPr/>
          </w:p>
        </w:tc>
        <w:tc>
          <w:tcPr>
            <w:tcW w:w="1019" w:type="dxa"/>
            <w:vMerge/>
            <w:tcBorders>
              <w:left w:val="single" w:sz="4" w:space="0" w:color="000000"/>
              <w:right w:val="single" w:sz="4" w:space="0" w:color="000000"/>
            </w:tcBorders>
            <w:shd w:val="clear" w:color="auto" w:fill="D2D2D2"/>
          </w:tcPr>
          <w:p>
            <w:pPr/>
          </w:p>
        </w:tc>
        <w:tc>
          <w:tcPr>
            <w:tcW w:w="1249"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5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4" w:hRule="exact"/>
        </w:trPr>
        <w:tc>
          <w:tcPr>
            <w:tcW w:w="195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1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vMerge/>
            <w:tcBorders>
              <w:left w:val="single" w:sz="4" w:space="0" w:color="000000"/>
              <w:bottom w:val="single" w:sz="4" w:space="0" w:color="000000"/>
              <w:right w:val="single" w:sz="4" w:space="0" w:color="000000"/>
            </w:tcBorders>
            <w:shd w:val="clear" w:color="auto" w:fill="D2D2D2"/>
          </w:tcPr>
          <w:p>
            <w:pPr/>
          </w:p>
        </w:tc>
        <w:tc>
          <w:tcPr>
            <w:tcW w:w="1127" w:type="dxa"/>
            <w:vMerge/>
            <w:tcBorders>
              <w:left w:val="single" w:sz="4" w:space="0" w:color="000000"/>
              <w:bottom w:val="single" w:sz="4" w:space="0" w:color="000000"/>
              <w:right w:val="single" w:sz="4" w:space="0" w:color="000000"/>
            </w:tcBorders>
            <w:shd w:val="clear" w:color="auto" w:fill="D2D2D2"/>
          </w:tcPr>
          <w:p>
            <w:pPr/>
          </w:p>
        </w:tc>
        <w:tc>
          <w:tcPr>
            <w:tcW w:w="1019" w:type="dxa"/>
            <w:vMerge/>
            <w:tcBorders>
              <w:left w:val="single" w:sz="4" w:space="0" w:color="000000"/>
              <w:bottom w:val="single" w:sz="4" w:space="0" w:color="000000"/>
              <w:right w:val="single" w:sz="4" w:space="0" w:color="000000"/>
            </w:tcBorders>
            <w:shd w:val="clear" w:color="auto" w:fill="D2D2D2"/>
          </w:tcPr>
          <w:p>
            <w:pPr/>
          </w:p>
        </w:tc>
        <w:tc>
          <w:tcPr>
            <w:tcW w:w="1249"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550" w:type="dxa"/>
            <w:vMerge/>
            <w:tcBorders>
              <w:left w:val="single" w:sz="4" w:space="0" w:color="000000"/>
              <w:bottom w:val="single" w:sz="4" w:space="0" w:color="000000"/>
              <w:right w:val="single" w:sz="4" w:space="0" w:color="000000"/>
            </w:tcBorders>
            <w:shd w:val="clear" w:color="auto" w:fill="D2D2D2"/>
          </w:tcPr>
          <w:p>
            <w:pPr/>
          </w:p>
        </w:tc>
      </w:tr>
      <w:tr>
        <w:trPr>
          <w:trHeight w:val="736" w:hRule="exact"/>
        </w:trPr>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4" w:right="117"/>
              <w:jc w:val="left"/>
              <w:rPr>
                <w:rFonts w:ascii="宋体" w:hAnsi="宋体" w:cs="宋体" w:eastAsia="宋体" w:hint="default"/>
                <w:sz w:val="18"/>
                <w:szCs w:val="18"/>
              </w:rPr>
            </w:pPr>
            <w:r>
              <w:rPr>
                <w:rFonts w:ascii="宋体" w:hAnsi="宋体" w:cs="宋体" w:eastAsia="宋体" w:hint="default"/>
                <w:sz w:val="18"/>
                <w:szCs w:val="18"/>
              </w:rPr>
              <w:t>大丰市东润投资管理有 限公司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4" w:right="178"/>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3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38.64%</w:t>
            </w:r>
          </w:p>
        </w:tc>
        <w:tc>
          <w:tcPr>
            <w:tcW w:w="1127"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103,560,000</w:t>
            </w:r>
          </w:p>
        </w:tc>
        <w:tc>
          <w:tcPr>
            <w:tcW w:w="1019"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pacing w:val="-1"/>
                <w:sz w:val="18"/>
              </w:rPr>
              <w:t>51,780,000</w:t>
            </w:r>
          </w:p>
        </w:tc>
        <w:tc>
          <w:tcPr>
            <w:tcW w:w="1249"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103,560,000</w:t>
            </w:r>
          </w:p>
        </w:tc>
        <w:tc>
          <w:tcPr>
            <w:tcW w:w="1274"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22.84%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61,200,000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7"/>
              <w:jc w:val="right"/>
              <w:rPr>
                <w:rFonts w:ascii="Times New Roman" w:hAnsi="Times New Roman" w:cs="Times New Roman" w:eastAsia="Times New Roman" w:hint="default"/>
                <w:sz w:val="18"/>
                <w:szCs w:val="18"/>
              </w:rPr>
            </w:pPr>
            <w:r>
              <w:rPr>
                <w:rFonts w:ascii="Times New Roman"/>
                <w:spacing w:val="-1"/>
                <w:sz w:val="18"/>
              </w:rPr>
              <w:t>30,600,000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61,200,000</w:t>
            </w:r>
          </w:p>
        </w:tc>
        <w:tc>
          <w:tcPr>
            <w:tcW w:w="79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江苏高科技投资集团有 限公司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4.98%</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13,340,000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pacing w:val="-1"/>
                <w:sz w:val="18"/>
              </w:rPr>
              <w:t>6,670,000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13,340,000</w:t>
            </w:r>
          </w:p>
        </w:tc>
        <w:tc>
          <w:tcPr>
            <w:tcW w:w="79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和华株式会社</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11,785,500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7"/>
              <w:jc w:val="right"/>
              <w:rPr>
                <w:rFonts w:ascii="Times New Roman" w:hAnsi="Times New Roman" w:cs="Times New Roman" w:eastAsia="Times New Roman" w:hint="default"/>
                <w:sz w:val="18"/>
                <w:szCs w:val="18"/>
              </w:rPr>
            </w:pPr>
            <w:r>
              <w:rPr>
                <w:rFonts w:ascii="Times New Roman"/>
                <w:spacing w:val="-1"/>
                <w:sz w:val="18"/>
              </w:rPr>
              <w:t>5,835,500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11,785,500</w:t>
            </w:r>
          </w:p>
        </w:tc>
        <w:tc>
          <w:tcPr>
            <w:tcW w:w="79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江苏高达创业投资有限 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8"/>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1.87%</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z w:val="18"/>
              </w:rPr>
              <w:t>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tc>
        <w:tc>
          <w:tcPr>
            <w:tcW w:w="79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55"/>
              <w:jc w:val="both"/>
              <w:rPr>
                <w:rFonts w:ascii="宋体" w:hAnsi="宋体" w:cs="宋体" w:eastAsia="宋体" w:hint="default"/>
                <w:sz w:val="18"/>
                <w:szCs w:val="18"/>
              </w:rPr>
            </w:pPr>
            <w:r>
              <w:rPr>
                <w:rFonts w:ascii="宋体" w:hAnsi="宋体" w:cs="宋体" w:eastAsia="宋体" w:hint="default"/>
                <w:sz w:val="18"/>
                <w:szCs w:val="18"/>
              </w:rPr>
              <w:t>中国光大银行股份有限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光大保德信量化核 心证券投资基金</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4"/>
                <w:sz w:val="18"/>
                <w:szCs w:val="18"/>
              </w:rPr>
              <w:t>基金、理财产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品等</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0.65%</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1,748,434</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pacing w:val="-1"/>
                <w:w w:val="95"/>
                <w:sz w:val="18"/>
              </w:rPr>
              <w:t>1,356,116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1,748,434</w:t>
            </w:r>
          </w:p>
        </w:tc>
        <w:tc>
          <w:tcPr>
            <w:tcW w:w="79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潘榕生</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1,346,683</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7"/>
              <w:jc w:val="right"/>
              <w:rPr>
                <w:rFonts w:ascii="Times New Roman" w:hAnsi="Times New Roman" w:cs="Times New Roman" w:eastAsia="Times New Roman" w:hint="default"/>
                <w:sz w:val="18"/>
                <w:szCs w:val="18"/>
              </w:rPr>
            </w:pPr>
            <w:r>
              <w:rPr>
                <w:rFonts w:ascii="Times New Roman"/>
                <w:spacing w:val="-1"/>
                <w:sz w:val="18"/>
              </w:rPr>
              <w:t>1,087,083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1,346,683</w:t>
            </w:r>
          </w:p>
        </w:tc>
        <w:tc>
          <w:tcPr>
            <w:tcW w:w="79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杜雷</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1,083,200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right"/>
              <w:rPr>
                <w:rFonts w:ascii="Times New Roman" w:hAnsi="Times New Roman" w:cs="Times New Roman" w:eastAsia="Times New Roman" w:hint="default"/>
                <w:sz w:val="18"/>
                <w:szCs w:val="18"/>
              </w:rPr>
            </w:pPr>
            <w:r>
              <w:rPr>
                <w:rFonts w:ascii="Times New Roman"/>
                <w:spacing w:val="-1"/>
                <w:sz w:val="18"/>
              </w:rPr>
              <w:t>981,200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1,083,200</w:t>
            </w:r>
          </w:p>
        </w:tc>
        <w:tc>
          <w:tcPr>
            <w:tcW w:w="79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中国建设银行－摩根士 丹利华鑫多因子精选策 略股票型证券投资基金</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4"/>
                <w:sz w:val="18"/>
                <w:szCs w:val="18"/>
              </w:rPr>
              <w:t>基金、理财产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品等</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0.35%</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940,192</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pacing w:val="-1"/>
                <w:sz w:val="18"/>
              </w:rPr>
              <w:t>940,192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940,192</w:t>
            </w:r>
          </w:p>
        </w:tc>
        <w:tc>
          <w:tcPr>
            <w:tcW w:w="79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顾红娟</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0.29%</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765,959</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right"/>
              <w:rPr>
                <w:rFonts w:ascii="Times New Roman" w:hAnsi="Times New Roman" w:cs="Times New Roman" w:eastAsia="Times New Roman" w:hint="default"/>
                <w:sz w:val="18"/>
                <w:szCs w:val="18"/>
              </w:rPr>
            </w:pPr>
            <w:r>
              <w:rPr>
                <w:rFonts w:ascii="Times New Roman"/>
                <w:spacing w:val="-1"/>
                <w:sz w:val="18"/>
              </w:rPr>
              <w:t>765,959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765,959</w:t>
            </w:r>
          </w:p>
        </w:tc>
        <w:tc>
          <w:tcPr>
            <w:tcW w:w="79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750"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上述股东之间，不存在公司已知的关联关系，亦不存在公司已知的一致行动人关系。</w:t>
            </w:r>
          </w:p>
        </w:tc>
      </w:tr>
      <w:tr>
        <w:trPr>
          <w:trHeight w:val="403" w:hRule="exact"/>
        </w:trPr>
        <w:tc>
          <w:tcPr>
            <w:tcW w:w="981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3066"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28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3"/>
              <w:ind w:left="29" w:right="0"/>
              <w:jc w:val="center"/>
              <w:rPr>
                <w:rFonts w:ascii="宋体" w:hAnsi="宋体" w:cs="宋体" w:eastAsia="宋体" w:hint="default"/>
                <w:sz w:val="18"/>
                <w:szCs w:val="18"/>
              </w:rPr>
            </w:pPr>
            <w:r>
              <w:rPr>
                <w:rFonts w:ascii="宋体" w:hAnsi="宋体" w:cs="宋体" w:eastAsia="宋体" w:hint="default"/>
                <w:sz w:val="18"/>
                <w:szCs w:val="18"/>
              </w:rPr>
              <w:t>年末持有无限售条件股份数量</w:t>
            </w:r>
          </w:p>
          <w:p>
            <w:pPr>
              <w:pStyle w:val="TableParagraph"/>
              <w:spacing w:line="240" w:lineRule="auto" w:before="117"/>
              <w:ind w:left="32"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386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7"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4" w:hRule="exact"/>
        </w:trPr>
        <w:tc>
          <w:tcPr>
            <w:tcW w:w="3066"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882" w:type="dxa"/>
            <w:gridSpan w:val="3"/>
            <w:vMerge/>
            <w:tcBorders>
              <w:left w:val="single" w:sz="4" w:space="0" w:color="000000"/>
              <w:right w:val="single" w:sz="4" w:space="0" w:color="000000"/>
            </w:tcBorders>
            <w:shd w:val="clear" w:color="auto" w:fill="D2D2D2"/>
          </w:tcPr>
          <w:p>
            <w:pPr/>
          </w:p>
        </w:tc>
        <w:tc>
          <w:tcPr>
            <w:tcW w:w="3868" w:type="dxa"/>
            <w:gridSpan w:val="4"/>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3066" w:type="dxa"/>
            <w:gridSpan w:val="3"/>
            <w:vMerge/>
            <w:tcBorders>
              <w:left w:val="single" w:sz="4" w:space="0" w:color="000000"/>
              <w:bottom w:val="nil" w:sz="6" w:space="0" w:color="auto"/>
              <w:right w:val="single" w:sz="4" w:space="0" w:color="000000"/>
            </w:tcBorders>
            <w:shd w:val="clear" w:color="auto" w:fill="D2D2D2"/>
          </w:tcPr>
          <w:p>
            <w:pPr/>
          </w:p>
        </w:tc>
        <w:tc>
          <w:tcPr>
            <w:tcW w:w="2882" w:type="dxa"/>
            <w:gridSpan w:val="3"/>
            <w:vMerge/>
            <w:tcBorders>
              <w:left w:val="single" w:sz="4" w:space="0" w:color="000000"/>
              <w:right w:val="single" w:sz="4" w:space="0" w:color="000000"/>
            </w:tcBorders>
            <w:shd w:val="clear" w:color="auto" w:fill="D2D2D2"/>
          </w:tcPr>
          <w:p>
            <w:pPr/>
          </w:p>
        </w:tc>
        <w:tc>
          <w:tcPr>
            <w:tcW w:w="25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8"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066"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2882" w:type="dxa"/>
            <w:gridSpan w:val="3"/>
            <w:vMerge/>
            <w:tcBorders>
              <w:left w:val="single" w:sz="4" w:space="0" w:color="000000"/>
              <w:bottom w:val="single" w:sz="4" w:space="0" w:color="000000"/>
              <w:right w:val="single" w:sz="4" w:space="0" w:color="000000"/>
            </w:tcBorders>
            <w:shd w:val="clear" w:color="auto" w:fill="D2D2D2"/>
          </w:tcPr>
          <w:p>
            <w:pPr/>
          </w:p>
        </w:tc>
        <w:tc>
          <w:tcPr>
            <w:tcW w:w="2523" w:type="dxa"/>
            <w:gridSpan w:val="2"/>
            <w:vMerge/>
            <w:tcBorders>
              <w:left w:val="single" w:sz="4" w:space="0" w:color="000000"/>
              <w:bottom w:val="single" w:sz="4" w:space="0" w:color="000000"/>
              <w:right w:val="single" w:sz="4" w:space="0" w:color="000000"/>
            </w:tcBorders>
            <w:shd w:val="clear" w:color="auto" w:fill="D2D2D2"/>
          </w:tcPr>
          <w:p>
            <w:pPr/>
          </w:p>
        </w:tc>
        <w:tc>
          <w:tcPr>
            <w:tcW w:w="1345"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0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2882" w:type="dxa"/>
            <w:gridSpan w:val="3"/>
            <w:tcBorders>
              <w:top w:val="single" w:sz="14" w:space="0" w:color="D2D2D2"/>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8"/>
                <w:szCs w:val="18"/>
              </w:rPr>
            </w:pPr>
            <w:r>
              <w:rPr>
                <w:rFonts w:ascii="Times New Roman"/>
                <w:spacing w:val="-1"/>
                <w:sz w:val="18"/>
              </w:rPr>
              <w:t>61,200,000</w:t>
            </w:r>
          </w:p>
        </w:tc>
        <w:tc>
          <w:tcPr>
            <w:tcW w:w="25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61,200,000</w:t>
            </w:r>
          </w:p>
        </w:tc>
      </w:tr>
      <w:tr>
        <w:trPr>
          <w:trHeight w:val="403" w:hRule="exact"/>
        </w:trPr>
        <w:tc>
          <w:tcPr>
            <w:tcW w:w="30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江苏高科技投资集团有限公司</w:t>
            </w:r>
          </w:p>
        </w:tc>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13,340,000</w:t>
            </w:r>
          </w:p>
        </w:tc>
        <w:tc>
          <w:tcPr>
            <w:tcW w:w="25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13,340,000</w:t>
            </w:r>
          </w:p>
        </w:tc>
      </w:tr>
      <w:tr>
        <w:trPr>
          <w:trHeight w:val="401" w:hRule="exact"/>
        </w:trPr>
        <w:tc>
          <w:tcPr>
            <w:tcW w:w="30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和华株式会社</w:t>
            </w:r>
          </w:p>
        </w:tc>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11,785,500</w:t>
            </w:r>
          </w:p>
        </w:tc>
        <w:tc>
          <w:tcPr>
            <w:tcW w:w="25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9" w:right="0"/>
              <w:jc w:val="left"/>
              <w:rPr>
                <w:rFonts w:ascii="Times New Roman" w:hAnsi="Times New Roman" w:cs="Times New Roman" w:eastAsia="Times New Roman" w:hint="default"/>
                <w:sz w:val="18"/>
                <w:szCs w:val="18"/>
              </w:rPr>
            </w:pPr>
            <w:r>
              <w:rPr>
                <w:rFonts w:ascii="Times New Roman"/>
                <w:sz w:val="18"/>
              </w:rPr>
              <w:t>11,785,500</w:t>
            </w:r>
          </w:p>
        </w:tc>
      </w:tr>
      <w:tr>
        <w:trPr>
          <w:trHeight w:val="403" w:hRule="exact"/>
        </w:trPr>
        <w:tc>
          <w:tcPr>
            <w:tcW w:w="30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江苏高达创业投资有限公司</w:t>
            </w:r>
          </w:p>
        </w:tc>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5,000,000</w:t>
            </w:r>
          </w:p>
        </w:tc>
        <w:tc>
          <w:tcPr>
            <w:tcW w:w="25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3" w:right="0"/>
              <w:jc w:val="left"/>
              <w:rPr>
                <w:rFonts w:ascii="Times New Roman" w:hAnsi="Times New Roman" w:cs="Times New Roman" w:eastAsia="Times New Roman" w:hint="default"/>
                <w:sz w:val="18"/>
                <w:szCs w:val="18"/>
              </w:rPr>
            </w:pPr>
            <w:r>
              <w:rPr>
                <w:rFonts w:ascii="Times New Roman"/>
                <w:sz w:val="18"/>
              </w:rPr>
              <w:t>5,000,000</w:t>
            </w:r>
          </w:p>
        </w:tc>
      </w:tr>
      <w:tr>
        <w:trPr>
          <w:trHeight w:val="713" w:hRule="exact"/>
        </w:trPr>
        <w:tc>
          <w:tcPr>
            <w:tcW w:w="3066"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中国光大银行股份有限公司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光大保德 信量化核心证券投资基金</w:t>
            </w:r>
          </w:p>
        </w:tc>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1,748,434</w:t>
            </w:r>
          </w:p>
        </w:tc>
        <w:tc>
          <w:tcPr>
            <w:tcW w:w="25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3" w:right="0"/>
              <w:jc w:val="left"/>
              <w:rPr>
                <w:rFonts w:ascii="Times New Roman" w:hAnsi="Times New Roman" w:cs="Times New Roman" w:eastAsia="Times New Roman" w:hint="default"/>
                <w:sz w:val="18"/>
                <w:szCs w:val="18"/>
              </w:rPr>
            </w:pPr>
            <w:r>
              <w:rPr>
                <w:rFonts w:ascii="Times New Roman"/>
                <w:sz w:val="18"/>
              </w:rPr>
              <w:t>1,748,434</w:t>
            </w:r>
          </w:p>
        </w:tc>
      </w:tr>
      <w:tr>
        <w:trPr>
          <w:trHeight w:val="403" w:hRule="exact"/>
        </w:trPr>
        <w:tc>
          <w:tcPr>
            <w:tcW w:w="30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潘榕生</w:t>
            </w:r>
          </w:p>
        </w:tc>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1,346,683</w:t>
            </w:r>
          </w:p>
        </w:tc>
        <w:tc>
          <w:tcPr>
            <w:tcW w:w="25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3" w:right="0"/>
              <w:jc w:val="left"/>
              <w:rPr>
                <w:rFonts w:ascii="Times New Roman" w:hAnsi="Times New Roman" w:cs="Times New Roman" w:eastAsia="Times New Roman" w:hint="default"/>
                <w:sz w:val="18"/>
                <w:szCs w:val="18"/>
              </w:rPr>
            </w:pPr>
            <w:r>
              <w:rPr>
                <w:rFonts w:ascii="Times New Roman"/>
                <w:sz w:val="18"/>
              </w:rPr>
              <w:t>1,346,683</w:t>
            </w:r>
          </w:p>
        </w:tc>
      </w:tr>
    </w:tbl>
    <w:p>
      <w:pPr>
        <w:spacing w:after="0" w:line="240" w:lineRule="auto"/>
        <w:jc w:val="left"/>
        <w:rPr>
          <w:rFonts w:ascii="Times New Roman" w:hAnsi="Times New Roman" w:cs="Times New Roman" w:eastAsia="Times New Roman" w:hint="default"/>
          <w:sz w:val="18"/>
          <w:szCs w:val="18"/>
        </w:rPr>
        <w:sectPr>
          <w:pgSz w:w="11910" w:h="16840"/>
          <w:pgMar w:header="706" w:footer="1306" w:top="1060" w:bottom="1520" w:left="920" w:right="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3066"/>
        <w:gridCol w:w="2907"/>
        <w:gridCol w:w="2501"/>
        <w:gridCol w:w="1342"/>
      </w:tblGrid>
      <w:tr>
        <w:trPr>
          <w:trHeight w:val="401"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杜雷</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1,083,200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1,083,200</w:t>
            </w:r>
          </w:p>
        </w:tc>
      </w:tr>
      <w:tr>
        <w:trPr>
          <w:trHeight w:val="715"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0"/>
              <w:jc w:val="left"/>
              <w:rPr>
                <w:rFonts w:ascii="宋体" w:hAnsi="宋体" w:cs="宋体" w:eastAsia="宋体" w:hint="default"/>
                <w:sz w:val="18"/>
                <w:szCs w:val="18"/>
              </w:rPr>
            </w:pPr>
            <w:r>
              <w:rPr>
                <w:rFonts w:ascii="宋体" w:hAnsi="宋体" w:cs="宋体" w:eastAsia="宋体" w:hint="default"/>
                <w:sz w:val="18"/>
                <w:szCs w:val="18"/>
              </w:rPr>
              <w:t>中国建设银行－摩根士丹利华鑫多因 子精选策略股票型证券投资基金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940,192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940,192</w:t>
            </w:r>
          </w:p>
        </w:tc>
      </w:tr>
      <w:tr>
        <w:trPr>
          <w:trHeight w:val="401"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顾红娟</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765,959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765,959</w:t>
            </w:r>
          </w:p>
        </w:tc>
      </w:tr>
      <w:tr>
        <w:trPr>
          <w:trHeight w:val="40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李桃元</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679,500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679,500</w:t>
            </w:r>
          </w:p>
        </w:tc>
      </w:tr>
      <w:tr>
        <w:trPr>
          <w:trHeight w:val="1025"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w:t>
            </w:r>
          </w:p>
          <w:p>
            <w:pPr>
              <w:pStyle w:val="TableParagraph"/>
              <w:spacing w:line="300" w:lineRule="auto" w:before="63"/>
              <w:ind w:left="24" w:right="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名股 东之间关联关系或一致行动的说明</w:t>
            </w:r>
          </w:p>
        </w:tc>
        <w:tc>
          <w:tcPr>
            <w:tcW w:w="67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上述股东之间，不存在公司已知的关联关系，亦不存在公司已知的一致行动人关系。</w:t>
            </w:r>
          </w:p>
        </w:tc>
      </w:tr>
      <w:tr>
        <w:trPr>
          <w:trHeight w:val="715"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 有）</w:t>
            </w:r>
          </w:p>
        </w:tc>
        <w:tc>
          <w:tcPr>
            <w:tcW w:w="67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before="36"/>
        <w:ind w:left="212"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before="0"/>
        <w:ind w:left="212"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2182"/>
        <w:gridCol w:w="1093"/>
        <w:gridCol w:w="1546"/>
        <w:gridCol w:w="1419"/>
        <w:gridCol w:w="1527"/>
        <w:gridCol w:w="1802"/>
      </w:tblGrid>
      <w:tr>
        <w:trPr>
          <w:trHeight w:val="715"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3"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66"/>
              <w:jc w:val="left"/>
              <w:rPr>
                <w:rFonts w:ascii="宋体" w:hAnsi="宋体" w:cs="宋体" w:eastAsia="宋体" w:hint="default"/>
                <w:sz w:val="18"/>
                <w:szCs w:val="18"/>
              </w:rPr>
            </w:pPr>
            <w:r>
              <w:rPr>
                <w:rFonts w:ascii="宋体" w:hAnsi="宋体" w:cs="宋体" w:eastAsia="宋体" w:hint="default"/>
                <w:sz w:val="18"/>
                <w:szCs w:val="18"/>
              </w:rPr>
              <w:t>大丰市东润投资管理有限 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72281206-X</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万元人民币</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投资业务；投资管理咨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询服务。</w:t>
            </w:r>
          </w:p>
        </w:tc>
      </w:tr>
      <w:tr>
        <w:trPr>
          <w:trHeight w:val="715"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6"/>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212" w:right="0" w:firstLine="0"/>
        <w:jc w:val="left"/>
        <w:rPr>
          <w:rFonts w:ascii="宋体" w:hAnsi="宋体" w:cs="宋体" w:eastAsia="宋体" w:hint="default"/>
          <w:sz w:val="18"/>
          <w:szCs w:val="18"/>
        </w:rPr>
      </w:pPr>
      <w:r>
        <w:rPr>
          <w:rFonts w:ascii="宋体" w:hAnsi="宋体" w:cs="宋体" w:eastAsia="宋体" w:hint="default"/>
          <w:sz w:val="18"/>
          <w:szCs w:val="18"/>
        </w:rPr>
        <w:t>报告期控股股东变更</w:t>
      </w:r>
    </w:p>
    <w:p>
      <w:pPr>
        <w:spacing w:line="544" w:lineRule="auto" w:before="117"/>
        <w:ind w:left="212" w:right="854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before="44"/>
        <w:ind w:left="0" w:right="1139" w:firstLine="0"/>
        <w:jc w:val="right"/>
        <w:rPr>
          <w:rFonts w:ascii="宋体" w:hAnsi="宋体" w:cs="宋体" w:eastAsia="宋体" w:hint="default"/>
          <w:sz w:val="18"/>
          <w:szCs w:val="18"/>
        </w:rPr>
      </w:pPr>
      <w:r>
        <w:rPr/>
        <w:pict>
          <v:shape style="position:absolute;margin-left:56.459999pt;margin-top:-87.758286pt;width:479.2pt;height:143.3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6"/>
                    <w:gridCol w:w="2057"/>
                    <w:gridCol w:w="4177"/>
                  </w:tblGrid>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4"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8"/>
                          <w:jc w:val="both"/>
                          <w:rPr>
                            <w:rFonts w:ascii="宋体" w:hAnsi="宋体" w:cs="宋体" w:eastAsia="宋体" w:hint="default"/>
                            <w:sz w:val="18"/>
                            <w:szCs w:val="18"/>
                          </w:rPr>
                        </w:pPr>
                        <w:r>
                          <w:rPr>
                            <w:rFonts w:ascii="宋体" w:hAnsi="宋体" w:cs="宋体" w:eastAsia="宋体" w:hint="default"/>
                            <w:sz w:val="18"/>
                            <w:szCs w:val="18"/>
                          </w:rPr>
                          <w:t>江苏丰东热技术股份有限公司董事长及总经理；大丰市东润投资管理有限公司 董事；长春丰东热处理有限公司、上海昂先实业有限公司、天津丰东热处理有 限公司、青岛丰东热处理有限公司、重庆丰东神五热处理工程有限公司、南京 </w:t>
                        </w:r>
                        <w:r>
                          <w:rPr>
                            <w:rFonts w:ascii="宋体" w:hAnsi="宋体" w:cs="宋体" w:eastAsia="宋体" w:hint="default"/>
                            <w:spacing w:val="-1"/>
                            <w:sz w:val="18"/>
                            <w:szCs w:val="18"/>
                          </w:rPr>
                          <w:t>丰东热处理工程有限公司、江苏丰东热处理及表面改性工程技术研究有限公司</w:t>
                        </w:r>
                        <w:r>
                          <w:rPr>
                            <w:rFonts w:ascii="宋体" w:hAnsi="宋体" w:cs="宋体" w:eastAsia="宋体" w:hint="default"/>
                            <w:sz w:val="18"/>
                            <w:szCs w:val="18"/>
                          </w:rPr>
                          <w:t> 盐城高周波热炼有限公司董事长及广州丰东热炼有限公司副董事长。</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212" w:right="0" w:firstLine="0"/>
        <w:jc w:val="left"/>
        <w:rPr>
          <w:rFonts w:ascii="宋体" w:hAnsi="宋体" w:cs="宋体" w:eastAsia="宋体" w:hint="default"/>
          <w:sz w:val="18"/>
          <w:szCs w:val="18"/>
        </w:rPr>
      </w:pPr>
      <w:r>
        <w:rPr>
          <w:rFonts w:ascii="宋体" w:hAnsi="宋体" w:cs="宋体" w:eastAsia="宋体" w:hint="default"/>
          <w:sz w:val="18"/>
          <w:szCs w:val="18"/>
        </w:rPr>
        <w:t>报告期实际控制人变更</w:t>
      </w:r>
    </w:p>
    <w:p>
      <w:pPr>
        <w:spacing w:after="0"/>
        <w:jc w:val="left"/>
        <w:rPr>
          <w:rFonts w:ascii="宋体" w:hAnsi="宋体" w:cs="宋体" w:eastAsia="宋体" w:hint="default"/>
          <w:sz w:val="18"/>
          <w:szCs w:val="18"/>
        </w:rPr>
        <w:sectPr>
          <w:pgSz w:w="11910" w:h="16840"/>
          <w:pgMar w:header="706" w:footer="1306" w:top="1060" w:bottom="1520" w:left="920" w:right="0"/>
        </w:sectPr>
      </w:pPr>
    </w:p>
    <w:p>
      <w:pPr>
        <w:spacing w:line="240" w:lineRule="auto" w:before="9"/>
        <w:rPr>
          <w:rFonts w:ascii="宋体" w:hAnsi="宋体" w:cs="宋体" w:eastAsia="宋体" w:hint="default"/>
          <w:sz w:val="25"/>
          <w:szCs w:val="25"/>
        </w:rPr>
      </w:pPr>
    </w:p>
    <w:p>
      <w:pPr>
        <w:spacing w:line="340" w:lineRule="auto" w:before="44"/>
        <w:ind w:left="17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公司与实际控制人之间的产权及控制关系的方框图</w:t>
      </w:r>
    </w:p>
    <w:p>
      <w:pPr>
        <w:spacing w:line="240" w:lineRule="auto" w:before="2"/>
        <w:rPr>
          <w:rFonts w:ascii="宋体" w:hAnsi="宋体" w:cs="宋体" w:eastAsia="宋体" w:hint="default"/>
          <w:sz w:val="26"/>
          <w:szCs w:val="26"/>
        </w:rPr>
      </w:pPr>
    </w:p>
    <w:p>
      <w:pPr>
        <w:spacing w:line="2505" w:lineRule="exact"/>
        <w:ind w:left="2494" w:right="0" w:firstLine="0"/>
        <w:rPr>
          <w:rFonts w:ascii="宋体" w:hAnsi="宋体" w:cs="宋体" w:eastAsia="宋体" w:hint="default"/>
          <w:sz w:val="20"/>
          <w:szCs w:val="20"/>
        </w:rPr>
      </w:pPr>
      <w:r>
        <w:rPr>
          <w:rFonts w:ascii="宋体" w:hAnsi="宋体" w:cs="宋体" w:eastAsia="宋体" w:hint="default"/>
          <w:position w:val="-49"/>
          <w:sz w:val="20"/>
          <w:szCs w:val="20"/>
        </w:rPr>
        <w:drawing>
          <wp:inline distT="0" distB="0" distL="0" distR="0">
            <wp:extent cx="3169924" cy="1590675"/>
            <wp:effectExtent l="0" t="0" r="0" b="0"/>
            <wp:docPr id="1" name="image13.png" descr=""/>
            <wp:cNvGraphicFramePr>
              <a:graphicFrameLocks noChangeAspect="1"/>
            </wp:cNvGraphicFramePr>
            <a:graphic>
              <a:graphicData uri="http://schemas.openxmlformats.org/drawingml/2006/picture">
                <pic:pic>
                  <pic:nvPicPr>
                    <pic:cNvPr id="2" name="image13.png"/>
                    <pic:cNvPicPr/>
                  </pic:nvPicPr>
                  <pic:blipFill>
                    <a:blip r:embed="rId31" cstate="print"/>
                    <a:stretch>
                      <a:fillRect/>
                    </a:stretch>
                  </pic:blipFill>
                  <pic:spPr>
                    <a:xfrm>
                      <a:off x="0" y="0"/>
                      <a:ext cx="3169924" cy="1590675"/>
                    </a:xfrm>
                    <a:prstGeom prst="rect">
                      <a:avLst/>
                    </a:prstGeom>
                  </pic:spPr>
                </pic:pic>
              </a:graphicData>
            </a:graphic>
          </wp:inline>
        </w:drawing>
      </w:r>
      <w:r>
        <w:rPr>
          <w:rFonts w:ascii="宋体" w:hAnsi="宋体" w:cs="宋体" w:eastAsia="宋体" w:hint="default"/>
          <w:position w:val="-49"/>
          <w:sz w:val="20"/>
          <w:szCs w:val="20"/>
        </w:rPr>
      </w:r>
    </w:p>
    <w:p>
      <w:pPr>
        <w:spacing w:line="240" w:lineRule="auto" w:before="0"/>
        <w:rPr>
          <w:rFonts w:ascii="宋体" w:hAnsi="宋体" w:cs="宋体" w:eastAsia="宋体" w:hint="default"/>
          <w:sz w:val="22"/>
          <w:szCs w:val="22"/>
        </w:rPr>
      </w:pPr>
    </w:p>
    <w:p>
      <w:pPr>
        <w:pStyle w:val="Heading3"/>
        <w:spacing w:line="240" w:lineRule="auto" w:before="26"/>
        <w:ind w:right="0"/>
        <w:jc w:val="left"/>
      </w:pPr>
      <w:r>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5"/>
          <w:szCs w:val="25"/>
        </w:rPr>
      </w:pPr>
    </w:p>
    <w:tbl>
      <w:tblPr>
        <w:tblW w:w="0" w:type="auto"/>
        <w:jc w:val="left"/>
        <w:tblInd w:w="167" w:type="dxa"/>
        <w:tblLayout w:type="fixed"/>
        <w:tblCellMar>
          <w:top w:w="0" w:type="dxa"/>
          <w:left w:w="0" w:type="dxa"/>
          <w:bottom w:w="0" w:type="dxa"/>
          <w:right w:w="0" w:type="dxa"/>
        </w:tblCellMar>
        <w:tblLook w:val="01E0"/>
      </w:tblPr>
      <w:tblGrid>
        <w:gridCol w:w="1985"/>
        <w:gridCol w:w="1289"/>
        <w:gridCol w:w="1546"/>
        <w:gridCol w:w="1277"/>
        <w:gridCol w:w="1416"/>
        <w:gridCol w:w="2055"/>
      </w:tblGrid>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44"/>
              <w:jc w:val="right"/>
              <w:rPr>
                <w:rFonts w:ascii="宋体" w:hAnsi="宋体" w:cs="宋体" w:eastAsia="宋体" w:hint="default"/>
                <w:sz w:val="18"/>
                <w:szCs w:val="18"/>
              </w:rPr>
            </w:pPr>
            <w:r>
              <w:rPr>
                <w:rFonts w:ascii="宋体" w:hAnsi="宋体" w:cs="宋体" w:eastAsia="宋体" w:hint="default"/>
                <w:sz w:val="18"/>
                <w:szCs w:val="18"/>
              </w:rPr>
              <w:t>法人股东名称</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80" w:right="72" w:hanging="20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 位负责人</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33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09"/>
              <w:jc w:val="righ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河田一喜</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万日元</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38"/>
              <w:jc w:val="both"/>
              <w:rPr>
                <w:rFonts w:ascii="宋体" w:hAnsi="宋体" w:cs="宋体" w:eastAsia="宋体" w:hint="default"/>
                <w:sz w:val="18"/>
                <w:szCs w:val="18"/>
              </w:rPr>
            </w:pPr>
            <w:r>
              <w:rPr>
                <w:rFonts w:ascii="宋体" w:hAnsi="宋体" w:cs="宋体" w:eastAsia="宋体" w:hint="default"/>
                <w:sz w:val="18"/>
                <w:szCs w:val="18"/>
              </w:rPr>
              <w:t>专业从事金属热处理设备 的制造和销售、金属机械 器具及消耗品的制造与销 售、金属热处理加工等</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四、公司股东及其一致行动人在报告期提出或实施股份增持计划的情况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318" w:right="21" w:hanging="29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 动人姓名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46"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6"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实际增持股份比 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bl>
    <w:p>
      <w:pPr>
        <w:spacing w:before="50"/>
        <w:ind w:left="172" w:right="0" w:firstLine="0"/>
        <w:jc w:val="left"/>
        <w:rPr>
          <w:rFonts w:ascii="宋体" w:hAnsi="宋体" w:cs="宋体" w:eastAsia="宋体" w:hint="default"/>
          <w:sz w:val="18"/>
          <w:szCs w:val="18"/>
        </w:rPr>
      </w:pPr>
      <w:r>
        <w:rPr>
          <w:rFonts w:ascii="宋体" w:hAnsi="宋体" w:cs="宋体" w:eastAsia="宋体" w:hint="default"/>
          <w:sz w:val="18"/>
          <w:szCs w:val="18"/>
        </w:rPr>
        <w:t>其他情况说明</w:t>
      </w:r>
    </w:p>
    <w:p>
      <w:pPr>
        <w:spacing w:after="0"/>
        <w:jc w:val="left"/>
        <w:rPr>
          <w:rFonts w:ascii="宋体" w:hAnsi="宋体" w:cs="宋体" w:eastAsia="宋体" w:hint="default"/>
          <w:sz w:val="18"/>
          <w:szCs w:val="18"/>
        </w:rPr>
        <w:sectPr>
          <w:pgSz w:w="11910" w:h="16840"/>
          <w:pgMar w:header="706" w:footer="1306" w:top="1060" w:bottom="1520" w:left="9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5"/>
        <w:ind w:left="1699" w:right="0"/>
        <w:jc w:val="left"/>
        <w:rPr>
          <w:b w:val="0"/>
          <w:bCs w:val="0"/>
        </w:rPr>
      </w:pPr>
      <w:bookmarkStart w:name="_TOC_250004" w:id="7"/>
      <w:r>
        <w:rPr/>
        <w:t>第七节</w:t>
      </w:r>
      <w:r>
        <w:rPr>
          <w:spacing w:val="-8"/>
        </w:rPr>
        <w:t> </w:t>
      </w:r>
      <w:r>
        <w:rPr/>
        <w:t>董事、监事、高级管理人员和员工情况</w:t>
      </w:r>
      <w:bookmarkEnd w:id="7"/>
      <w:r>
        <w:rPr>
          <w:b w:val="0"/>
          <w:bCs w:val="0"/>
        </w:rPr>
      </w:r>
    </w:p>
    <w:p>
      <w:pPr>
        <w:spacing w:line="240" w:lineRule="auto" w:before="8"/>
        <w:rPr>
          <w:rFonts w:ascii="宋体" w:hAnsi="宋体" w:cs="宋体" w:eastAsia="宋体" w:hint="default"/>
          <w:b/>
          <w:bCs/>
          <w:sz w:val="36"/>
          <w:szCs w:val="36"/>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213" w:type="dxa"/>
        <w:tblLayout w:type="fixed"/>
        <w:tblCellMar>
          <w:top w:w="0" w:type="dxa"/>
          <w:left w:w="0" w:type="dxa"/>
          <w:bottom w:w="0" w:type="dxa"/>
          <w:right w:w="0" w:type="dxa"/>
        </w:tblCellMar>
        <w:tblLook w:val="01E0"/>
      </w:tblPr>
      <w:tblGrid>
        <w:gridCol w:w="850"/>
        <w:gridCol w:w="982"/>
        <w:gridCol w:w="566"/>
        <w:gridCol w:w="425"/>
        <w:gridCol w:w="427"/>
        <w:gridCol w:w="1558"/>
        <w:gridCol w:w="1620"/>
        <w:gridCol w:w="780"/>
        <w:gridCol w:w="781"/>
        <w:gridCol w:w="780"/>
        <w:gridCol w:w="780"/>
      </w:tblGrid>
      <w:tr>
        <w:trPr>
          <w:trHeight w:val="1025"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57" w:lineRule="auto"/>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1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1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23"/>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57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15"/>
              <w:ind w:left="23" w:right="407"/>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337"/>
              <w:jc w:val="right"/>
              <w:rPr>
                <w:rFonts w:ascii="Times New Roman" w:hAnsi="Times New Roman" w:cs="Times New Roman" w:eastAsia="Times New Roman" w:hint="default"/>
                <w:sz w:val="18"/>
                <w:szCs w:val="18"/>
              </w:rPr>
            </w:pPr>
            <w:r>
              <w:rPr>
                <w:rFonts w:ascii="Times New Roman"/>
                <w:sz w:val="18"/>
              </w:rPr>
              <w:t>0</w:t>
            </w:r>
          </w:p>
        </w:tc>
      </w:tr>
      <w:tr>
        <w:trPr>
          <w:trHeight w:val="29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木村良三</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sz w:val="18"/>
              </w:rPr>
              <w:t>69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37"/>
              <w:jc w:val="right"/>
              <w:rPr>
                <w:rFonts w:ascii="Times New Roman" w:hAnsi="Times New Roman" w:cs="Times New Roman" w:eastAsia="Times New Roman" w:hint="default"/>
                <w:sz w:val="18"/>
                <w:szCs w:val="18"/>
              </w:rPr>
            </w:pPr>
            <w:r>
              <w:rPr>
                <w:rFonts w:ascii="Times New Roman"/>
                <w:sz w:val="18"/>
              </w:rPr>
              <w:t>0</w:t>
            </w:r>
          </w:p>
        </w:tc>
      </w:tr>
      <w:tr>
        <w:trPr>
          <w:trHeight w:val="56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3" w:right="227"/>
              <w:jc w:val="left"/>
              <w:rPr>
                <w:rFonts w:ascii="宋体" w:hAnsi="宋体" w:cs="宋体" w:eastAsia="宋体" w:hint="default"/>
                <w:sz w:val="18"/>
                <w:szCs w:val="18"/>
              </w:rPr>
            </w:pPr>
            <w:r>
              <w:rPr>
                <w:rFonts w:ascii="宋体" w:hAnsi="宋体" w:cs="宋体" w:eastAsia="宋体" w:hint="default"/>
                <w:sz w:val="18"/>
                <w:szCs w:val="18"/>
              </w:rPr>
              <w:t>副董事长 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37"/>
              <w:jc w:val="right"/>
              <w:rPr>
                <w:rFonts w:ascii="Times New Roman" w:hAnsi="Times New Roman" w:cs="Times New Roman" w:eastAsia="Times New Roman" w:hint="default"/>
                <w:sz w:val="18"/>
                <w:szCs w:val="18"/>
              </w:rPr>
            </w:pPr>
            <w:r>
              <w:rPr>
                <w:rFonts w:ascii="Times New Roman"/>
                <w:sz w:val="18"/>
              </w:rPr>
              <w:t>0</w:t>
            </w:r>
          </w:p>
        </w:tc>
      </w:tr>
      <w:tr>
        <w:trPr>
          <w:trHeight w:val="29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张广仁</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sz w:val="18"/>
              </w:rPr>
              <w:t>74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37"/>
              <w:jc w:val="right"/>
              <w:rPr>
                <w:rFonts w:ascii="Times New Roman" w:hAnsi="Times New Roman" w:cs="Times New Roman" w:eastAsia="Times New Roman" w:hint="default"/>
                <w:sz w:val="18"/>
                <w:szCs w:val="18"/>
              </w:rPr>
            </w:pPr>
            <w:r>
              <w:rPr>
                <w:rFonts w:ascii="Times New Roman"/>
                <w:sz w:val="18"/>
              </w:rPr>
              <w:t>0</w:t>
            </w:r>
          </w:p>
        </w:tc>
      </w:tr>
      <w:tr>
        <w:trPr>
          <w:trHeight w:val="29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郜翀</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sz w:val="18"/>
              </w:rPr>
              <w:t>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37"/>
              <w:jc w:val="right"/>
              <w:rPr>
                <w:rFonts w:ascii="Times New Roman" w:hAnsi="Times New Roman" w:cs="Times New Roman" w:eastAsia="Times New Roman" w:hint="default"/>
                <w:sz w:val="18"/>
                <w:szCs w:val="18"/>
              </w:rPr>
            </w:pPr>
            <w:r>
              <w:rPr>
                <w:rFonts w:ascii="Times New Roman"/>
                <w:sz w:val="18"/>
              </w:rPr>
              <w:t>0</w:t>
            </w:r>
          </w:p>
        </w:tc>
      </w:tr>
      <w:tr>
        <w:trPr>
          <w:trHeight w:val="56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3" w:right="227"/>
              <w:jc w:val="left"/>
              <w:rPr>
                <w:rFonts w:ascii="宋体" w:hAnsi="宋体" w:cs="宋体" w:eastAsia="宋体" w:hint="default"/>
                <w:sz w:val="18"/>
                <w:szCs w:val="18"/>
              </w:rPr>
            </w:pPr>
            <w:r>
              <w:rPr>
                <w:rFonts w:ascii="宋体" w:hAnsi="宋体" w:cs="宋体" w:eastAsia="宋体" w:hint="default"/>
                <w:sz w:val="18"/>
                <w:szCs w:val="18"/>
              </w:rPr>
              <w:t>董事 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337"/>
              <w:jc w:val="right"/>
              <w:rPr>
                <w:rFonts w:ascii="Times New Roman" w:hAnsi="Times New Roman" w:cs="Times New Roman" w:eastAsia="Times New Roman" w:hint="default"/>
                <w:sz w:val="18"/>
                <w:szCs w:val="18"/>
              </w:rPr>
            </w:pPr>
            <w:r>
              <w:rPr>
                <w:rFonts w:ascii="Times New Roman"/>
                <w:sz w:val="18"/>
              </w:rPr>
              <w:t>0</w:t>
            </w:r>
          </w:p>
        </w:tc>
      </w:tr>
      <w:tr>
        <w:trPr>
          <w:trHeight w:val="29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李心合</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Times New Roman" w:hAnsi="Times New Roman" w:cs="Times New Roman" w:eastAsia="Times New Roman" w:hint="default"/>
                <w:sz w:val="18"/>
                <w:szCs w:val="18"/>
              </w:rPr>
            </w:pPr>
            <w:r>
              <w:rPr>
                <w:rFonts w:ascii="Times New Roman"/>
                <w:sz w:val="18"/>
              </w:rPr>
              <w:t>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37"/>
              <w:jc w:val="right"/>
              <w:rPr>
                <w:rFonts w:ascii="Times New Roman" w:hAnsi="Times New Roman" w:cs="Times New Roman" w:eastAsia="Times New Roman" w:hint="default"/>
                <w:sz w:val="18"/>
                <w:szCs w:val="18"/>
              </w:rPr>
            </w:pPr>
            <w:r>
              <w:rPr>
                <w:rFonts w:ascii="Times New Roman"/>
                <w:sz w:val="18"/>
              </w:rPr>
              <w:t>0</w:t>
            </w:r>
          </w:p>
        </w:tc>
      </w:tr>
      <w:tr>
        <w:trPr>
          <w:trHeight w:val="29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冯辕</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sz w:val="18"/>
              </w:rPr>
              <w:t>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37"/>
              <w:jc w:val="right"/>
              <w:rPr>
                <w:rFonts w:ascii="Times New Roman" w:hAnsi="Times New Roman" w:cs="Times New Roman" w:eastAsia="Times New Roman" w:hint="default"/>
                <w:sz w:val="18"/>
                <w:szCs w:val="18"/>
              </w:rPr>
            </w:pPr>
            <w:r>
              <w:rPr>
                <w:rFonts w:ascii="Times New Roman"/>
                <w:sz w:val="18"/>
              </w:rPr>
              <w:t>0</w:t>
            </w:r>
          </w:p>
        </w:tc>
      </w:tr>
      <w:tr>
        <w:trPr>
          <w:trHeight w:val="29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徐跃明</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sz w:val="18"/>
              </w:rPr>
              <w:t>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37"/>
              <w:jc w:val="right"/>
              <w:rPr>
                <w:rFonts w:ascii="Times New Roman" w:hAnsi="Times New Roman" w:cs="Times New Roman" w:eastAsia="Times New Roman" w:hint="default"/>
                <w:sz w:val="18"/>
                <w:szCs w:val="18"/>
              </w:rPr>
            </w:pPr>
            <w:r>
              <w:rPr>
                <w:rFonts w:ascii="Times New Roman"/>
                <w:sz w:val="18"/>
              </w:rPr>
              <w:t>0</w:t>
            </w:r>
          </w:p>
        </w:tc>
      </w:tr>
      <w:tr>
        <w:trPr>
          <w:trHeight w:val="29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卜炜</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sz w:val="18"/>
              </w:rPr>
              <w:t>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37"/>
              <w:jc w:val="right"/>
              <w:rPr>
                <w:rFonts w:ascii="Times New Roman" w:hAnsi="Times New Roman" w:cs="Times New Roman" w:eastAsia="Times New Roman" w:hint="default"/>
                <w:sz w:val="18"/>
                <w:szCs w:val="18"/>
              </w:rPr>
            </w:pPr>
            <w:r>
              <w:rPr>
                <w:rFonts w:ascii="Times New Roman"/>
                <w:sz w:val="18"/>
              </w:rPr>
              <w:t>0</w:t>
            </w:r>
          </w:p>
        </w:tc>
      </w:tr>
      <w:tr>
        <w:trPr>
          <w:trHeight w:val="29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sz w:val="18"/>
              </w:rPr>
              <w:t>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37"/>
              <w:jc w:val="right"/>
              <w:rPr>
                <w:rFonts w:ascii="Times New Roman" w:hAnsi="Times New Roman" w:cs="Times New Roman" w:eastAsia="Times New Roman" w:hint="default"/>
                <w:sz w:val="18"/>
                <w:szCs w:val="18"/>
              </w:rPr>
            </w:pPr>
            <w:r>
              <w:rPr>
                <w:rFonts w:ascii="Times New Roman"/>
                <w:sz w:val="18"/>
              </w:rPr>
              <w:t>0</w:t>
            </w:r>
          </w:p>
        </w:tc>
      </w:tr>
      <w:tr>
        <w:trPr>
          <w:trHeight w:val="28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许红明</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sz w:val="18"/>
              </w:rPr>
              <w:t>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37"/>
              <w:jc w:val="right"/>
              <w:rPr>
                <w:rFonts w:ascii="Times New Roman" w:hAnsi="Times New Roman" w:cs="Times New Roman" w:eastAsia="Times New Roman" w:hint="default"/>
                <w:sz w:val="18"/>
                <w:szCs w:val="18"/>
              </w:rPr>
            </w:pPr>
            <w:r>
              <w:rPr>
                <w:rFonts w:ascii="Times New Roman"/>
                <w:sz w:val="18"/>
              </w:rPr>
              <w:t>0</w:t>
            </w:r>
          </w:p>
        </w:tc>
      </w:tr>
      <w:tr>
        <w:trPr>
          <w:trHeight w:val="29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Times New Roman" w:hAnsi="Times New Roman" w:cs="Times New Roman" w:eastAsia="Times New Roman" w:hint="default"/>
                <w:sz w:val="18"/>
                <w:szCs w:val="18"/>
              </w:rPr>
            </w:pPr>
            <w:r>
              <w:rPr>
                <w:rFonts w:ascii="Times New Roman"/>
                <w:sz w:val="18"/>
              </w:rPr>
              <w:t>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37"/>
              <w:jc w:val="right"/>
              <w:rPr>
                <w:rFonts w:ascii="Times New Roman" w:hAnsi="Times New Roman" w:cs="Times New Roman" w:eastAsia="Times New Roman" w:hint="default"/>
                <w:sz w:val="18"/>
                <w:szCs w:val="18"/>
              </w:rPr>
            </w:pPr>
            <w:r>
              <w:rPr>
                <w:rFonts w:ascii="Times New Roman"/>
                <w:sz w:val="18"/>
              </w:rPr>
              <w:t>0</w:t>
            </w:r>
          </w:p>
        </w:tc>
      </w:tr>
      <w:tr>
        <w:trPr>
          <w:trHeight w:val="57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铃木伸雄</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3" w:right="47"/>
              <w:jc w:val="left"/>
              <w:rPr>
                <w:rFonts w:ascii="宋体" w:hAnsi="宋体" w:cs="宋体" w:eastAsia="宋体" w:hint="default"/>
                <w:sz w:val="18"/>
                <w:szCs w:val="18"/>
              </w:rPr>
            </w:pPr>
            <w:r>
              <w:rPr>
                <w:rFonts w:ascii="宋体" w:hAnsi="宋体" w:cs="宋体" w:eastAsia="宋体" w:hint="default"/>
                <w:sz w:val="18"/>
                <w:szCs w:val="18"/>
              </w:rPr>
              <w:t>常务副总经 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337"/>
              <w:jc w:val="right"/>
              <w:rPr>
                <w:rFonts w:ascii="Times New Roman" w:hAnsi="Times New Roman" w:cs="Times New Roman" w:eastAsia="Times New Roman" w:hint="default"/>
                <w:sz w:val="18"/>
                <w:szCs w:val="18"/>
              </w:rPr>
            </w:pPr>
            <w:r>
              <w:rPr>
                <w:rFonts w:ascii="Times New Roman"/>
                <w:sz w:val="18"/>
              </w:rPr>
              <w:t>0</w:t>
            </w:r>
          </w:p>
        </w:tc>
      </w:tr>
      <w:tr>
        <w:trPr>
          <w:trHeight w:val="29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张建新</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sz w:val="18"/>
              </w:rPr>
              <w:t>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37"/>
              <w:jc w:val="right"/>
              <w:rPr>
                <w:rFonts w:ascii="Times New Roman" w:hAnsi="Times New Roman" w:cs="Times New Roman" w:eastAsia="Times New Roman" w:hint="default"/>
                <w:sz w:val="18"/>
                <w:szCs w:val="18"/>
              </w:rPr>
            </w:pPr>
            <w:r>
              <w:rPr>
                <w:rFonts w:ascii="Times New Roman"/>
                <w:sz w:val="18"/>
              </w:rPr>
              <w:t>0</w:t>
            </w:r>
          </w:p>
        </w:tc>
      </w:tr>
      <w:tr>
        <w:trPr>
          <w:trHeight w:val="28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营销总监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sz w:val="18"/>
              </w:rPr>
              <w:t>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37"/>
              <w:jc w:val="right"/>
              <w:rPr>
                <w:rFonts w:ascii="Times New Roman" w:hAnsi="Times New Roman" w:cs="Times New Roman" w:eastAsia="Times New Roman" w:hint="default"/>
                <w:sz w:val="18"/>
                <w:szCs w:val="18"/>
              </w:rPr>
            </w:pPr>
            <w:r>
              <w:rPr>
                <w:rFonts w:ascii="Times New Roman"/>
                <w:sz w:val="18"/>
              </w:rPr>
              <w:t>0</w:t>
            </w:r>
          </w:p>
        </w:tc>
      </w:tr>
      <w:tr>
        <w:trPr>
          <w:trHeight w:val="29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Times New Roman" w:hAnsi="Times New Roman" w:cs="Times New Roman" w:eastAsia="Times New Roman" w:hint="default"/>
                <w:sz w:val="18"/>
                <w:szCs w:val="18"/>
              </w:rPr>
            </w:pPr>
            <w:r>
              <w:rPr>
                <w:rFonts w:ascii="Times New Roman"/>
                <w:sz w:val="18"/>
              </w:rPr>
              <w:t>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37"/>
              <w:jc w:val="right"/>
              <w:rPr>
                <w:rFonts w:ascii="Times New Roman" w:hAnsi="Times New Roman" w:cs="Times New Roman" w:eastAsia="Times New Roman" w:hint="default"/>
                <w:sz w:val="18"/>
                <w:szCs w:val="18"/>
              </w:rPr>
            </w:pPr>
            <w:r>
              <w:rPr>
                <w:rFonts w:ascii="Times New Roman"/>
                <w:sz w:val="18"/>
              </w:rPr>
              <w:t>0</w:t>
            </w:r>
          </w:p>
        </w:tc>
      </w:tr>
      <w:tr>
        <w:trPr>
          <w:trHeight w:val="29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韩伯群</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sz w:val="18"/>
              </w:rPr>
              <w:t>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37"/>
              <w:jc w:val="right"/>
              <w:rPr>
                <w:rFonts w:ascii="Times New Roman" w:hAnsi="Times New Roman" w:cs="Times New Roman" w:eastAsia="Times New Roman" w:hint="default"/>
                <w:sz w:val="18"/>
                <w:szCs w:val="18"/>
              </w:rPr>
            </w:pPr>
            <w:r>
              <w:rPr>
                <w:rFonts w:ascii="Times New Roman"/>
                <w:sz w:val="18"/>
              </w:rPr>
              <w:t>0</w:t>
            </w:r>
          </w:p>
        </w:tc>
      </w:tr>
      <w:tr>
        <w:trPr>
          <w:trHeight w:val="29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陈国民</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总经理助理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sz w:val="18"/>
              </w:rPr>
              <w:t>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37"/>
              <w:jc w:val="right"/>
              <w:rPr>
                <w:rFonts w:ascii="Times New Roman" w:hAnsi="Times New Roman" w:cs="Times New Roman" w:eastAsia="Times New Roman" w:hint="default"/>
                <w:sz w:val="18"/>
                <w:szCs w:val="18"/>
              </w:rPr>
            </w:pPr>
            <w:r>
              <w:rPr>
                <w:rFonts w:ascii="Times New Roman"/>
                <w:sz w:val="18"/>
              </w:rPr>
              <w:t>0</w:t>
            </w:r>
          </w:p>
        </w:tc>
      </w:tr>
      <w:tr>
        <w:trPr>
          <w:trHeight w:val="29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sz w:val="18"/>
              </w:rPr>
              <w:t>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37"/>
              <w:jc w:val="right"/>
              <w:rPr>
                <w:rFonts w:ascii="Times New Roman" w:hAnsi="Times New Roman" w:cs="Times New Roman" w:eastAsia="Times New Roman" w:hint="default"/>
                <w:sz w:val="18"/>
                <w:szCs w:val="18"/>
              </w:rPr>
            </w:pPr>
            <w:r>
              <w:rPr>
                <w:rFonts w:ascii="Times New Roman"/>
                <w:sz w:val="18"/>
              </w:rPr>
              <w:t>0</w:t>
            </w:r>
          </w:p>
        </w:tc>
      </w:tr>
      <w:tr>
        <w:trPr>
          <w:trHeight w:val="29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sz w:val="18"/>
              </w:rPr>
              <w:t>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37"/>
              <w:jc w:val="right"/>
              <w:rPr>
                <w:rFonts w:ascii="Times New Roman" w:hAnsi="Times New Roman" w:cs="Times New Roman" w:eastAsia="Times New Roman" w:hint="default"/>
                <w:sz w:val="18"/>
                <w:szCs w:val="18"/>
              </w:rPr>
            </w:pPr>
            <w:r>
              <w:rPr>
                <w:rFonts w:ascii="Times New Roman"/>
                <w:sz w:val="18"/>
              </w:rPr>
              <w:t>0</w:t>
            </w:r>
          </w:p>
        </w:tc>
      </w:tr>
      <w:tr>
        <w:trPr>
          <w:trHeight w:val="290"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37"/>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二、任职情况</w:t>
      </w:r>
      <w:r>
        <w:rPr>
          <w:b w:val="0"/>
          <w:bCs w:val="0"/>
        </w:rPr>
      </w:r>
    </w:p>
    <w:p>
      <w:pPr>
        <w:spacing w:line="240" w:lineRule="auto" w:before="4"/>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417" w:lineRule="auto" w:before="121"/>
        <w:ind w:left="636" w:right="0" w:firstLine="62"/>
        <w:jc w:val="left"/>
      </w:pPr>
      <w:r>
        <w:rPr>
          <w:rFonts w:ascii="Times New Roman" w:hAnsi="Times New Roman" w:cs="Times New Roman" w:eastAsia="Times New Roman" w:hint="default"/>
        </w:rPr>
        <w:t>1</w:t>
      </w:r>
      <w:r>
        <w:rPr/>
        <w:t>、现任董事最近</w:t>
      </w:r>
      <w:r>
        <w:rPr>
          <w:rFonts w:ascii="Times New Roman" w:hAnsi="Times New Roman" w:cs="Times New Roman" w:eastAsia="Times New Roman" w:hint="default"/>
        </w:rPr>
        <w:t>5</w:t>
      </w:r>
      <w:r>
        <w:rPr/>
        <w:t>年主要工作经历</w:t>
      </w:r>
      <w:r>
        <w:rPr>
          <w:w w:val="100"/>
        </w:rPr>
        <w:t> </w:t>
      </w:r>
      <w:r>
        <w:rPr>
          <w:spacing w:val="-3"/>
        </w:rPr>
        <w:t>朱文明先生，男，中国国籍，</w:t>
      </w:r>
      <w:r>
        <w:rPr>
          <w:rFonts w:ascii="Times New Roman" w:hAnsi="Times New Roman" w:cs="Times New Roman" w:eastAsia="Times New Roman" w:hint="default"/>
          <w:spacing w:val="-3"/>
        </w:rPr>
        <w:t>1967</w:t>
      </w:r>
      <w:r>
        <w:rPr>
          <w:spacing w:val="-3"/>
        </w:rPr>
        <w:t>年出生，本科学历。历任本公司前身盐城丰东热处理有限公司生产</w:t>
      </w:r>
    </w:p>
    <w:p>
      <w:pPr>
        <w:pStyle w:val="BodyText"/>
        <w:spacing w:line="213" w:lineRule="exact"/>
        <w:ind w:right="0"/>
        <w:jc w:val="left"/>
      </w:pPr>
      <w:r>
        <w:rPr>
          <w:spacing w:val="-3"/>
        </w:rPr>
        <w:t>部技术员、营销部部长、副总经理、总经理、董事、董事长，现任本公司董事长、总经理；大丰市东润投</w:t>
      </w:r>
    </w:p>
    <w:p>
      <w:pPr>
        <w:pStyle w:val="BodyText"/>
        <w:spacing w:line="348" w:lineRule="auto" w:before="126"/>
        <w:ind w:right="0"/>
        <w:jc w:val="left"/>
      </w:pPr>
      <w:r>
        <w:rPr>
          <w:spacing w:val="-5"/>
        </w:rPr>
        <w:t>资管理有限公司董事；兼任长春丰东热处理有限公司、上海昂先实业有限公司、天津丰东热处理有限公司、</w:t>
      </w:r>
      <w:r>
        <w:rPr>
          <w:spacing w:val="-6"/>
        </w:rPr>
        <w:t> </w:t>
      </w:r>
      <w:r>
        <w:rPr>
          <w:spacing w:val="-6"/>
        </w:rPr>
      </w:r>
      <w:r>
        <w:rPr>
          <w:spacing w:val="-2"/>
        </w:rPr>
        <w:t>青岛丰东热处理有限公司、重庆丰东神五热处理工程有限公司、南京丰东热处理工程有限公司、江苏丰东</w:t>
      </w:r>
    </w:p>
    <w:p>
      <w:pPr>
        <w:spacing w:after="0" w:line="348" w:lineRule="auto"/>
        <w:jc w:val="left"/>
        <w:sectPr>
          <w:pgSz w:w="11910" w:h="16840"/>
          <w:pgMar w:header="706" w:footer="1306" w:top="1060" w:bottom="1520" w:left="96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50" w:lineRule="auto"/>
        <w:ind w:right="1124"/>
        <w:jc w:val="left"/>
      </w:pPr>
      <w:r>
        <w:rPr>
          <w:spacing w:val="-2"/>
        </w:rPr>
        <w:t>热处理及表面改性工程技术研究有限公司和盐城高周波热炼有限公司董事长，广州丰东热炼有限公司副董</w:t>
      </w:r>
      <w:r>
        <w:rPr>
          <w:spacing w:val="-43"/>
        </w:rPr>
        <w:t> </w:t>
      </w:r>
      <w:r>
        <w:rPr>
          <w:spacing w:val="-43"/>
        </w:rPr>
      </w:r>
      <w:r>
        <w:rPr/>
        <w:t>事长。</w:t>
      </w:r>
    </w:p>
    <w:p>
      <w:pPr>
        <w:pStyle w:val="BodyText"/>
        <w:spacing w:line="343" w:lineRule="auto" w:before="147"/>
        <w:ind w:right="1126" w:firstLine="463"/>
        <w:jc w:val="both"/>
      </w:pPr>
      <w:r>
        <w:rPr>
          <w:spacing w:val="-3"/>
        </w:rPr>
        <w:t>木村良三先生，男，日本国籍，</w:t>
      </w:r>
      <w:r>
        <w:rPr>
          <w:rFonts w:ascii="Times New Roman" w:hAnsi="Times New Roman" w:cs="Times New Roman" w:eastAsia="Times New Roman" w:hint="default"/>
          <w:spacing w:val="-3"/>
        </w:rPr>
        <w:t>1943</w:t>
      </w:r>
      <w:r>
        <w:rPr>
          <w:spacing w:val="-3"/>
        </w:rPr>
        <w:t>年出生，大学学历。历任日本东方工程株式会社课长、次长、部</w:t>
      </w:r>
      <w:r>
        <w:rPr>
          <w:w w:val="100"/>
        </w:rPr>
        <w:t> </w:t>
      </w:r>
      <w:r>
        <w:rPr>
          <w:spacing w:val="-2"/>
        </w:rPr>
        <w:t>长、取缔役、社长，曾任盐城丰东热处理有限公司董事、副董事长。现任日本东方工程株式会社会长和本</w:t>
      </w:r>
      <w:r>
        <w:rPr>
          <w:spacing w:val="-43"/>
        </w:rPr>
        <w:t> </w:t>
      </w:r>
      <w:r>
        <w:rPr>
          <w:spacing w:val="-43"/>
        </w:rPr>
      </w:r>
      <w:r>
        <w:rPr>
          <w:spacing w:val="-2"/>
        </w:rPr>
        <w:t>公司副董事长；兼任盐城丰东特种炉业有限公司、重庆丰东神五热处理工程有限公司和天津丰东热处理有</w:t>
      </w:r>
      <w:r>
        <w:rPr>
          <w:spacing w:val="-41"/>
        </w:rPr>
        <w:t> </w:t>
      </w:r>
      <w:r>
        <w:rPr>
          <w:spacing w:val="-41"/>
        </w:rPr>
      </w:r>
      <w:r>
        <w:rPr/>
        <w:t>限公司副董事长。</w:t>
      </w:r>
    </w:p>
    <w:p>
      <w:pPr>
        <w:pStyle w:val="BodyText"/>
        <w:spacing w:line="350" w:lineRule="auto" w:before="129"/>
        <w:ind w:right="0" w:firstLine="420"/>
        <w:jc w:val="left"/>
      </w:pPr>
      <w:r>
        <w:rPr>
          <w:spacing w:val="-8"/>
        </w:rPr>
        <w:t>向建华先生，男，中国国籍，</w:t>
      </w:r>
      <w:r>
        <w:rPr>
          <w:rFonts w:ascii="宋体" w:hAnsi="宋体" w:cs="宋体" w:eastAsia="宋体" w:hint="default"/>
          <w:spacing w:val="-8"/>
        </w:rPr>
        <w:t>1966</w:t>
      </w:r>
      <w:r>
        <w:rPr>
          <w:rFonts w:ascii="宋体" w:hAnsi="宋体" w:cs="宋体" w:eastAsia="宋体" w:hint="default"/>
          <w:spacing w:val="-5"/>
        </w:rPr>
        <w:t> </w:t>
      </w:r>
      <w:r>
        <w:rPr>
          <w:spacing w:val="-4"/>
        </w:rPr>
        <w:t>年出生，研究生学历。曾任盐城丰东热处理有限公司生产部技术员、</w:t>
      </w:r>
      <w:r>
        <w:rPr>
          <w:w w:val="100"/>
        </w:rPr>
        <w:t> </w:t>
      </w:r>
      <w:r>
        <w:rPr>
          <w:spacing w:val="-5"/>
        </w:rPr>
        <w:t>加工部部长、副总经理；</w:t>
      </w:r>
      <w:r>
        <w:rPr>
          <w:rFonts w:ascii="宋体" w:hAnsi="宋体" w:cs="宋体" w:eastAsia="宋体" w:hint="default"/>
          <w:spacing w:val="-5"/>
        </w:rPr>
        <w:t>2003</w:t>
      </w:r>
      <w:r>
        <w:rPr>
          <w:rFonts w:ascii="宋体" w:hAnsi="宋体" w:cs="宋体" w:eastAsia="宋体" w:hint="default"/>
          <w:spacing w:val="-44"/>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月至</w:t>
      </w:r>
      <w:r>
        <w:rPr>
          <w:spacing w:val="-46"/>
        </w:rPr>
        <w:t> </w:t>
      </w:r>
      <w:r>
        <w:rPr>
          <w:rFonts w:ascii="宋体" w:hAnsi="宋体" w:cs="宋体" w:eastAsia="宋体" w:hint="default"/>
        </w:rPr>
        <w:t>2006</w:t>
      </w:r>
      <w:r>
        <w:rPr>
          <w:rFonts w:ascii="宋体" w:hAnsi="宋体" w:cs="宋体" w:eastAsia="宋体" w:hint="default"/>
          <w:spacing w:val="-48"/>
        </w:rPr>
        <w:t> </w:t>
      </w:r>
      <w:r>
        <w:rPr/>
        <w:t>年</w:t>
      </w:r>
      <w:r>
        <w:rPr>
          <w:spacing w:val="-46"/>
        </w:rPr>
        <w:t> </w:t>
      </w:r>
      <w:r>
        <w:rPr>
          <w:rFonts w:ascii="宋体" w:hAnsi="宋体" w:cs="宋体" w:eastAsia="宋体" w:hint="default"/>
        </w:rPr>
        <w:t>7</w:t>
      </w:r>
      <w:r>
        <w:rPr>
          <w:rFonts w:ascii="宋体" w:hAnsi="宋体" w:cs="宋体" w:eastAsia="宋体" w:hint="default"/>
          <w:spacing w:val="-48"/>
        </w:rPr>
        <w:t> </w:t>
      </w:r>
      <w:r>
        <w:rPr>
          <w:spacing w:val="-3"/>
        </w:rPr>
        <w:t>月兼任上海丰东热处理工程有限公司总经理。现任大丰</w:t>
      </w:r>
      <w:r>
        <w:rPr>
          <w:spacing w:val="-86"/>
        </w:rPr>
        <w:t> </w:t>
      </w:r>
      <w:r>
        <w:rPr>
          <w:spacing w:val="-86"/>
        </w:rPr>
      </w:r>
      <w:r>
        <w:rPr>
          <w:spacing w:val="-2"/>
        </w:rPr>
        <w:t>市东润投资管理有限公司董事长、本公司副董事长、副总经理、兼任投资管理部部长。现任全国热处理标</w:t>
      </w:r>
      <w:r>
        <w:rPr>
          <w:spacing w:val="-47"/>
        </w:rPr>
        <w:t> </w:t>
      </w:r>
      <w:r>
        <w:rPr>
          <w:spacing w:val="-47"/>
        </w:rPr>
      </w:r>
      <w:r>
        <w:rPr/>
        <w:t>准化技术委员会副主任委员、中国热处理行业协会副理事长、江苏省机械工程学会热处理专业委员会副主</w:t>
      </w:r>
      <w:r>
        <w:rPr>
          <w:w w:val="100"/>
        </w:rPr>
        <w:t> </w:t>
      </w:r>
      <w:r>
        <w:rPr/>
        <w:t>任委员；兼任盐城丰东特种炉业有限公司董事长及上海昂先实业有限公司、青岛丰东热处理有限公司和江</w:t>
      </w:r>
      <w:r>
        <w:rPr>
          <w:w w:val="100"/>
        </w:rPr>
        <w:t> </w:t>
      </w:r>
      <w:r>
        <w:rPr/>
        <w:t>苏丰东热处理及表面改性工程技术研究有限公司董事。</w:t>
      </w:r>
    </w:p>
    <w:p>
      <w:pPr>
        <w:pStyle w:val="BodyText"/>
        <w:spacing w:line="338" w:lineRule="auto" w:before="149"/>
        <w:ind w:right="1105" w:firstLine="463"/>
        <w:jc w:val="both"/>
      </w:pPr>
      <w:r>
        <w:rPr>
          <w:spacing w:val="-3"/>
        </w:rPr>
        <w:t>张广仁先生，男，中国国籍，</w:t>
      </w:r>
      <w:r>
        <w:rPr>
          <w:rFonts w:ascii="Times New Roman" w:hAnsi="Times New Roman" w:cs="Times New Roman" w:eastAsia="Times New Roman" w:hint="default"/>
          <w:spacing w:val="-3"/>
        </w:rPr>
        <w:t>1938</w:t>
      </w:r>
      <w:r>
        <w:rPr>
          <w:spacing w:val="-3"/>
        </w:rPr>
        <w:t>年出生，拥有日本永久居留权，本科学历。历任日本和华株式会社</w:t>
      </w:r>
      <w:r>
        <w:rPr>
          <w:w w:val="100"/>
        </w:rPr>
        <w:t> </w:t>
      </w:r>
      <w:r>
        <w:rPr>
          <w:spacing w:val="-2"/>
        </w:rPr>
        <w:t>常务董事、代表取缔役、社长；曾任盐城丰东热处理有限公司董事。现任日本和华株式会社代表取缔役、</w:t>
      </w:r>
      <w:r>
        <w:rPr>
          <w:spacing w:val="-21"/>
        </w:rPr>
        <w:t> </w:t>
      </w:r>
      <w:r>
        <w:rPr>
          <w:spacing w:val="-21"/>
        </w:rPr>
      </w:r>
      <w:r>
        <w:rPr/>
        <w:t>社长和本公司董事；兼任天津丰东热处理有限公司董事。</w:t>
      </w:r>
    </w:p>
    <w:p>
      <w:pPr>
        <w:pStyle w:val="BodyText"/>
        <w:spacing w:line="343" w:lineRule="auto" w:before="160"/>
        <w:ind w:right="1126" w:firstLine="463"/>
        <w:jc w:val="both"/>
      </w:pPr>
      <w:r>
        <w:rPr>
          <w:spacing w:val="-3"/>
        </w:rPr>
        <w:t>徐仕俊先生，男，中国国籍，</w:t>
      </w:r>
      <w:r>
        <w:rPr>
          <w:rFonts w:ascii="Times New Roman" w:hAnsi="Times New Roman" w:cs="Times New Roman" w:eastAsia="Times New Roman" w:hint="default"/>
          <w:spacing w:val="-3"/>
        </w:rPr>
        <w:t>1967</w:t>
      </w:r>
      <w:r>
        <w:rPr>
          <w:spacing w:val="-3"/>
        </w:rPr>
        <w:t>年出生，大专学历，会计师职称。历任盐城丰东热处理有限公司财</w:t>
      </w:r>
      <w:r>
        <w:rPr>
          <w:w w:val="100"/>
        </w:rPr>
        <w:t> </w:t>
      </w:r>
      <w:r>
        <w:rPr>
          <w:spacing w:val="-2"/>
        </w:rPr>
        <w:t>务部副部长、部长、财务总监、董事。现任本公司董事、财务总监、会计核算部部长；兼任青岛丰东热处</w:t>
      </w:r>
      <w:r>
        <w:rPr>
          <w:spacing w:val="-49"/>
        </w:rPr>
        <w:t> </w:t>
      </w:r>
      <w:r>
        <w:rPr>
          <w:spacing w:val="-49"/>
        </w:rPr>
      </w:r>
      <w:r>
        <w:rPr>
          <w:spacing w:val="-2"/>
        </w:rPr>
        <w:t>理有限公司、重庆丰东神五热处理工程有限公司、天津丰东热处理有限公司、上海昂先实业有限公司、盐</w:t>
      </w:r>
      <w:r>
        <w:rPr>
          <w:spacing w:val="-47"/>
        </w:rPr>
        <w:t> </w:t>
      </w:r>
      <w:r>
        <w:rPr>
          <w:spacing w:val="-47"/>
        </w:rPr>
      </w:r>
      <w:r>
        <w:rPr>
          <w:spacing w:val="-2"/>
        </w:rPr>
        <w:t>城高周波热炼有限公司、广州丰东热炼有限公司、江苏丰东热处理及表面改性工程技术研究有限公司监事</w:t>
      </w:r>
      <w:r>
        <w:rPr>
          <w:spacing w:val="-42"/>
        </w:rPr>
        <w:t> </w:t>
      </w:r>
      <w:r>
        <w:rPr>
          <w:spacing w:val="-42"/>
        </w:rPr>
      </w:r>
      <w:r>
        <w:rPr/>
        <w:t>和长春丰东热处理有限公司、南京丰东热处理工程有限公司董事。</w:t>
      </w:r>
    </w:p>
    <w:p>
      <w:pPr>
        <w:pStyle w:val="BodyText"/>
        <w:spacing w:line="345" w:lineRule="auto" w:before="155"/>
        <w:ind w:right="0" w:firstLine="463"/>
        <w:jc w:val="left"/>
      </w:pPr>
      <w:r>
        <w:rPr/>
        <w:t>郜翀先生，男，中国国籍，</w:t>
      </w:r>
      <w:r>
        <w:rPr>
          <w:rFonts w:ascii="Times New Roman" w:hAnsi="Times New Roman" w:cs="Times New Roman" w:eastAsia="Times New Roman" w:hint="default"/>
        </w:rPr>
        <w:t>1969</w:t>
      </w:r>
      <w:r>
        <w:rPr/>
        <w:t>年出生，研究生学历，中共党员。</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9</w:t>
      </w:r>
      <w:r>
        <w:rPr/>
        <w:t>月起历任上海创通投资管</w:t>
      </w:r>
      <w:r>
        <w:rPr>
          <w:w w:val="100"/>
        </w:rPr>
        <w:t> </w:t>
      </w:r>
      <w:r>
        <w:rPr>
          <w:spacing w:val="-2"/>
        </w:rPr>
        <w:t>理公司南京分公司总经理、富鑫创业投资管理公司南京办事处首席代表；现任江苏高科技投资集团有限公</w:t>
      </w:r>
      <w:r>
        <w:rPr>
          <w:spacing w:val="-44"/>
        </w:rPr>
        <w:t> </w:t>
      </w:r>
      <w:r>
        <w:rPr>
          <w:spacing w:val="-44"/>
        </w:rPr>
      </w:r>
      <w:r>
        <w:rPr>
          <w:spacing w:val="-5"/>
        </w:rPr>
        <w:t>司投资总监、江苏高投创业投资有限公司副总经理、无锡高德创业投资管理有限公司董事长、本公司董事；</w:t>
      </w:r>
      <w:r>
        <w:rPr>
          <w:spacing w:val="-6"/>
        </w:rPr>
        <w:t> </w:t>
      </w:r>
      <w:r>
        <w:rPr>
          <w:spacing w:val="-6"/>
        </w:rPr>
      </w:r>
      <w:r>
        <w:rPr>
          <w:spacing w:val="-2"/>
        </w:rPr>
        <w:t>兼任江苏高投中小企业创业投资有限公司、江苏凯力克钴业股份有限公司、苏州能健电气有限公司及江苏</w:t>
      </w:r>
      <w:r>
        <w:rPr>
          <w:spacing w:val="-43"/>
        </w:rPr>
        <w:t> </w:t>
      </w:r>
      <w:r>
        <w:rPr>
          <w:spacing w:val="-43"/>
        </w:rPr>
      </w:r>
      <w:r>
        <w:rPr/>
        <w:t>长海复合材料股份有限公司董事。</w:t>
      </w:r>
    </w:p>
    <w:p>
      <w:pPr>
        <w:pStyle w:val="BodyText"/>
        <w:spacing w:line="345" w:lineRule="auto" w:before="151"/>
        <w:ind w:right="1126" w:firstLine="463"/>
        <w:jc w:val="both"/>
      </w:pPr>
      <w:r>
        <w:rPr>
          <w:spacing w:val="-3"/>
        </w:rPr>
        <w:t>李心合先生，男，中国国籍，</w:t>
      </w:r>
      <w:r>
        <w:rPr>
          <w:rFonts w:ascii="Times New Roman" w:hAnsi="Times New Roman" w:cs="Times New Roman" w:eastAsia="Times New Roman" w:hint="default"/>
          <w:spacing w:val="-3"/>
        </w:rPr>
        <w:t>1963</w:t>
      </w:r>
      <w:r>
        <w:rPr>
          <w:spacing w:val="-3"/>
        </w:rPr>
        <w:t>年出生，管理学博士，会计学博士后，南京大学会计学系教授、博</w:t>
      </w:r>
      <w:r>
        <w:rPr>
          <w:w w:val="100"/>
        </w:rPr>
        <w:t> </w:t>
      </w:r>
      <w:r>
        <w:rPr>
          <w:spacing w:val="-2"/>
        </w:rPr>
        <w:t>士研究生导师。曾在徐州财经学校、苏州大学财经学院任教；现任南京大学会计与财务研究院副院长、商</w:t>
      </w:r>
      <w:r>
        <w:rPr>
          <w:spacing w:val="-47"/>
        </w:rPr>
        <w:t> </w:t>
      </w:r>
      <w:r>
        <w:rPr>
          <w:spacing w:val="-47"/>
        </w:rPr>
      </w:r>
      <w:r>
        <w:rPr>
          <w:spacing w:val="-2"/>
        </w:rPr>
        <w:t>学院会计学系副主任、本公司独立董事。兼任民建江苏省委会副主委、江苏省政协常委、财政部内部控制</w:t>
      </w:r>
      <w:r>
        <w:rPr>
          <w:spacing w:val="-50"/>
        </w:rPr>
        <w:t> </w:t>
      </w:r>
      <w:r>
        <w:rPr>
          <w:spacing w:val="-50"/>
        </w:rPr>
      </w:r>
      <w:r>
        <w:rPr>
          <w:spacing w:val="-2"/>
        </w:rPr>
        <w:t>咨询专家、中国财务学会共同主席、中国会计学会财务管理专业委员会副主任、江苏省总会计师协会副会</w:t>
      </w:r>
      <w:r>
        <w:rPr>
          <w:spacing w:val="-44"/>
        </w:rPr>
        <w:t> </w:t>
      </w:r>
      <w:r>
        <w:rPr>
          <w:spacing w:val="-44"/>
        </w:rPr>
      </w:r>
      <w:r>
        <w:rPr/>
        <w:t>长，以及南京新街口百货商店股份有限公司、江苏联发纺织股份有限公司独立董事。</w:t>
      </w:r>
    </w:p>
    <w:p>
      <w:pPr>
        <w:pStyle w:val="BodyText"/>
        <w:spacing w:line="328" w:lineRule="auto" w:before="153"/>
        <w:ind w:right="1126" w:firstLine="463"/>
        <w:jc w:val="both"/>
      </w:pPr>
      <w:r>
        <w:rPr>
          <w:spacing w:val="-3"/>
        </w:rPr>
        <w:t>冯辕先生，男，中国国籍，</w:t>
      </w:r>
      <w:r>
        <w:rPr>
          <w:rFonts w:ascii="Times New Roman" w:hAnsi="Times New Roman" w:cs="Times New Roman" w:eastAsia="Times New Roman" w:hint="default"/>
          <w:spacing w:val="-3"/>
        </w:rPr>
        <w:t>1969</w:t>
      </w:r>
      <w:r>
        <w:rPr>
          <w:spacing w:val="-3"/>
        </w:rPr>
        <w:t>年出生，中国民主同盟盟员，研究生学历，拥有律师资格。历任南京</w:t>
      </w:r>
      <w:r>
        <w:rPr>
          <w:w w:val="100"/>
        </w:rPr>
        <w:t> </w:t>
      </w:r>
      <w:r>
        <w:rPr>
          <w:spacing w:val="-2"/>
        </w:rPr>
        <w:t>日报社、金陵晚报社政法记者，并先后担任连云港核电站、江苏洋河酒厂股份有限公司、扬州亚星客车股</w:t>
      </w:r>
    </w:p>
    <w:p>
      <w:pPr>
        <w:spacing w:after="0" w:line="328" w:lineRule="auto"/>
        <w:jc w:val="both"/>
        <w:sectPr>
          <w:pgSz w:w="11910" w:h="16840"/>
          <w:pgMar w:header="706" w:footer="1306" w:top="1060" w:bottom="1520" w:left="96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48" w:lineRule="auto"/>
        <w:ind w:left="0" w:right="1106"/>
        <w:jc w:val="right"/>
      </w:pPr>
      <w:r>
        <w:rPr>
          <w:spacing w:val="-2"/>
        </w:rPr>
        <w:t>份有限公司等多家大型企业及上市公司的法律顾问。现任国浩律师（南京）事务所管理合伙人、本公司独</w:t>
      </w:r>
      <w:r>
        <w:rPr>
          <w:spacing w:val="-87"/>
        </w:rPr>
        <w:t> </w:t>
      </w:r>
      <w:r>
        <w:rPr>
          <w:spacing w:val="-87"/>
        </w:rPr>
      </w:r>
      <w:r>
        <w:rPr>
          <w:spacing w:val="-2"/>
        </w:rPr>
        <w:t>立董事。兼任民盟江苏省委社会与法制工作委员会副主任、江苏省律师协会公司法业务委员会副主任及江</w:t>
      </w:r>
      <w:r>
        <w:rPr>
          <w:spacing w:val="-87"/>
        </w:rPr>
        <w:t> </w:t>
      </w:r>
      <w:r>
        <w:rPr>
          <w:spacing w:val="-87"/>
        </w:rPr>
      </w:r>
      <w:r>
        <w:rPr>
          <w:spacing w:val="-2"/>
        </w:rPr>
        <w:t>苏省系统科学研究会理事，江苏凤凰出版传媒股份有限公司、南京埃斯顿自动化股份有限公司独立董事。</w:t>
      </w:r>
    </w:p>
    <w:p>
      <w:pPr>
        <w:pStyle w:val="BodyText"/>
        <w:spacing w:line="338" w:lineRule="auto" w:before="151"/>
        <w:ind w:right="1126" w:firstLine="463"/>
        <w:jc w:val="both"/>
      </w:pPr>
      <w:r>
        <w:rPr>
          <w:spacing w:val="-3"/>
        </w:rPr>
        <w:t>徐跃明先生，男，中国国籍，</w:t>
      </w:r>
      <w:r>
        <w:rPr>
          <w:rFonts w:ascii="Times New Roman" w:hAnsi="Times New Roman" w:cs="Times New Roman" w:eastAsia="Times New Roman" w:hint="default"/>
          <w:spacing w:val="-3"/>
        </w:rPr>
        <w:t>1962</w:t>
      </w:r>
      <w:r>
        <w:rPr>
          <w:spacing w:val="-3"/>
        </w:rPr>
        <w:t>年出生，研究生学历，教授级高级工程师。曾就职于北京机电研究</w:t>
      </w:r>
      <w:r>
        <w:rPr>
          <w:w w:val="100"/>
        </w:rPr>
        <w:t> </w:t>
      </w:r>
      <w:r>
        <w:rPr>
          <w:spacing w:val="-2"/>
        </w:rPr>
        <w:t>所，现任中国机械工程学会热处理分会副理事长，全国热处理标准化技术委员会主任，北京机电研究所副</w:t>
      </w:r>
      <w:r>
        <w:rPr>
          <w:spacing w:val="-43"/>
        </w:rPr>
        <w:t> </w:t>
      </w:r>
      <w:r>
        <w:rPr>
          <w:spacing w:val="-43"/>
        </w:rPr>
      </w:r>
      <w:r>
        <w:rPr/>
        <w:t>所长，本公司独立董事。</w:t>
      </w:r>
    </w:p>
    <w:p>
      <w:pPr>
        <w:pStyle w:val="BodyText"/>
        <w:spacing w:line="240" w:lineRule="auto" w:before="160"/>
        <w:ind w:left="636" w:right="0"/>
        <w:jc w:val="left"/>
      </w:pPr>
      <w:r>
        <w:rPr>
          <w:rFonts w:ascii="Times New Roman" w:hAnsi="Times New Roman" w:cs="Times New Roman" w:eastAsia="Times New Roman" w:hint="default"/>
        </w:rPr>
        <w:t>2</w:t>
      </w:r>
      <w:r>
        <w:rPr/>
        <w:t>、现任监事最近</w:t>
      </w:r>
      <w:r>
        <w:rPr>
          <w:rFonts w:ascii="Times New Roman" w:hAnsi="Times New Roman" w:cs="Times New Roman" w:eastAsia="Times New Roman" w:hint="default"/>
        </w:rPr>
        <w:t>5</w:t>
      </w:r>
      <w:r>
        <w:rPr/>
        <w:t>年主要工作经历</w:t>
      </w:r>
    </w:p>
    <w:p>
      <w:pPr>
        <w:spacing w:line="240" w:lineRule="auto" w:before="8"/>
        <w:rPr>
          <w:rFonts w:ascii="宋体" w:hAnsi="宋体" w:cs="宋体" w:eastAsia="宋体" w:hint="default"/>
          <w:sz w:val="17"/>
          <w:szCs w:val="17"/>
        </w:rPr>
      </w:pPr>
    </w:p>
    <w:p>
      <w:pPr>
        <w:pStyle w:val="BodyText"/>
        <w:spacing w:line="343" w:lineRule="auto"/>
        <w:ind w:right="0" w:firstLine="358"/>
        <w:jc w:val="left"/>
      </w:pPr>
      <w:r>
        <w:rPr/>
        <w:t>卜炜先生，男，中国国籍，</w:t>
      </w:r>
      <w:r>
        <w:rPr>
          <w:rFonts w:ascii="Times New Roman" w:hAnsi="Times New Roman" w:cs="Times New Roman" w:eastAsia="Times New Roman" w:hint="default"/>
        </w:rPr>
        <w:t>1970</w:t>
      </w:r>
      <w:r>
        <w:rPr/>
        <w:t>年出生，研究生学历，澳大利亚注册会计师协会会员。曾就职于上海</w:t>
      </w:r>
      <w:r>
        <w:rPr>
          <w:w w:val="100"/>
        </w:rPr>
        <w:t> </w:t>
      </w:r>
      <w:r>
        <w:rPr>
          <w:spacing w:val="-5"/>
        </w:rPr>
        <w:t>浦东发展银行南京分行、中国银行江苏省分行，担任过中国国际期货经纪公司广州分公司业务五部副经理、</w:t>
      </w:r>
      <w:r>
        <w:rPr>
          <w:spacing w:val="-4"/>
        </w:rPr>
        <w:t> </w:t>
      </w:r>
      <w:r>
        <w:rPr>
          <w:spacing w:val="-4"/>
        </w:rPr>
      </w:r>
      <w:r>
        <w:rPr>
          <w:spacing w:val="-2"/>
        </w:rPr>
        <w:t>飞利浦（中国）投资服务有限公司高级市场主管、江苏省高科技产业投资有限公司投资总监、江苏万邦生</w:t>
      </w:r>
      <w:r>
        <w:rPr>
          <w:spacing w:val="-46"/>
        </w:rPr>
        <w:t> </w:t>
      </w:r>
      <w:r>
        <w:rPr>
          <w:spacing w:val="-46"/>
        </w:rPr>
      </w:r>
      <w:r>
        <w:rPr>
          <w:spacing w:val="-2"/>
        </w:rPr>
        <w:t>化医药股份有限公司和江苏常铝铝业股份有限公司董事。现任江苏高达创业投资有限公司总经理、安徽桑</w:t>
      </w:r>
      <w:r>
        <w:rPr>
          <w:spacing w:val="-43"/>
        </w:rPr>
        <w:t> </w:t>
      </w:r>
      <w:r>
        <w:rPr>
          <w:spacing w:val="-43"/>
        </w:rPr>
      </w:r>
      <w:r>
        <w:rPr/>
        <w:t>乐金股份有限公司董事、本公司监事会主席。</w:t>
      </w:r>
    </w:p>
    <w:p>
      <w:pPr>
        <w:pStyle w:val="BodyText"/>
        <w:spacing w:line="338" w:lineRule="auto" w:before="155"/>
        <w:ind w:right="1126" w:firstLine="420"/>
        <w:jc w:val="both"/>
      </w:pPr>
      <w:r>
        <w:rPr>
          <w:spacing w:val="-2"/>
        </w:rPr>
        <w:t>朱小军先生，男，中国国籍，</w:t>
      </w:r>
      <w:r>
        <w:rPr>
          <w:rFonts w:ascii="Times New Roman" w:hAnsi="Times New Roman" w:cs="Times New Roman" w:eastAsia="Times New Roman" w:hint="default"/>
          <w:spacing w:val="-2"/>
        </w:rPr>
        <w:t>1975</w:t>
      </w:r>
      <w:r>
        <w:rPr>
          <w:spacing w:val="-2"/>
        </w:rPr>
        <w:t>年出生，本科学历。曾就职于江苏森威集团股份有限公司，历任公</w:t>
      </w:r>
      <w:r>
        <w:rPr>
          <w:w w:val="100"/>
        </w:rPr>
        <w:t> </w:t>
      </w:r>
      <w:r>
        <w:rPr>
          <w:spacing w:val="-2"/>
        </w:rPr>
        <w:t>司前身盐城丰东热处理有限公司技术部技术员、主任工程师及营销部销售经理、部长助理，现任本公司营</w:t>
      </w:r>
      <w:r>
        <w:rPr>
          <w:spacing w:val="-44"/>
        </w:rPr>
        <w:t> </w:t>
      </w:r>
      <w:r>
        <w:rPr>
          <w:spacing w:val="-44"/>
        </w:rPr>
      </w:r>
      <w:r>
        <w:rPr/>
        <w:t>销部副部长、本公司监事。</w:t>
      </w:r>
    </w:p>
    <w:p>
      <w:pPr>
        <w:pStyle w:val="BodyText"/>
        <w:spacing w:line="240" w:lineRule="auto" w:before="160"/>
        <w:ind w:left="533" w:right="0"/>
        <w:jc w:val="left"/>
      </w:pPr>
      <w:r>
        <w:rPr>
          <w:spacing w:val="-3"/>
        </w:rPr>
        <w:t>许红明女士，女，中国国籍，</w:t>
      </w:r>
      <w:r>
        <w:rPr>
          <w:rFonts w:ascii="Times New Roman" w:hAnsi="Times New Roman" w:cs="Times New Roman" w:eastAsia="Times New Roman" w:hint="default"/>
          <w:spacing w:val="-3"/>
        </w:rPr>
        <w:t>1969</w:t>
      </w:r>
      <w:r>
        <w:rPr>
          <w:spacing w:val="-3"/>
        </w:rPr>
        <w:t>年</w:t>
      </w:r>
      <w:r>
        <w:rPr>
          <w:rFonts w:ascii="Times New Roman" w:hAnsi="Times New Roman" w:cs="Times New Roman" w:eastAsia="Times New Roman" w:hint="default"/>
          <w:spacing w:val="-3"/>
        </w:rPr>
        <w:t>1</w:t>
      </w:r>
      <w:r>
        <w:rPr>
          <w:spacing w:val="-3"/>
        </w:rPr>
        <w:t>月出生，本科学历，会计师、注册税务师，国际注册内部审计师</w:t>
      </w:r>
    </w:p>
    <w:p>
      <w:pPr>
        <w:pStyle w:val="BodyText"/>
        <w:spacing w:line="328" w:lineRule="auto" w:before="110"/>
        <w:ind w:right="0"/>
        <w:jc w:val="left"/>
      </w:pPr>
      <w:r>
        <w:rPr>
          <w:spacing w:val="-3"/>
        </w:rPr>
        <w:t>（</w:t>
      </w:r>
      <w:r>
        <w:rPr>
          <w:rFonts w:ascii="Times New Roman" w:hAnsi="Times New Roman" w:cs="Times New Roman" w:eastAsia="Times New Roman" w:hint="default"/>
          <w:spacing w:val="-3"/>
        </w:rPr>
        <w:t>CIA</w:t>
      </w:r>
      <w:r>
        <w:rPr>
          <w:spacing w:val="-3"/>
        </w:rPr>
        <w:t>）。曾就职于江苏银都棉麻股份有限公司、江苏银燕棉麻有限责任公司，历任本公司审计部副部长，</w:t>
      </w:r>
      <w:r>
        <w:rPr>
          <w:spacing w:val="-45"/>
        </w:rPr>
        <w:t> </w:t>
      </w:r>
      <w:r>
        <w:rPr>
          <w:spacing w:val="-45"/>
        </w:rPr>
      </w:r>
      <w:r>
        <w:rPr/>
        <w:t>现任本公司内部审计部负责人、本公司职工监事。</w:t>
      </w:r>
    </w:p>
    <w:p>
      <w:pPr>
        <w:pStyle w:val="BodyText"/>
        <w:spacing w:line="429" w:lineRule="auto" w:before="168"/>
        <w:ind w:left="533" w:right="6219"/>
        <w:jc w:val="left"/>
      </w:pPr>
      <w:r>
        <w:rPr>
          <w:rFonts w:ascii="Times New Roman" w:hAnsi="Times New Roman" w:cs="Times New Roman" w:eastAsia="Times New Roman" w:hint="default"/>
        </w:rPr>
        <w:t>3</w:t>
      </w:r>
      <w:r>
        <w:rPr/>
        <w:t>、现任高级管理人员最近</w:t>
      </w:r>
      <w:r>
        <w:rPr>
          <w:rFonts w:ascii="Times New Roman" w:hAnsi="Times New Roman" w:cs="Times New Roman" w:eastAsia="Times New Roman" w:hint="default"/>
        </w:rPr>
        <w:t>5</w:t>
      </w:r>
      <w:r>
        <w:rPr/>
        <w:t>年主要工作经历</w:t>
      </w:r>
      <w:r>
        <w:rPr>
          <w:w w:val="100"/>
        </w:rPr>
        <w:t> 朱文</w:t>
      </w:r>
      <w:r>
        <w:rPr>
          <w:spacing w:val="-3"/>
          <w:w w:val="100"/>
        </w:rPr>
        <w:t>明</w:t>
      </w:r>
      <w:r>
        <w:rPr>
          <w:w w:val="100"/>
        </w:rPr>
        <w:t>先</w:t>
      </w:r>
      <w:r>
        <w:rPr>
          <w:spacing w:val="-3"/>
          <w:w w:val="100"/>
        </w:rPr>
        <w:t>生</w:t>
      </w:r>
      <w:r>
        <w:rPr>
          <w:w w:val="100"/>
        </w:rPr>
        <w:t>，</w:t>
      </w:r>
      <w:r>
        <w:rPr>
          <w:spacing w:val="-3"/>
          <w:w w:val="100"/>
        </w:rPr>
        <w:t>总</w:t>
      </w:r>
      <w:r>
        <w:rPr>
          <w:w w:val="100"/>
        </w:rPr>
        <w:t>经</w:t>
      </w:r>
      <w:r>
        <w:rPr>
          <w:spacing w:val="-3"/>
          <w:w w:val="100"/>
        </w:rPr>
        <w:t>理</w:t>
      </w:r>
      <w:r>
        <w:rPr>
          <w:w w:val="100"/>
        </w:rPr>
        <w:t>，</w:t>
      </w:r>
      <w:r>
        <w:rPr>
          <w:spacing w:val="-3"/>
          <w:w w:val="100"/>
        </w:rPr>
        <w:t>详</w:t>
      </w:r>
      <w:r>
        <w:rPr>
          <w:w w:val="100"/>
        </w:rPr>
        <w:t>见本</w:t>
      </w:r>
      <w:r>
        <w:rPr>
          <w:spacing w:val="-3"/>
          <w:w w:val="100"/>
        </w:rPr>
        <w:t>节</w:t>
      </w:r>
      <w:r>
        <w:rPr>
          <w:rFonts w:ascii="Times New Roman" w:hAnsi="Times New Roman" w:cs="Times New Roman" w:eastAsia="Times New Roman" w:hint="default"/>
          <w:spacing w:val="-1"/>
          <w:w w:val="44"/>
        </w:rPr>
        <w:t>―</w:t>
      </w:r>
      <w:r>
        <w:rPr>
          <w:spacing w:val="-3"/>
          <w:w w:val="100"/>
        </w:rPr>
        <w:t>董</w:t>
      </w:r>
      <w:r>
        <w:rPr>
          <w:w w:val="100"/>
        </w:rPr>
        <w:t>事</w:t>
      </w:r>
      <w:r>
        <w:rPr>
          <w:rFonts w:ascii="Times New Roman" w:hAnsi="Times New Roman" w:cs="Times New Roman" w:eastAsia="Times New Roman" w:hint="default"/>
          <w:spacing w:val="-1"/>
          <w:w w:val="159"/>
        </w:rPr>
        <w:t>‖</w:t>
      </w:r>
      <w:r>
        <w:rPr>
          <w:spacing w:val="-3"/>
          <w:w w:val="100"/>
        </w:rPr>
        <w:t>部</w:t>
      </w:r>
      <w:r>
        <w:rPr>
          <w:w w:val="100"/>
        </w:rPr>
        <w:t>分。</w:t>
      </w:r>
    </w:p>
    <w:p>
      <w:pPr>
        <w:pStyle w:val="BodyText"/>
        <w:spacing w:line="343" w:lineRule="auto" w:before="44"/>
        <w:ind w:right="0" w:firstLine="360"/>
        <w:jc w:val="left"/>
      </w:pPr>
      <w:r>
        <w:rPr>
          <w:spacing w:val="-3"/>
        </w:rPr>
        <w:t>铃木伸雄先生，男，日本国籍，</w:t>
      </w:r>
      <w:r>
        <w:rPr>
          <w:rFonts w:ascii="Times New Roman" w:hAnsi="Times New Roman" w:cs="Times New Roman" w:eastAsia="Times New Roman" w:hint="default"/>
          <w:spacing w:val="-3"/>
        </w:rPr>
        <w:t>1954</w:t>
      </w:r>
      <w:r>
        <w:rPr>
          <w:spacing w:val="-3"/>
        </w:rPr>
        <w:t>年出生，大学学历。历任日本东方工程株式会社生产技术部系长、</w:t>
      </w:r>
      <w:r>
        <w:rPr>
          <w:w w:val="100"/>
        </w:rPr>
        <w:t> </w:t>
      </w:r>
      <w:r>
        <w:rPr>
          <w:spacing w:val="-2"/>
        </w:rPr>
        <w:t>设备营业部海外课课长、次长、部长、中国担当部长；曾任盐城丰东热处理有限公司董事。现任本公司常</w:t>
      </w:r>
      <w:r>
        <w:rPr>
          <w:spacing w:val="-43"/>
        </w:rPr>
        <w:t> </w:t>
      </w:r>
      <w:r>
        <w:rPr>
          <w:spacing w:val="-43"/>
        </w:rPr>
      </w:r>
      <w:r>
        <w:rPr/>
        <w:t>务副总经理、日本东方工程株式会社董事。兼任盐城丰东特种炉业有限公司、长春丰东热处理有限公司、</w:t>
      </w:r>
      <w:r>
        <w:rPr>
          <w:w w:val="100"/>
        </w:rPr>
        <w:t> </w:t>
      </w:r>
      <w:r>
        <w:rPr/>
        <w:t>天津丰东热处理有限公司、重庆丰东神五热处理工程有限公司和上海昂先实业有限公司董事。</w:t>
      </w:r>
    </w:p>
    <w:p>
      <w:pPr>
        <w:pStyle w:val="BodyText"/>
        <w:spacing w:line="240" w:lineRule="auto" w:before="155"/>
        <w:ind w:left="533" w:right="0"/>
        <w:jc w:val="left"/>
      </w:pPr>
      <w:r>
        <w:rPr>
          <w:w w:val="100"/>
        </w:rPr>
        <w:t>向建</w:t>
      </w:r>
      <w:r>
        <w:rPr>
          <w:spacing w:val="-3"/>
          <w:w w:val="100"/>
        </w:rPr>
        <w:t>华</w:t>
      </w:r>
      <w:r>
        <w:rPr>
          <w:w w:val="100"/>
        </w:rPr>
        <w:t>先</w:t>
      </w:r>
      <w:r>
        <w:rPr>
          <w:spacing w:val="-3"/>
          <w:w w:val="100"/>
        </w:rPr>
        <w:t>生</w:t>
      </w:r>
      <w:r>
        <w:rPr>
          <w:w w:val="100"/>
        </w:rPr>
        <w:t>，</w:t>
      </w:r>
      <w:r>
        <w:rPr>
          <w:spacing w:val="-3"/>
          <w:w w:val="100"/>
        </w:rPr>
        <w:t>副</w:t>
      </w:r>
      <w:r>
        <w:rPr>
          <w:w w:val="100"/>
        </w:rPr>
        <w:t>总</w:t>
      </w:r>
      <w:r>
        <w:rPr>
          <w:spacing w:val="-3"/>
          <w:w w:val="100"/>
        </w:rPr>
        <w:t>经</w:t>
      </w:r>
      <w:r>
        <w:rPr>
          <w:w w:val="100"/>
        </w:rPr>
        <w:t>理</w:t>
      </w:r>
      <w:r>
        <w:rPr>
          <w:spacing w:val="-3"/>
          <w:w w:val="100"/>
        </w:rPr>
        <w:t>，</w:t>
      </w:r>
      <w:r>
        <w:rPr>
          <w:w w:val="100"/>
        </w:rPr>
        <w:t>详见</w:t>
      </w:r>
      <w:r>
        <w:rPr>
          <w:spacing w:val="-3"/>
          <w:w w:val="100"/>
        </w:rPr>
        <w:t>本</w:t>
      </w:r>
      <w:r>
        <w:rPr>
          <w:w w:val="100"/>
        </w:rPr>
        <w:t>节</w:t>
      </w:r>
      <w:r>
        <w:rPr>
          <w:rFonts w:ascii="Times New Roman" w:hAnsi="Times New Roman" w:cs="Times New Roman" w:eastAsia="Times New Roman" w:hint="default"/>
          <w:spacing w:val="-3"/>
          <w:w w:val="44"/>
        </w:rPr>
        <w:t>―</w:t>
      </w:r>
      <w:r>
        <w:rPr>
          <w:w w:val="100"/>
        </w:rPr>
        <w:t>董事</w:t>
      </w:r>
      <w:r>
        <w:rPr>
          <w:rFonts w:ascii="Times New Roman" w:hAnsi="Times New Roman" w:cs="Times New Roman" w:eastAsia="Times New Roman" w:hint="default"/>
          <w:spacing w:val="-3"/>
          <w:w w:val="159"/>
        </w:rPr>
        <w:t>‖</w:t>
      </w:r>
      <w:r>
        <w:rPr>
          <w:w w:val="100"/>
        </w:rPr>
        <w:t>部</w:t>
      </w:r>
      <w:r>
        <w:rPr>
          <w:spacing w:val="-3"/>
          <w:w w:val="100"/>
        </w:rPr>
        <w:t>分</w:t>
      </w:r>
      <w:r>
        <w:rPr>
          <w:w w:val="100"/>
        </w:rPr>
        <w:t>。</w:t>
      </w:r>
    </w:p>
    <w:p>
      <w:pPr>
        <w:spacing w:line="240" w:lineRule="auto" w:before="8"/>
        <w:rPr>
          <w:rFonts w:ascii="宋体" w:hAnsi="宋体" w:cs="宋体" w:eastAsia="宋体" w:hint="default"/>
          <w:sz w:val="17"/>
          <w:szCs w:val="17"/>
        </w:rPr>
      </w:pPr>
    </w:p>
    <w:p>
      <w:pPr>
        <w:pStyle w:val="BodyText"/>
        <w:spacing w:line="338" w:lineRule="auto"/>
        <w:ind w:right="1127" w:firstLine="360"/>
        <w:jc w:val="both"/>
      </w:pPr>
      <w:r>
        <w:rPr>
          <w:spacing w:val="-1"/>
        </w:rPr>
        <w:t>张建新先生，男，中国国籍，</w:t>
      </w:r>
      <w:r>
        <w:rPr>
          <w:rFonts w:ascii="Times New Roman" w:hAnsi="Times New Roman" w:cs="Times New Roman" w:eastAsia="Times New Roman" w:hint="default"/>
          <w:spacing w:val="-1"/>
        </w:rPr>
        <w:t>1961</w:t>
      </w:r>
      <w:r>
        <w:rPr>
          <w:spacing w:val="-1"/>
        </w:rPr>
        <w:t>年出生，大专学历。曾就职于大丰飞轮厂，历任盐城丰东热处理有</w:t>
      </w:r>
      <w:r>
        <w:rPr>
          <w:w w:val="100"/>
        </w:rPr>
        <w:t> </w:t>
      </w:r>
      <w:r>
        <w:rPr>
          <w:spacing w:val="-2"/>
        </w:rPr>
        <w:t>限公司技术员、生产服务部部长、营销部部长、总经理助理兼工会主席、董事。现任大丰市东润投资管理</w:t>
      </w:r>
      <w:r>
        <w:rPr>
          <w:spacing w:val="-43"/>
        </w:rPr>
        <w:t> </w:t>
      </w:r>
      <w:r>
        <w:rPr>
          <w:spacing w:val="-43"/>
        </w:rPr>
      </w:r>
      <w:r>
        <w:rPr/>
        <w:t>有限公司董事及本公司副总经理；兼任上海昂先实业有限公司董事、总经理。</w:t>
      </w:r>
    </w:p>
    <w:p>
      <w:pPr>
        <w:pStyle w:val="BodyText"/>
        <w:spacing w:line="240" w:lineRule="auto" w:before="160"/>
        <w:ind w:left="533" w:right="0"/>
        <w:jc w:val="left"/>
      </w:pPr>
      <w:r>
        <w:rPr>
          <w:w w:val="100"/>
        </w:rPr>
        <w:t>徐仕</w:t>
      </w:r>
      <w:r>
        <w:rPr>
          <w:spacing w:val="-3"/>
          <w:w w:val="100"/>
        </w:rPr>
        <w:t>俊</w:t>
      </w:r>
      <w:r>
        <w:rPr>
          <w:w w:val="100"/>
        </w:rPr>
        <w:t>，</w:t>
      </w:r>
      <w:r>
        <w:rPr>
          <w:spacing w:val="-3"/>
          <w:w w:val="100"/>
        </w:rPr>
        <w:t>财</w:t>
      </w:r>
      <w:r>
        <w:rPr>
          <w:w w:val="100"/>
        </w:rPr>
        <w:t>务</w:t>
      </w:r>
      <w:r>
        <w:rPr>
          <w:spacing w:val="-3"/>
          <w:w w:val="100"/>
        </w:rPr>
        <w:t>总</w:t>
      </w:r>
      <w:r>
        <w:rPr>
          <w:w w:val="100"/>
        </w:rPr>
        <w:t>监</w:t>
      </w:r>
      <w:r>
        <w:rPr>
          <w:spacing w:val="-3"/>
          <w:w w:val="100"/>
        </w:rPr>
        <w:t>，</w:t>
      </w:r>
      <w:r>
        <w:rPr>
          <w:w w:val="100"/>
        </w:rPr>
        <w:t>详</w:t>
      </w:r>
      <w:r>
        <w:rPr>
          <w:spacing w:val="-3"/>
          <w:w w:val="100"/>
        </w:rPr>
        <w:t>见</w:t>
      </w:r>
      <w:r>
        <w:rPr>
          <w:w w:val="100"/>
        </w:rPr>
        <w:t>本节</w:t>
      </w:r>
      <w:r>
        <w:rPr>
          <w:rFonts w:ascii="Times New Roman" w:hAnsi="Times New Roman" w:cs="Times New Roman" w:eastAsia="Times New Roman" w:hint="default"/>
          <w:spacing w:val="-3"/>
          <w:w w:val="44"/>
        </w:rPr>
        <w:t>―</w:t>
      </w:r>
      <w:r>
        <w:rPr>
          <w:w w:val="100"/>
        </w:rPr>
        <w:t>董事</w:t>
      </w:r>
      <w:r>
        <w:rPr>
          <w:rFonts w:ascii="Times New Roman" w:hAnsi="Times New Roman" w:cs="Times New Roman" w:eastAsia="Times New Roman" w:hint="default"/>
          <w:spacing w:val="-3"/>
          <w:w w:val="159"/>
        </w:rPr>
        <w:t>‖</w:t>
      </w:r>
      <w:r>
        <w:rPr>
          <w:w w:val="100"/>
        </w:rPr>
        <w:t>部</w:t>
      </w:r>
      <w:r>
        <w:rPr>
          <w:spacing w:val="-3"/>
          <w:w w:val="100"/>
        </w:rPr>
        <w:t>分</w:t>
      </w:r>
      <w:r>
        <w:rPr>
          <w:w w:val="100"/>
        </w:rPr>
        <w:t>。</w:t>
      </w:r>
    </w:p>
    <w:p>
      <w:pPr>
        <w:pStyle w:val="BodyText"/>
        <w:spacing w:line="380" w:lineRule="atLeast" w:before="138"/>
        <w:ind w:right="0" w:firstLine="360"/>
        <w:jc w:val="left"/>
      </w:pPr>
      <w:r>
        <w:rPr>
          <w:spacing w:val="-1"/>
        </w:rPr>
        <w:t>王毅先生，男，中国国籍，</w:t>
      </w:r>
      <w:r>
        <w:rPr>
          <w:rFonts w:ascii="Times New Roman" w:hAnsi="Times New Roman" w:cs="Times New Roman" w:eastAsia="Times New Roman" w:hint="default"/>
          <w:spacing w:val="-1"/>
        </w:rPr>
        <w:t>1967</w:t>
      </w:r>
      <w:r>
        <w:rPr>
          <w:spacing w:val="-1"/>
        </w:rPr>
        <w:t>年出生，大专学历。曾任南京跃进汽车集团技术员、工程师，南京法</w:t>
      </w:r>
      <w:r>
        <w:rPr>
          <w:w w:val="100"/>
        </w:rPr>
        <w:t> </w:t>
      </w:r>
      <w:r>
        <w:rPr>
          <w:spacing w:val="-2"/>
        </w:rPr>
        <w:t>雷奥离合器有限公司制造工程部部长，盐城丰东热处理有限公司营销部副部长、营销总监。现任本公司营</w:t>
      </w:r>
    </w:p>
    <w:p>
      <w:pPr>
        <w:spacing w:after="0" w:line="380" w:lineRule="atLeast"/>
        <w:jc w:val="left"/>
        <w:sectPr>
          <w:pgSz w:w="11910" w:h="16840"/>
          <w:pgMar w:header="706" w:footer="1306" w:top="1060" w:bottom="1520" w:left="960" w:right="0"/>
        </w:sectPr>
      </w:pPr>
    </w:p>
    <w:p>
      <w:pPr>
        <w:spacing w:line="240" w:lineRule="auto" w:before="0"/>
        <w:rPr>
          <w:rFonts w:ascii="宋体" w:hAnsi="宋体" w:cs="宋体" w:eastAsia="宋体" w:hint="default"/>
          <w:sz w:val="20"/>
          <w:szCs w:val="20"/>
        </w:rPr>
      </w:pPr>
    </w:p>
    <w:p>
      <w:pPr>
        <w:pStyle w:val="BodyText"/>
        <w:spacing w:line="522" w:lineRule="exact" w:before="12"/>
        <w:ind w:left="533" w:right="0" w:hanging="361"/>
        <w:jc w:val="left"/>
      </w:pPr>
      <w:r>
        <w:rPr/>
        <w:t>销总监；兼任盐城高周波热炼有限公司董事、副总经理。</w:t>
      </w:r>
      <w:r>
        <w:rPr>
          <w:w w:val="100"/>
        </w:rPr>
        <w:t> </w:t>
      </w:r>
      <w:r>
        <w:rPr>
          <w:spacing w:val="-1"/>
        </w:rPr>
        <w:t>韩伯群先生，男，中国国籍，</w:t>
      </w:r>
      <w:r>
        <w:rPr>
          <w:rFonts w:ascii="Times New Roman" w:hAnsi="Times New Roman" w:cs="Times New Roman" w:eastAsia="Times New Roman" w:hint="default"/>
          <w:spacing w:val="-1"/>
        </w:rPr>
        <w:t>1969</w:t>
      </w:r>
      <w:r>
        <w:rPr>
          <w:spacing w:val="-1"/>
        </w:rPr>
        <w:t>年出生，研究生学历，高级工程师。曾就职于鲍迪克（无锡）技术</w:t>
      </w:r>
    </w:p>
    <w:p>
      <w:pPr>
        <w:pStyle w:val="BodyText"/>
        <w:spacing w:line="350" w:lineRule="auto" w:before="48"/>
        <w:ind w:right="0"/>
        <w:jc w:val="left"/>
      </w:pPr>
      <w:r>
        <w:rPr>
          <w:spacing w:val="-2"/>
        </w:rPr>
        <w:t>有限公司，历任盐城丰东热处理有限公司技术员、生产服务部部长、副总工程师。现任本公司总工程师，</w:t>
      </w:r>
      <w:r>
        <w:rPr>
          <w:spacing w:val="-21"/>
        </w:rPr>
        <w:t> </w:t>
      </w:r>
      <w:r>
        <w:rPr>
          <w:spacing w:val="-21"/>
        </w:rPr>
      </w:r>
      <w:r>
        <w:rPr/>
        <w:t>兼任江苏丰东热处理及表面改性工程技术研究有限公司董事、总经理。</w:t>
      </w:r>
    </w:p>
    <w:p>
      <w:pPr>
        <w:pStyle w:val="BodyText"/>
        <w:spacing w:line="338" w:lineRule="auto" w:before="149"/>
        <w:ind w:right="1023" w:firstLine="360"/>
        <w:jc w:val="both"/>
      </w:pPr>
      <w:r>
        <w:rPr>
          <w:spacing w:val="-3"/>
        </w:rPr>
        <w:t>陈国民女士，女，中国国籍，</w:t>
      </w:r>
      <w:r>
        <w:rPr>
          <w:rFonts w:ascii="Times New Roman" w:hAnsi="Times New Roman" w:cs="Times New Roman" w:eastAsia="Times New Roman" w:hint="default"/>
          <w:spacing w:val="-3"/>
        </w:rPr>
        <w:t>1960</w:t>
      </w:r>
      <w:r>
        <w:rPr>
          <w:spacing w:val="-3"/>
        </w:rPr>
        <w:t>年出生，研究生学历，高级工程师。曾任大丰飞轮厂技术科工程师、</w:t>
      </w:r>
      <w:r>
        <w:rPr>
          <w:w w:val="100"/>
        </w:rPr>
        <w:t> </w:t>
      </w:r>
      <w:r>
        <w:rPr>
          <w:spacing w:val="-5"/>
        </w:rPr>
        <w:t>副科长，盐城丰东热处理有限公司生产技术部副部长、质量部部长、副总工程师。现任本公司总经理助理，</w:t>
      </w:r>
      <w:r>
        <w:rPr>
          <w:spacing w:val="-8"/>
        </w:rPr>
        <w:t> </w:t>
      </w:r>
      <w:r>
        <w:rPr>
          <w:spacing w:val="-8"/>
        </w:rPr>
      </w:r>
      <w:r>
        <w:rPr/>
        <w:t>兼任盐城丰东特种炉业有限公司董事。</w:t>
      </w:r>
    </w:p>
    <w:p>
      <w:pPr>
        <w:pStyle w:val="BodyText"/>
        <w:spacing w:line="340" w:lineRule="auto" w:before="160"/>
        <w:ind w:right="1127" w:firstLine="360"/>
        <w:jc w:val="both"/>
      </w:pPr>
      <w:r>
        <w:rPr>
          <w:spacing w:val="-1"/>
        </w:rPr>
        <w:t>房莉莉女士，女，中国国籍，</w:t>
      </w:r>
      <w:r>
        <w:rPr>
          <w:rFonts w:ascii="Times New Roman" w:hAnsi="Times New Roman" w:cs="Times New Roman" w:eastAsia="Times New Roman" w:hint="default"/>
          <w:spacing w:val="-1"/>
        </w:rPr>
        <w:t>1980</w:t>
      </w:r>
      <w:r>
        <w:rPr>
          <w:spacing w:val="-1"/>
        </w:rPr>
        <w:t>年出生，本科学历。历任公司前身盐城丰东热处理有限公司管理部</w:t>
      </w:r>
      <w:r>
        <w:rPr>
          <w:w w:val="100"/>
        </w:rPr>
        <w:t> </w:t>
      </w:r>
      <w:r>
        <w:rPr>
          <w:spacing w:val="-2"/>
        </w:rPr>
        <w:t>行政助理、江苏丰东热技术股份有限公司证券部助理、职工监事，现任本公司董事会秘书、副总经理，兼</w:t>
      </w:r>
      <w:r>
        <w:rPr>
          <w:spacing w:val="-43"/>
        </w:rPr>
        <w:t> </w:t>
      </w:r>
      <w:r>
        <w:rPr>
          <w:spacing w:val="-43"/>
        </w:rPr>
      </w:r>
      <w:r>
        <w:rPr/>
        <w:t>任证券部部长。</w:t>
      </w:r>
    </w:p>
    <w:p>
      <w:pPr>
        <w:spacing w:line="240" w:lineRule="auto" w:before="10"/>
        <w:rPr>
          <w:rFonts w:ascii="宋体" w:hAnsi="宋体" w:cs="宋体" w:eastAsia="宋体" w:hint="default"/>
          <w:sz w:val="27"/>
          <w:szCs w:val="27"/>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7" w:type="dxa"/>
        <w:tblLayout w:type="fixed"/>
        <w:tblCellMar>
          <w:top w:w="0" w:type="dxa"/>
          <w:left w:w="0" w:type="dxa"/>
          <w:bottom w:w="0" w:type="dxa"/>
          <w:right w:w="0" w:type="dxa"/>
        </w:tblCellMar>
        <w:tblLook w:val="01E0"/>
      </w:tblPr>
      <w:tblGrid>
        <w:gridCol w:w="852"/>
        <w:gridCol w:w="2693"/>
        <w:gridCol w:w="1418"/>
        <w:gridCol w:w="1700"/>
        <w:gridCol w:w="1561"/>
        <w:gridCol w:w="1346"/>
      </w:tblGrid>
      <w:tr>
        <w:trPr>
          <w:trHeight w:val="71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0" w:right="60" w:hanging="181"/>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4" w:right="72"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92"/>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朱文明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大丰市东润投资管理有限公司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木村良三</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日本东方工程株式会社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向建华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大丰市东润投资管理有限公司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张广仁</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日本和华株式会社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代表取缔役</w:t>
            </w:r>
            <w:r>
              <w:rPr>
                <w:rFonts w:ascii="宋体" w:hAnsi="宋体" w:cs="宋体" w:eastAsia="宋体" w:hint="default"/>
                <w:spacing w:val="-80"/>
                <w:sz w:val="18"/>
                <w:szCs w:val="18"/>
              </w:rPr>
              <w:t>、</w:t>
            </w:r>
            <w:r>
              <w:rPr>
                <w:rFonts w:ascii="宋体" w:hAnsi="宋体" w:cs="宋体" w:eastAsia="宋体" w:hint="default"/>
                <w:sz w:val="18"/>
                <w:szCs w:val="18"/>
              </w:rPr>
              <w:t>社长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郜翀</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江苏高科技投资集团有限公司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投资总监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卜炜</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江苏高达创业投资有限公司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铃木伸雄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日本东方工程株式会社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取缔役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张建新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大丰市东润投资管理有限公司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27"/>
          <w:szCs w:val="27"/>
        </w:rPr>
      </w:pP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7" w:type="dxa"/>
        <w:tblLayout w:type="fixed"/>
        <w:tblCellMar>
          <w:top w:w="0" w:type="dxa"/>
          <w:left w:w="0" w:type="dxa"/>
          <w:bottom w:w="0" w:type="dxa"/>
          <w:right w:w="0" w:type="dxa"/>
        </w:tblCellMar>
        <w:tblLook w:val="01E0"/>
      </w:tblPr>
      <w:tblGrid>
        <w:gridCol w:w="852"/>
        <w:gridCol w:w="2977"/>
        <w:gridCol w:w="1274"/>
        <w:gridCol w:w="1560"/>
        <w:gridCol w:w="1561"/>
        <w:gridCol w:w="1346"/>
      </w:tblGrid>
      <w:tr>
        <w:trPr>
          <w:trHeight w:val="71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0" w:right="60" w:hanging="181"/>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4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朱文明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上海昂先实业有限公司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朱文明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朱文明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重庆丰东神五热处理工程有限公司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朱文明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朱文明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朱文明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长春丰东热处理有限公司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06" w:footer="1306" w:top="1060" w:bottom="1520" w:left="9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7" w:type="dxa"/>
        <w:tblLayout w:type="fixed"/>
        <w:tblCellMar>
          <w:top w:w="0" w:type="dxa"/>
          <w:left w:w="0" w:type="dxa"/>
          <w:bottom w:w="0" w:type="dxa"/>
          <w:right w:w="0" w:type="dxa"/>
        </w:tblCellMar>
        <w:tblLook w:val="01E0"/>
      </w:tblPr>
      <w:tblGrid>
        <w:gridCol w:w="852"/>
        <w:gridCol w:w="2977"/>
        <w:gridCol w:w="1274"/>
        <w:gridCol w:w="1560"/>
        <w:gridCol w:w="1561"/>
        <w:gridCol w:w="1346"/>
      </w:tblGrid>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朱文明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江苏丰东热处理及表面改性工程技术 研究有限公司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朱文明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朱文明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木村良三</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木村良三</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重庆丰东神五热处理工程有限公司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木村良三</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向建华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向建华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上海昂先实业有限公司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向建华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向建华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2"/>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江苏丰东热处理及表面改性工程技术 研究有限公司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张广仁</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徐仕俊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上海昂先实业有限公司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徐仕俊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徐仕俊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重庆丰东神五热处理工程有限公司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徐仕俊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徐仕俊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徐仕俊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徐仕俊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长春丰东热处理有限公司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徐仕俊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徐仕俊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2"/>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江苏丰东热处理及表面改性工程技术 研究有限公司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郜翀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江苏高投创业投资有限公司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郜翀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无锡高德创业投资管理有限公司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郜翀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江苏高投中小企业创业投资有限公司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郜翀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江苏凯力克钴业股份有限公司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郜翀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苏州能健电气有限公司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郜翀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江苏长海复合材料股份有限公司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李心合</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南京大学会计与财务研究院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副院长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李心合</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南京大学会计学系</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李心合</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南京新街口百货商店股份有限公司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李心合</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江苏秀强玻璃工艺股份有限公司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李心合</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江苏联发纺织股份有限公司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冯辕</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国浩律师（南京）事务所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管理合伙人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06" w:footer="1306" w:top="1060" w:bottom="1580" w:left="9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7" w:type="dxa"/>
        <w:tblLayout w:type="fixed"/>
        <w:tblCellMar>
          <w:top w:w="0" w:type="dxa"/>
          <w:left w:w="0" w:type="dxa"/>
          <w:bottom w:w="0" w:type="dxa"/>
          <w:right w:w="0" w:type="dxa"/>
        </w:tblCellMar>
        <w:tblLook w:val="01E0"/>
      </w:tblPr>
      <w:tblGrid>
        <w:gridCol w:w="852"/>
        <w:gridCol w:w="2977"/>
        <w:gridCol w:w="1274"/>
        <w:gridCol w:w="1560"/>
        <w:gridCol w:w="1561"/>
        <w:gridCol w:w="1346"/>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冯辕</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民盟江苏省委社会与法制工作委员会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冯辕</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南京埃斯顿自动化股份有限公司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冯辕</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江苏凤凰出版传媒股份有限公司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徐跃明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北京机电研究所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副所长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徐跃明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中国机械工程学会热处理分会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副理事长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徐跃明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全国热处理标准化技术委员会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卜炜</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安徽桑乐金股份有限公司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张建新</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上海昂先实业有限公司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王毅</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pacing w:val="-6"/>
                <w:sz w:val="18"/>
                <w:szCs w:val="18"/>
              </w:rPr>
              <w:t>董事、副总经理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韩伯群</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2"/>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江苏丰东热处理及表面改性工程技术 研究有限公司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陈国民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13"/>
        <w:rPr>
          <w:rFonts w:ascii="宋体" w:hAnsi="宋体" w:cs="宋体" w:eastAsia="宋体" w:hint="default"/>
          <w:b/>
          <w:bCs/>
          <w:sz w:val="33"/>
          <w:szCs w:val="33"/>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
        <w:rPr>
          <w:rFonts w:ascii="宋体" w:hAnsi="宋体" w:cs="宋体" w:eastAsia="宋体" w:hint="default"/>
          <w:sz w:val="13"/>
          <w:szCs w:val="13"/>
        </w:rPr>
      </w:pPr>
    </w:p>
    <w:p>
      <w:pPr>
        <w:pStyle w:val="BodyText"/>
        <w:spacing w:line="328" w:lineRule="auto"/>
        <w:ind w:right="0" w:firstLine="526"/>
        <w:jc w:val="left"/>
      </w:pPr>
      <w:r>
        <w:rPr>
          <w:rFonts w:ascii="Times New Roman" w:hAnsi="Times New Roman" w:cs="Times New Roman" w:eastAsia="Times New Roman" w:hint="default"/>
          <w:spacing w:val="-2"/>
        </w:rPr>
        <w:t>1</w:t>
      </w:r>
      <w:r>
        <w:rPr>
          <w:spacing w:val="-2"/>
        </w:rPr>
        <w:t>、董事、监事、高级管理人员报酬的决策程序：独立董事报酬经公司第二届董事会第五次会议审议</w:t>
      </w:r>
      <w:r>
        <w:rPr>
          <w:w w:val="100"/>
        </w:rPr>
        <w:t> </w:t>
      </w:r>
      <w:r>
        <w:rPr/>
        <w:t>并提交</w:t>
      </w:r>
      <w:r>
        <w:rPr>
          <w:rFonts w:ascii="Times New Roman" w:hAnsi="Times New Roman" w:cs="Times New Roman" w:eastAsia="Times New Roman" w:hint="default"/>
        </w:rPr>
        <w:t>2010</w:t>
      </w:r>
      <w:r>
        <w:rPr/>
        <w:t>年年度股东大会审议通过；高级管理人员报酬经公司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日召开的董事会薪酬委员会</w:t>
      </w:r>
      <w:r>
        <w:rPr>
          <w:w w:val="100"/>
        </w:rPr>
        <w:t> </w:t>
      </w:r>
      <w:r>
        <w:rPr/>
        <w:t>会议同意，并提交公司第二届董事会第十二次会议审议通过。</w:t>
      </w:r>
    </w:p>
    <w:p>
      <w:pPr>
        <w:pStyle w:val="BodyText"/>
        <w:spacing w:line="338" w:lineRule="auto" w:before="48"/>
        <w:ind w:right="1105" w:firstLine="526"/>
        <w:jc w:val="both"/>
      </w:pPr>
      <w:r>
        <w:rPr>
          <w:rFonts w:ascii="Times New Roman" w:hAnsi="Times New Roman" w:cs="Times New Roman" w:eastAsia="Times New Roman" w:hint="default"/>
          <w:spacing w:val="-2"/>
        </w:rPr>
        <w:t>2</w:t>
      </w:r>
      <w:r>
        <w:rPr>
          <w:spacing w:val="-2"/>
        </w:rPr>
        <w:t>、董事、监事、高级管理人员报酬的确定依据：独立董事薪酬是公司根据独立董事实际工作开展情</w:t>
      </w:r>
      <w:r>
        <w:rPr>
          <w:w w:val="100"/>
        </w:rPr>
        <w:t> </w:t>
      </w:r>
      <w:r>
        <w:rPr>
          <w:spacing w:val="-2"/>
        </w:rPr>
        <w:t>况结合当前市场实际确定。高级管理人员的报酬是根据公司《高级管理人员薪酬管理制度》的相关规定，</w:t>
      </w:r>
      <w:r>
        <w:rPr>
          <w:spacing w:val="-21"/>
        </w:rPr>
        <w:t> </w:t>
      </w:r>
      <w:r>
        <w:rPr>
          <w:spacing w:val="-21"/>
        </w:rPr>
      </w:r>
      <w:r>
        <w:rPr/>
        <w:t>结合公司</w:t>
      </w:r>
      <w:r>
        <w:rPr>
          <w:rFonts w:ascii="Times New Roman" w:hAnsi="Times New Roman" w:cs="Times New Roman" w:eastAsia="Times New Roman" w:hint="default"/>
        </w:rPr>
        <w:t>2012</w:t>
      </w:r>
      <w:r>
        <w:rPr/>
        <w:t>年度经营目标和公司高级管理人员在完成年度经营目标所承担的具体岗位职责确定的。</w:t>
      </w:r>
    </w:p>
    <w:p>
      <w:pPr>
        <w:pStyle w:val="BodyText"/>
        <w:spacing w:line="328" w:lineRule="auto" w:before="14"/>
        <w:ind w:right="0" w:firstLine="420"/>
        <w:jc w:val="left"/>
      </w:pPr>
      <w:r>
        <w:rPr>
          <w:rFonts w:ascii="Times New Roman" w:hAnsi="Times New Roman" w:cs="Times New Roman" w:eastAsia="Times New Roman" w:hint="default"/>
          <w:spacing w:val="-2"/>
        </w:rPr>
        <w:t>3</w:t>
      </w:r>
      <w:r>
        <w:rPr>
          <w:spacing w:val="-2"/>
        </w:rPr>
        <w:t>、董事、监事、高级管理人员报酬的实际支付情况：独立董事报酬每季度按标准支付到个人账户；</w:t>
      </w:r>
      <w:r>
        <w:rPr>
          <w:w w:val="100"/>
        </w:rPr>
        <w:t> </w:t>
      </w:r>
      <w:r>
        <w:rPr/>
        <w:t>高级管理人员报酬按每月考核结果按月进行发放。</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line="240" w:lineRule="auto" w:before="7"/>
        <w:rPr>
          <w:rFonts w:ascii="宋体" w:hAnsi="宋体" w:cs="宋体" w:eastAsia="宋体" w:hint="default"/>
          <w:sz w:val="15"/>
          <w:szCs w:val="15"/>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7"/>
          <w:szCs w:val="7"/>
        </w:rPr>
      </w:pPr>
    </w:p>
    <w:tbl>
      <w:tblPr>
        <w:tblW w:w="0" w:type="auto"/>
        <w:jc w:val="left"/>
        <w:tblInd w:w="203" w:type="dxa"/>
        <w:tblLayout w:type="fixed"/>
        <w:tblCellMar>
          <w:top w:w="0" w:type="dxa"/>
          <w:left w:w="0" w:type="dxa"/>
          <w:bottom w:w="0" w:type="dxa"/>
          <w:right w:w="0" w:type="dxa"/>
        </w:tblCellMar>
        <w:tblLook w:val="01E0"/>
      </w:tblPr>
      <w:tblGrid>
        <w:gridCol w:w="958"/>
        <w:gridCol w:w="1983"/>
        <w:gridCol w:w="852"/>
        <w:gridCol w:w="850"/>
        <w:gridCol w:w="994"/>
        <w:gridCol w:w="1416"/>
        <w:gridCol w:w="1321"/>
        <w:gridCol w:w="1195"/>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4" w:right="71" w:hanging="360"/>
              <w:jc w:val="left"/>
              <w:rPr>
                <w:rFonts w:ascii="宋体" w:hAnsi="宋体" w:cs="宋体" w:eastAsia="宋体" w:hint="default"/>
                <w:sz w:val="18"/>
                <w:szCs w:val="18"/>
              </w:rPr>
            </w:pPr>
            <w:r>
              <w:rPr>
                <w:rFonts w:ascii="宋体" w:hAnsi="宋体" w:cs="宋体" w:eastAsia="宋体" w:hint="default"/>
                <w:sz w:val="18"/>
                <w:szCs w:val="18"/>
              </w:rPr>
              <w:t>从公司获得的报 酬总额</w:t>
            </w:r>
          </w:p>
        </w:tc>
        <w:tc>
          <w:tcPr>
            <w:tcW w:w="1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3" w:right="26" w:hanging="180"/>
              <w:jc w:val="left"/>
              <w:rPr>
                <w:rFonts w:ascii="宋体" w:hAnsi="宋体" w:cs="宋体" w:eastAsia="宋体" w:hint="default"/>
                <w:sz w:val="18"/>
                <w:szCs w:val="18"/>
              </w:rPr>
            </w:pPr>
            <w:r>
              <w:rPr>
                <w:rFonts w:ascii="宋体" w:hAnsi="宋体" w:cs="宋体" w:eastAsia="宋体" w:hint="default"/>
                <w:sz w:val="18"/>
                <w:szCs w:val="18"/>
              </w:rPr>
              <w:t>从股东单位获得 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朱文明</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48.13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48.13</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木村良三</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7" w:right="0"/>
              <w:jc w:val="left"/>
              <w:rPr>
                <w:rFonts w:ascii="Times New Roman" w:hAnsi="Times New Roman" w:cs="Times New Roman" w:eastAsia="Times New Roman" w:hint="default"/>
                <w:sz w:val="18"/>
                <w:szCs w:val="18"/>
              </w:rPr>
            </w:pPr>
            <w:r>
              <w:rPr>
                <w:rFonts w:ascii="Times New Roman"/>
                <w:sz w:val="18"/>
              </w:rPr>
              <w:t>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234.00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234.00</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向建华</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副董事长、副总经理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38.39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38.39</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张广仁</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7" w:right="0"/>
              <w:jc w:val="left"/>
              <w:rPr>
                <w:rFonts w:ascii="Times New Roman" w:hAnsi="Times New Roman" w:cs="Times New Roman" w:eastAsia="Times New Roman" w:hint="default"/>
                <w:sz w:val="18"/>
                <w:szCs w:val="18"/>
              </w:rPr>
            </w:pPr>
            <w:r>
              <w:rPr>
                <w:rFonts w:ascii="Times New Roman"/>
                <w:sz w:val="18"/>
              </w:rPr>
              <w:t>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23.00</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郜翀</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7" w:right="0"/>
              <w:jc w:val="left"/>
              <w:rPr>
                <w:rFonts w:ascii="Times New Roman" w:hAnsi="Times New Roman" w:cs="Times New Roman" w:eastAsia="Times New Roman" w:hint="default"/>
                <w:sz w:val="18"/>
                <w:szCs w:val="18"/>
              </w:rPr>
            </w:pPr>
            <w:r>
              <w:rPr>
                <w:rFonts w:ascii="Times New Roman"/>
                <w:sz w:val="18"/>
              </w:rPr>
              <w:t>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徐仕俊</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董事、财务总监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31.33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31.33</w:t>
            </w:r>
          </w:p>
        </w:tc>
      </w:tr>
    </w:tbl>
    <w:p>
      <w:pPr>
        <w:spacing w:after="0" w:line="240" w:lineRule="auto"/>
        <w:jc w:val="center"/>
        <w:rPr>
          <w:rFonts w:ascii="Times New Roman" w:hAnsi="Times New Roman" w:cs="Times New Roman" w:eastAsia="Times New Roman" w:hint="default"/>
          <w:sz w:val="18"/>
          <w:szCs w:val="18"/>
        </w:rPr>
        <w:sectPr>
          <w:pgSz w:w="11910" w:h="16840"/>
          <w:pgMar w:header="706" w:footer="1306" w:top="1060" w:bottom="1520" w:left="960" w:right="0"/>
        </w:sectPr>
      </w:pPr>
    </w:p>
    <w:p>
      <w:pPr>
        <w:spacing w:line="240" w:lineRule="auto" w:before="6"/>
        <w:rPr>
          <w:rFonts w:ascii="宋体" w:hAnsi="宋体" w:cs="宋体" w:eastAsia="宋体" w:hint="default"/>
          <w:sz w:val="28"/>
          <w:szCs w:val="28"/>
        </w:rPr>
      </w:pPr>
    </w:p>
    <w:tbl>
      <w:tblPr>
        <w:tblW w:w="0" w:type="auto"/>
        <w:jc w:val="left"/>
        <w:tblInd w:w="203" w:type="dxa"/>
        <w:tblLayout w:type="fixed"/>
        <w:tblCellMar>
          <w:top w:w="0" w:type="dxa"/>
          <w:left w:w="0" w:type="dxa"/>
          <w:bottom w:w="0" w:type="dxa"/>
          <w:right w:w="0" w:type="dxa"/>
        </w:tblCellMar>
        <w:tblLook w:val="01E0"/>
      </w:tblPr>
      <w:tblGrid>
        <w:gridCol w:w="958"/>
        <w:gridCol w:w="1983"/>
        <w:gridCol w:w="852"/>
        <w:gridCol w:w="850"/>
        <w:gridCol w:w="994"/>
        <w:gridCol w:w="1416"/>
        <w:gridCol w:w="1321"/>
        <w:gridCol w:w="1195"/>
      </w:tblGrid>
      <w:tr>
        <w:trPr>
          <w:trHeight w:val="40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冯辕</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6.00</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李心合</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1" w:right="0"/>
              <w:jc w:val="left"/>
              <w:rPr>
                <w:rFonts w:ascii="Times New Roman" w:hAnsi="Times New Roman" w:cs="Times New Roman" w:eastAsia="Times New Roman" w:hint="default"/>
                <w:sz w:val="18"/>
                <w:szCs w:val="18"/>
              </w:rPr>
            </w:pPr>
            <w:r>
              <w:rPr>
                <w:rFonts w:ascii="Times New Roman"/>
                <w:sz w:val="18"/>
              </w:rPr>
              <w:t>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6.00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6.00</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徐跃明</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6.00</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卜炜</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1" w:right="0"/>
              <w:jc w:val="left"/>
              <w:rPr>
                <w:rFonts w:ascii="Times New Roman" w:hAnsi="Times New Roman" w:cs="Times New Roman" w:eastAsia="Times New Roman" w:hint="default"/>
                <w:sz w:val="18"/>
                <w:szCs w:val="18"/>
              </w:rPr>
            </w:pPr>
            <w:r>
              <w:rPr>
                <w:rFonts w:ascii="Times New Roman"/>
                <w:sz w:val="18"/>
              </w:rPr>
              <w:t>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14.536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14.536</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朱小军</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19.17</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19.17</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许红明</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1" w:right="0"/>
              <w:jc w:val="left"/>
              <w:rPr>
                <w:rFonts w:ascii="Times New Roman" w:hAnsi="Times New Roman" w:cs="Times New Roman" w:eastAsia="Times New Roman" w:hint="default"/>
                <w:sz w:val="18"/>
                <w:szCs w:val="18"/>
              </w:rPr>
            </w:pPr>
            <w:r>
              <w:rPr>
                <w:rFonts w:ascii="Times New Roman"/>
                <w:sz w:val="18"/>
              </w:rPr>
              <w:t>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8.37</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8.37</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铃木伸雄</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常务副总经理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39.32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39.32</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张建新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1" w:right="0"/>
              <w:jc w:val="left"/>
              <w:rPr>
                <w:rFonts w:ascii="Times New Roman" w:hAnsi="Times New Roman" w:cs="Times New Roman" w:eastAsia="Times New Roman" w:hint="default"/>
                <w:sz w:val="18"/>
                <w:szCs w:val="18"/>
              </w:rPr>
            </w:pPr>
            <w:r>
              <w:rPr>
                <w:rFonts w:ascii="Times New Roman"/>
                <w:sz w:val="18"/>
              </w:rPr>
              <w:t>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37.04</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37.04</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王毅</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营销总监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32.68</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32.68</w:t>
            </w:r>
          </w:p>
        </w:tc>
      </w:tr>
      <w:tr>
        <w:trPr>
          <w:trHeight w:val="40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韩伯群</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总工程师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1" w:right="0"/>
              <w:jc w:val="left"/>
              <w:rPr>
                <w:rFonts w:ascii="Times New Roman" w:hAnsi="Times New Roman" w:cs="Times New Roman" w:eastAsia="Times New Roman" w:hint="default"/>
                <w:sz w:val="18"/>
                <w:szCs w:val="18"/>
              </w:rPr>
            </w:pPr>
            <w:r>
              <w:rPr>
                <w:rFonts w:ascii="Times New Roman"/>
                <w:sz w:val="18"/>
              </w:rPr>
              <w:t>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27.07</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27.07</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陈国民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总经理助理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25.52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25.52</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房莉莉</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1" w:right="0"/>
              <w:jc w:val="left"/>
              <w:rPr>
                <w:rFonts w:ascii="Times New Roman" w:hAnsi="Times New Roman" w:cs="Times New Roman" w:eastAsia="Times New Roman" w:hint="default"/>
                <w:sz w:val="18"/>
                <w:szCs w:val="18"/>
              </w:rPr>
            </w:pPr>
            <w:r>
              <w:rPr>
                <w:rFonts w:ascii="Times New Roman"/>
                <w:sz w:val="18"/>
              </w:rPr>
              <w:t>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18.72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18.72</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343.74</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296.536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640.276</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5"/>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四、公司董事、监事、高级管理人员离职和解聘情况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7" w:type="dxa"/>
        <w:tblLayout w:type="fixed"/>
        <w:tblCellMar>
          <w:top w:w="0" w:type="dxa"/>
          <w:left w:w="0" w:type="dxa"/>
          <w:bottom w:w="0" w:type="dxa"/>
          <w:right w:w="0" w:type="dxa"/>
        </w:tblCellMar>
        <w:tblLook w:val="01E0"/>
      </w:tblPr>
      <w:tblGrid>
        <w:gridCol w:w="1330"/>
        <w:gridCol w:w="1330"/>
        <w:gridCol w:w="1330"/>
        <w:gridCol w:w="1541"/>
        <w:gridCol w:w="4037"/>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房莉莉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离职</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工作岗位调整</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593" w:right="0"/>
        <w:jc w:val="left"/>
      </w:pPr>
      <w:r>
        <w:rPr/>
        <w:t>报告期内，公司核心技术团队及关键技术人员未发生变动。</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六、公司员工情况</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right="1124" w:firstLine="420"/>
        <w:jc w:val="left"/>
      </w:pPr>
      <w:r>
        <w:rPr>
          <w:rFonts w:ascii="宋体" w:hAnsi="宋体" w:cs="宋体" w:eastAsia="宋体" w:hint="default"/>
        </w:rPr>
        <w:t>1</w:t>
      </w:r>
      <w:r>
        <w:rPr/>
        <w:t>、截至本报告期末，公司在册员工总数为</w:t>
      </w:r>
      <w:r>
        <w:rPr>
          <w:rFonts w:ascii="Times New Roman" w:hAnsi="Times New Roman" w:cs="Times New Roman" w:eastAsia="Times New Roman" w:hint="default"/>
        </w:rPr>
        <w:t>798</w:t>
      </w:r>
      <w:r>
        <w:rPr/>
        <w:t>人，需公司承担费用的离退休为</w:t>
      </w:r>
      <w:r>
        <w:rPr>
          <w:rFonts w:ascii="Times New Roman" w:hAnsi="Times New Roman" w:cs="Times New Roman" w:eastAsia="Times New Roman" w:hint="default"/>
        </w:rPr>
        <w:t>0</w:t>
      </w:r>
      <w:r>
        <w:rPr/>
        <w:t>人，其中各类人员构</w:t>
      </w:r>
      <w:r>
        <w:rPr>
          <w:w w:val="100"/>
        </w:rPr>
        <w:t> </w:t>
      </w:r>
      <w:r>
        <w:rPr/>
        <w:t>成如下：</w:t>
      </w:r>
    </w:p>
    <w:p>
      <w:pPr>
        <w:spacing w:line="240" w:lineRule="auto" w:before="2"/>
        <w:rPr>
          <w:rFonts w:ascii="宋体" w:hAnsi="宋体" w:cs="宋体" w:eastAsia="宋体" w:hint="default"/>
          <w:sz w:val="27"/>
          <w:szCs w:val="27"/>
        </w:rPr>
      </w:pPr>
    </w:p>
    <w:p>
      <w:pPr>
        <w:spacing w:before="0"/>
        <w:ind w:left="533" w:right="0" w:firstLine="0"/>
        <w:jc w:val="left"/>
        <w:rPr>
          <w:rFonts w:ascii="宋体" w:hAnsi="宋体" w:cs="宋体" w:eastAsia="宋体" w:hint="default"/>
          <w:sz w:val="18"/>
          <w:szCs w:val="18"/>
        </w:rPr>
      </w:pPr>
      <w:r>
        <w:rPr>
          <w:rFonts w:ascii="宋体" w:hAnsi="宋体" w:cs="宋体" w:eastAsia="宋体" w:hint="default"/>
          <w:sz w:val="18"/>
          <w:szCs w:val="18"/>
        </w:rPr>
        <w:t>（一）员工专业情况</w:t>
      </w:r>
    </w:p>
    <w:p>
      <w:pPr>
        <w:spacing w:after="0"/>
        <w:jc w:val="left"/>
        <w:rPr>
          <w:rFonts w:ascii="宋体" w:hAnsi="宋体" w:cs="宋体" w:eastAsia="宋体" w:hint="default"/>
          <w:sz w:val="18"/>
          <w:szCs w:val="18"/>
        </w:rPr>
        <w:sectPr>
          <w:pgSz w:w="11910" w:h="16840"/>
          <w:pgMar w:header="706" w:footer="1306" w:top="1060" w:bottom="1520" w:left="9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3236" w:lineRule="exact"/>
        <w:ind w:left="598"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622659" cy="2055114"/>
            <wp:effectExtent l="0" t="0" r="0" b="0"/>
            <wp:docPr id="3" name="image14.png" descr=""/>
            <wp:cNvGraphicFramePr>
              <a:graphicFrameLocks noChangeAspect="1"/>
            </wp:cNvGraphicFramePr>
            <a:graphic>
              <a:graphicData uri="http://schemas.openxmlformats.org/drawingml/2006/picture">
                <pic:pic>
                  <pic:nvPicPr>
                    <pic:cNvPr id="4" name="image14.png"/>
                    <pic:cNvPicPr/>
                  </pic:nvPicPr>
                  <pic:blipFill>
                    <a:blip r:embed="rId32" cstate="print"/>
                    <a:stretch>
                      <a:fillRect/>
                    </a:stretch>
                  </pic:blipFill>
                  <pic:spPr>
                    <a:xfrm>
                      <a:off x="0" y="0"/>
                      <a:ext cx="3622659" cy="2055114"/>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line="3389" w:lineRule="exact"/>
        <w:ind w:left="598"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3633931" cy="2152078"/>
            <wp:effectExtent l="0" t="0" r="0" b="0"/>
            <wp:docPr id="5" name="image15.png" descr=""/>
            <wp:cNvGraphicFramePr>
              <a:graphicFrameLocks noChangeAspect="1"/>
            </wp:cNvGraphicFramePr>
            <a:graphic>
              <a:graphicData uri="http://schemas.openxmlformats.org/drawingml/2006/picture">
                <pic:pic>
                  <pic:nvPicPr>
                    <pic:cNvPr id="6" name="image15.png"/>
                    <pic:cNvPicPr/>
                  </pic:nvPicPr>
                  <pic:blipFill>
                    <a:blip r:embed="rId33" cstate="print"/>
                    <a:stretch>
                      <a:fillRect/>
                    </a:stretch>
                  </pic:blipFill>
                  <pic:spPr>
                    <a:xfrm>
                      <a:off x="0" y="0"/>
                      <a:ext cx="3633931" cy="2152078"/>
                    </a:xfrm>
                    <a:prstGeom prst="rect">
                      <a:avLst/>
                    </a:prstGeom>
                  </pic:spPr>
                </pic:pic>
              </a:graphicData>
            </a:graphic>
          </wp:inline>
        </w:drawing>
      </w:r>
      <w:r>
        <w:rPr>
          <w:rFonts w:ascii="宋体" w:hAnsi="宋体" w:cs="宋体" w:eastAsia="宋体" w:hint="default"/>
          <w:position w:val="-67"/>
          <w:sz w:val="20"/>
          <w:szCs w:val="20"/>
        </w:rPr>
      </w:r>
    </w:p>
    <w:p>
      <w:pPr>
        <w:spacing w:line="240" w:lineRule="auto" w:before="1"/>
        <w:rPr>
          <w:rFonts w:ascii="宋体" w:hAnsi="宋体" w:cs="宋体" w:eastAsia="宋体" w:hint="default"/>
          <w:sz w:val="22"/>
          <w:szCs w:val="22"/>
        </w:rPr>
      </w:pPr>
    </w:p>
    <w:p>
      <w:pPr>
        <w:pStyle w:val="BodyText"/>
        <w:spacing w:line="240" w:lineRule="auto" w:before="36"/>
        <w:ind w:right="0"/>
        <w:jc w:val="left"/>
      </w:pPr>
      <w:r>
        <w:rPr/>
        <w:t>（二）员工教育程度情况</w:t>
      </w:r>
    </w:p>
    <w:p>
      <w:pPr>
        <w:spacing w:line="240" w:lineRule="auto" w:before="11"/>
        <w:rPr>
          <w:rFonts w:ascii="宋体" w:hAnsi="宋体" w:cs="宋体" w:eastAsia="宋体" w:hint="default"/>
          <w:sz w:val="8"/>
          <w:szCs w:val="8"/>
        </w:rPr>
      </w:pPr>
    </w:p>
    <w:p>
      <w:pPr>
        <w:spacing w:line="3275" w:lineRule="exact"/>
        <w:ind w:left="598"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3612520" cy="2079974"/>
            <wp:effectExtent l="0" t="0" r="0" b="0"/>
            <wp:docPr id="7" name="image16.png" descr=""/>
            <wp:cNvGraphicFramePr>
              <a:graphicFrameLocks noChangeAspect="1"/>
            </wp:cNvGraphicFramePr>
            <a:graphic>
              <a:graphicData uri="http://schemas.openxmlformats.org/drawingml/2006/picture">
                <pic:pic>
                  <pic:nvPicPr>
                    <pic:cNvPr id="8" name="image16.png"/>
                    <pic:cNvPicPr/>
                  </pic:nvPicPr>
                  <pic:blipFill>
                    <a:blip r:embed="rId34" cstate="print"/>
                    <a:stretch>
                      <a:fillRect/>
                    </a:stretch>
                  </pic:blipFill>
                  <pic:spPr>
                    <a:xfrm>
                      <a:off x="0" y="0"/>
                      <a:ext cx="3612520" cy="2079974"/>
                    </a:xfrm>
                    <a:prstGeom prst="rect">
                      <a:avLst/>
                    </a:prstGeom>
                  </pic:spPr>
                </pic:pic>
              </a:graphicData>
            </a:graphic>
          </wp:inline>
        </w:drawing>
      </w:r>
      <w:r>
        <w:rPr>
          <w:rFonts w:ascii="宋体" w:hAnsi="宋体" w:cs="宋体" w:eastAsia="宋体" w:hint="default"/>
          <w:position w:val="-65"/>
          <w:sz w:val="20"/>
          <w:szCs w:val="20"/>
        </w:rPr>
      </w:r>
    </w:p>
    <w:p>
      <w:pPr>
        <w:spacing w:after="0" w:line="3275" w:lineRule="exact"/>
        <w:rPr>
          <w:rFonts w:ascii="宋体" w:hAnsi="宋体" w:cs="宋体" w:eastAsia="宋体" w:hint="default"/>
          <w:sz w:val="20"/>
          <w:szCs w:val="20"/>
        </w:rPr>
        <w:sectPr>
          <w:pgSz w:w="11910" w:h="16840"/>
          <w:pgMar w:header="706" w:footer="1306" w:top="1060" w:bottom="1520" w:left="96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line="3851" w:lineRule="exact"/>
        <w:ind w:left="598"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3633759" cy="2445543"/>
            <wp:effectExtent l="0" t="0" r="0" b="0"/>
            <wp:docPr id="9" name="image17.png" descr=""/>
            <wp:cNvGraphicFramePr>
              <a:graphicFrameLocks noChangeAspect="1"/>
            </wp:cNvGraphicFramePr>
            <a:graphic>
              <a:graphicData uri="http://schemas.openxmlformats.org/drawingml/2006/picture">
                <pic:pic>
                  <pic:nvPicPr>
                    <pic:cNvPr id="10" name="image17.png"/>
                    <pic:cNvPicPr/>
                  </pic:nvPicPr>
                  <pic:blipFill>
                    <a:blip r:embed="rId35" cstate="print"/>
                    <a:stretch>
                      <a:fillRect/>
                    </a:stretch>
                  </pic:blipFill>
                  <pic:spPr>
                    <a:xfrm>
                      <a:off x="0" y="0"/>
                      <a:ext cx="3633759" cy="2445543"/>
                    </a:xfrm>
                    <a:prstGeom prst="rect">
                      <a:avLst/>
                    </a:prstGeom>
                  </pic:spPr>
                </pic:pic>
              </a:graphicData>
            </a:graphic>
          </wp:inline>
        </w:drawing>
      </w:r>
      <w:r>
        <w:rPr>
          <w:rFonts w:ascii="宋体" w:hAnsi="宋体" w:cs="宋体" w:eastAsia="宋体" w:hint="default"/>
          <w:position w:val="-76"/>
          <w:sz w:val="20"/>
          <w:szCs w:val="20"/>
        </w:rPr>
      </w:r>
    </w:p>
    <w:p>
      <w:pPr>
        <w:pStyle w:val="BodyText"/>
        <w:spacing w:line="240" w:lineRule="auto" w:before="95"/>
        <w:ind w:right="0"/>
        <w:jc w:val="left"/>
      </w:pPr>
      <w:r>
        <w:rPr/>
        <w:t>（三）员工年龄构成情况</w:t>
      </w:r>
    </w:p>
    <w:p>
      <w:pPr>
        <w:spacing w:line="240" w:lineRule="auto" w:before="13"/>
        <w:rPr>
          <w:rFonts w:ascii="宋体" w:hAnsi="宋体" w:cs="宋体" w:eastAsia="宋体" w:hint="default"/>
          <w:sz w:val="9"/>
          <w:szCs w:val="9"/>
        </w:rPr>
      </w:pPr>
    </w:p>
    <w:p>
      <w:pPr>
        <w:spacing w:line="2322" w:lineRule="exact"/>
        <w:ind w:left="598" w:right="0" w:firstLine="0"/>
        <w:rPr>
          <w:rFonts w:ascii="宋体" w:hAnsi="宋体" w:cs="宋体" w:eastAsia="宋体" w:hint="default"/>
          <w:sz w:val="20"/>
          <w:szCs w:val="20"/>
        </w:rPr>
      </w:pPr>
      <w:r>
        <w:rPr>
          <w:rFonts w:ascii="宋体" w:hAnsi="宋体" w:cs="宋体" w:eastAsia="宋体" w:hint="default"/>
          <w:position w:val="-45"/>
          <w:sz w:val="20"/>
          <w:szCs w:val="20"/>
        </w:rPr>
        <w:drawing>
          <wp:inline distT="0" distB="0" distL="0" distR="0">
            <wp:extent cx="3626196" cy="1475041"/>
            <wp:effectExtent l="0" t="0" r="0" b="0"/>
            <wp:docPr id="11" name="image18.png" descr=""/>
            <wp:cNvGraphicFramePr>
              <a:graphicFrameLocks noChangeAspect="1"/>
            </wp:cNvGraphicFramePr>
            <a:graphic>
              <a:graphicData uri="http://schemas.openxmlformats.org/drawingml/2006/picture">
                <pic:pic>
                  <pic:nvPicPr>
                    <pic:cNvPr id="12" name="image18.png"/>
                    <pic:cNvPicPr/>
                  </pic:nvPicPr>
                  <pic:blipFill>
                    <a:blip r:embed="rId36" cstate="print"/>
                    <a:stretch>
                      <a:fillRect/>
                    </a:stretch>
                  </pic:blipFill>
                  <pic:spPr>
                    <a:xfrm>
                      <a:off x="0" y="0"/>
                      <a:ext cx="3626196" cy="1475041"/>
                    </a:xfrm>
                    <a:prstGeom prst="rect">
                      <a:avLst/>
                    </a:prstGeom>
                  </pic:spPr>
                </pic:pic>
              </a:graphicData>
            </a:graphic>
          </wp:inline>
        </w:drawing>
      </w:r>
      <w:r>
        <w:rPr>
          <w:rFonts w:ascii="宋体" w:hAnsi="宋体" w:cs="宋体" w:eastAsia="宋体" w:hint="default"/>
          <w:position w:val="-45"/>
          <w:sz w:val="20"/>
          <w:szCs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line="3448" w:lineRule="exact"/>
        <w:ind w:left="598"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3631129" cy="2189702"/>
            <wp:effectExtent l="0" t="0" r="0" b="0"/>
            <wp:docPr id="13" name="image19.png" descr=""/>
            <wp:cNvGraphicFramePr>
              <a:graphicFrameLocks noChangeAspect="1"/>
            </wp:cNvGraphicFramePr>
            <a:graphic>
              <a:graphicData uri="http://schemas.openxmlformats.org/drawingml/2006/picture">
                <pic:pic>
                  <pic:nvPicPr>
                    <pic:cNvPr id="14" name="image19.png"/>
                    <pic:cNvPicPr/>
                  </pic:nvPicPr>
                  <pic:blipFill>
                    <a:blip r:embed="rId37" cstate="print"/>
                    <a:stretch>
                      <a:fillRect/>
                    </a:stretch>
                  </pic:blipFill>
                  <pic:spPr>
                    <a:xfrm>
                      <a:off x="0" y="0"/>
                      <a:ext cx="3631129" cy="2189702"/>
                    </a:xfrm>
                    <a:prstGeom prst="rect">
                      <a:avLst/>
                    </a:prstGeom>
                  </pic:spPr>
                </pic:pic>
              </a:graphicData>
            </a:graphic>
          </wp:inline>
        </w:drawing>
      </w:r>
      <w:r>
        <w:rPr>
          <w:rFonts w:ascii="宋体" w:hAnsi="宋体" w:cs="宋体" w:eastAsia="宋体" w:hint="default"/>
          <w:position w:val="-68"/>
          <w:sz w:val="20"/>
          <w:szCs w:val="20"/>
        </w:rPr>
      </w:r>
    </w:p>
    <w:p>
      <w:pPr>
        <w:spacing w:line="240" w:lineRule="auto" w:before="9"/>
        <w:rPr>
          <w:rFonts w:ascii="宋体" w:hAnsi="宋体" w:cs="宋体" w:eastAsia="宋体" w:hint="default"/>
          <w:sz w:val="18"/>
          <w:szCs w:val="18"/>
        </w:rPr>
      </w:pPr>
    </w:p>
    <w:p>
      <w:pPr>
        <w:pStyle w:val="BodyText"/>
        <w:spacing w:line="367" w:lineRule="auto"/>
        <w:ind w:left="487" w:right="1124"/>
        <w:jc w:val="left"/>
      </w:pPr>
      <w:r>
        <w:rPr>
          <w:rFonts w:ascii="宋体" w:hAnsi="宋体" w:cs="宋体" w:eastAsia="宋体" w:hint="default"/>
        </w:rPr>
        <w:t>2</w:t>
      </w:r>
      <w:r>
        <w:rPr/>
        <w:t>、薪酬政策</w:t>
      </w:r>
      <w:r>
        <w:rPr>
          <w:w w:val="100"/>
        </w:rPr>
        <w:t> </w:t>
      </w:r>
      <w:r>
        <w:rPr/>
        <w:t>公司员工工资主要由基本工资、绩效工资构成，公司独立董事薪酬根据董事会确定的标准发放。</w:t>
      </w:r>
      <w:r>
        <w:rPr>
          <w:w w:val="100"/>
        </w:rPr>
        <w:t> </w:t>
      </w:r>
      <w:r>
        <w:rPr>
          <w:rFonts w:ascii="宋体" w:hAnsi="宋体" w:cs="宋体" w:eastAsia="宋体" w:hint="default"/>
        </w:rPr>
        <w:t>3</w:t>
      </w:r>
      <w:r>
        <w:rPr/>
        <w:t>、培训计划</w:t>
      </w:r>
      <w:r>
        <w:rPr>
          <w:w w:val="100"/>
        </w:rPr>
        <w:t> </w:t>
      </w:r>
      <w:r>
        <w:rPr/>
        <w:t>为提高员工整体素质和工作效率，公司人力资源部根据各部门提交的年度培训计划统筹组织安排培</w:t>
      </w:r>
    </w:p>
    <w:p>
      <w:pPr>
        <w:pStyle w:val="BodyText"/>
        <w:spacing w:line="240" w:lineRule="auto" w:before="34"/>
        <w:ind w:right="0"/>
        <w:jc w:val="left"/>
      </w:pPr>
      <w:r>
        <w:rPr/>
        <w:t>训，培训内容主要包括员工素质、职业技能、生产安全、企业管理等各个方面。</w:t>
      </w:r>
    </w:p>
    <w:p>
      <w:pPr>
        <w:spacing w:after="0" w:line="240" w:lineRule="auto"/>
        <w:jc w:val="left"/>
        <w:sectPr>
          <w:pgSz w:w="11910" w:h="16840"/>
          <w:pgMar w:header="706" w:footer="1306" w:top="1060" w:bottom="1520" w:left="9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956"/>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一、公司治理的基本状况</w:t>
      </w:r>
      <w:r>
        <w:rPr>
          <w:b w:val="0"/>
          <w:bCs w:val="0"/>
        </w:rPr>
      </w:r>
    </w:p>
    <w:p>
      <w:pPr>
        <w:spacing w:line="240" w:lineRule="auto" w:before="10"/>
        <w:rPr>
          <w:rFonts w:ascii="宋体" w:hAnsi="宋体" w:cs="宋体" w:eastAsia="宋体" w:hint="default"/>
          <w:b/>
          <w:bCs/>
          <w:sz w:val="32"/>
          <w:szCs w:val="32"/>
        </w:rPr>
      </w:pPr>
    </w:p>
    <w:p>
      <w:pPr>
        <w:pStyle w:val="BodyText"/>
        <w:spacing w:line="367" w:lineRule="auto"/>
        <w:ind w:right="1126" w:firstLine="480"/>
        <w:jc w:val="both"/>
      </w:pPr>
      <w:r>
        <w:rPr>
          <w:spacing w:val="-4"/>
        </w:rPr>
        <w:t>报告期内，公司及公司董事、监事、高级管理人员严格按照《公司法》、《证券法》、《上市公司治</w:t>
      </w:r>
      <w:r>
        <w:rPr>
          <w:w w:val="100"/>
        </w:rPr>
        <w:t> </w:t>
      </w:r>
      <w:r>
        <w:rPr>
          <w:spacing w:val="-2"/>
        </w:rPr>
        <w:t>理准则》、《深圳证券交易所股票上市规则》、《深圳证券交易所中小企业板上市公司规范运作指引》等</w:t>
      </w:r>
      <w:r>
        <w:rPr>
          <w:spacing w:val="-43"/>
        </w:rPr>
        <w:t> </w:t>
      </w:r>
      <w:r>
        <w:rPr>
          <w:spacing w:val="-43"/>
        </w:rPr>
      </w:r>
      <w:r>
        <w:rPr>
          <w:spacing w:val="-2"/>
        </w:rPr>
        <w:t>法律法规、规范性文件和《公司章程》的有关规定，不断完善公司的法人治理结构，健全内部管理、促进</w:t>
      </w:r>
      <w:r>
        <w:rPr>
          <w:spacing w:val="-41"/>
        </w:rPr>
        <w:t> </w:t>
      </w:r>
      <w:r>
        <w:rPr>
          <w:spacing w:val="-41"/>
        </w:rPr>
      </w:r>
      <w:r>
        <w:rPr/>
        <w:t>公司规范运作，提高公司治理水平。</w:t>
      </w:r>
    </w:p>
    <w:p>
      <w:pPr>
        <w:pStyle w:val="BodyText"/>
        <w:spacing w:line="364" w:lineRule="auto" w:before="154"/>
        <w:ind w:right="1126" w:firstLine="420"/>
        <w:jc w:val="both"/>
      </w:pPr>
      <w:r>
        <w:rPr>
          <w:spacing w:val="-2"/>
        </w:rPr>
        <w:t>截至报告期末，公司治理的实际情况基本符合中国证监会发布的有关上市公司治理的规范性文件的要</w:t>
      </w:r>
      <w:r>
        <w:rPr>
          <w:w w:val="100"/>
        </w:rPr>
        <w:t> </w:t>
      </w:r>
      <w:r>
        <w:rPr>
          <w:spacing w:val="-2"/>
        </w:rPr>
        <w:t>求。公司将坚持以相关法律法规为准绳，不断完善公司治理制度，自觉履行信息披露义务，做好投资者关</w:t>
      </w:r>
      <w:r>
        <w:rPr>
          <w:spacing w:val="-50"/>
        </w:rPr>
        <w:t> </w:t>
      </w:r>
      <w:r>
        <w:rPr>
          <w:spacing w:val="-50"/>
        </w:rPr>
      </w:r>
      <w:r>
        <w:rPr/>
        <w:t>系管理工作，切实维护投资者利益，不断提升公司规范运作水平。</w:t>
      </w:r>
    </w:p>
    <w:p>
      <w:pPr>
        <w:pStyle w:val="BodyText"/>
        <w:spacing w:line="240" w:lineRule="auto" w:before="156"/>
        <w:ind w:left="614" w:right="0"/>
        <w:jc w:val="left"/>
      </w:pPr>
      <w:r>
        <w:rPr/>
        <w:t>截至本报告期末公司已建立的各项制度名称及公开信息披露情况如下表：</w:t>
      </w:r>
    </w:p>
    <w:p>
      <w:pPr>
        <w:spacing w:line="240" w:lineRule="auto" w:before="4"/>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656"/>
        <w:gridCol w:w="5072"/>
        <w:gridCol w:w="3233"/>
      </w:tblGrid>
      <w:tr>
        <w:trPr>
          <w:trHeight w:val="348" w:hRule="exact"/>
        </w:trPr>
        <w:tc>
          <w:tcPr>
            <w:tcW w:w="6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50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32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最新披露时间</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1</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股东大会议事规则</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2</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6" w:right="0"/>
              <w:jc w:val="center"/>
              <w:rPr>
                <w:rFonts w:ascii="宋体" w:hAnsi="宋体" w:cs="宋体" w:eastAsia="宋体" w:hint="default"/>
                <w:sz w:val="21"/>
                <w:szCs w:val="21"/>
              </w:rPr>
            </w:pPr>
            <w:r>
              <w:rPr>
                <w:rFonts w:ascii="宋体" w:hAnsi="宋体" w:cs="宋体" w:eastAsia="宋体" w:hint="default"/>
                <w:sz w:val="21"/>
                <w:szCs w:val="21"/>
              </w:rPr>
              <w:t>董事会议事规则</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3</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6" w:right="0"/>
              <w:jc w:val="center"/>
              <w:rPr>
                <w:rFonts w:ascii="宋体" w:hAnsi="宋体" w:cs="宋体" w:eastAsia="宋体" w:hint="default"/>
                <w:sz w:val="21"/>
                <w:szCs w:val="21"/>
              </w:rPr>
            </w:pPr>
            <w:r>
              <w:rPr>
                <w:rFonts w:ascii="宋体" w:hAnsi="宋体" w:cs="宋体" w:eastAsia="宋体" w:hint="default"/>
                <w:sz w:val="21"/>
                <w:szCs w:val="21"/>
              </w:rPr>
              <w:t>监事会议事规则</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r>
      <w:tr>
        <w:trPr>
          <w:trHeight w:val="428"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4</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董事会审计委员会议事规则</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董事会提名委员会议事规则</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6</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董事会薪酬委员会议事规则</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r>
      <w:tr>
        <w:trPr>
          <w:trHeight w:val="425"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7</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董事会战略委员会议事规则</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8</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6" w:right="0"/>
              <w:jc w:val="center"/>
              <w:rPr>
                <w:rFonts w:ascii="宋体" w:hAnsi="宋体" w:cs="宋体" w:eastAsia="宋体" w:hint="default"/>
                <w:sz w:val="21"/>
                <w:szCs w:val="21"/>
              </w:rPr>
            </w:pPr>
            <w:r>
              <w:rPr>
                <w:rFonts w:ascii="宋体" w:hAnsi="宋体" w:cs="宋体" w:eastAsia="宋体" w:hint="default"/>
                <w:sz w:val="21"/>
                <w:szCs w:val="21"/>
              </w:rPr>
              <w:t>总经理工作细则</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9</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3" w:right="0"/>
              <w:jc w:val="center"/>
              <w:rPr>
                <w:rFonts w:ascii="宋体" w:hAnsi="宋体" w:cs="宋体" w:eastAsia="宋体" w:hint="default"/>
                <w:sz w:val="21"/>
                <w:szCs w:val="21"/>
              </w:rPr>
            </w:pPr>
            <w:r>
              <w:rPr>
                <w:rFonts w:ascii="宋体" w:hAnsi="宋体" w:cs="宋体" w:eastAsia="宋体" w:hint="default"/>
                <w:sz w:val="21"/>
                <w:szCs w:val="21"/>
              </w:rPr>
              <w:t>董事会秘书工作制度</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10</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6" w:right="0"/>
              <w:jc w:val="center"/>
              <w:rPr>
                <w:rFonts w:ascii="宋体" w:hAnsi="宋体" w:cs="宋体" w:eastAsia="宋体" w:hint="default"/>
                <w:sz w:val="21"/>
                <w:szCs w:val="21"/>
              </w:rPr>
            </w:pPr>
            <w:r>
              <w:rPr>
                <w:rFonts w:ascii="宋体" w:hAnsi="宋体" w:cs="宋体" w:eastAsia="宋体" w:hint="default"/>
                <w:sz w:val="21"/>
                <w:szCs w:val="21"/>
              </w:rPr>
              <w:t>独立董事制度</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11</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3" w:right="0"/>
              <w:jc w:val="center"/>
              <w:rPr>
                <w:rFonts w:ascii="宋体" w:hAnsi="宋体" w:cs="宋体" w:eastAsia="宋体" w:hint="default"/>
                <w:sz w:val="21"/>
                <w:szCs w:val="21"/>
              </w:rPr>
            </w:pPr>
            <w:r>
              <w:rPr>
                <w:rFonts w:ascii="宋体" w:hAnsi="宋体" w:cs="宋体" w:eastAsia="宋体" w:hint="default"/>
                <w:sz w:val="21"/>
                <w:szCs w:val="21"/>
              </w:rPr>
              <w:t>关联交易决策制度</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r>
      <w:tr>
        <w:trPr>
          <w:trHeight w:val="428"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12</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6" w:right="0"/>
              <w:jc w:val="center"/>
              <w:rPr>
                <w:rFonts w:ascii="宋体" w:hAnsi="宋体" w:cs="宋体" w:eastAsia="宋体" w:hint="default"/>
                <w:sz w:val="21"/>
                <w:szCs w:val="21"/>
              </w:rPr>
            </w:pPr>
            <w:r>
              <w:rPr>
                <w:rFonts w:ascii="宋体" w:hAnsi="宋体" w:cs="宋体" w:eastAsia="宋体" w:hint="default"/>
                <w:sz w:val="21"/>
                <w:szCs w:val="21"/>
              </w:rPr>
              <w:t>投资管理制度</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13</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6" w:right="0"/>
              <w:jc w:val="center"/>
              <w:rPr>
                <w:rFonts w:ascii="宋体" w:hAnsi="宋体" w:cs="宋体" w:eastAsia="宋体" w:hint="default"/>
                <w:sz w:val="21"/>
                <w:szCs w:val="21"/>
              </w:rPr>
            </w:pPr>
            <w:r>
              <w:rPr>
                <w:rFonts w:ascii="宋体" w:hAnsi="宋体" w:cs="宋体" w:eastAsia="宋体" w:hint="default"/>
                <w:sz w:val="21"/>
                <w:szCs w:val="21"/>
              </w:rPr>
              <w:t>财务管理办法</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14</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信息披露管理制度</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15</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16</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子公司综合管理制度</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17</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6" w:right="0"/>
              <w:jc w:val="center"/>
              <w:rPr>
                <w:rFonts w:ascii="宋体" w:hAnsi="宋体" w:cs="宋体" w:eastAsia="宋体" w:hint="default"/>
                <w:sz w:val="21"/>
                <w:szCs w:val="21"/>
              </w:rPr>
            </w:pPr>
            <w:r>
              <w:rPr>
                <w:rFonts w:ascii="宋体" w:hAnsi="宋体" w:cs="宋体" w:eastAsia="宋体" w:hint="default"/>
                <w:sz w:val="21"/>
                <w:szCs w:val="21"/>
              </w:rPr>
              <w:t>内部审计制度</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18</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6" w:right="0"/>
              <w:jc w:val="center"/>
              <w:rPr>
                <w:rFonts w:ascii="宋体" w:hAnsi="宋体" w:cs="宋体" w:eastAsia="宋体" w:hint="default"/>
                <w:sz w:val="21"/>
                <w:szCs w:val="21"/>
              </w:rPr>
            </w:pPr>
            <w:r>
              <w:rPr>
                <w:rFonts w:ascii="宋体" w:hAnsi="宋体" w:cs="宋体" w:eastAsia="宋体" w:hint="default"/>
                <w:sz w:val="21"/>
                <w:szCs w:val="21"/>
              </w:rPr>
              <w:t>对外担保制度</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r>
    </w:tbl>
    <w:p>
      <w:pPr>
        <w:spacing w:after="0" w:line="288" w:lineRule="exact"/>
        <w:jc w:val="center"/>
        <w:rPr>
          <w:rFonts w:ascii="宋体" w:hAnsi="宋体" w:cs="宋体" w:eastAsia="宋体" w:hint="default"/>
          <w:sz w:val="21"/>
          <w:szCs w:val="21"/>
        </w:rPr>
        <w:sectPr>
          <w:pgSz w:w="11910" w:h="16840"/>
          <w:pgMar w:header="706" w:footer="1306" w:top="1060" w:bottom="1520" w:left="960" w:right="0"/>
        </w:sectPr>
      </w:pPr>
    </w:p>
    <w:p>
      <w:pPr>
        <w:spacing w:line="240" w:lineRule="auto" w:before="6"/>
        <w:rPr>
          <w:rFonts w:ascii="宋体" w:hAnsi="宋体" w:cs="宋体" w:eastAsia="宋体" w:hint="default"/>
          <w:sz w:val="28"/>
          <w:szCs w:val="28"/>
        </w:rPr>
      </w:pPr>
    </w:p>
    <w:tbl>
      <w:tblPr>
        <w:tblW w:w="0" w:type="auto"/>
        <w:jc w:val="left"/>
        <w:tblInd w:w="165" w:type="dxa"/>
        <w:tblLayout w:type="fixed"/>
        <w:tblCellMar>
          <w:top w:w="0" w:type="dxa"/>
          <w:left w:w="0" w:type="dxa"/>
          <w:bottom w:w="0" w:type="dxa"/>
          <w:right w:w="0" w:type="dxa"/>
        </w:tblCellMar>
        <w:tblLook w:val="01E0"/>
      </w:tblPr>
      <w:tblGrid>
        <w:gridCol w:w="656"/>
        <w:gridCol w:w="5072"/>
        <w:gridCol w:w="3233"/>
      </w:tblGrid>
      <w:tr>
        <w:trPr>
          <w:trHeight w:val="428"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11"/>
              <w:jc w:val="right"/>
              <w:rPr>
                <w:rFonts w:ascii="Times New Roman" w:hAnsi="Times New Roman" w:cs="Times New Roman" w:eastAsia="Times New Roman" w:hint="default"/>
                <w:sz w:val="21"/>
                <w:szCs w:val="21"/>
              </w:rPr>
            </w:pPr>
            <w:r>
              <w:rPr>
                <w:rFonts w:ascii="Times New Roman"/>
                <w:sz w:val="21"/>
              </w:rPr>
              <w:t>19</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控股股东、实际控制人行为规范</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11"/>
              <w:jc w:val="right"/>
              <w:rPr>
                <w:rFonts w:ascii="Times New Roman" w:hAnsi="Times New Roman" w:cs="Times New Roman" w:eastAsia="Times New Roman" w:hint="default"/>
                <w:sz w:val="21"/>
                <w:szCs w:val="21"/>
              </w:rPr>
            </w:pPr>
            <w:r>
              <w:rPr>
                <w:rFonts w:ascii="Times New Roman"/>
                <w:sz w:val="21"/>
              </w:rPr>
              <w:t>20</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累积投票制实施细则</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11"/>
              <w:jc w:val="right"/>
              <w:rPr>
                <w:rFonts w:ascii="Times New Roman" w:hAnsi="Times New Roman" w:cs="Times New Roman" w:eastAsia="Times New Roman" w:hint="default"/>
                <w:sz w:val="21"/>
                <w:szCs w:val="21"/>
              </w:rPr>
            </w:pPr>
            <w:r>
              <w:rPr>
                <w:rFonts w:ascii="Times New Roman"/>
                <w:sz w:val="21"/>
              </w:rPr>
              <w:t>21</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6" w:right="0"/>
              <w:jc w:val="center"/>
              <w:rPr>
                <w:rFonts w:ascii="宋体" w:hAnsi="宋体" w:cs="宋体" w:eastAsia="宋体" w:hint="default"/>
                <w:sz w:val="21"/>
                <w:szCs w:val="21"/>
              </w:rPr>
            </w:pPr>
            <w:r>
              <w:rPr>
                <w:rFonts w:ascii="宋体" w:hAnsi="宋体" w:cs="宋体" w:eastAsia="宋体" w:hint="default"/>
                <w:sz w:val="21"/>
                <w:szCs w:val="21"/>
              </w:rPr>
              <w:t>独立董事年报工作流程</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r>
      <w:tr>
        <w:trPr>
          <w:trHeight w:val="739"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11"/>
              <w:jc w:val="right"/>
              <w:rPr>
                <w:rFonts w:ascii="Times New Roman" w:hAnsi="Times New Roman" w:cs="Times New Roman" w:eastAsia="Times New Roman" w:hint="default"/>
                <w:sz w:val="21"/>
                <w:szCs w:val="21"/>
              </w:rPr>
            </w:pPr>
            <w:r>
              <w:rPr>
                <w:rFonts w:ascii="Times New Roman"/>
                <w:sz w:val="21"/>
              </w:rPr>
              <w:t>22</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8"/>
              <w:ind w:left="2321" w:right="0" w:hanging="2312"/>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董事、监事和高级管理人员持有和买卖本公司股票管理</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制度</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11"/>
              <w:jc w:val="right"/>
              <w:rPr>
                <w:rFonts w:ascii="Times New Roman" w:hAnsi="Times New Roman" w:cs="Times New Roman" w:eastAsia="Times New Roman" w:hint="default"/>
                <w:sz w:val="21"/>
                <w:szCs w:val="21"/>
              </w:rPr>
            </w:pPr>
            <w:r>
              <w:rPr>
                <w:rFonts w:ascii="Times New Roman"/>
                <w:sz w:val="21"/>
              </w:rPr>
              <w:t>23</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6" w:right="0"/>
              <w:jc w:val="center"/>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r>
      <w:tr>
        <w:trPr>
          <w:trHeight w:val="425"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11"/>
              <w:jc w:val="right"/>
              <w:rPr>
                <w:rFonts w:ascii="Times New Roman" w:hAnsi="Times New Roman" w:cs="Times New Roman" w:eastAsia="Times New Roman" w:hint="default"/>
                <w:sz w:val="21"/>
                <w:szCs w:val="21"/>
              </w:rPr>
            </w:pPr>
            <w:r>
              <w:rPr>
                <w:rFonts w:ascii="Times New Roman"/>
                <w:sz w:val="21"/>
              </w:rPr>
              <w:t>24</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6" w:right="0"/>
              <w:jc w:val="center"/>
              <w:rPr>
                <w:rFonts w:ascii="宋体" w:hAnsi="宋体" w:cs="宋体" w:eastAsia="宋体" w:hint="default"/>
                <w:sz w:val="21"/>
                <w:szCs w:val="21"/>
              </w:rPr>
            </w:pPr>
            <w:r>
              <w:rPr>
                <w:rFonts w:ascii="宋体" w:hAnsi="宋体" w:cs="宋体" w:eastAsia="宋体" w:hint="default"/>
                <w:sz w:val="21"/>
                <w:szCs w:val="21"/>
              </w:rPr>
              <w:t>外部信息使用人管理制度</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11"/>
              <w:jc w:val="right"/>
              <w:rPr>
                <w:rFonts w:ascii="Times New Roman" w:hAnsi="Times New Roman" w:cs="Times New Roman" w:eastAsia="Times New Roman" w:hint="default"/>
                <w:sz w:val="21"/>
                <w:szCs w:val="21"/>
              </w:rPr>
            </w:pPr>
            <w:r>
              <w:rPr>
                <w:rFonts w:ascii="Times New Roman"/>
                <w:sz w:val="21"/>
              </w:rPr>
              <w:t>25</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6" w:right="0"/>
              <w:jc w:val="center"/>
              <w:rPr>
                <w:rFonts w:ascii="宋体" w:hAnsi="宋体" w:cs="宋体" w:eastAsia="宋体" w:hint="default"/>
                <w:sz w:val="21"/>
                <w:szCs w:val="21"/>
              </w:rPr>
            </w:pPr>
            <w:r>
              <w:rPr>
                <w:rFonts w:ascii="宋体" w:hAnsi="宋体" w:cs="宋体" w:eastAsia="宋体" w:hint="default"/>
                <w:sz w:val="21"/>
                <w:szCs w:val="21"/>
              </w:rPr>
              <w:t>募集资金使用管理办法</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11"/>
              <w:jc w:val="right"/>
              <w:rPr>
                <w:rFonts w:ascii="Times New Roman" w:hAnsi="Times New Roman" w:cs="Times New Roman" w:eastAsia="Times New Roman" w:hint="default"/>
                <w:sz w:val="21"/>
                <w:szCs w:val="21"/>
              </w:rPr>
            </w:pPr>
            <w:r>
              <w:rPr>
                <w:rFonts w:ascii="Times New Roman"/>
                <w:sz w:val="21"/>
              </w:rPr>
              <w:t>26</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高级管理人员薪酬管理制度</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w:t>
            </w:r>
            <w:r>
              <w:rPr>
                <w:rFonts w:ascii="宋体" w:hAnsi="宋体" w:cs="宋体" w:eastAsia="宋体" w:hint="default"/>
                <w:sz w:val="21"/>
                <w:szCs w:val="21"/>
              </w:rPr>
              <w:t>日</w:t>
            </w:r>
          </w:p>
        </w:tc>
      </w:tr>
      <w:tr>
        <w:trPr>
          <w:trHeight w:val="428"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211"/>
              <w:jc w:val="right"/>
              <w:rPr>
                <w:rFonts w:ascii="Times New Roman" w:hAnsi="Times New Roman" w:cs="Times New Roman" w:eastAsia="Times New Roman" w:hint="default"/>
                <w:sz w:val="21"/>
                <w:szCs w:val="21"/>
              </w:rPr>
            </w:pPr>
            <w:r>
              <w:rPr>
                <w:rFonts w:ascii="Times New Roman"/>
                <w:sz w:val="21"/>
              </w:rPr>
              <w:t>27</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6" w:right="0"/>
              <w:jc w:val="center"/>
              <w:rPr>
                <w:rFonts w:ascii="宋体" w:hAnsi="宋体" w:cs="宋体" w:eastAsia="宋体" w:hint="default"/>
                <w:sz w:val="21"/>
                <w:szCs w:val="21"/>
              </w:rPr>
            </w:pPr>
            <w:r>
              <w:rPr>
                <w:rFonts w:ascii="宋体" w:hAnsi="宋体" w:cs="宋体" w:eastAsia="宋体" w:hint="default"/>
                <w:sz w:val="21"/>
                <w:szCs w:val="21"/>
              </w:rPr>
              <w:t>审计委员会年报工作制度</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11"/>
              <w:jc w:val="right"/>
              <w:rPr>
                <w:rFonts w:ascii="Times New Roman" w:hAnsi="Times New Roman" w:cs="Times New Roman" w:eastAsia="Times New Roman" w:hint="default"/>
                <w:sz w:val="21"/>
                <w:szCs w:val="21"/>
              </w:rPr>
            </w:pPr>
            <w:r>
              <w:rPr>
                <w:rFonts w:ascii="Times New Roman"/>
                <w:sz w:val="21"/>
              </w:rPr>
              <w:t>28</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公司章程</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11"/>
              <w:jc w:val="right"/>
              <w:rPr>
                <w:rFonts w:ascii="Times New Roman" w:hAnsi="Times New Roman" w:cs="Times New Roman" w:eastAsia="Times New Roman" w:hint="default"/>
                <w:sz w:val="21"/>
                <w:szCs w:val="21"/>
              </w:rPr>
            </w:pPr>
            <w:r>
              <w:rPr>
                <w:rFonts w:ascii="Times New Roman"/>
                <w:sz w:val="21"/>
              </w:rPr>
              <w:t>29</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3" w:right="0"/>
              <w:jc w:val="center"/>
              <w:rPr>
                <w:rFonts w:ascii="宋体" w:hAnsi="宋体" w:cs="宋体" w:eastAsia="宋体" w:hint="default"/>
                <w:sz w:val="21"/>
                <w:szCs w:val="21"/>
              </w:rPr>
            </w:pPr>
            <w:r>
              <w:rPr>
                <w:rFonts w:ascii="宋体" w:hAnsi="宋体" w:cs="宋体" w:eastAsia="宋体" w:hint="default"/>
                <w:sz w:val="21"/>
                <w:szCs w:val="21"/>
              </w:rPr>
              <w:t>风险投资管理制度</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11"/>
              <w:jc w:val="right"/>
              <w:rPr>
                <w:rFonts w:ascii="Times New Roman" w:hAnsi="Times New Roman" w:cs="Times New Roman" w:eastAsia="Times New Roman" w:hint="default"/>
                <w:sz w:val="21"/>
                <w:szCs w:val="21"/>
              </w:rPr>
            </w:pPr>
            <w:r>
              <w:rPr>
                <w:rFonts w:ascii="Times New Roman"/>
                <w:sz w:val="21"/>
              </w:rPr>
              <w:t>30</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内幕信息知情人登记管理制度</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11"/>
              <w:jc w:val="right"/>
              <w:rPr>
                <w:rFonts w:ascii="Times New Roman" w:hAnsi="Times New Roman" w:cs="Times New Roman" w:eastAsia="Times New Roman" w:hint="default"/>
                <w:sz w:val="21"/>
                <w:szCs w:val="21"/>
              </w:rPr>
            </w:pPr>
            <w:r>
              <w:rPr>
                <w:rFonts w:ascii="Times New Roman"/>
                <w:sz w:val="21"/>
              </w:rPr>
              <w:t>31</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6" w:right="0"/>
              <w:jc w:val="center"/>
              <w:rPr>
                <w:rFonts w:ascii="宋体" w:hAnsi="宋体" w:cs="宋体" w:eastAsia="宋体" w:hint="default"/>
                <w:sz w:val="21"/>
                <w:szCs w:val="21"/>
              </w:rPr>
            </w:pPr>
            <w:r>
              <w:rPr>
                <w:rFonts w:ascii="宋体" w:hAnsi="宋体" w:cs="宋体" w:eastAsia="宋体" w:hint="default"/>
                <w:sz w:val="21"/>
                <w:szCs w:val="21"/>
              </w:rPr>
              <w:t>内部问责制度</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w:t>
            </w:r>
          </w:p>
        </w:tc>
      </w:tr>
      <w:tr>
        <w:trPr>
          <w:trHeight w:val="42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11"/>
              <w:jc w:val="right"/>
              <w:rPr>
                <w:rFonts w:ascii="Times New Roman" w:hAnsi="Times New Roman" w:cs="Times New Roman" w:eastAsia="Times New Roman" w:hint="default"/>
                <w:sz w:val="21"/>
                <w:szCs w:val="21"/>
              </w:rPr>
            </w:pPr>
            <w:r>
              <w:rPr>
                <w:rFonts w:ascii="Times New Roman"/>
                <w:sz w:val="21"/>
              </w:rPr>
              <w:t>32</w:t>
            </w:r>
          </w:p>
        </w:tc>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利润分配管理制度</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r>
    </w:tbl>
    <w:p>
      <w:pPr>
        <w:spacing w:line="240" w:lineRule="auto" w:before="4"/>
        <w:rPr>
          <w:rFonts w:ascii="宋体" w:hAnsi="宋体" w:cs="宋体" w:eastAsia="宋体" w:hint="default"/>
          <w:sz w:val="13"/>
          <w:szCs w:val="13"/>
        </w:rPr>
      </w:pPr>
    </w:p>
    <w:p>
      <w:pPr>
        <w:pStyle w:val="Heading4"/>
        <w:spacing w:line="240" w:lineRule="auto" w:before="36"/>
        <w:ind w:left="655" w:right="0"/>
        <w:jc w:val="left"/>
        <w:rPr>
          <w:b w:val="0"/>
          <w:bCs w:val="0"/>
        </w:rPr>
      </w:pPr>
      <w:r>
        <w:rPr/>
        <w:t>报告期末，公司未收到被监管部门采取行政监管措施的有关文件。</w:t>
      </w:r>
      <w:r>
        <w:rPr>
          <w:b w:val="0"/>
          <w:bCs w:val="0"/>
        </w:rPr>
      </w:r>
    </w:p>
    <w:p>
      <w:pPr>
        <w:spacing w:line="240" w:lineRule="auto" w:before="3"/>
        <w:rPr>
          <w:rFonts w:ascii="宋体" w:hAnsi="宋体" w:cs="宋体" w:eastAsia="宋体" w:hint="default"/>
          <w:b/>
          <w:bCs/>
          <w:sz w:val="20"/>
          <w:szCs w:val="20"/>
        </w:rPr>
      </w:pPr>
    </w:p>
    <w:p>
      <w:pPr>
        <w:spacing w:line="367" w:lineRule="auto" w:before="0"/>
        <w:ind w:left="653" w:right="0" w:firstLine="2"/>
        <w:jc w:val="left"/>
        <w:rPr>
          <w:rFonts w:ascii="宋体" w:hAnsi="宋体" w:cs="宋体" w:eastAsia="宋体" w:hint="default"/>
          <w:sz w:val="21"/>
          <w:szCs w:val="21"/>
        </w:rPr>
      </w:pPr>
      <w:r>
        <w:rPr>
          <w:rFonts w:ascii="宋体" w:hAnsi="宋体" w:cs="宋体" w:eastAsia="宋体" w:hint="default"/>
          <w:b/>
          <w:bCs/>
          <w:sz w:val="21"/>
          <w:szCs w:val="21"/>
        </w:rPr>
        <w:t>（一）关于股东与股东大会</w:t>
      </w:r>
      <w:r>
        <w:rPr>
          <w:rFonts w:ascii="宋体" w:hAnsi="宋体" w:cs="宋体" w:eastAsia="宋体" w:hint="default"/>
          <w:b/>
          <w:bCs/>
          <w:w w:val="100"/>
          <w:sz w:val="21"/>
          <w:szCs w:val="21"/>
        </w:rPr>
        <w:t> </w:t>
      </w:r>
      <w:r>
        <w:rPr>
          <w:rFonts w:ascii="宋体" w:hAnsi="宋体" w:cs="宋体" w:eastAsia="宋体" w:hint="default"/>
          <w:spacing w:val="-4"/>
          <w:sz w:val="21"/>
          <w:szCs w:val="21"/>
        </w:rPr>
        <w:t>公司能够根据《公司法》、《证券法》、《上市公司股东大会规则》及公司《股东大会议事规则》等</w:t>
      </w:r>
    </w:p>
    <w:p>
      <w:pPr>
        <w:pStyle w:val="BodyText"/>
        <w:spacing w:line="367" w:lineRule="auto" w:before="34"/>
        <w:ind w:right="0"/>
        <w:jc w:val="left"/>
      </w:pPr>
      <w:r>
        <w:rPr>
          <w:spacing w:val="-2"/>
        </w:rPr>
        <w:t>规定和要求，规范股东大会的召集、召开、表决程序，确保各股东享有平等地位，充分行使自己的权利。</w:t>
      </w:r>
      <w:r>
        <w:rPr>
          <w:spacing w:val="-21"/>
        </w:rPr>
        <w:t> </w:t>
      </w:r>
      <w:r>
        <w:rPr>
          <w:spacing w:val="-21"/>
        </w:rPr>
      </w:r>
      <w:r>
        <w:rPr/>
        <w:t>在实施选举董事、监事表决程序时采取累积投票制，让各股东充分行使自己的权利。</w:t>
      </w:r>
    </w:p>
    <w:p>
      <w:pPr>
        <w:spacing w:line="367" w:lineRule="auto" w:before="154"/>
        <w:ind w:left="653" w:right="0" w:firstLine="2"/>
        <w:jc w:val="left"/>
        <w:rPr>
          <w:rFonts w:ascii="宋体" w:hAnsi="宋体" w:cs="宋体" w:eastAsia="宋体" w:hint="default"/>
          <w:sz w:val="21"/>
          <w:szCs w:val="21"/>
        </w:rPr>
      </w:pPr>
      <w:r>
        <w:rPr>
          <w:rFonts w:ascii="宋体" w:hAnsi="宋体" w:cs="宋体" w:eastAsia="宋体" w:hint="default"/>
          <w:b/>
          <w:bCs/>
          <w:sz w:val="21"/>
          <w:szCs w:val="21"/>
        </w:rPr>
        <w:t>（二）关于控股股东与公司</w:t>
      </w:r>
      <w:r>
        <w:rPr>
          <w:rFonts w:ascii="宋体" w:hAnsi="宋体" w:cs="宋体" w:eastAsia="宋体" w:hint="default"/>
          <w:b/>
          <w:bCs/>
          <w:w w:val="100"/>
          <w:sz w:val="21"/>
          <w:szCs w:val="21"/>
        </w:rPr>
        <w:t> </w:t>
      </w:r>
      <w:r>
        <w:rPr>
          <w:rFonts w:ascii="宋体" w:hAnsi="宋体" w:cs="宋体" w:eastAsia="宋体" w:hint="default"/>
          <w:spacing w:val="-4"/>
          <w:sz w:val="21"/>
          <w:szCs w:val="21"/>
        </w:rPr>
        <w:t>公司控股股东行为规范，能依法行使其权利，并承担相应义务，没有直接或间接干预公司的决策和经</w:t>
      </w:r>
    </w:p>
    <w:p>
      <w:pPr>
        <w:pStyle w:val="BodyText"/>
        <w:spacing w:line="367" w:lineRule="auto" w:before="34"/>
        <w:ind w:right="0"/>
        <w:jc w:val="left"/>
      </w:pPr>
      <w:r>
        <w:rPr>
          <w:spacing w:val="-2"/>
        </w:rPr>
        <w:t>营活动。公司具有独立的业务、经营能力和完备的运营体系，公司业务、人员、资产、机构、财务独立，</w:t>
      </w:r>
      <w:r>
        <w:rPr>
          <w:spacing w:val="-21"/>
        </w:rPr>
        <w:t> </w:t>
      </w:r>
      <w:r>
        <w:rPr>
          <w:spacing w:val="-21"/>
        </w:rPr>
      </w:r>
      <w:r>
        <w:rPr/>
        <w:t>公司董事会、监事会和内部机构能够独立运作。</w:t>
      </w:r>
    </w:p>
    <w:p>
      <w:pPr>
        <w:spacing w:line="367" w:lineRule="auto" w:before="34"/>
        <w:ind w:left="653" w:right="0" w:hanging="120"/>
        <w:jc w:val="left"/>
        <w:rPr>
          <w:rFonts w:ascii="宋体" w:hAnsi="宋体" w:cs="宋体" w:eastAsia="宋体" w:hint="default"/>
          <w:sz w:val="21"/>
          <w:szCs w:val="21"/>
        </w:rPr>
      </w:pPr>
      <w:r>
        <w:rPr>
          <w:rFonts w:ascii="宋体" w:hAnsi="宋体" w:cs="宋体" w:eastAsia="宋体" w:hint="default"/>
          <w:b/>
          <w:bCs/>
          <w:sz w:val="21"/>
          <w:szCs w:val="21"/>
        </w:rPr>
        <w:t>（三）关于董事与董事会</w:t>
      </w:r>
      <w:r>
        <w:rPr>
          <w:rFonts w:ascii="宋体" w:hAnsi="宋体" w:cs="宋体" w:eastAsia="宋体" w:hint="default"/>
          <w:b/>
          <w:bCs/>
          <w:w w:val="100"/>
          <w:sz w:val="21"/>
          <w:szCs w:val="21"/>
        </w:rPr>
        <w:t> </w:t>
      </w:r>
      <w:r>
        <w:rPr>
          <w:rFonts w:ascii="宋体" w:hAnsi="宋体" w:cs="宋体" w:eastAsia="宋体" w:hint="default"/>
          <w:spacing w:val="-4"/>
          <w:sz w:val="21"/>
          <w:szCs w:val="21"/>
        </w:rPr>
        <w:t>公司目前董事会成员</w:t>
      </w:r>
      <w:r>
        <w:rPr>
          <w:rFonts w:ascii="Times New Roman" w:hAnsi="Times New Roman" w:cs="Times New Roman" w:eastAsia="Times New Roman" w:hint="default"/>
          <w:spacing w:val="-4"/>
          <w:sz w:val="21"/>
          <w:szCs w:val="21"/>
        </w:rPr>
        <w:t>9</w:t>
      </w:r>
      <w:r>
        <w:rPr>
          <w:rFonts w:ascii="宋体" w:hAnsi="宋体" w:cs="宋体" w:eastAsia="宋体" w:hint="default"/>
          <w:spacing w:val="-4"/>
          <w:sz w:val="21"/>
          <w:szCs w:val="21"/>
        </w:rPr>
        <w:t>人，其中独立董事</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人，公司董事会人数和人员构成符合法律、法规的要求。董</w:t>
      </w:r>
    </w:p>
    <w:p>
      <w:pPr>
        <w:pStyle w:val="BodyText"/>
        <w:spacing w:line="362" w:lineRule="auto" w:before="6"/>
        <w:ind w:right="0"/>
        <w:jc w:val="left"/>
      </w:pPr>
      <w:r>
        <w:rPr>
          <w:spacing w:val="-2"/>
        </w:rPr>
        <w:t>事会按照《董事会议事规则》召开会议，执行股东大会决议并依法行使职权；公司全体董事能够按照《董</w:t>
      </w:r>
      <w:r>
        <w:rPr>
          <w:spacing w:val="-43"/>
        </w:rPr>
        <w:t> </w:t>
      </w:r>
      <w:r>
        <w:rPr>
          <w:spacing w:val="-43"/>
        </w:rPr>
      </w:r>
      <w:r>
        <w:rPr>
          <w:spacing w:val="-2"/>
        </w:rPr>
        <w:t>事会议事规则》、《中小企业板上市公司董事行为指引》等的要求认真履行勤勉尽责的义务，行使《公司</w:t>
      </w:r>
      <w:r>
        <w:rPr>
          <w:spacing w:val="-42"/>
        </w:rPr>
        <w:t> </w:t>
      </w:r>
      <w:r>
        <w:rPr>
          <w:spacing w:val="-42"/>
        </w:rPr>
      </w:r>
      <w:r>
        <w:rPr/>
        <w:t>章程》赋予的职权，按时出席董事会和股东大会，熟悉有关法律法规；公司的</w:t>
      </w:r>
      <w:r>
        <w:rPr>
          <w:rFonts w:ascii="Times New Roman" w:hAnsi="Times New Roman" w:cs="Times New Roman" w:eastAsia="Times New Roman" w:hint="default"/>
        </w:rPr>
        <w:t>3</w:t>
      </w:r>
      <w:r>
        <w:rPr/>
        <w:t>位独立董事在工作中保持</w:t>
      </w:r>
      <w:r>
        <w:rPr>
          <w:w w:val="100"/>
        </w:rPr>
        <w:t> </w:t>
      </w:r>
      <w:r>
        <w:rPr>
          <w:spacing w:val="-2"/>
        </w:rPr>
        <w:t>充分的独立性，积极参加董事会会议，认真审议各项议案，对相关事项发表了独立意见，切实维护公司和</w:t>
      </w:r>
      <w:r>
        <w:rPr>
          <w:spacing w:val="-49"/>
        </w:rPr>
        <w:t> </w:t>
      </w:r>
      <w:r>
        <w:rPr>
          <w:spacing w:val="-49"/>
        </w:rPr>
      </w:r>
      <w:r>
        <w:rPr/>
        <w:t>中小股东的利益。</w:t>
      </w:r>
    </w:p>
    <w:p>
      <w:pPr>
        <w:pStyle w:val="Heading4"/>
        <w:spacing w:line="240" w:lineRule="auto" w:before="158"/>
        <w:ind w:left="533" w:right="0"/>
        <w:jc w:val="left"/>
        <w:rPr>
          <w:b w:val="0"/>
          <w:bCs w:val="0"/>
        </w:rPr>
      </w:pPr>
      <w:r>
        <w:rPr/>
        <w:t>（四）关于监事与监事会</w:t>
      </w:r>
      <w:r>
        <w:rPr>
          <w:b w:val="0"/>
          <w:bCs w:val="0"/>
        </w:rPr>
      </w:r>
    </w:p>
    <w:p>
      <w:pPr>
        <w:spacing w:after="0" w:line="240" w:lineRule="auto"/>
        <w:jc w:val="left"/>
        <w:sectPr>
          <w:pgSz w:w="11910" w:h="16840"/>
          <w:pgMar w:header="706" w:footer="1306" w:top="1060" w:bottom="1500" w:left="960" w:right="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360" w:lineRule="auto"/>
        <w:ind w:right="0" w:firstLine="480"/>
        <w:jc w:val="left"/>
      </w:pPr>
      <w:r>
        <w:rPr>
          <w:spacing w:val="-4"/>
        </w:rPr>
        <w:t>公司监事会由</w:t>
      </w:r>
      <w:r>
        <w:rPr>
          <w:rFonts w:ascii="Times New Roman" w:hAnsi="Times New Roman" w:cs="Times New Roman" w:eastAsia="Times New Roman" w:hint="default"/>
          <w:spacing w:val="-4"/>
        </w:rPr>
        <w:t>3</w:t>
      </w:r>
      <w:r>
        <w:rPr>
          <w:spacing w:val="-4"/>
        </w:rPr>
        <w:t>名监事组成，非职工代表监事</w:t>
      </w:r>
      <w:r>
        <w:rPr>
          <w:rFonts w:ascii="Times New Roman" w:hAnsi="Times New Roman" w:cs="Times New Roman" w:eastAsia="Times New Roman" w:hint="default"/>
          <w:spacing w:val="-4"/>
        </w:rPr>
        <w:t>2</w:t>
      </w:r>
      <w:r>
        <w:rPr>
          <w:spacing w:val="-4"/>
        </w:rPr>
        <w:t>人、职工代表监事</w:t>
      </w:r>
      <w:r>
        <w:rPr>
          <w:rFonts w:ascii="Times New Roman" w:hAnsi="Times New Roman" w:cs="Times New Roman" w:eastAsia="Times New Roman" w:hint="default"/>
          <w:spacing w:val="-4"/>
        </w:rPr>
        <w:t>1</w:t>
      </w:r>
      <w:r>
        <w:rPr>
          <w:spacing w:val="-4"/>
        </w:rPr>
        <w:t>人，监事人数和人员构成符合法律、</w:t>
      </w:r>
      <w:r>
        <w:rPr>
          <w:w w:val="100"/>
        </w:rPr>
        <w:t> </w:t>
      </w:r>
      <w:r>
        <w:rPr>
          <w:spacing w:val="-2"/>
        </w:rPr>
        <w:t>法规的要求。公司监事会严格按照《公司章程》及《监事会议事规则》等相关规定召集召开监事会。各监</w:t>
      </w:r>
      <w:r>
        <w:rPr>
          <w:spacing w:val="-42"/>
        </w:rPr>
        <w:t> </w:t>
      </w:r>
      <w:r>
        <w:rPr>
          <w:spacing w:val="-42"/>
        </w:rPr>
      </w:r>
      <w:r>
        <w:rPr>
          <w:spacing w:val="-2"/>
        </w:rPr>
        <w:t>事按时出席监事会，认真履行职责，能够本着对股东负责的精神，对公司重大事项、关联交易、财务状况</w:t>
      </w:r>
      <w:r>
        <w:rPr>
          <w:spacing w:val="-43"/>
        </w:rPr>
        <w:t> </w:t>
      </w:r>
      <w:r>
        <w:rPr>
          <w:spacing w:val="-43"/>
        </w:rPr>
      </w:r>
      <w:r>
        <w:rPr/>
        <w:t>等进行监督并发表意见，维护了公司及股东的合法权益。</w:t>
      </w:r>
    </w:p>
    <w:p>
      <w:pPr>
        <w:spacing w:line="367" w:lineRule="auto" w:before="160"/>
        <w:ind w:left="653" w:right="0" w:hanging="120"/>
        <w:jc w:val="left"/>
        <w:rPr>
          <w:rFonts w:ascii="宋体" w:hAnsi="宋体" w:cs="宋体" w:eastAsia="宋体" w:hint="default"/>
          <w:sz w:val="21"/>
          <w:szCs w:val="21"/>
        </w:rPr>
      </w:pPr>
      <w:r>
        <w:rPr>
          <w:rFonts w:ascii="宋体" w:hAnsi="宋体" w:cs="宋体" w:eastAsia="宋体" w:hint="default"/>
          <w:b/>
          <w:bCs/>
          <w:sz w:val="21"/>
          <w:szCs w:val="21"/>
        </w:rPr>
        <w:t>（五）关于信息披露与透明度</w:t>
      </w:r>
      <w:r>
        <w:rPr>
          <w:rFonts w:ascii="宋体" w:hAnsi="宋体" w:cs="宋体" w:eastAsia="宋体" w:hint="default"/>
          <w:b/>
          <w:bCs/>
          <w:w w:val="100"/>
          <w:sz w:val="21"/>
          <w:szCs w:val="21"/>
        </w:rPr>
        <w:t> </w:t>
      </w:r>
      <w:r>
        <w:rPr>
          <w:rFonts w:ascii="宋体" w:hAnsi="宋体" w:cs="宋体" w:eastAsia="宋体" w:hint="default"/>
          <w:spacing w:val="-4"/>
          <w:sz w:val="21"/>
          <w:szCs w:val="21"/>
        </w:rPr>
        <w:t>公司严格按照有关法律法规及公司《信息披露管理制度》、《投资者关系管理制度》的要求，加强信</w:t>
      </w:r>
    </w:p>
    <w:p>
      <w:pPr>
        <w:pStyle w:val="BodyText"/>
        <w:spacing w:line="367" w:lineRule="auto" w:before="34"/>
        <w:ind w:right="0"/>
        <w:jc w:val="left"/>
      </w:pPr>
      <w:r>
        <w:rPr>
          <w:spacing w:val="-5"/>
        </w:rPr>
        <w:t>息披露事务管理，履行信息披露义务。公司指定董事会秘书为公司信息披露工作、投资者关系管理负责人， </w:t>
      </w:r>
      <w:r>
        <w:rPr>
          <w:spacing w:val="-2"/>
        </w:rPr>
        <w:t>负责公司的信息披露与投资者关系的管理工作；公司证券部为公司信息披露事务的日常工作部门。公司注</w:t>
      </w:r>
      <w:r>
        <w:rPr>
          <w:spacing w:val="-44"/>
        </w:rPr>
        <w:t> </w:t>
      </w:r>
      <w:r>
        <w:rPr>
          <w:spacing w:val="-44"/>
        </w:rPr>
      </w:r>
      <w:r>
        <w:rPr>
          <w:spacing w:val="-2"/>
        </w:rPr>
        <w:t>重与投资者沟通交流，开通了投资者电话专线、专用电子信箱，接待投资者和调研机构的来访和咨询，确</w:t>
      </w:r>
      <w:r>
        <w:rPr>
          <w:spacing w:val="-47"/>
        </w:rPr>
        <w:t> </w:t>
      </w:r>
      <w:r>
        <w:rPr>
          <w:spacing w:val="-47"/>
        </w:rPr>
      </w:r>
      <w:r>
        <w:rPr/>
        <w:t>保公司所有股东能够以平等的机会获得信息。公司上市后指定《证券时报》等报刊和巨潮资讯网</w:t>
      </w:r>
    </w:p>
    <w:p>
      <w:pPr>
        <w:pStyle w:val="BodyText"/>
        <w:spacing w:line="240" w:lineRule="auto" w:before="34"/>
        <w:ind w:right="0"/>
        <w:jc w:val="left"/>
      </w:pPr>
      <w:r>
        <w:rPr/>
        <w:t>（</w:t>
      </w:r>
      <w:r>
        <w:rPr>
          <w:rFonts w:ascii="Times New Roman" w:hAnsi="Times New Roman" w:cs="Times New Roman" w:eastAsia="Times New Roman" w:hint="default"/>
          <w:color w:val="0000FF"/>
        </w:rPr>
      </w:r>
      <w:hyperlink r:id="rId21">
        <w:r>
          <w:rPr>
            <w:rFonts w:ascii="Times New Roman" w:hAnsi="Times New Roman" w:cs="Times New Roman" w:eastAsia="Times New Roman" w:hint="default"/>
            <w:color w:val="0000FF"/>
            <w:u w:val="single" w:color="0000FF"/>
          </w:rPr>
          <w:t>www.cninfo.com.cn</w:t>
        </w:r>
        <w:r>
          <w:rPr>
            <w:rFonts w:ascii="Times New Roman" w:hAnsi="Times New Roman" w:cs="Times New Roman" w:eastAsia="Times New Roman" w:hint="default"/>
            <w:color w:val="0000FF"/>
          </w:rPr>
        </w:r>
      </w:hyperlink>
      <w:r>
        <w:rPr/>
        <w:t>）为公司信息披露的报纸和网站。</w:t>
      </w:r>
    </w:p>
    <w:p>
      <w:pPr>
        <w:spacing w:line="240" w:lineRule="auto" w:before="1"/>
        <w:rPr>
          <w:rFonts w:ascii="宋体" w:hAnsi="宋体" w:cs="宋体" w:eastAsia="宋体" w:hint="default"/>
          <w:sz w:val="19"/>
          <w:szCs w:val="19"/>
        </w:rPr>
      </w:pPr>
    </w:p>
    <w:p>
      <w:pPr>
        <w:pStyle w:val="BodyText"/>
        <w:spacing w:line="367" w:lineRule="auto"/>
        <w:ind w:left="653" w:right="0" w:hanging="120"/>
        <w:jc w:val="left"/>
      </w:pPr>
      <w:r>
        <w:rPr>
          <w:rFonts w:ascii="宋体" w:hAnsi="宋体" w:cs="宋体" w:eastAsia="宋体" w:hint="default"/>
          <w:b/>
          <w:bCs/>
        </w:rPr>
        <w:t>（六）关于相关利益者</w:t>
      </w:r>
      <w:r>
        <w:rPr>
          <w:rFonts w:ascii="宋体" w:hAnsi="宋体" w:cs="宋体" w:eastAsia="宋体" w:hint="default"/>
          <w:b/>
          <w:bCs/>
          <w:w w:val="100"/>
        </w:rPr>
        <w:t> </w:t>
      </w:r>
      <w:r>
        <w:rPr>
          <w:spacing w:val="-6"/>
          <w:w w:val="100"/>
        </w:rPr>
        <w:t>公司能够充分尊重和维护相关利益者的合法权益，积极与相关利益者合作，加强与各方的沟通和交流，</w:t>
      </w:r>
    </w:p>
    <w:p>
      <w:pPr>
        <w:pStyle w:val="BodyText"/>
        <w:spacing w:line="367" w:lineRule="auto" w:before="34"/>
        <w:ind w:left="653" w:right="0" w:hanging="481"/>
        <w:jc w:val="left"/>
      </w:pPr>
      <w:r>
        <w:rPr/>
        <w:t>实现公司、股东、员工、社会等各方利益的和谐发展，以推动公司持续、稳健发展。</w:t>
      </w:r>
      <w:r>
        <w:rPr>
          <w:w w:val="100"/>
        </w:rPr>
        <w:t> </w:t>
      </w:r>
      <w:r>
        <w:rPr>
          <w:spacing w:val="-4"/>
        </w:rPr>
        <w:t>公司治理的实际情况与中国证监会有关上市公司治理的规范性文件要求基本符合。公司治理是一项系</w:t>
      </w:r>
    </w:p>
    <w:p>
      <w:pPr>
        <w:pStyle w:val="BodyText"/>
        <w:spacing w:line="367" w:lineRule="auto" w:before="34"/>
        <w:ind w:right="0"/>
        <w:jc w:val="left"/>
      </w:pPr>
      <w:r>
        <w:rPr>
          <w:spacing w:val="-2"/>
        </w:rPr>
        <w:t>统而长期的工程，需要不断持续改进，公司愿意接受各方监督，不断完善公司治理制度体系，加强内控制</w:t>
      </w:r>
      <w:r>
        <w:rPr>
          <w:spacing w:val="-50"/>
        </w:rPr>
        <w:t> </w:t>
      </w:r>
      <w:r>
        <w:rPr>
          <w:spacing w:val="-50"/>
        </w:rPr>
      </w:r>
      <w:r>
        <w:rPr/>
        <w:t>度的执行，促进公司健康稳健发展，提高公司整体竞争力。</w:t>
      </w:r>
    </w:p>
    <w:p>
      <w:pPr>
        <w:spacing w:line="367" w:lineRule="auto" w:before="34"/>
        <w:ind w:left="737" w:right="0" w:hanging="84"/>
        <w:jc w:val="left"/>
        <w:rPr>
          <w:rFonts w:ascii="宋体" w:hAnsi="宋体" w:cs="宋体" w:eastAsia="宋体" w:hint="default"/>
          <w:sz w:val="21"/>
          <w:szCs w:val="21"/>
        </w:rPr>
      </w:pPr>
      <w:r>
        <w:rPr>
          <w:rFonts w:ascii="宋体" w:hAnsi="宋体" w:cs="宋体" w:eastAsia="宋体" w:hint="default"/>
          <w:b/>
          <w:bCs/>
          <w:sz w:val="21"/>
          <w:szCs w:val="21"/>
        </w:rPr>
        <w:t>（七）关于绩效评价与激励约束机制</w:t>
      </w:r>
      <w:r>
        <w:rPr>
          <w:rFonts w:ascii="宋体" w:hAnsi="宋体" w:cs="宋体" w:eastAsia="宋体" w:hint="default"/>
          <w:b/>
          <w:bCs/>
          <w:w w:val="100"/>
          <w:sz w:val="21"/>
          <w:szCs w:val="21"/>
        </w:rPr>
        <w:t> </w:t>
      </w:r>
      <w:r>
        <w:rPr>
          <w:rFonts w:ascii="宋体" w:hAnsi="宋体" w:cs="宋体" w:eastAsia="宋体" w:hint="default"/>
          <w:spacing w:val="-2"/>
          <w:sz w:val="21"/>
          <w:szCs w:val="21"/>
        </w:rPr>
        <w:t>公司建立了公正、透明、有效的董事、监事和高级管理人员的绩效评价标准和激励约束机制，公司</w:t>
      </w:r>
    </w:p>
    <w:p>
      <w:pPr>
        <w:pStyle w:val="BodyText"/>
        <w:spacing w:line="367" w:lineRule="auto" w:before="34"/>
        <w:ind w:right="1126"/>
        <w:jc w:val="both"/>
      </w:pPr>
      <w:r>
        <w:rPr>
          <w:spacing w:val="-2"/>
        </w:rPr>
        <w:t>高级管理人员的聘任公开、透明，严格按照有关法律法规的规定进行。公司未来还将探索更多形式的激励</w:t>
      </w:r>
      <w:r>
        <w:rPr>
          <w:spacing w:val="-43"/>
        </w:rPr>
        <w:t> </w:t>
      </w:r>
      <w:r>
        <w:rPr>
          <w:spacing w:val="-43"/>
        </w:rPr>
      </w:r>
      <w:r>
        <w:rPr>
          <w:spacing w:val="-2"/>
        </w:rPr>
        <w:t>方式，形成多层次的综合激励机制，完善绩效评价标准，更好地调动管理人员的工作积极性，吸引和稳定</w:t>
      </w:r>
      <w:r>
        <w:rPr>
          <w:spacing w:val="-50"/>
        </w:rPr>
        <w:t> </w:t>
      </w:r>
      <w:r>
        <w:rPr>
          <w:spacing w:val="-50"/>
        </w:rPr>
      </w:r>
      <w:r>
        <w:rPr/>
        <w:t>优秀管理人才和技术、业务骨干。</w:t>
      </w:r>
    </w:p>
    <w:p>
      <w:pPr>
        <w:spacing w:line="240" w:lineRule="auto" w:before="3"/>
        <w:rPr>
          <w:rFonts w:ascii="宋体" w:hAnsi="宋体" w:cs="宋体" w:eastAsia="宋体" w:hint="default"/>
          <w:sz w:val="23"/>
          <w:szCs w:val="23"/>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24" w:lineRule="auto" w:before="115"/>
        <w:ind w:left="172" w:right="4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宋体" w:hAnsi="宋体" w:cs="宋体" w:eastAsia="宋体" w:hint="default"/>
          <w:sz w:val="21"/>
          <w:szCs w:val="21"/>
        </w:rPr>
        <w:t>公司治理与《公司法》和中国证监会相关规定的要求不存在差异。</w:t>
      </w:r>
      <w:r>
        <w:rPr>
          <w:rFonts w:ascii="宋体" w:hAnsi="宋体" w:cs="宋体" w:eastAsia="宋体" w:hint="default"/>
          <w:w w:val="100"/>
          <w:sz w:val="21"/>
          <w:szCs w:val="21"/>
        </w:rPr>
        <w:t> </w:t>
      </w:r>
      <w:r>
        <w:rPr>
          <w:rFonts w:ascii="宋体" w:hAnsi="宋体" w:cs="宋体" w:eastAsia="宋体" w:hint="default"/>
          <w:sz w:val="18"/>
          <w:szCs w:val="18"/>
        </w:rPr>
        <w:t>公司治理专项活动开展情况以及内幕信息知情人登记管理制度的制定、实施情况</w:t>
      </w:r>
    </w:p>
    <w:p>
      <w:pPr>
        <w:pStyle w:val="BodyText"/>
        <w:spacing w:line="362" w:lineRule="auto" w:before="134"/>
        <w:ind w:right="1125" w:firstLine="451"/>
        <w:jc w:val="left"/>
      </w:pPr>
      <w:r>
        <w:rPr>
          <w:rFonts w:ascii="Times New Roman" w:hAnsi="Times New Roman" w:cs="Times New Roman" w:eastAsia="Times New Roman" w:hint="default"/>
          <w:spacing w:val="-3"/>
          <w:w w:val="100"/>
        </w:rPr>
        <w:t>1</w:t>
      </w:r>
      <w:r>
        <w:rPr>
          <w:spacing w:val="-3"/>
          <w:w w:val="100"/>
        </w:rPr>
        <w:t>、根据深圳证券交易所</w:t>
      </w:r>
      <w:r>
        <w:rPr>
          <w:spacing w:val="-71"/>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20"/>
          <w:w w:val="100"/>
        </w:rPr>
        <w:t> </w:t>
      </w:r>
      <w:r>
        <w:rPr>
          <w:w w:val="100"/>
        </w:rPr>
        <w:t>年</w:t>
      </w:r>
      <w:r>
        <w:rPr>
          <w:spacing w:val="-71"/>
          <w:w w:val="100"/>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18"/>
          <w:w w:val="100"/>
        </w:rPr>
        <w:t> </w:t>
      </w:r>
      <w:r>
        <w:rPr>
          <w:spacing w:val="-2"/>
          <w:w w:val="100"/>
        </w:rPr>
        <w:t>月下发的《关于开展</w:t>
      </w:r>
      <w:r>
        <w:rPr>
          <w:rFonts w:ascii="Times New Roman" w:hAnsi="Times New Roman" w:cs="Times New Roman" w:eastAsia="Times New Roman" w:hint="default"/>
          <w:spacing w:val="-2"/>
          <w:w w:val="100"/>
        </w:rPr>
        <w:t>―</w:t>
      </w:r>
      <w:r>
        <w:rPr>
          <w:spacing w:val="-2"/>
          <w:w w:val="100"/>
        </w:rPr>
        <w:t>加强中小企业板上市公司内控规则落实</w:t>
      </w:r>
      <w:r>
        <w:rPr>
          <w:rFonts w:ascii="Times New Roman" w:hAnsi="Times New Roman" w:cs="Times New Roman" w:eastAsia="Times New Roman" w:hint="default"/>
          <w:spacing w:val="-2"/>
          <w:w w:val="100"/>
        </w:rPr>
        <w:t>‖</w:t>
      </w:r>
      <w:r>
        <w:rPr>
          <w:spacing w:val="-2"/>
          <w:w w:val="100"/>
        </w:rPr>
        <w:t>专项</w:t>
      </w:r>
      <w:r>
        <w:rPr>
          <w:spacing w:val="-3"/>
          <w:w w:val="100"/>
        </w:rPr>
        <w:t> </w:t>
      </w:r>
      <w:r>
        <w:rPr>
          <w:spacing w:val="-4"/>
          <w:w w:val="100"/>
        </w:rPr>
        <w:t>活动的通知》，公司董事会对照深圳证券交易所有关内部控制的相关规则，依据公司实际情况，认真核查</w:t>
      </w:r>
      <w:r>
        <w:rPr>
          <w:spacing w:val="-91"/>
          <w:w w:val="100"/>
        </w:rPr>
        <w:t> </w:t>
      </w:r>
      <w:r>
        <w:rPr>
          <w:spacing w:val="-91"/>
          <w:w w:val="100"/>
        </w:rPr>
      </w:r>
      <w:r>
        <w:rPr>
          <w:spacing w:val="-4"/>
          <w:w w:val="100"/>
        </w:rPr>
        <w:t>了公司内部控制制度的制定和运行情况，填写了《中小企业板上市公司内控规则落实自查表》，并针对不</w:t>
      </w:r>
      <w:r>
        <w:rPr>
          <w:spacing w:val="-91"/>
          <w:w w:val="100"/>
        </w:rPr>
        <w:t> </w:t>
      </w:r>
      <w:r>
        <w:rPr>
          <w:spacing w:val="-91"/>
          <w:w w:val="100"/>
        </w:rPr>
      </w:r>
      <w:r>
        <w:rPr>
          <w:spacing w:val="-2"/>
        </w:rPr>
        <w:t>足之处编制了《江苏丰东热技术股份有限公司内部控制规则落实情况自查表》及整改计划，已经第二届董</w:t>
      </w:r>
      <w:r>
        <w:rPr>
          <w:spacing w:val="-44"/>
        </w:rPr>
        <w:t> </w:t>
      </w:r>
      <w:r>
        <w:rPr>
          <w:spacing w:val="-44"/>
        </w:rPr>
      </w:r>
      <w:r>
        <w:rPr/>
        <w:t>事会第九次会议审议通过，详见公告编号为</w:t>
      </w:r>
      <w:r>
        <w:rPr>
          <w:spacing w:val="-47"/>
        </w:rPr>
        <w:t> </w:t>
      </w:r>
      <w:r>
        <w:rPr>
          <w:rFonts w:ascii="Times New Roman" w:hAnsi="Times New Roman" w:cs="Times New Roman" w:eastAsia="Times New Roman" w:hint="default"/>
          <w:spacing w:val="-3"/>
        </w:rPr>
        <w:t>2011-041</w:t>
      </w:r>
      <w:r>
        <w:rPr>
          <w:rFonts w:ascii="Times New Roman" w:hAnsi="Times New Roman" w:cs="Times New Roman" w:eastAsia="Times New Roman" w:hint="default"/>
          <w:spacing w:val="5"/>
        </w:rPr>
        <w:t> </w:t>
      </w:r>
      <w:r>
        <w:rPr/>
        <w:t>的公告。</w:t>
      </w:r>
    </w:p>
    <w:p>
      <w:pPr>
        <w:pStyle w:val="BodyText"/>
        <w:spacing w:line="240" w:lineRule="auto" w:before="54"/>
        <w:ind w:left="593" w:right="0"/>
        <w:jc w:val="left"/>
      </w:pPr>
      <w:r>
        <w:rPr>
          <w:rFonts w:ascii="Times New Roman" w:hAnsi="Times New Roman" w:cs="Times New Roman" w:eastAsia="Times New Roman" w:hint="default"/>
        </w:rPr>
        <w:t>2</w:t>
      </w:r>
      <w:r>
        <w:rPr/>
        <w:t>、保荐机构万联证券有限责任公司的保荐代表人对我公司《江苏丰东热技术股份有限公司内部控制</w:t>
      </w:r>
    </w:p>
    <w:p>
      <w:pPr>
        <w:spacing w:after="0" w:line="240" w:lineRule="auto"/>
        <w:jc w:val="left"/>
        <w:sectPr>
          <w:footerReference w:type="default" r:id="rId38"/>
          <w:pgSz w:w="11910" w:h="16840"/>
          <w:pgMar w:footer="1340" w:header="706" w:top="1060" w:bottom="1540" w:left="960" w:right="0"/>
          <w:pgNumType w:start="53"/>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364" w:lineRule="auto"/>
        <w:ind w:right="0"/>
        <w:jc w:val="left"/>
      </w:pPr>
      <w:r>
        <w:rPr>
          <w:spacing w:val="-2"/>
        </w:rPr>
        <w:t>规则落实情况自查表》和整改计划出具了核查意见。按照《江苏丰东热技术股份有限公司内部控制规则落</w:t>
      </w:r>
      <w:r>
        <w:rPr>
          <w:spacing w:val="-45"/>
        </w:rPr>
        <w:t> </w:t>
      </w:r>
      <w:r>
        <w:rPr>
          <w:spacing w:val="-45"/>
        </w:rPr>
      </w:r>
      <w:r>
        <w:rPr>
          <w:spacing w:val="-5"/>
          <w:w w:val="100"/>
        </w:rPr>
        <w:t>实情况自查表》及整改计划的要求，公司制定了《风险投资管理制度》。</w:t>
      </w:r>
    </w:p>
    <w:p>
      <w:pPr>
        <w:pStyle w:val="BodyText"/>
        <w:spacing w:line="357" w:lineRule="auto" w:before="79"/>
        <w:ind w:right="1019" w:firstLine="420"/>
        <w:jc w:val="left"/>
      </w:pPr>
      <w:r>
        <w:rPr>
          <w:rFonts w:ascii="Times New Roman" w:hAnsi="Times New Roman" w:cs="Times New Roman" w:eastAsia="Times New Roman" w:hint="default"/>
        </w:rPr>
        <w:t>3</w:t>
      </w:r>
      <w:r>
        <w:rPr/>
        <w:t>、报告期内，公司能够按照《内幕信息知情人登记管理制度》和《外部信息使用人管理制度》的要</w:t>
      </w:r>
      <w:r>
        <w:rPr>
          <w:w w:val="100"/>
        </w:rPr>
        <w:t> </w:t>
      </w:r>
      <w:r>
        <w:rPr>
          <w:spacing w:val="-5"/>
        </w:rPr>
        <w:t>求，做好内幕信息管理以及内幕信息知情人登记工作，能够如实、完整记录内幕信息在公开披露前的报告、</w:t>
      </w:r>
      <w:r>
        <w:rPr>
          <w:spacing w:val="-6"/>
        </w:rPr>
        <w:t> </w:t>
      </w:r>
      <w:r>
        <w:rPr>
          <w:spacing w:val="-6"/>
        </w:rPr>
      </w:r>
      <w:r>
        <w:rPr>
          <w:spacing w:val="-2"/>
        </w:rPr>
        <w:t>传递、编制、审核、披露等各环节所有内幕信息知情人名单。定期报告披露期间，公司对董事、监事、高</w:t>
      </w:r>
      <w:r>
        <w:rPr>
          <w:spacing w:val="-46"/>
        </w:rPr>
        <w:t> </w:t>
      </w:r>
      <w:r>
        <w:rPr>
          <w:spacing w:val="-46"/>
        </w:rPr>
      </w:r>
      <w:r>
        <w:rPr/>
        <w:t>级管理人员及其他内幕信息知情人员在定期报告公告前</w:t>
      </w:r>
      <w:r>
        <w:rPr>
          <w:spacing w:val="-49"/>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spacing w:val="-7"/>
        </w:rPr>
        <w:t>日内、业绩预告和业绩快报公告前</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日内以及</w:t>
      </w:r>
      <w:r>
        <w:rPr>
          <w:spacing w:val="-97"/>
        </w:rPr>
        <w:t> </w:t>
      </w:r>
      <w:r>
        <w:rPr>
          <w:spacing w:val="-97"/>
        </w:rPr>
      </w:r>
      <w:r>
        <w:rPr>
          <w:spacing w:val="-2"/>
        </w:rPr>
        <w:t>其他重大事项披露期间等敏感期内买卖公司股票的情况进行自查，没有发现相关人员利用内幕信息从事内</w:t>
      </w:r>
      <w:r>
        <w:rPr>
          <w:spacing w:val="-43"/>
        </w:rPr>
        <w:t> </w:t>
      </w:r>
      <w:r>
        <w:rPr>
          <w:spacing w:val="-43"/>
        </w:rPr>
      </w:r>
      <w:r>
        <w:rPr/>
        <w:t>幕交易。</w:t>
      </w:r>
    </w:p>
    <w:p>
      <w:pPr>
        <w:pStyle w:val="BodyText"/>
        <w:spacing w:line="367" w:lineRule="auto" w:before="83"/>
        <w:ind w:right="1124" w:firstLine="422"/>
        <w:jc w:val="left"/>
      </w:pPr>
      <w:r>
        <w:rPr>
          <w:spacing w:val="-2"/>
        </w:rPr>
        <w:t>报告期内，公司无利用内幕信息买卖公司股票、暗示或指使他人买卖公司股票、进行内幕交易或配合</w:t>
      </w:r>
      <w:r>
        <w:rPr>
          <w:w w:val="100"/>
        </w:rPr>
        <w:t> </w:t>
      </w:r>
      <w:r>
        <w:rPr>
          <w:spacing w:val="-2"/>
        </w:rPr>
        <w:t>他人操纵证券交易价格的情形；公司董事、监事、高级管理人员无违规买卖公司股票的情形。公司及相关</w:t>
      </w:r>
      <w:r>
        <w:rPr>
          <w:spacing w:val="-44"/>
        </w:rPr>
        <w:t> </w:t>
      </w:r>
      <w:r>
        <w:rPr>
          <w:spacing w:val="-44"/>
        </w:rPr>
      </w:r>
      <w:r>
        <w:rPr/>
        <w:t>人员未发生因内幕信息知情人登记管理制度执行不力或涉嫌内幕交易被监管部门采取监管措施及行政处</w:t>
      </w:r>
      <w:r>
        <w:rPr>
          <w:w w:val="100"/>
        </w:rPr>
        <w:t> </w:t>
      </w:r>
      <w:r>
        <w:rPr/>
        <w:t>罚的情况。</w:t>
      </w:r>
    </w:p>
    <w:p>
      <w:pPr>
        <w:spacing w:line="240" w:lineRule="auto" w:before="11"/>
        <w:rPr>
          <w:rFonts w:ascii="宋体" w:hAnsi="宋体" w:cs="宋体" w:eastAsia="宋体" w:hint="default"/>
          <w:sz w:val="15"/>
          <w:szCs w:val="15"/>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67" w:type="dxa"/>
        <w:tblLayout w:type="fixed"/>
        <w:tblCellMar>
          <w:top w:w="0" w:type="dxa"/>
          <w:left w:w="0" w:type="dxa"/>
          <w:bottom w:w="0" w:type="dxa"/>
          <w:right w:w="0" w:type="dxa"/>
        </w:tblCellMar>
        <w:tblLook w:val="01E0"/>
      </w:tblPr>
      <w:tblGrid>
        <w:gridCol w:w="994"/>
        <w:gridCol w:w="991"/>
        <w:gridCol w:w="4112"/>
        <w:gridCol w:w="991"/>
        <w:gridCol w:w="886"/>
        <w:gridCol w:w="1594"/>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1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1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 股东大会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年度董事会工作报告</w:t>
            </w:r>
          </w:p>
          <w:p>
            <w:pPr>
              <w:pStyle w:val="TableParagraph"/>
              <w:spacing w:line="24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年度监事会工作报告</w:t>
            </w:r>
          </w:p>
          <w:p>
            <w:pPr>
              <w:pStyle w:val="TableParagraph"/>
              <w:spacing w:line="24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年年度报告及摘要</w:t>
            </w:r>
          </w:p>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年度财务决算报告</w:t>
            </w:r>
          </w:p>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年度利润分配预案</w:t>
            </w:r>
          </w:p>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年度财务预算报告</w:t>
            </w:r>
          </w:p>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年度募集资金存放与使用情况的专项报告</w:t>
            </w:r>
          </w:p>
          <w:p>
            <w:pPr>
              <w:pStyle w:val="TableParagraph"/>
              <w:spacing w:line="243" w:lineRule="exact" w:before="3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年度内部控制自我评价报告</w:t>
            </w:r>
          </w:p>
          <w:p>
            <w:pPr>
              <w:pStyle w:val="TableParagraph"/>
              <w:spacing w:line="24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、关于公司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年预计日常关联交易的议案</w:t>
            </w:r>
          </w:p>
          <w:p>
            <w:pPr>
              <w:pStyle w:val="TableParagraph"/>
              <w:spacing w:line="245" w:lineRule="exact" w:before="3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、关于公司续聘会计师事务所的议案</w:t>
            </w:r>
          </w:p>
          <w:p>
            <w:pPr>
              <w:pStyle w:val="TableParagraph"/>
              <w:spacing w:line="239"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、关于增加公司注册资本的议案</w:t>
            </w:r>
          </w:p>
          <w:p>
            <w:pPr>
              <w:pStyle w:val="TableParagraph"/>
              <w:spacing w:line="24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、关于修改公司章程的议案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3" w:right="55"/>
              <w:jc w:val="both"/>
              <w:rPr>
                <w:rFonts w:ascii="宋体" w:hAnsi="宋体" w:cs="宋体" w:eastAsia="宋体" w:hint="default"/>
                <w:sz w:val="18"/>
                <w:szCs w:val="18"/>
              </w:rPr>
            </w:pPr>
            <w:r>
              <w:rPr>
                <w:rFonts w:ascii="宋体" w:hAnsi="宋体" w:cs="宋体" w:eastAsia="宋体" w:hint="default"/>
                <w:sz w:val="18"/>
                <w:szCs w:val="18"/>
              </w:rPr>
              <w:t>会议以记名 投票方式进 行表决，审 议通过了有 关议案</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6"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公告编号：</w:t>
            </w:r>
            <w:r>
              <w:rPr>
                <w:rFonts w:ascii="Times New Roman" w:hAnsi="Times New Roman" w:cs="Times New Roman" w:eastAsia="Times New Roman" w:hint="default"/>
                <w:spacing w:val="-5"/>
                <w:sz w:val="18"/>
                <w:szCs w:val="18"/>
              </w:rPr>
              <w:t>2012-012</w:t>
            </w:r>
          </w:p>
          <w:p>
            <w:pPr>
              <w:pStyle w:val="TableParagraph"/>
              <w:spacing w:line="240" w:lineRule="exact" w:before="15"/>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w:t>
            </w:r>
            <w:r>
              <w:rPr>
                <w:rFonts w:ascii="宋体" w:hAnsi="宋体" w:cs="宋体" w:eastAsia="宋体" w:hint="default"/>
                <w:spacing w:val="-10"/>
                <w:sz w:val="18"/>
                <w:szCs w:val="18"/>
              </w:rPr>
              <w:t>大会决议公告》刊登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pacing w:val="-27"/>
                <w:sz w:val="18"/>
                <w:szCs w:val="18"/>
              </w:rPr>
              <w:t>日《证券时报》、《上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海证券报》及巨潮资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讯网</w:t>
            </w:r>
          </w:p>
          <w:p>
            <w:pPr>
              <w:pStyle w:val="TableParagraph"/>
              <w:spacing w:line="238" w:lineRule="exact" w:before="1"/>
              <w:ind w:left="23" w:right="31"/>
              <w:jc w:val="left"/>
              <w:rPr>
                <w:rFonts w:ascii="宋体" w:hAnsi="宋体" w:cs="宋体" w:eastAsia="宋体" w:hint="default"/>
                <w:sz w:val="18"/>
                <w:szCs w:val="18"/>
              </w:rPr>
            </w:pPr>
            <w:hyperlink r:id="rId39">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上</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7" w:type="dxa"/>
        <w:tblLayout w:type="fixed"/>
        <w:tblCellMar>
          <w:top w:w="0" w:type="dxa"/>
          <w:left w:w="0" w:type="dxa"/>
          <w:bottom w:w="0" w:type="dxa"/>
          <w:right w:w="0" w:type="dxa"/>
        </w:tblCellMar>
        <w:tblLook w:val="01E0"/>
      </w:tblPr>
      <w:tblGrid>
        <w:gridCol w:w="994"/>
        <w:gridCol w:w="991"/>
        <w:gridCol w:w="3829"/>
        <w:gridCol w:w="1133"/>
        <w:gridCol w:w="853"/>
        <w:gridCol w:w="2126"/>
      </w:tblGrid>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88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307" w:lineRule="auto"/>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年第一 次临时股东 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、公司未来三年（</w:t>
            </w:r>
            <w:r>
              <w:rPr>
                <w:rFonts w:ascii="Times New Roman" w:hAnsi="Times New Roman" w:cs="Times New Roman" w:eastAsia="Times New Roman" w:hint="default"/>
                <w:sz w:val="18"/>
                <w:szCs w:val="18"/>
              </w:rPr>
              <w:t>2012-2014</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年）股东回报规划</w:t>
            </w:r>
          </w:p>
          <w:p>
            <w:pPr>
              <w:pStyle w:val="TableParagraph"/>
              <w:spacing w:line="24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、关于修订《公司章程》的议案</w:t>
            </w:r>
          </w:p>
          <w:p>
            <w:pPr>
              <w:pStyle w:val="TableParagraph"/>
              <w:spacing w:line="239"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、关于补充修订《公司章程》的议案</w:t>
            </w:r>
          </w:p>
          <w:p>
            <w:pPr>
              <w:pStyle w:val="TableParagraph"/>
              <w:spacing w:line="24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、关于修订《公司董事会议事规则》的议案</w:t>
            </w:r>
          </w:p>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、关于修订《公司监事会议事规则》的议案</w:t>
            </w:r>
          </w:p>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、公司利润分配管理制度</w:t>
            </w:r>
          </w:p>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、关于修订《公司投资管理制度》的议案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经股东大会 审议，以现场 投票方式通 过了有关议 案</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8"/>
              <w:ind w:left="23" w:right="18"/>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公告编号：</w:t>
            </w:r>
            <w:r>
              <w:rPr>
                <w:rFonts w:ascii="Times New Roman" w:hAnsi="Times New Roman" w:cs="Times New Roman" w:eastAsia="Times New Roman" w:hint="default"/>
                <w:spacing w:val="-6"/>
                <w:sz w:val="18"/>
                <w:szCs w:val="18"/>
              </w:rPr>
              <w:t>2012-027</w:t>
            </w:r>
            <w:r>
              <w:rPr>
                <w:rFonts w:ascii="Times New Roman" w:hAnsi="Times New Roman" w:cs="Times New Roman" w:eastAsia="Times New Roman" w:hint="default"/>
                <w:spacing w:val="-26"/>
                <w:sz w:val="18"/>
                <w:szCs w:val="18"/>
              </w:rPr>
              <w:t> </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年第一次临时股东大会决 议公告》刊登在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4"/>
                <w:sz w:val="18"/>
                <w:szCs w:val="18"/>
              </w:rPr>
              <w:t>日《上海证券报》《、证</w:t>
            </w:r>
            <w:r>
              <w:rPr>
                <w:rFonts w:ascii="宋体" w:hAnsi="宋体" w:cs="宋体" w:eastAsia="宋体" w:hint="default"/>
                <w:sz w:val="18"/>
                <w:szCs w:val="18"/>
              </w:rPr>
              <w:t> 券时报》及巨潮资讯网 </w:t>
            </w:r>
            <w:hyperlink r:id="rId21">
              <w:r>
                <w:rPr>
                  <w:rFonts w:ascii="Times New Roman" w:hAnsi="Times New Roman" w:cs="Times New Roman" w:eastAsia="Times New Roman" w:hint="default"/>
                  <w:sz w:val="18"/>
                  <w:szCs w:val="18"/>
                </w:rPr>
                <w:t>http://www.cninfo.com.cn</w:t>
              </w:r>
            </w:hyperlink>
          </w:p>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z w:val="18"/>
                <w:szCs w:val="18"/>
              </w:rPr>
              <w:t>上</w:t>
            </w:r>
          </w:p>
        </w:tc>
      </w:tr>
    </w:tbl>
    <w:p>
      <w:pPr>
        <w:spacing w:after="0" w:line="215" w:lineRule="exact"/>
        <w:jc w:val="left"/>
        <w:rPr>
          <w:rFonts w:ascii="宋体" w:hAnsi="宋体" w:cs="宋体" w:eastAsia="宋体" w:hint="default"/>
          <w:sz w:val="18"/>
          <w:szCs w:val="18"/>
        </w:rPr>
        <w:sectPr>
          <w:pgSz w:w="11910" w:h="16840"/>
          <w:pgMar w:header="706" w:footer="1340" w:top="1060" w:bottom="1540" w:left="96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7"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李心合</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徐跃明</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 </w:t>
            </w:r>
            <w:r>
              <w:rPr>
                <w:rFonts w:ascii="宋体" w:hAnsi="宋体" w:cs="宋体" w:eastAsia="宋体" w:hint="default"/>
                <w:spacing w:val="2"/>
                <w:sz w:val="18"/>
                <w:szCs w:val="18"/>
              </w:rPr>
              <w:t> </w:t>
            </w:r>
            <w:r>
              <w:rPr>
                <w:rFonts w:ascii="宋体" w:hAnsi="宋体" w:cs="宋体" w:eastAsia="宋体" w:hint="default"/>
                <w:sz w:val="18"/>
                <w:szCs w:val="18"/>
              </w:rPr>
              <w:t>辕</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before="117"/>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240" w:lineRule="auto" w:before="83"/>
        <w:ind w:right="0"/>
        <w:jc w:val="left"/>
      </w:pPr>
      <w:r>
        <w:rPr/>
        <w:t>报告期内独立董事对公司有关事项未提出异议。</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17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spacing w:line="240" w:lineRule="auto" w:before="5"/>
        <w:rPr>
          <w:rFonts w:ascii="宋体" w:hAnsi="宋体" w:cs="宋体" w:eastAsia="宋体" w:hint="default"/>
          <w:sz w:val="15"/>
          <w:szCs w:val="15"/>
        </w:rPr>
      </w:pPr>
    </w:p>
    <w:p>
      <w:pPr>
        <w:pStyle w:val="BodyText"/>
        <w:spacing w:line="364" w:lineRule="auto"/>
        <w:ind w:right="1105" w:firstLine="336"/>
        <w:jc w:val="both"/>
      </w:pPr>
      <w:r>
        <w:rPr/>
        <w:t>在</w:t>
      </w:r>
      <w:r>
        <w:rPr>
          <w:rFonts w:ascii="Times New Roman" w:hAnsi="Times New Roman" w:cs="Times New Roman" w:eastAsia="Times New Roman" w:hint="default"/>
        </w:rPr>
        <w:t>2012</w:t>
      </w:r>
      <w:r>
        <w:rPr/>
        <w:t>年度，独立董事对公司进行了多次实地现场考察，了解公司的生产经营情况和财务状况；并通</w:t>
      </w:r>
      <w:r>
        <w:rPr>
          <w:w w:val="100"/>
        </w:rPr>
        <w:t> </w:t>
      </w:r>
      <w:r>
        <w:rPr>
          <w:spacing w:val="-2"/>
        </w:rPr>
        <w:t>过电话和邮件，独立董事积极与公司其他董事、高管人员及相关工作人员保持密切联系，时刻关注国际经</w:t>
      </w:r>
      <w:r>
        <w:rPr>
          <w:spacing w:val="-44"/>
        </w:rPr>
        <w:t> </w:t>
      </w:r>
      <w:r>
        <w:rPr>
          <w:spacing w:val="-44"/>
        </w:rPr>
      </w:r>
      <w:r>
        <w:rPr>
          <w:spacing w:val="-2"/>
        </w:rPr>
        <w:t>济形势以及外部市场变化对公司经营状况的影响，关注传媒、网络有关公司的相关报道，及时获悉公司各</w:t>
      </w:r>
      <w:r>
        <w:rPr>
          <w:spacing w:val="-43"/>
        </w:rPr>
        <w:t> </w:t>
      </w:r>
      <w:r>
        <w:rPr>
          <w:spacing w:val="-43"/>
        </w:rPr>
      </w:r>
      <w:r>
        <w:rPr>
          <w:spacing w:val="-2"/>
        </w:rPr>
        <w:t>重大事项的进展情况，定期审阅公司提供的信息报告，及时了解掌握公司经营与发展情况，深入探讨公司</w:t>
      </w:r>
      <w:r>
        <w:rPr>
          <w:spacing w:val="-44"/>
        </w:rPr>
        <w:t> </w:t>
      </w:r>
      <w:r>
        <w:rPr>
          <w:spacing w:val="-44"/>
        </w:rPr>
      </w:r>
      <w:r>
        <w:rPr>
          <w:spacing w:val="-2"/>
        </w:rPr>
        <w:t>经营发展中的机遇与挑战，及时提示风险。本年度重点关注公司的募投项目进展情况、主营业务经营状况</w:t>
      </w:r>
      <w:r>
        <w:rPr>
          <w:spacing w:val="-44"/>
        </w:rPr>
        <w:t> </w:t>
      </w:r>
      <w:r>
        <w:rPr>
          <w:spacing w:val="-44"/>
        </w:rPr>
      </w:r>
      <w:r>
        <w:rPr>
          <w:spacing w:val="-2"/>
        </w:rPr>
        <w:t>和发展趋势等重大经营活动，掌握公司的运行动态，在充分掌握实际情况的基础上提出相关意见与建议，</w:t>
      </w:r>
      <w:r>
        <w:rPr>
          <w:spacing w:val="-21"/>
        </w:rPr>
        <w:t> </w:t>
      </w:r>
      <w:r>
        <w:rPr>
          <w:spacing w:val="-21"/>
        </w:rPr>
      </w:r>
      <w:r>
        <w:rPr/>
        <w:t>为独立董事对董事会各项议案的审议表决、对重大事项发表独立意见提供了有力的支持。</w:t>
      </w:r>
    </w:p>
    <w:p>
      <w:pPr>
        <w:spacing w:line="240" w:lineRule="auto" w:before="11"/>
        <w:rPr>
          <w:rFonts w:ascii="宋体" w:hAnsi="宋体" w:cs="宋体" w:eastAsia="宋体" w:hint="default"/>
          <w:sz w:val="15"/>
          <w:szCs w:val="15"/>
        </w:rPr>
      </w:pPr>
    </w:p>
    <w:p>
      <w:pPr>
        <w:pStyle w:val="Heading2"/>
        <w:spacing w:line="240" w:lineRule="auto"/>
        <w:ind w:right="0"/>
        <w:jc w:val="left"/>
        <w:rPr>
          <w:b w:val="0"/>
          <w:bCs w:val="0"/>
        </w:rPr>
      </w:pPr>
      <w:r>
        <w:rPr/>
        <w:t>四、董事会下设专门委员会在报告期内履行职责情况</w:t>
      </w:r>
      <w:r>
        <w:rPr>
          <w:b w:val="0"/>
          <w:bCs w:val="0"/>
        </w:rPr>
      </w:r>
    </w:p>
    <w:p>
      <w:pPr>
        <w:spacing w:line="240" w:lineRule="auto" w:before="8"/>
        <w:rPr>
          <w:rFonts w:ascii="宋体" w:hAnsi="宋体" w:cs="宋体" w:eastAsia="宋体" w:hint="default"/>
          <w:b/>
          <w:bCs/>
          <w:sz w:val="32"/>
          <w:szCs w:val="32"/>
        </w:rPr>
      </w:pPr>
    </w:p>
    <w:p>
      <w:pPr>
        <w:pStyle w:val="BodyText"/>
        <w:spacing w:line="357" w:lineRule="auto"/>
        <w:ind w:right="1126" w:firstLine="420"/>
        <w:jc w:val="both"/>
      </w:pPr>
      <w:r>
        <w:rPr>
          <w:spacing w:val="-2"/>
        </w:rPr>
        <w:t>公司董事会下设四个专门委员会，分别为审计委员会、战略委员会、提名委员会、薪酬委员会。</w:t>
      </w:r>
      <w:r>
        <w:rPr>
          <w:rFonts w:ascii="Times New Roman" w:hAnsi="Times New Roman" w:cs="Times New Roman" w:eastAsia="Times New Roman" w:hint="default"/>
          <w:spacing w:val="-2"/>
        </w:rPr>
        <w:t>2012</w:t>
      </w:r>
      <w:r>
        <w:rPr>
          <w:rFonts w:ascii="Times New Roman" w:hAnsi="Times New Roman" w:cs="Times New Roman" w:eastAsia="Times New Roman" w:hint="default"/>
          <w:w w:val="100"/>
        </w:rPr>
        <w:t> </w:t>
      </w:r>
      <w:r>
        <w:rPr>
          <w:spacing w:val="-2"/>
        </w:rPr>
        <w:t>年各专门委员会本着勤勉尽责的原则，按照有关法律法规、规范性文件及公司各专门委员会工作细则的有</w:t>
      </w:r>
      <w:r>
        <w:rPr>
          <w:spacing w:val="-44"/>
        </w:rPr>
        <w:t> </w:t>
      </w:r>
      <w:r>
        <w:rPr>
          <w:spacing w:val="-44"/>
        </w:rPr>
      </w:r>
      <w:r>
        <w:rPr/>
        <w:t>关规定开展相关工作，报告期内，各专门委员会履职情况如下：</w:t>
      </w:r>
    </w:p>
    <w:p>
      <w:pPr>
        <w:pStyle w:val="BodyText"/>
        <w:spacing w:line="240" w:lineRule="auto" w:before="42"/>
        <w:ind w:left="593" w:right="0"/>
        <w:jc w:val="left"/>
      </w:pPr>
      <w:r>
        <w:rPr>
          <w:rFonts w:ascii="Times New Roman" w:hAnsi="Times New Roman" w:cs="Times New Roman" w:eastAsia="Times New Roman" w:hint="default"/>
        </w:rPr>
        <w:t>1</w:t>
      </w:r>
      <w:r>
        <w:rPr/>
        <w:t>、董事会审计委员会履职情况</w:t>
      </w:r>
    </w:p>
    <w:p>
      <w:pPr>
        <w:spacing w:after="0" w:line="240" w:lineRule="auto"/>
        <w:jc w:val="left"/>
        <w:sectPr>
          <w:pgSz w:w="11910" w:h="16840"/>
          <w:pgMar w:header="706" w:footer="1340" w:top="1060" w:bottom="1540" w:left="96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360" w:lineRule="auto"/>
        <w:ind w:right="0" w:firstLine="420"/>
        <w:jc w:val="left"/>
      </w:pPr>
      <w:r>
        <w:rPr/>
        <w:t>审计委员会根据有关规定积极开展相关工作，认真履行职责。报告期内，审计委员会共召开了</w:t>
      </w:r>
      <w:r>
        <w:rPr>
          <w:rFonts w:ascii="Times New Roman" w:hAnsi="Times New Roman" w:cs="Times New Roman" w:eastAsia="Times New Roman" w:hint="default"/>
        </w:rPr>
        <w:t>6</w:t>
      </w:r>
      <w:r>
        <w:rPr/>
        <w:t>次会</w:t>
      </w:r>
      <w:r>
        <w:rPr>
          <w:spacing w:val="-3"/>
          <w:w w:val="100"/>
        </w:rPr>
        <w:t> </w:t>
      </w:r>
      <w:r>
        <w:rPr>
          <w:spacing w:val="-2"/>
        </w:rPr>
        <w:t>议，审议了公司内部审计部提交的各项内部审计报告，听取了内部审计部年度工作总结和工作计划安排；</w:t>
      </w:r>
      <w:r>
        <w:rPr>
          <w:spacing w:val="-20"/>
        </w:rPr>
        <w:t> </w:t>
      </w:r>
      <w:r>
        <w:rPr>
          <w:spacing w:val="-20"/>
        </w:rPr>
      </w:r>
      <w:r>
        <w:rPr>
          <w:spacing w:val="-2"/>
        </w:rPr>
        <w:t>对公司年度审计、外部审计机构的聘任等事项给予合理的建议；对财务报告、募集资金使用、内部控制建</w:t>
      </w:r>
      <w:r>
        <w:rPr>
          <w:spacing w:val="-47"/>
        </w:rPr>
        <w:t> </w:t>
      </w:r>
      <w:r>
        <w:rPr>
          <w:spacing w:val="-47"/>
        </w:rPr>
      </w:r>
      <w:r>
        <w:rPr/>
        <w:t>设等情况进行审核。</w:t>
      </w:r>
    </w:p>
    <w:p>
      <w:pPr>
        <w:pStyle w:val="BodyText"/>
        <w:spacing w:line="345" w:lineRule="auto" w:before="40"/>
        <w:ind w:left="593" w:right="0" w:firstLine="21"/>
        <w:jc w:val="left"/>
      </w:pPr>
      <w:r>
        <w:rPr>
          <w:rFonts w:ascii="Times New Roman" w:hAnsi="Times New Roman" w:cs="Times New Roman" w:eastAsia="Times New Roman" w:hint="default"/>
        </w:rPr>
        <w:t>2</w:t>
      </w:r>
      <w:r>
        <w:rPr/>
        <w:t>、董事会战略委员会履职情况</w:t>
      </w:r>
      <w:r>
        <w:rPr>
          <w:w w:val="100"/>
        </w:rPr>
        <w:t> </w:t>
      </w:r>
      <w:r>
        <w:rPr>
          <w:spacing w:val="-2"/>
        </w:rPr>
        <w:t>报告期内，战略委员会召开了</w:t>
      </w:r>
      <w:r>
        <w:rPr>
          <w:rFonts w:ascii="Times New Roman" w:hAnsi="Times New Roman" w:cs="Times New Roman" w:eastAsia="Times New Roman" w:hint="default"/>
          <w:spacing w:val="-2"/>
        </w:rPr>
        <w:t>2</w:t>
      </w:r>
      <w:r>
        <w:rPr>
          <w:spacing w:val="-2"/>
        </w:rPr>
        <w:t>次会议，讨论了公司未来发展战略和投资计划，为公司下一步发展指</w:t>
      </w:r>
    </w:p>
    <w:p>
      <w:pPr>
        <w:pStyle w:val="BodyText"/>
        <w:spacing w:line="240" w:lineRule="auto" w:before="27"/>
        <w:ind w:right="0"/>
        <w:jc w:val="both"/>
      </w:pPr>
      <w:r>
        <w:rPr/>
        <w:t>明方向。</w:t>
      </w:r>
    </w:p>
    <w:p>
      <w:pPr>
        <w:pStyle w:val="BodyText"/>
        <w:spacing w:line="345" w:lineRule="auto" w:before="145"/>
        <w:ind w:left="593" w:right="0"/>
        <w:jc w:val="left"/>
      </w:pPr>
      <w:r>
        <w:rPr>
          <w:rFonts w:ascii="Times New Roman" w:hAnsi="Times New Roman" w:cs="Times New Roman" w:eastAsia="Times New Roman" w:hint="default"/>
        </w:rPr>
        <w:t>3</w:t>
      </w:r>
      <w:r>
        <w:rPr/>
        <w:t>、董事会提名委员会履职情况</w:t>
      </w:r>
      <w:r>
        <w:rPr>
          <w:w w:val="100"/>
        </w:rPr>
        <w:t> </w:t>
      </w:r>
      <w:r>
        <w:rPr>
          <w:spacing w:val="-2"/>
        </w:rPr>
        <w:t>报告期内，提名委员会召开了</w:t>
      </w:r>
      <w:r>
        <w:rPr>
          <w:rFonts w:ascii="Times New Roman" w:hAnsi="Times New Roman" w:cs="Times New Roman" w:eastAsia="Times New Roman" w:hint="default"/>
          <w:spacing w:val="-2"/>
        </w:rPr>
        <w:t>2</w:t>
      </w:r>
      <w:r>
        <w:rPr>
          <w:spacing w:val="-2"/>
        </w:rPr>
        <w:t>次会议，关于聘任公司董事会秘书、副总经理，向董事会提出人选的</w:t>
      </w:r>
    </w:p>
    <w:p>
      <w:pPr>
        <w:pStyle w:val="BodyText"/>
        <w:spacing w:line="240" w:lineRule="auto" w:before="27"/>
        <w:ind w:right="0"/>
        <w:jc w:val="both"/>
      </w:pPr>
      <w:r>
        <w:rPr/>
        <w:t>建议。</w:t>
      </w:r>
    </w:p>
    <w:p>
      <w:pPr>
        <w:pStyle w:val="BodyText"/>
        <w:spacing w:line="345" w:lineRule="auto" w:before="145"/>
        <w:ind w:left="509" w:right="0" w:firstLine="84"/>
        <w:jc w:val="left"/>
      </w:pPr>
      <w:r>
        <w:rPr>
          <w:rFonts w:ascii="Times New Roman" w:hAnsi="Times New Roman" w:cs="Times New Roman" w:eastAsia="Times New Roman" w:hint="default"/>
        </w:rPr>
        <w:t>4</w:t>
      </w:r>
      <w:r>
        <w:rPr/>
        <w:t>、董事会薪酬委员会履职情况</w:t>
      </w:r>
      <w:r>
        <w:rPr>
          <w:w w:val="100"/>
        </w:rPr>
        <w:t> </w:t>
      </w:r>
      <w:r>
        <w:rPr>
          <w:spacing w:val="-3"/>
        </w:rPr>
        <w:t>报告期内，薪酬委员会召开了</w:t>
      </w:r>
      <w:r>
        <w:rPr>
          <w:rFonts w:ascii="Times New Roman" w:hAnsi="Times New Roman" w:cs="Times New Roman" w:eastAsia="Times New Roman" w:hint="default"/>
          <w:spacing w:val="-3"/>
        </w:rPr>
        <w:t>1</w:t>
      </w:r>
      <w:r>
        <w:rPr>
          <w:spacing w:val="-3"/>
        </w:rPr>
        <w:t>次会议，对公司现行的董事、监事及高级管理人员的</w:t>
      </w:r>
      <w:r>
        <w:rPr>
          <w:rFonts w:ascii="Times New Roman" w:hAnsi="Times New Roman" w:cs="Times New Roman" w:eastAsia="Times New Roman" w:hint="default"/>
          <w:spacing w:val="-3"/>
        </w:rPr>
        <w:t>2011</w:t>
      </w:r>
      <w:r>
        <w:rPr>
          <w:spacing w:val="-3"/>
        </w:rPr>
        <w:t>年度实际发放</w:t>
      </w:r>
    </w:p>
    <w:p>
      <w:pPr>
        <w:pStyle w:val="BodyText"/>
        <w:spacing w:line="240" w:lineRule="auto" w:before="27"/>
        <w:ind w:right="0"/>
        <w:jc w:val="both"/>
      </w:pPr>
      <w:r>
        <w:rPr/>
        <w:t>薪酬进行了审核，认为公司现行董事、高级管理人员的薪酬相对合理，符合公司发展现状。</w:t>
      </w:r>
    </w:p>
    <w:p>
      <w:pPr>
        <w:spacing w:line="240" w:lineRule="auto" w:before="2"/>
        <w:rPr>
          <w:rFonts w:ascii="宋体" w:hAnsi="宋体" w:cs="宋体" w:eastAsia="宋体" w:hint="default"/>
          <w:sz w:val="24"/>
          <w:szCs w:val="24"/>
        </w:rPr>
      </w:pPr>
    </w:p>
    <w:p>
      <w:pPr>
        <w:pStyle w:val="Heading2"/>
        <w:spacing w:line="240" w:lineRule="auto"/>
        <w:ind w:right="0"/>
        <w:jc w:val="both"/>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spacing w:before="0"/>
        <w:ind w:left="172"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7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7"/>
        <w:rPr>
          <w:rFonts w:ascii="宋体" w:hAnsi="宋体" w:cs="宋体" w:eastAsia="宋体" w:hint="default"/>
          <w:sz w:val="19"/>
          <w:szCs w:val="19"/>
        </w:rPr>
      </w:pPr>
    </w:p>
    <w:p>
      <w:pPr>
        <w:pStyle w:val="Heading2"/>
        <w:spacing w:line="240" w:lineRule="auto"/>
        <w:ind w:right="0"/>
        <w:jc w:val="both"/>
        <w:rPr>
          <w:b w:val="0"/>
          <w:bCs w:val="0"/>
        </w:rPr>
      </w:pPr>
      <w:r>
        <w:rPr/>
        <w:t>六、公司相对于控股股东在业务、人员、资产、机构、财务等方面的独立完整情况</w:t>
      </w:r>
      <w:r>
        <w:rPr>
          <w:b w:val="0"/>
          <w:bCs w:val="0"/>
        </w:rPr>
      </w:r>
    </w:p>
    <w:p>
      <w:pPr>
        <w:spacing w:line="240" w:lineRule="auto" w:before="4"/>
        <w:rPr>
          <w:rFonts w:ascii="宋体" w:hAnsi="宋体" w:cs="宋体" w:eastAsia="宋体" w:hint="default"/>
          <w:b/>
          <w:bCs/>
          <w:sz w:val="31"/>
          <w:szCs w:val="31"/>
        </w:rPr>
      </w:pPr>
    </w:p>
    <w:p>
      <w:pPr>
        <w:pStyle w:val="BodyText"/>
        <w:spacing w:line="350" w:lineRule="auto"/>
        <w:ind w:right="1126" w:firstLine="434"/>
        <w:jc w:val="both"/>
      </w:pPr>
      <w:r>
        <w:rPr>
          <w:spacing w:val="-7"/>
          <w:w w:val="100"/>
        </w:rPr>
        <w:t>公司自设立以来，严格按照《公司法》、《公司章程》及其他法律法规的要求规范运作，公司与控股股</w:t>
      </w:r>
      <w:r>
        <w:rPr>
          <w:w w:val="100"/>
        </w:rPr>
        <w:t> </w:t>
      </w:r>
      <w:r>
        <w:rPr>
          <w:spacing w:val="-2"/>
        </w:rPr>
        <w:t>东大丰市东润投资管理有限公司在业务、人员、资产、机构、财务上完成分开，拥有独立完整的供应、生</w:t>
      </w:r>
      <w:r>
        <w:rPr>
          <w:spacing w:val="-42"/>
        </w:rPr>
        <w:t> </w:t>
      </w:r>
      <w:r>
        <w:rPr>
          <w:spacing w:val="-42"/>
        </w:rPr>
      </w:r>
      <w:r>
        <w:rPr>
          <w:spacing w:val="-2"/>
        </w:rPr>
        <w:t>产和销售业务系统，具有面向市场自主生产经营能力。同时公司控股股东大丰市东润投资管理有限公司未</w:t>
      </w:r>
      <w:r>
        <w:rPr>
          <w:spacing w:val="-43"/>
        </w:rPr>
        <w:t> </w:t>
      </w:r>
      <w:r>
        <w:rPr>
          <w:spacing w:val="-43"/>
        </w:rPr>
      </w:r>
      <w:r>
        <w:rPr/>
        <w:t>以任何形式占用公司的货币资金或其他资产，也不存在为其提供担保的情况。</w:t>
      </w:r>
    </w:p>
    <w:p>
      <w:pPr>
        <w:pStyle w:val="BodyText"/>
        <w:spacing w:line="384" w:lineRule="auto" w:before="70"/>
        <w:ind w:left="607" w:right="0" w:hanging="15"/>
        <w:jc w:val="left"/>
      </w:pPr>
      <w:r>
        <w:rPr/>
        <w:t>（一）业务独立情况</w:t>
      </w:r>
      <w:r>
        <w:rPr>
          <w:w w:val="100"/>
        </w:rPr>
        <w:t> </w:t>
      </w:r>
      <w:r>
        <w:rPr>
          <w:spacing w:val="-3"/>
        </w:rPr>
        <w:t>公司主要从事的业务为热处理设备的研发、生产和销售，以及为机械制造企业提供金属零件的专业热</w:t>
      </w:r>
    </w:p>
    <w:p>
      <w:pPr>
        <w:pStyle w:val="BodyText"/>
        <w:spacing w:line="348" w:lineRule="auto"/>
        <w:ind w:right="1126"/>
        <w:jc w:val="both"/>
      </w:pPr>
      <w:r>
        <w:rPr>
          <w:spacing w:val="-2"/>
        </w:rPr>
        <w:t>处理加工服务。本公司及本公司控股的下属子公司拥有独立的生产及辅助生产系统、采购和销售系统以及</w:t>
      </w:r>
      <w:r>
        <w:rPr>
          <w:spacing w:val="-43"/>
        </w:rPr>
        <w:t> </w:t>
      </w:r>
      <w:r>
        <w:rPr>
          <w:spacing w:val="-43"/>
        </w:rPr>
      </w:r>
      <w:r>
        <w:rPr>
          <w:spacing w:val="-2"/>
        </w:rPr>
        <w:t>独立的研发体系。公司自主经营，业务不依赖于控股股东，也不存在与控股股东之间的同业竞争或关联交</w:t>
      </w:r>
      <w:r>
        <w:rPr>
          <w:spacing w:val="-43"/>
        </w:rPr>
        <w:t> </w:t>
      </w:r>
      <w:r>
        <w:rPr>
          <w:spacing w:val="-43"/>
        </w:rPr>
      </w:r>
      <w:r>
        <w:rPr/>
        <w:t>易。</w:t>
      </w:r>
    </w:p>
    <w:p>
      <w:pPr>
        <w:pStyle w:val="BodyText"/>
        <w:spacing w:line="386" w:lineRule="auto" w:before="70"/>
        <w:ind w:left="607" w:right="0"/>
        <w:jc w:val="left"/>
      </w:pPr>
      <w:r>
        <w:rPr/>
        <w:t>（二）人员独立情况</w:t>
      </w:r>
      <w:r>
        <w:rPr>
          <w:w w:val="100"/>
        </w:rPr>
        <w:t> </w:t>
      </w:r>
      <w:r>
        <w:rPr>
          <w:spacing w:val="-3"/>
        </w:rPr>
        <w:t>公司在劳动、人事及工资管理等方面完全独立。公司总经理、副总经理、财务总监、营销总监、总工</w:t>
      </w:r>
    </w:p>
    <w:p>
      <w:pPr>
        <w:pStyle w:val="BodyText"/>
        <w:spacing w:line="350" w:lineRule="auto"/>
        <w:ind w:right="0"/>
        <w:jc w:val="left"/>
      </w:pPr>
      <w:r>
        <w:rPr>
          <w:spacing w:val="-2"/>
        </w:rPr>
        <w:t>程师、总经理助理和董事会秘书均专职在公司工作并领取薪酬，未在控股股东单位担任除董事、监事以外</w:t>
      </w:r>
      <w:r>
        <w:rPr>
          <w:spacing w:val="-43"/>
        </w:rPr>
        <w:t> </w:t>
      </w:r>
      <w:r>
        <w:rPr>
          <w:spacing w:val="-43"/>
        </w:rPr>
      </w:r>
      <w:r>
        <w:rPr>
          <w:spacing w:val="-9"/>
          <w:w w:val="100"/>
        </w:rPr>
        <w:t>的其他职务，未在控股股东单位领取薪酬。公司董事、监事及高级管理人员的任职，均严格按照《公司法》、</w:t>
      </w:r>
    </w:p>
    <w:p>
      <w:pPr>
        <w:spacing w:after="0" w:line="350" w:lineRule="auto"/>
        <w:jc w:val="left"/>
        <w:sectPr>
          <w:pgSz w:w="11910" w:h="16840"/>
          <w:pgMar w:header="706" w:footer="1340" w:top="1060" w:bottom="1540" w:left="96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50" w:lineRule="auto"/>
        <w:ind w:right="0"/>
        <w:jc w:val="left"/>
      </w:pPr>
      <w:r>
        <w:rPr>
          <w:spacing w:val="-2"/>
        </w:rPr>
        <w:t>《公司章程》等规定的程序推选和任免，不存在控股股东超越公司股东大会、董事会和《公司章程》的规</w:t>
      </w:r>
      <w:r>
        <w:rPr>
          <w:spacing w:val="-43"/>
        </w:rPr>
        <w:t> </w:t>
      </w:r>
      <w:r>
        <w:rPr>
          <w:spacing w:val="-43"/>
        </w:rPr>
      </w:r>
      <w:r>
        <w:rPr/>
        <w:t>定，对董事、监事和高级管理人员作出人事任免决定的情形。</w:t>
      </w:r>
    </w:p>
    <w:p>
      <w:pPr>
        <w:pStyle w:val="BodyText"/>
        <w:spacing w:line="384" w:lineRule="auto" w:before="67"/>
        <w:ind w:left="607" w:right="0"/>
        <w:jc w:val="left"/>
      </w:pPr>
      <w:r>
        <w:rPr/>
        <w:t>（三）资产独立情况</w:t>
      </w:r>
      <w:r>
        <w:rPr>
          <w:w w:val="100"/>
        </w:rPr>
        <w:t> </w:t>
      </w:r>
      <w:r>
        <w:rPr>
          <w:spacing w:val="-3"/>
        </w:rPr>
        <w:t>公司拥有独立完整的研发、采购、生产、销售系统及辅助生产设施，拥有与业务及生产经营相关的房</w:t>
      </w:r>
    </w:p>
    <w:p>
      <w:pPr>
        <w:pStyle w:val="BodyText"/>
        <w:spacing w:line="350" w:lineRule="auto"/>
        <w:ind w:right="1105"/>
        <w:jc w:val="both"/>
      </w:pPr>
      <w:r>
        <w:rPr>
          <w:spacing w:val="-2"/>
        </w:rPr>
        <w:t>产、生产经营设备等固定资产和土地使用权、商标、专利、专有技术等无形资产，独立于控股股东及其他</w:t>
      </w:r>
      <w:r>
        <w:rPr>
          <w:spacing w:val="-43"/>
        </w:rPr>
        <w:t> </w:t>
      </w:r>
      <w:r>
        <w:rPr>
          <w:spacing w:val="-43"/>
        </w:rPr>
      </w:r>
      <w:r>
        <w:rPr>
          <w:spacing w:val="-2"/>
        </w:rPr>
        <w:t>发起人。公司不存在控股股东违规占用本公司资金、资产和其他资源的情形，不存在以承包、委托经营、</w:t>
      </w:r>
      <w:r>
        <w:rPr>
          <w:spacing w:val="-21"/>
        </w:rPr>
        <w:t> </w:t>
      </w:r>
      <w:r>
        <w:rPr>
          <w:spacing w:val="-21"/>
        </w:rPr>
      </w:r>
      <w:r>
        <w:rPr>
          <w:spacing w:val="-2"/>
        </w:rPr>
        <w:t>租赁或其他类似方式依赖控股股东进行生产经营的情况。公司原材料采购和产品销售均由本公司独立面向</w:t>
      </w:r>
      <w:r>
        <w:rPr>
          <w:spacing w:val="-43"/>
        </w:rPr>
        <w:t> </w:t>
      </w:r>
      <w:r>
        <w:rPr>
          <w:spacing w:val="-43"/>
        </w:rPr>
      </w:r>
      <w:r>
        <w:rPr/>
        <w:t>市场自主完成，未依赖控股股东，产购销系统独立完整。</w:t>
      </w:r>
    </w:p>
    <w:p>
      <w:pPr>
        <w:pStyle w:val="BodyText"/>
        <w:spacing w:line="386" w:lineRule="auto" w:before="67"/>
        <w:ind w:left="607" w:right="0"/>
        <w:jc w:val="left"/>
      </w:pPr>
      <w:r>
        <w:rPr/>
        <w:t>（四）机构独立情况</w:t>
      </w:r>
      <w:r>
        <w:rPr>
          <w:w w:val="100"/>
        </w:rPr>
        <w:t> </w:t>
      </w:r>
      <w:r>
        <w:rPr>
          <w:spacing w:val="-3"/>
        </w:rPr>
        <w:t>公司建立健全了包括股东大会、董事会、监事会、总经理相互制衡的法人治理结构，并严格按照《公</w:t>
      </w:r>
    </w:p>
    <w:p>
      <w:pPr>
        <w:pStyle w:val="BodyText"/>
        <w:spacing w:line="286" w:lineRule="exact"/>
        <w:ind w:right="0"/>
        <w:jc w:val="left"/>
        <w:rPr>
          <w:rFonts w:ascii="Times New Roman" w:hAnsi="Times New Roman" w:cs="Times New Roman" w:eastAsia="Times New Roman" w:hint="default"/>
        </w:rPr>
      </w:pPr>
      <w:r>
        <w:rPr>
          <w:w w:val="100"/>
        </w:rPr>
        <w:t>司法</w:t>
      </w:r>
      <w:r>
        <w:rPr>
          <w:spacing w:val="-106"/>
          <w:w w:val="100"/>
        </w:rPr>
        <w:t>》</w:t>
      </w:r>
      <w:r>
        <w:rPr>
          <w:spacing w:val="-132"/>
          <w:w w:val="100"/>
        </w:rPr>
        <w:t>、</w:t>
      </w:r>
      <w:r>
        <w:rPr>
          <w:spacing w:val="-3"/>
          <w:w w:val="100"/>
        </w:rPr>
        <w:t>《</w:t>
      </w:r>
      <w:r>
        <w:rPr>
          <w:w w:val="100"/>
        </w:rPr>
        <w:t>公</w:t>
      </w:r>
      <w:r>
        <w:rPr>
          <w:spacing w:val="-3"/>
          <w:w w:val="100"/>
        </w:rPr>
        <w:t>司</w:t>
      </w:r>
      <w:r>
        <w:rPr>
          <w:w w:val="100"/>
        </w:rPr>
        <w:t>章</w:t>
      </w:r>
      <w:r>
        <w:rPr>
          <w:spacing w:val="-3"/>
          <w:w w:val="100"/>
        </w:rPr>
        <w:t>程</w:t>
      </w:r>
      <w:r>
        <w:rPr>
          <w:spacing w:val="-27"/>
          <w:w w:val="100"/>
        </w:rPr>
        <w:t>》</w:t>
      </w:r>
      <w:r>
        <w:rPr>
          <w:w w:val="100"/>
        </w:rPr>
        <w:t>的</w:t>
      </w:r>
      <w:r>
        <w:rPr>
          <w:spacing w:val="-3"/>
          <w:w w:val="100"/>
        </w:rPr>
        <w:t>规</w:t>
      </w:r>
      <w:r>
        <w:rPr>
          <w:w w:val="100"/>
        </w:rPr>
        <w:t>定履</w:t>
      </w:r>
      <w:r>
        <w:rPr>
          <w:spacing w:val="-3"/>
          <w:w w:val="100"/>
        </w:rPr>
        <w:t>行</w:t>
      </w:r>
      <w:r>
        <w:rPr>
          <w:w w:val="100"/>
        </w:rPr>
        <w:t>各</w:t>
      </w:r>
      <w:r>
        <w:rPr>
          <w:spacing w:val="-3"/>
          <w:w w:val="100"/>
        </w:rPr>
        <w:t>自</w:t>
      </w:r>
      <w:r>
        <w:rPr>
          <w:w w:val="100"/>
        </w:rPr>
        <w:t>的</w:t>
      </w:r>
      <w:r>
        <w:rPr>
          <w:spacing w:val="-3"/>
          <w:w w:val="100"/>
        </w:rPr>
        <w:t>职责</w:t>
      </w:r>
      <w:r>
        <w:rPr>
          <w:spacing w:val="-25"/>
          <w:w w:val="100"/>
        </w:rPr>
        <w:t>；</w:t>
      </w:r>
      <w:r>
        <w:rPr>
          <w:spacing w:val="-3"/>
          <w:w w:val="100"/>
        </w:rPr>
        <w:t>公司</w:t>
      </w:r>
      <w:r>
        <w:rPr>
          <w:w w:val="100"/>
        </w:rPr>
        <w:t>根据</w:t>
      </w:r>
      <w:r>
        <w:rPr>
          <w:spacing w:val="-3"/>
          <w:w w:val="100"/>
        </w:rPr>
        <w:t>生</w:t>
      </w:r>
      <w:r>
        <w:rPr>
          <w:w w:val="100"/>
        </w:rPr>
        <w:t>产</w:t>
      </w:r>
      <w:r>
        <w:rPr>
          <w:spacing w:val="-3"/>
          <w:w w:val="100"/>
        </w:rPr>
        <w:t>经</w:t>
      </w:r>
      <w:r>
        <w:rPr>
          <w:w w:val="100"/>
        </w:rPr>
        <w:t>营</w:t>
      </w:r>
      <w:r>
        <w:rPr>
          <w:spacing w:val="-3"/>
          <w:w w:val="100"/>
        </w:rPr>
        <w:t>管</w:t>
      </w:r>
      <w:r>
        <w:rPr>
          <w:w w:val="100"/>
        </w:rPr>
        <w:t>理</w:t>
      </w:r>
      <w:r>
        <w:rPr>
          <w:spacing w:val="-3"/>
          <w:w w:val="100"/>
        </w:rPr>
        <w:t>需</w:t>
      </w:r>
      <w:r>
        <w:rPr>
          <w:w w:val="100"/>
        </w:rPr>
        <w:t>要</w:t>
      </w:r>
      <w:r>
        <w:rPr>
          <w:spacing w:val="-3"/>
          <w:w w:val="100"/>
        </w:rPr>
        <w:t>设</w:t>
      </w:r>
      <w:r>
        <w:rPr>
          <w:w w:val="100"/>
        </w:rPr>
        <w:t>置了</w:t>
      </w:r>
      <w:r>
        <w:rPr>
          <w:spacing w:val="-3"/>
          <w:w w:val="100"/>
        </w:rPr>
        <w:t>完</w:t>
      </w:r>
      <w:r>
        <w:rPr>
          <w:w w:val="100"/>
        </w:rPr>
        <w:t>全</w:t>
      </w:r>
      <w:r>
        <w:rPr>
          <w:spacing w:val="-3"/>
          <w:w w:val="100"/>
        </w:rPr>
        <w:t>独</w:t>
      </w:r>
      <w:r>
        <w:rPr>
          <w:w w:val="100"/>
        </w:rPr>
        <w:t>立</w:t>
      </w:r>
      <w:r>
        <w:rPr>
          <w:spacing w:val="-3"/>
          <w:w w:val="100"/>
        </w:rPr>
        <w:t>于</w:t>
      </w:r>
      <w:r>
        <w:rPr>
          <w:w w:val="100"/>
        </w:rPr>
        <w:t>控</w:t>
      </w:r>
      <w:r>
        <w:rPr>
          <w:spacing w:val="-3"/>
          <w:w w:val="100"/>
        </w:rPr>
        <w:t>股</w:t>
      </w:r>
      <w:r>
        <w:rPr>
          <w:w w:val="100"/>
        </w:rPr>
        <w:t>股</w:t>
      </w:r>
      <w:r>
        <w:rPr>
          <w:spacing w:val="-3"/>
          <w:w w:val="100"/>
        </w:rPr>
        <w:t>东</w:t>
      </w:r>
      <w:r>
        <w:rPr>
          <w:w w:val="100"/>
        </w:rPr>
        <w:t>的</w:t>
      </w:r>
      <w:r>
        <w:rPr>
          <w:spacing w:val="-52"/>
        </w:rPr>
        <w:t> </w:t>
      </w:r>
      <w:r>
        <w:rPr>
          <w:rFonts w:ascii="Times New Roman" w:hAnsi="Times New Roman" w:cs="Times New Roman" w:eastAsia="Times New Roman" w:hint="default"/>
          <w:w w:val="100"/>
        </w:rPr>
        <w:t>17</w:t>
      </w:r>
    </w:p>
    <w:p>
      <w:pPr>
        <w:pStyle w:val="BodyText"/>
        <w:spacing w:line="240" w:lineRule="auto" w:before="110"/>
        <w:ind w:right="0"/>
        <w:jc w:val="left"/>
      </w:pPr>
      <w:r>
        <w:rPr/>
        <w:t>个职能部门的内部组织机构。公司独立行使经营管理职权，与控股股东间不存在机构混同的情形。</w:t>
      </w:r>
    </w:p>
    <w:p>
      <w:pPr>
        <w:pStyle w:val="BodyText"/>
        <w:spacing w:line="386" w:lineRule="auto" w:before="164"/>
        <w:ind w:left="607" w:right="0"/>
        <w:jc w:val="left"/>
      </w:pPr>
      <w:r>
        <w:rPr/>
        <w:t>（五）财务独立情况</w:t>
      </w:r>
      <w:r>
        <w:rPr>
          <w:w w:val="100"/>
        </w:rPr>
        <w:t> </w:t>
      </w:r>
      <w:r>
        <w:rPr>
          <w:spacing w:val="-3"/>
        </w:rPr>
        <w:t>公司设置了独立于控股股东及其他发起人的财务会计部门和内部审计部门，建立了独立的会计核算体</w:t>
      </w:r>
    </w:p>
    <w:p>
      <w:pPr>
        <w:pStyle w:val="BodyText"/>
        <w:spacing w:line="350" w:lineRule="auto"/>
        <w:ind w:right="0"/>
        <w:jc w:val="left"/>
      </w:pPr>
      <w:r>
        <w:rPr>
          <w:spacing w:val="-5"/>
        </w:rPr>
        <w:t>系和财务管理制度。公司独立核算对外采购、对外销售等经济业务，以独立法人的地位对外编报会计报表。</w:t>
      </w:r>
      <w:r>
        <w:rPr>
          <w:spacing w:val="-4"/>
        </w:rPr>
        <w:t> </w:t>
      </w:r>
      <w:r>
        <w:rPr>
          <w:spacing w:val="-4"/>
        </w:rPr>
      </w:r>
      <w:r>
        <w:rPr>
          <w:spacing w:val="-2"/>
        </w:rPr>
        <w:t>公司独立作出财务决策，公司独立在银行开户，依法独立进行纳税申报和履行纳税义务。公司独立对外签</w:t>
      </w:r>
      <w:r>
        <w:rPr>
          <w:spacing w:val="-43"/>
        </w:rPr>
        <w:t> </w:t>
      </w:r>
      <w:r>
        <w:rPr>
          <w:spacing w:val="-43"/>
        </w:rPr>
      </w:r>
      <w:r>
        <w:rPr>
          <w:spacing w:val="-2"/>
        </w:rPr>
        <w:t>订合同，不受股东和关联方的影响。公司不存在为控股股东提供担保，也不存在将本公司的借款转借给控</w:t>
      </w:r>
      <w:r>
        <w:rPr>
          <w:spacing w:val="-43"/>
        </w:rPr>
        <w:t> </w:t>
      </w:r>
      <w:r>
        <w:rPr>
          <w:spacing w:val="-43"/>
        </w:rPr>
      </w:r>
      <w:r>
        <w:rPr/>
        <w:t>股股东及其他发起人使用的情形。</w:t>
      </w:r>
    </w:p>
    <w:p>
      <w:pPr>
        <w:spacing w:line="240" w:lineRule="auto" w:before="9"/>
        <w:rPr>
          <w:rFonts w:ascii="宋体" w:hAnsi="宋体" w:cs="宋体" w:eastAsia="宋体" w:hint="default"/>
          <w:sz w:val="16"/>
          <w:szCs w:val="16"/>
        </w:rPr>
      </w:pPr>
    </w:p>
    <w:p>
      <w:pPr>
        <w:pStyle w:val="Heading2"/>
        <w:spacing w:line="240" w:lineRule="auto"/>
        <w:ind w:right="0"/>
        <w:jc w:val="left"/>
        <w:rPr>
          <w:b w:val="0"/>
          <w:bCs w:val="0"/>
        </w:rPr>
      </w:pPr>
      <w:r>
        <w:rPr/>
        <w:t>七、同业竞争情况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93" w:right="0"/>
        <w:jc w:val="left"/>
      </w:pPr>
      <w:r>
        <w:rPr/>
        <w:t>报告期内不存在同业竞争情况</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31"/>
          <w:szCs w:val="31"/>
        </w:rPr>
      </w:pPr>
    </w:p>
    <w:p>
      <w:pPr>
        <w:pStyle w:val="BodyText"/>
        <w:spacing w:line="338" w:lineRule="auto"/>
        <w:ind w:right="1126" w:firstLine="420"/>
        <w:jc w:val="both"/>
      </w:pPr>
      <w:r>
        <w:rPr>
          <w:spacing w:val="-2"/>
        </w:rPr>
        <w:t>高级管理人员实行年薪制，依据行业薪酬水平，经营效益、岗位职级等因素确定。年终对高级管理人</w:t>
      </w:r>
      <w:r>
        <w:rPr>
          <w:w w:val="100"/>
        </w:rPr>
        <w:t> </w:t>
      </w:r>
      <w:r>
        <w:rPr>
          <w:spacing w:val="-4"/>
        </w:rPr>
        <w:t>员的履行职责情况和年度实际业绩进行绩效考核，并根据考核情况核发年度绩效薪酬。</w:t>
      </w:r>
      <w:r>
        <w:rPr>
          <w:rFonts w:ascii="Times New Roman" w:hAnsi="Times New Roman" w:cs="Times New Roman" w:eastAsia="Times New Roman" w:hint="default"/>
          <w:spacing w:val="-4"/>
        </w:rPr>
        <w:t>2012 </w:t>
      </w:r>
      <w:r>
        <w:rPr/>
        <w:t>年度高级管理</w:t>
      </w:r>
      <w:r>
        <w:rPr>
          <w:spacing w:val="-63"/>
        </w:rPr>
        <w:t> </w:t>
      </w:r>
      <w:r>
        <w:rPr>
          <w:spacing w:val="-63"/>
        </w:rPr>
      </w:r>
      <w:r>
        <w:rPr>
          <w:spacing w:val="-2"/>
        </w:rPr>
        <w:t>人员的考核均为良好以上。</w:t>
      </w:r>
      <w:r>
        <w:rPr>
          <w:rFonts w:ascii="Times New Roman" w:hAnsi="Times New Roman" w:cs="Times New Roman" w:eastAsia="Times New Roman" w:hint="default"/>
          <w:spacing w:val="-2"/>
        </w:rPr>
        <w:t>2012</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2"/>
        </w:rPr>
        <w:t>年度公司未实行股权激励计划。</w:t>
      </w:r>
    </w:p>
    <w:p>
      <w:pPr>
        <w:spacing w:after="0" w:line="338" w:lineRule="auto"/>
        <w:jc w:val="both"/>
        <w:sectPr>
          <w:pgSz w:w="11910" w:h="16840"/>
          <w:pgMar w:header="706" w:footer="1340" w:top="1060" w:bottom="1540" w:left="9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56"/>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一、内部控制建设情况</w:t>
      </w:r>
      <w:r>
        <w:rPr>
          <w:b w:val="0"/>
          <w:bCs w:val="0"/>
        </w:rPr>
      </w:r>
    </w:p>
    <w:p>
      <w:pPr>
        <w:spacing w:line="240" w:lineRule="auto" w:before="8"/>
        <w:rPr>
          <w:rFonts w:ascii="宋体" w:hAnsi="宋体" w:cs="宋体" w:eastAsia="宋体" w:hint="default"/>
          <w:b/>
          <w:bCs/>
          <w:sz w:val="32"/>
          <w:szCs w:val="32"/>
        </w:rPr>
      </w:pPr>
    </w:p>
    <w:p>
      <w:pPr>
        <w:pStyle w:val="BodyText"/>
        <w:spacing w:line="362" w:lineRule="auto"/>
        <w:ind w:right="0" w:firstLine="420"/>
        <w:jc w:val="left"/>
      </w:pPr>
      <w:r>
        <w:rPr>
          <w:rFonts w:ascii="Times New Roman" w:hAnsi="Times New Roman" w:cs="Times New Roman" w:eastAsia="Times New Roman" w:hint="default"/>
        </w:rPr>
        <w:t>1</w:t>
      </w:r>
      <w:r>
        <w:rPr/>
        <w:t>、公司与控股股东做到了在资产、业务、机构、人员和财务上的完全独立。股东大会、董事会、监</w:t>
      </w:r>
      <w:r>
        <w:rPr>
          <w:w w:val="100"/>
        </w:rPr>
        <w:t> </w:t>
      </w:r>
      <w:r>
        <w:rPr>
          <w:spacing w:val="-2"/>
        </w:rPr>
        <w:t>事会三会运作规范各司其职。公司管理层对内部控制制度的制定和实施非常重视。先后制定了一系列规范</w:t>
      </w:r>
      <w:r>
        <w:rPr>
          <w:spacing w:val="-43"/>
        </w:rPr>
        <w:t> </w:t>
      </w:r>
      <w:r>
        <w:rPr>
          <w:spacing w:val="-43"/>
        </w:rPr>
      </w:r>
      <w:r>
        <w:rPr>
          <w:spacing w:val="-2"/>
        </w:rPr>
        <w:t>的内部控制制度，公司已在财务管理、投资管理、人力资源管理、信息化管理、采购及供应管理等方面建</w:t>
      </w:r>
      <w:r>
        <w:rPr>
          <w:spacing w:val="-43"/>
        </w:rPr>
        <w:t> </w:t>
      </w:r>
      <w:r>
        <w:rPr>
          <w:spacing w:val="-43"/>
        </w:rPr>
      </w:r>
      <w:r>
        <w:rPr>
          <w:spacing w:val="-2"/>
        </w:rPr>
        <w:t>立起了较为完善合理的内部控制制度，并在生产经营活动中得到了一贯的、严格的执行。公司定期对各部</w:t>
      </w:r>
      <w:r>
        <w:rPr>
          <w:spacing w:val="-42"/>
        </w:rPr>
        <w:t> </w:t>
      </w:r>
      <w:r>
        <w:rPr>
          <w:spacing w:val="-42"/>
        </w:rPr>
      </w:r>
      <w:r>
        <w:rPr>
          <w:spacing w:val="-2"/>
        </w:rPr>
        <w:t>门工作情况进行考核，保证各执行者都能胜任本职工作，并具有工作责任心、事业心及诚实的工作态度。</w:t>
      </w:r>
    </w:p>
    <w:p>
      <w:pPr>
        <w:pStyle w:val="BodyText"/>
        <w:spacing w:line="362" w:lineRule="auto" w:before="81"/>
        <w:ind w:right="0" w:firstLine="420"/>
        <w:jc w:val="left"/>
      </w:pPr>
      <w:r>
        <w:rPr>
          <w:rFonts w:ascii="Times New Roman" w:hAnsi="Times New Roman" w:cs="Times New Roman" w:eastAsia="Times New Roman" w:hint="default"/>
        </w:rPr>
        <w:t>2</w:t>
      </w:r>
      <w:r>
        <w:rPr/>
        <w:t>、规范高效的组织机构是公司加强内部控制的根本保证。股东大会是公司的最高权力机构；董事会</w:t>
      </w:r>
      <w:r>
        <w:rPr>
          <w:w w:val="100"/>
        </w:rPr>
        <w:t> </w:t>
      </w:r>
      <w:r>
        <w:rPr>
          <w:spacing w:val="-2"/>
        </w:rPr>
        <w:t>是公司的决策执行机构，对股东大会负责；公司总经理由董事会聘任或解聘，负责公司的日常经营活动，</w:t>
      </w:r>
      <w:r>
        <w:rPr>
          <w:spacing w:val="-21"/>
        </w:rPr>
        <w:t> </w:t>
      </w:r>
      <w:r>
        <w:rPr>
          <w:spacing w:val="-21"/>
        </w:rPr>
      </w:r>
      <w:r>
        <w:rPr>
          <w:spacing w:val="-2"/>
        </w:rPr>
        <w:t>并对董事会负责；监事会负责检查公司财务运作情况并对董事会及高级管理人员进行监督。审计部、财务</w:t>
      </w:r>
      <w:r>
        <w:rPr>
          <w:spacing w:val="-44"/>
        </w:rPr>
        <w:t> </w:t>
      </w:r>
      <w:r>
        <w:rPr>
          <w:spacing w:val="-44"/>
        </w:rPr>
      </w:r>
      <w:r>
        <w:rPr>
          <w:spacing w:val="-2"/>
        </w:rPr>
        <w:t>中心等各职能部门作为公司内部控制执行部门，在日常工作中对公司财务活动、经济活动、生产活动、监</w:t>
      </w:r>
      <w:r>
        <w:rPr>
          <w:spacing w:val="-44"/>
        </w:rPr>
        <w:t> </w:t>
      </w:r>
      <w:r>
        <w:rPr>
          <w:spacing w:val="-44"/>
        </w:rPr>
      </w:r>
      <w:r>
        <w:rPr>
          <w:spacing w:val="-2"/>
        </w:rPr>
        <w:t>督活动进行内部控制。公司针对不同的情况，采用相应的管理政策与措施，保证了内部控制制度的切实执</w:t>
      </w:r>
      <w:r>
        <w:rPr>
          <w:spacing w:val="-43"/>
        </w:rPr>
        <w:t> </w:t>
      </w:r>
      <w:r>
        <w:rPr>
          <w:spacing w:val="-43"/>
        </w:rPr>
      </w:r>
      <w:r>
        <w:rPr/>
        <w:t>行，并认真对内部控制制度进行有效的评价。</w:t>
      </w:r>
    </w:p>
    <w:p>
      <w:pPr>
        <w:spacing w:line="240" w:lineRule="auto" w:before="0"/>
        <w:rPr>
          <w:rFonts w:ascii="宋体" w:hAnsi="宋体" w:cs="宋体" w:eastAsia="宋体" w:hint="default"/>
          <w:sz w:val="16"/>
          <w:szCs w:val="16"/>
        </w:rPr>
      </w:pPr>
    </w:p>
    <w:p>
      <w:pPr>
        <w:pStyle w:val="Heading2"/>
        <w:spacing w:line="240" w:lineRule="auto"/>
        <w:ind w:right="0"/>
        <w:jc w:val="left"/>
        <w:rPr>
          <w:b w:val="0"/>
          <w:bCs w:val="0"/>
        </w:rPr>
      </w:pPr>
      <w:r>
        <w:rPr/>
        <w:t>二、董事会关于内部控制责任的声明</w:t>
      </w:r>
      <w:r>
        <w:rPr>
          <w:b w:val="0"/>
          <w:bCs w:val="0"/>
        </w:rPr>
      </w:r>
    </w:p>
    <w:p>
      <w:pPr>
        <w:spacing w:line="240" w:lineRule="auto" w:before="11"/>
        <w:rPr>
          <w:rFonts w:ascii="宋体" w:hAnsi="宋体" w:cs="宋体" w:eastAsia="宋体" w:hint="default"/>
          <w:b/>
          <w:bCs/>
          <w:sz w:val="32"/>
          <w:szCs w:val="32"/>
        </w:rPr>
      </w:pPr>
    </w:p>
    <w:p>
      <w:pPr>
        <w:pStyle w:val="BodyText"/>
        <w:spacing w:line="355" w:lineRule="auto"/>
        <w:ind w:right="0" w:firstLine="420"/>
        <w:jc w:val="left"/>
      </w:pPr>
      <w:r>
        <w:rPr>
          <w:rFonts w:ascii="Times New Roman" w:hAnsi="Times New Roman" w:cs="Times New Roman" w:eastAsia="Times New Roman" w:hint="default"/>
        </w:rPr>
        <w:t>1</w:t>
      </w:r>
      <w:r>
        <w:rPr/>
        <w:t>、公司依据实际情况，建立了较为完善的法人治理结构，公司内部管理控制制度符合国家法律法规</w:t>
      </w:r>
      <w:r>
        <w:rPr>
          <w:w w:val="100"/>
        </w:rPr>
        <w:t> </w:t>
      </w:r>
      <w:r>
        <w:rPr>
          <w:spacing w:val="-2"/>
        </w:rPr>
        <w:t>要求，形成了较为科学的决策机制、执行机制和监督机制；公司股东大会、董事会、监事会、经营层职责</w:t>
      </w:r>
      <w:r>
        <w:rPr>
          <w:spacing w:val="-42"/>
        </w:rPr>
        <w:t> </w:t>
      </w:r>
      <w:r>
        <w:rPr>
          <w:spacing w:val="-42"/>
        </w:rPr>
      </w:r>
      <w:r>
        <w:rPr/>
        <w:t>明确，运作规范。</w:t>
      </w:r>
    </w:p>
    <w:p>
      <w:pPr>
        <w:pStyle w:val="BodyText"/>
        <w:spacing w:line="352" w:lineRule="auto" w:before="87"/>
        <w:ind w:right="0" w:firstLine="420"/>
        <w:jc w:val="left"/>
      </w:pPr>
      <w:r>
        <w:rPr>
          <w:rFonts w:ascii="Times New Roman" w:hAnsi="Times New Roman" w:cs="Times New Roman" w:eastAsia="Times New Roman" w:hint="default"/>
        </w:rPr>
        <w:t>2</w:t>
      </w:r>
      <w:r>
        <w:rPr/>
        <w:t>、公司对控股子公司、关联交易、对外担保、募集资金使用、重大投资等方面的内部控制取得了较</w:t>
      </w:r>
      <w:r>
        <w:rPr>
          <w:w w:val="100"/>
        </w:rPr>
        <w:t> </w:t>
      </w:r>
      <w:r>
        <w:rPr/>
        <w:t>好的成效，没有违反深交所《上市公司内部控制指引》及公司相关管理制度的情形发生。</w:t>
      </w:r>
      <w:r>
        <w:rPr>
          <w:rFonts w:ascii="Times New Roman" w:hAnsi="Times New Roman" w:cs="Times New Roman" w:eastAsia="Times New Roman" w:hint="default"/>
        </w:rPr>
        <w:t>3</w:t>
      </w:r>
      <w:r>
        <w:rPr/>
        <w:t>、在信息披露</w:t>
      </w:r>
      <w:r>
        <w:rPr>
          <w:w w:val="100"/>
        </w:rPr>
        <w:t> </w:t>
      </w:r>
      <w:r>
        <w:rPr>
          <w:spacing w:val="-3"/>
        </w:rPr>
        <w:t>方面通过《信息披露管理制度》的制定，规范了信息披露工作，遵循了真实、准确、完整、及时、公平的</w:t>
      </w:r>
      <w:r>
        <w:rPr>
          <w:spacing w:val="-5"/>
        </w:rPr>
        <w:t> </w:t>
      </w:r>
      <w:r>
        <w:rPr>
          <w:spacing w:val="-5"/>
        </w:rPr>
      </w:r>
      <w:r>
        <w:rPr/>
        <w:t>原则。公司已建立了较全面、规范的内部控制制度，确保了公司经营活动的正常有序进行。</w:t>
      </w:r>
    </w:p>
    <w:p>
      <w:pPr>
        <w:spacing w:line="240" w:lineRule="auto" w:before="11"/>
        <w:rPr>
          <w:rFonts w:ascii="宋体" w:hAnsi="宋体" w:cs="宋体" w:eastAsia="宋体" w:hint="default"/>
          <w:sz w:val="16"/>
          <w:szCs w:val="16"/>
        </w:rPr>
      </w:pPr>
    </w:p>
    <w:p>
      <w:pPr>
        <w:pStyle w:val="Heading2"/>
        <w:spacing w:line="240" w:lineRule="auto"/>
        <w:ind w:right="0"/>
        <w:jc w:val="left"/>
        <w:rPr>
          <w:b w:val="0"/>
          <w:bCs w:val="0"/>
        </w:rPr>
      </w:pPr>
      <w:r>
        <w:rPr/>
        <w:t>三、建立财务报告内部控制的依据</w:t>
      </w:r>
      <w:r>
        <w:rPr>
          <w:b w:val="0"/>
          <w:bCs w:val="0"/>
        </w:rPr>
      </w:r>
    </w:p>
    <w:p>
      <w:pPr>
        <w:spacing w:line="240" w:lineRule="auto" w:before="7"/>
        <w:rPr>
          <w:rFonts w:ascii="宋体" w:hAnsi="宋体" w:cs="宋体" w:eastAsia="宋体" w:hint="default"/>
          <w:b/>
          <w:bCs/>
          <w:sz w:val="31"/>
          <w:szCs w:val="31"/>
        </w:rPr>
      </w:pPr>
    </w:p>
    <w:p>
      <w:pPr>
        <w:pStyle w:val="BodyText"/>
        <w:spacing w:line="348" w:lineRule="auto"/>
        <w:ind w:right="1125" w:firstLine="420"/>
        <w:jc w:val="left"/>
      </w:pPr>
      <w:r>
        <w:rPr>
          <w:spacing w:val="-11"/>
          <w:w w:val="100"/>
        </w:rPr>
        <w:t>公司依据《公司法》、《会计法》、《企业会计准则》和《企业内部控制基本规范》以及监管部门的相关</w:t>
      </w:r>
      <w:r>
        <w:rPr>
          <w:w w:val="100"/>
        </w:rPr>
        <w:t> </w:t>
      </w:r>
      <w:r>
        <w:rPr/>
        <w:t>规范性文件为依据，建立了财务报告内部控制。报告期内，公司财务报告内部控制不存在重大缺陷。</w:t>
      </w:r>
    </w:p>
    <w:p>
      <w:pPr>
        <w:spacing w:line="240" w:lineRule="auto" w:before="10"/>
        <w:rPr>
          <w:rFonts w:ascii="宋体" w:hAnsi="宋体" w:cs="宋体" w:eastAsia="宋体" w:hint="default"/>
          <w:sz w:val="16"/>
          <w:szCs w:val="16"/>
        </w:rPr>
      </w:pPr>
    </w:p>
    <w:p>
      <w:pPr>
        <w:pStyle w:val="Heading2"/>
        <w:spacing w:line="240" w:lineRule="auto"/>
        <w:ind w:right="0"/>
        <w:jc w:val="left"/>
        <w:rPr>
          <w:b w:val="0"/>
          <w:bCs w:val="0"/>
        </w:rPr>
      </w:pPr>
      <w:r>
        <w:rPr/>
        <w:t>四、内部控制自我评价报告</w:t>
      </w:r>
      <w:r>
        <w:rPr>
          <w:b w:val="0"/>
          <w:bCs w:val="0"/>
        </w:rPr>
      </w:r>
    </w:p>
    <w:p>
      <w:pPr>
        <w:spacing w:line="240" w:lineRule="auto" w:before="2"/>
        <w:rPr>
          <w:rFonts w:ascii="宋体" w:hAnsi="宋体" w:cs="宋体" w:eastAsia="宋体" w:hint="default"/>
          <w:b/>
          <w:bCs/>
          <w:sz w:val="26"/>
          <w:szCs w:val="26"/>
        </w:rPr>
      </w:pPr>
    </w:p>
    <w:p>
      <w:pPr>
        <w:spacing w:line="401" w:lineRule="exact"/>
        <w:ind w:left="17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5pt;height:20.1pt;mso-position-horizontal-relative:char;mso-position-vertical-relative:line" type="#_x0000_t202" filled="true" fillcolor="#d2d2d2" stroked="true" strokeweight=".48pt" strokecolor="#000000">
            <w10:anchorlock/>
            <v:textbox inset="0,0,0,0">
              <w:txbxContent>
                <w:p>
                  <w:pPr>
                    <w:spacing w:before="50"/>
                    <w:ind w:left="1988" w:right="0" w:firstLine="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xbxContent>
            </v:textbox>
            <v:fill type="solid"/>
          </v:shape>
        </w:pict>
      </w:r>
      <w:r>
        <w:rPr>
          <w:rFonts w:ascii="宋体" w:hAnsi="宋体" w:cs="宋体" w:eastAsia="宋体" w:hint="default"/>
          <w:position w:val="-7"/>
          <w:sz w:val="20"/>
          <w:szCs w:val="20"/>
        </w:rPr>
      </w:r>
    </w:p>
    <w:p>
      <w:pPr>
        <w:spacing w:after="0" w:line="401" w:lineRule="exact"/>
        <w:rPr>
          <w:rFonts w:ascii="宋体" w:hAnsi="宋体" w:cs="宋体" w:eastAsia="宋体" w:hint="default"/>
          <w:sz w:val="20"/>
          <w:szCs w:val="20"/>
        </w:rPr>
        <w:sectPr>
          <w:pgSz w:w="11910" w:h="16840"/>
          <w:pgMar w:header="706" w:footer="1340" w:top="1060" w:bottom="1540" w:left="960" w:right="0"/>
        </w:sectPr>
      </w:pPr>
    </w:p>
    <w:p>
      <w:pPr>
        <w:spacing w:line="240" w:lineRule="auto" w:before="6"/>
        <w:rPr>
          <w:rFonts w:ascii="宋体" w:hAnsi="宋体" w:cs="宋体" w:eastAsia="宋体" w:hint="default"/>
          <w:b/>
          <w:bCs/>
          <w:sz w:val="28"/>
          <w:szCs w:val="28"/>
        </w:rPr>
      </w:pPr>
    </w:p>
    <w:tbl>
      <w:tblPr>
        <w:tblW w:w="0" w:type="auto"/>
        <w:jc w:val="left"/>
        <w:tblInd w:w="169" w:type="dxa"/>
        <w:tblLayout w:type="fixed"/>
        <w:tblCellMar>
          <w:top w:w="0" w:type="dxa"/>
          <w:left w:w="0" w:type="dxa"/>
          <w:bottom w:w="0" w:type="dxa"/>
          <w:right w:w="0" w:type="dxa"/>
        </w:tblCellMar>
        <w:tblLook w:val="01E0"/>
      </w:tblPr>
      <w:tblGrid>
        <w:gridCol w:w="2976"/>
        <w:gridCol w:w="6594"/>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1"/>
              <w:jc w:val="right"/>
              <w:rPr>
                <w:rFonts w:ascii="宋体" w:hAnsi="宋体" w:cs="宋体" w:eastAsia="宋体" w:hint="default"/>
                <w:sz w:val="18"/>
                <w:szCs w:val="18"/>
              </w:rPr>
            </w:pPr>
            <w:r>
              <w:rPr>
                <w:rFonts w:ascii="宋体" w:hAnsi="宋体" w:cs="宋体" w:eastAsia="宋体" w:hint="default"/>
                <w:sz w:val="18"/>
                <w:szCs w:val="18"/>
              </w:rPr>
              <w:t>内部控制自我评价报告全文披露日期</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1"/>
              <w:jc w:val="right"/>
              <w:rPr>
                <w:rFonts w:ascii="宋体" w:hAnsi="宋体" w:cs="宋体" w:eastAsia="宋体" w:hint="default"/>
                <w:sz w:val="18"/>
                <w:szCs w:val="18"/>
              </w:rPr>
            </w:pPr>
            <w:r>
              <w:rPr>
                <w:rFonts w:ascii="宋体" w:hAnsi="宋体" w:cs="宋体" w:eastAsia="宋体" w:hint="default"/>
                <w:sz w:val="18"/>
                <w:szCs w:val="18"/>
              </w:rPr>
              <w:t>内部控制自我评价报告全文披露索引</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五、内部控制审计报告</w:t>
      </w:r>
      <w:r>
        <w:rPr>
          <w:b w:val="0"/>
          <w:bCs w:val="0"/>
        </w:rPr>
      </w:r>
    </w:p>
    <w:p>
      <w:pPr>
        <w:spacing w:line="240" w:lineRule="auto" w:before="4"/>
        <w:rPr>
          <w:rFonts w:ascii="宋体" w:hAnsi="宋体" w:cs="宋体" w:eastAsia="宋体" w:hint="default"/>
          <w:b/>
          <w:bCs/>
          <w:sz w:val="26"/>
          <w:szCs w:val="26"/>
        </w:rPr>
      </w:pPr>
    </w:p>
    <w:p>
      <w:pPr>
        <w:spacing w:line="340" w:lineRule="auto" w:before="0"/>
        <w:ind w:left="17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会计师事务所是否出具非标准意见的内部控制审计报告</w:t>
      </w:r>
    </w:p>
    <w:p>
      <w:pPr>
        <w:spacing w:line="338" w:lineRule="auto" w:before="41"/>
        <w:ind w:left="172" w:right="4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line="348" w:lineRule="auto" w:before="43"/>
        <w:ind w:left="172" w:right="3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会计师事务所出具的内部控制审计报告与董事会的自我评价报告意见不一致的原因说明 不适用</w:t>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r>
        <w:rPr/>
        <w:t>六、年度报告重大差错责任追究制度的建立与执行情况</w:t>
      </w:r>
      <w:r>
        <w:rPr>
          <w:b w:val="0"/>
          <w:bCs w:val="0"/>
        </w:rPr>
      </w:r>
    </w:p>
    <w:p>
      <w:pPr>
        <w:spacing w:line="240" w:lineRule="auto" w:before="7"/>
        <w:rPr>
          <w:rFonts w:ascii="宋体" w:hAnsi="宋体" w:cs="宋体" w:eastAsia="宋体" w:hint="default"/>
          <w:b/>
          <w:bCs/>
          <w:sz w:val="31"/>
          <w:szCs w:val="31"/>
        </w:rPr>
      </w:pPr>
    </w:p>
    <w:p>
      <w:pPr>
        <w:pStyle w:val="BodyText"/>
        <w:spacing w:line="348" w:lineRule="auto"/>
        <w:ind w:right="0" w:firstLine="420"/>
        <w:jc w:val="left"/>
      </w:pPr>
      <w:r>
        <w:rPr>
          <w:spacing w:val="-2"/>
        </w:rPr>
        <w:t>公司严格按照中国证监会、深圳证券交易所等监管部门的要求，建立了《年报信息披露重大差错责任</w:t>
      </w:r>
      <w:r>
        <w:rPr>
          <w:w w:val="100"/>
        </w:rPr>
        <w:t> </w:t>
      </w:r>
      <w:r>
        <w:rPr>
          <w:spacing w:val="-4"/>
          <w:w w:val="100"/>
        </w:rPr>
        <w:t>追究制度》，并就年报信息披露重大差错责任追究做了明确规定。报告期内，公司未发生重大会计差错更</w:t>
      </w:r>
      <w:r>
        <w:rPr>
          <w:spacing w:val="-90"/>
          <w:w w:val="100"/>
        </w:rPr>
        <w:t> </w:t>
      </w:r>
      <w:r>
        <w:rPr>
          <w:spacing w:val="-90"/>
          <w:w w:val="100"/>
        </w:rPr>
      </w:r>
      <w:r>
        <w:rPr/>
        <w:t>正、重大遗漏信息补充等情况。</w:t>
      </w:r>
    </w:p>
    <w:p>
      <w:pPr>
        <w:spacing w:after="0" w:line="348" w:lineRule="auto"/>
        <w:jc w:val="left"/>
        <w:sectPr>
          <w:pgSz w:w="11910" w:h="16840"/>
          <w:pgMar w:header="706" w:footer="1340" w:top="1060" w:bottom="1540" w:left="9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56"/>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上海众华沪银会计师事务所有限公司</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沪众会字（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706" w:footer="1340" w:top="1060" w:bottom="1540" w:left="960" w:right="0"/>
        </w:sectPr>
      </w:pPr>
    </w:p>
    <w:p>
      <w:pPr>
        <w:spacing w:line="240" w:lineRule="auto" w:before="2"/>
        <w:rPr>
          <w:rFonts w:ascii="宋体" w:hAnsi="宋体" w:cs="宋体" w:eastAsia="宋体" w:hint="default"/>
          <w:b/>
          <w:bCs/>
          <w:sz w:val="29"/>
          <w:szCs w:val="29"/>
        </w:rPr>
      </w:pPr>
    </w:p>
    <w:p>
      <w:pPr>
        <w:pStyle w:val="Heading4"/>
        <w:spacing w:line="240" w:lineRule="auto"/>
        <w:ind w:right="0"/>
        <w:jc w:val="left"/>
        <w:rPr>
          <w:b w:val="0"/>
          <w:bCs w:val="0"/>
        </w:rPr>
      </w:pPr>
      <w:r>
        <w:rPr>
          <w:spacing w:val="-1"/>
        </w:rPr>
        <w:t>江苏丰东热技术股份有限公司全体股东：</w:t>
      </w:r>
      <w:r>
        <w:rPr>
          <w:b w:val="0"/>
          <w:bCs w:val="0"/>
          <w:spacing w:val="-1"/>
        </w:rPr>
      </w:r>
    </w:p>
    <w:p>
      <w:pPr>
        <w:spacing w:before="49"/>
        <w:ind w:left="17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0" w:bottom="280" w:left="960" w:right="0"/>
          <w:cols w:num="2" w:equalWidth="0">
            <w:col w:w="3970" w:space="310"/>
            <w:col w:w="6670"/>
          </w:cols>
        </w:sectPr>
      </w:pPr>
    </w:p>
    <w:p>
      <w:pPr>
        <w:spacing w:line="240" w:lineRule="auto" w:before="2"/>
        <w:rPr>
          <w:rFonts w:ascii="宋体" w:hAnsi="宋体" w:cs="宋体" w:eastAsia="宋体" w:hint="default"/>
          <w:sz w:val="24"/>
          <w:szCs w:val="24"/>
        </w:rPr>
      </w:pPr>
    </w:p>
    <w:p>
      <w:pPr>
        <w:spacing w:line="271" w:lineRule="auto" w:before="37"/>
        <w:ind w:left="172" w:right="1174" w:firstLine="420"/>
        <w:jc w:val="both"/>
        <w:rPr>
          <w:rFonts w:ascii="宋体" w:hAnsi="宋体" w:cs="宋体" w:eastAsia="宋体" w:hint="default"/>
          <w:sz w:val="20"/>
          <w:szCs w:val="20"/>
        </w:rPr>
      </w:pPr>
      <w:r>
        <w:rPr>
          <w:rFonts w:ascii="宋体" w:hAnsi="宋体" w:cs="宋体" w:eastAsia="宋体" w:hint="default"/>
          <w:sz w:val="20"/>
          <w:szCs w:val="20"/>
        </w:rPr>
        <w:t>我们审计了后附的江苏丰东热技术股份有限公司</w:t>
      </w:r>
      <w:r>
        <w:rPr>
          <w:rFonts w:ascii="Times New Roman" w:hAnsi="Times New Roman" w:cs="Times New Roman" w:eastAsia="Times New Roman" w:hint="default"/>
          <w:sz w:val="20"/>
          <w:szCs w:val="20"/>
        </w:rPr>
        <w:t>(</w:t>
      </w:r>
      <w:r>
        <w:rPr>
          <w:rFonts w:ascii="宋体" w:hAnsi="宋体" w:cs="宋体" w:eastAsia="宋体" w:hint="default"/>
          <w:sz w:val="20"/>
          <w:szCs w:val="20"/>
        </w:rPr>
        <w:t>以下简称“丰东股份”</w:t>
      </w:r>
      <w:r>
        <w:rPr>
          <w:rFonts w:ascii="Times New Roman" w:hAnsi="Times New Roman" w:cs="Times New Roman" w:eastAsia="Times New Roman" w:hint="default"/>
          <w:sz w:val="20"/>
          <w:szCs w:val="20"/>
        </w:rPr>
        <w:t>)</w:t>
      </w:r>
      <w:r>
        <w:rPr>
          <w:rFonts w:ascii="宋体" w:hAnsi="宋体" w:cs="宋体" w:eastAsia="宋体" w:hint="default"/>
          <w:sz w:val="20"/>
          <w:szCs w:val="20"/>
        </w:rPr>
        <w:t>财务报表，包括</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r>
        <w:rPr>
          <w:rFonts w:ascii="宋体" w:hAnsi="宋体" w:cs="宋体" w:eastAsia="宋体" w:hint="default"/>
          <w:w w:val="99"/>
          <w:sz w:val="20"/>
          <w:szCs w:val="20"/>
        </w:rPr>
        <w:t> </w:t>
      </w:r>
      <w:r>
        <w:rPr>
          <w:rFonts w:ascii="宋体" w:hAnsi="宋体" w:cs="宋体" w:eastAsia="宋体" w:hint="default"/>
          <w:sz w:val="20"/>
          <w:szCs w:val="20"/>
        </w:rPr>
        <w:t>的合并及公司资产负债表，</w:t>
      </w:r>
      <w:r>
        <w:rPr>
          <w:rFonts w:ascii="Times New Roman" w:hAnsi="Times New Roman" w:cs="Times New Roman" w:eastAsia="Times New Roman" w:hint="default"/>
          <w:sz w:val="20"/>
          <w:szCs w:val="20"/>
        </w:rPr>
        <w:t>2012</w:t>
      </w:r>
      <w:r>
        <w:rPr>
          <w:rFonts w:ascii="宋体" w:hAnsi="宋体" w:cs="宋体" w:eastAsia="宋体" w:hint="default"/>
          <w:sz w:val="20"/>
          <w:szCs w:val="20"/>
        </w:rPr>
        <w:t>年度的合并及公司利润表、合并及公司现金流量表、合并及公司股东权益变动</w:t>
      </w:r>
      <w:r>
        <w:rPr>
          <w:rFonts w:ascii="宋体" w:hAnsi="宋体" w:cs="宋体" w:eastAsia="宋体" w:hint="default"/>
          <w:w w:val="99"/>
          <w:sz w:val="20"/>
          <w:szCs w:val="20"/>
        </w:rPr>
        <w:t> </w:t>
      </w:r>
      <w:r>
        <w:rPr>
          <w:rFonts w:ascii="宋体" w:hAnsi="宋体" w:cs="宋体" w:eastAsia="宋体" w:hint="default"/>
          <w:sz w:val="20"/>
          <w:szCs w:val="20"/>
        </w:rPr>
        <w:t>表以及财务报表附注。</w:t>
      </w:r>
    </w:p>
    <w:p>
      <w:pPr>
        <w:spacing w:line="240" w:lineRule="auto" w:before="9"/>
        <w:rPr>
          <w:rFonts w:ascii="宋体" w:hAnsi="宋体" w:cs="宋体" w:eastAsia="宋体" w:hint="default"/>
          <w:sz w:val="25"/>
          <w:szCs w:val="25"/>
        </w:rPr>
      </w:pPr>
    </w:p>
    <w:p>
      <w:pPr>
        <w:spacing w:line="276" w:lineRule="auto" w:before="0"/>
        <w:ind w:left="172" w:right="1121" w:firstLine="0"/>
        <w:jc w:val="left"/>
        <w:rPr>
          <w:rFonts w:ascii="宋体" w:hAnsi="宋体" w:cs="宋体" w:eastAsia="宋体" w:hint="default"/>
          <w:sz w:val="20"/>
          <w:szCs w:val="20"/>
        </w:rPr>
      </w:pPr>
      <w:r>
        <w:rPr>
          <w:rFonts w:ascii="宋体" w:hAnsi="宋体" w:cs="宋体" w:eastAsia="宋体" w:hint="default"/>
          <w:b/>
          <w:bCs/>
          <w:sz w:val="20"/>
          <w:szCs w:val="20"/>
        </w:rPr>
        <w:t>一、管理层对财务报表的责任</w:t>
      </w:r>
      <w:r>
        <w:rPr>
          <w:rFonts w:ascii="宋体" w:hAnsi="宋体" w:cs="宋体" w:eastAsia="宋体" w:hint="default"/>
          <w:b/>
          <w:bCs/>
          <w:w w:val="99"/>
          <w:sz w:val="20"/>
          <w:szCs w:val="20"/>
        </w:rPr>
        <w:t> </w:t>
      </w:r>
      <w:r>
        <w:rPr>
          <w:rFonts w:ascii="宋体" w:hAnsi="宋体" w:cs="宋体" w:eastAsia="宋体" w:hint="default"/>
          <w:sz w:val="20"/>
          <w:szCs w:val="20"/>
        </w:rPr>
        <w:t>编制和公允列报财务报表是丰东股份管理层的责任，这种责任包括：</w:t>
      </w:r>
      <w:r>
        <w:rPr>
          <w:rFonts w:ascii="Times New Roman" w:hAnsi="Times New Roman" w:cs="Times New Roman" w:eastAsia="Times New Roman" w:hint="default"/>
          <w:sz w:val="20"/>
          <w:szCs w:val="20"/>
        </w:rPr>
        <w:t>(1)</w:t>
      </w:r>
      <w:r>
        <w:rPr>
          <w:rFonts w:ascii="宋体" w:hAnsi="宋体" w:cs="宋体" w:eastAsia="宋体" w:hint="default"/>
          <w:sz w:val="20"/>
          <w:szCs w:val="20"/>
        </w:rPr>
        <w:t>按照企业会计准则的规定编制合并及公</w:t>
      </w:r>
      <w:r>
        <w:rPr>
          <w:rFonts w:ascii="宋体" w:hAnsi="宋体" w:cs="宋体" w:eastAsia="宋体" w:hint="default"/>
          <w:w w:val="99"/>
          <w:sz w:val="20"/>
          <w:szCs w:val="20"/>
        </w:rPr>
        <w:t> </w:t>
      </w:r>
      <w:r>
        <w:rPr>
          <w:rFonts w:ascii="宋体" w:hAnsi="宋体" w:cs="宋体" w:eastAsia="宋体" w:hint="default"/>
          <w:sz w:val="20"/>
          <w:szCs w:val="20"/>
        </w:rPr>
        <w:t>司财务报表，并使其实现公允反映；</w:t>
      </w:r>
      <w:r>
        <w:rPr>
          <w:rFonts w:ascii="Times New Roman" w:hAnsi="Times New Roman" w:cs="Times New Roman" w:eastAsia="Times New Roman" w:hint="default"/>
          <w:sz w:val="20"/>
          <w:szCs w:val="20"/>
        </w:rPr>
        <w:t>(2)</w:t>
      </w:r>
      <w:r>
        <w:rPr>
          <w:rFonts w:ascii="宋体" w:hAnsi="宋体" w:cs="宋体" w:eastAsia="宋体" w:hint="default"/>
          <w:sz w:val="20"/>
          <w:szCs w:val="20"/>
        </w:rPr>
        <w:t>设计、执行和维护必要的内部控制，以使财务报表不存在由于舞弊或错</w:t>
      </w:r>
      <w:r>
        <w:rPr>
          <w:rFonts w:ascii="宋体" w:hAnsi="宋体" w:cs="宋体" w:eastAsia="宋体" w:hint="default"/>
          <w:w w:val="99"/>
          <w:sz w:val="20"/>
          <w:szCs w:val="20"/>
        </w:rPr>
        <w:t> </w:t>
      </w:r>
      <w:r>
        <w:rPr>
          <w:rFonts w:ascii="宋体" w:hAnsi="宋体" w:cs="宋体" w:eastAsia="宋体" w:hint="default"/>
          <w:sz w:val="20"/>
          <w:szCs w:val="20"/>
        </w:rPr>
        <w:t>误导致的重大错报。</w:t>
      </w:r>
    </w:p>
    <w:p>
      <w:pPr>
        <w:spacing w:line="240" w:lineRule="auto" w:before="6"/>
        <w:rPr>
          <w:rFonts w:ascii="宋体" w:hAnsi="宋体" w:cs="宋体" w:eastAsia="宋体" w:hint="default"/>
          <w:sz w:val="25"/>
          <w:szCs w:val="25"/>
        </w:rPr>
      </w:pPr>
    </w:p>
    <w:p>
      <w:pPr>
        <w:spacing w:line="285" w:lineRule="auto" w:before="0"/>
        <w:ind w:left="593" w:right="1124" w:hanging="421"/>
        <w:jc w:val="left"/>
        <w:rPr>
          <w:rFonts w:ascii="宋体" w:hAnsi="宋体" w:cs="宋体" w:eastAsia="宋体" w:hint="default"/>
          <w:sz w:val="20"/>
          <w:szCs w:val="20"/>
        </w:rPr>
      </w:pPr>
      <w:r>
        <w:rPr>
          <w:rFonts w:ascii="宋体" w:hAnsi="宋体" w:cs="宋体" w:eastAsia="宋体" w:hint="default"/>
          <w:b/>
          <w:bCs/>
          <w:sz w:val="20"/>
          <w:szCs w:val="20"/>
        </w:rPr>
        <w:t>二、注册会计师的责任</w:t>
      </w:r>
      <w:r>
        <w:rPr>
          <w:rFonts w:ascii="宋体" w:hAnsi="宋体" w:cs="宋体" w:eastAsia="宋体" w:hint="default"/>
          <w:b/>
          <w:bCs/>
          <w:w w:val="99"/>
          <w:sz w:val="20"/>
          <w:szCs w:val="20"/>
        </w:rPr>
        <w:t> </w:t>
      </w:r>
      <w:r>
        <w:rPr>
          <w:rFonts w:ascii="宋体" w:hAnsi="宋体" w:cs="宋体" w:eastAsia="宋体" w:hint="default"/>
          <w:w w:val="95"/>
          <w:sz w:val="20"/>
          <w:szCs w:val="20"/>
        </w:rPr>
        <w:t>我们的责任是在执行审计工作的基础上对财务报表发表审计意见。我们按照中国注册会计师审计准则的规</w:t>
      </w:r>
      <w:r>
        <w:rPr>
          <w:rFonts w:ascii="宋体" w:hAnsi="宋体" w:cs="宋体" w:eastAsia="宋体" w:hint="default"/>
          <w:sz w:val="20"/>
          <w:szCs w:val="20"/>
        </w:rPr>
      </w:r>
    </w:p>
    <w:p>
      <w:pPr>
        <w:spacing w:line="285" w:lineRule="auto" w:before="12"/>
        <w:ind w:left="172" w:right="0" w:firstLine="0"/>
        <w:jc w:val="left"/>
        <w:rPr>
          <w:rFonts w:ascii="宋体" w:hAnsi="宋体" w:cs="宋体" w:eastAsia="宋体" w:hint="default"/>
          <w:sz w:val="20"/>
          <w:szCs w:val="20"/>
        </w:rPr>
      </w:pPr>
      <w:r>
        <w:rPr>
          <w:rFonts w:ascii="宋体" w:hAnsi="宋体" w:cs="宋体" w:eastAsia="宋体" w:hint="default"/>
          <w:w w:val="95"/>
          <w:sz w:val="20"/>
          <w:szCs w:val="20"/>
        </w:rPr>
        <w:t>定执行了审计工作。中国注册会计师审计准则要求我们遵守中国注册会计师职业道德守则，计划和执行审计工</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作以对财务报表是否不存在重大错报获取合理保证。</w:t>
      </w:r>
    </w:p>
    <w:p>
      <w:pPr>
        <w:spacing w:line="285" w:lineRule="auto" w:before="12"/>
        <w:ind w:left="172" w:right="1155" w:firstLine="420"/>
        <w:jc w:val="both"/>
        <w:rPr>
          <w:rFonts w:ascii="宋体" w:hAnsi="宋体" w:cs="宋体" w:eastAsia="宋体" w:hint="default"/>
          <w:sz w:val="20"/>
          <w:szCs w:val="20"/>
        </w:rPr>
      </w:pPr>
      <w:r>
        <w:rPr>
          <w:rFonts w:ascii="宋体" w:hAnsi="宋体" w:cs="宋体" w:eastAsia="宋体" w:hint="default"/>
          <w:w w:val="95"/>
          <w:sz w:val="20"/>
          <w:szCs w:val="20"/>
        </w:rPr>
        <w:t>审计工作涉及实施审计程序，以获取有关财务报表金额和披露的审计证据。选择的审计程序取决于注册会</w:t>
      </w:r>
      <w:r>
        <w:rPr>
          <w:rFonts w:ascii="宋体" w:hAnsi="宋体" w:cs="宋体" w:eastAsia="宋体" w:hint="default"/>
          <w:spacing w:val="-63"/>
          <w:w w:val="95"/>
          <w:sz w:val="20"/>
          <w:szCs w:val="20"/>
        </w:rPr>
        <w:t> </w:t>
      </w:r>
      <w:r>
        <w:rPr>
          <w:rFonts w:ascii="宋体" w:hAnsi="宋体" w:cs="宋体" w:eastAsia="宋体" w:hint="default"/>
          <w:spacing w:val="-63"/>
          <w:w w:val="95"/>
          <w:sz w:val="20"/>
          <w:szCs w:val="20"/>
        </w:rPr>
      </w:r>
      <w:r>
        <w:rPr>
          <w:rFonts w:ascii="宋体" w:hAnsi="宋体" w:cs="宋体" w:eastAsia="宋体" w:hint="default"/>
          <w:sz w:val="20"/>
          <w:szCs w:val="20"/>
        </w:rPr>
        <w:t>计师的判断，包括对由于舞弊或错误导致的财务报表重大错报风险的评估。在进行风险评估时，注册会计师考</w:t>
      </w:r>
      <w:r>
        <w:rPr>
          <w:rFonts w:ascii="宋体" w:hAnsi="宋体" w:cs="宋体" w:eastAsia="宋体" w:hint="default"/>
          <w:w w:val="99"/>
          <w:sz w:val="20"/>
          <w:szCs w:val="20"/>
        </w:rPr>
        <w:t> </w:t>
      </w:r>
      <w:r>
        <w:rPr>
          <w:rFonts w:ascii="宋体" w:hAnsi="宋体" w:cs="宋体" w:eastAsia="宋体" w:hint="default"/>
          <w:sz w:val="20"/>
          <w:szCs w:val="20"/>
        </w:rPr>
        <w:t>虑与财务报表编制和公允列报相关的内部控制，以设计恰当的审计程序，但目的并非对内部控制的有效性发表</w:t>
      </w:r>
      <w:r>
        <w:rPr>
          <w:rFonts w:ascii="宋体" w:hAnsi="宋体" w:cs="宋体" w:eastAsia="宋体" w:hint="default"/>
          <w:w w:val="99"/>
          <w:sz w:val="20"/>
          <w:szCs w:val="20"/>
        </w:rPr>
        <w:t> </w:t>
      </w:r>
      <w:r>
        <w:rPr>
          <w:rFonts w:ascii="宋体" w:hAnsi="宋体" w:cs="宋体" w:eastAsia="宋体" w:hint="default"/>
          <w:sz w:val="20"/>
          <w:szCs w:val="20"/>
        </w:rPr>
        <w:t>意见。审计工作还包括评价管理层选用会计政策的恰当性和作出会计估计的合理性，以及评价财务报表的总体</w:t>
      </w:r>
      <w:r>
        <w:rPr>
          <w:rFonts w:ascii="宋体" w:hAnsi="宋体" w:cs="宋体" w:eastAsia="宋体" w:hint="default"/>
          <w:w w:val="99"/>
          <w:sz w:val="20"/>
          <w:szCs w:val="20"/>
        </w:rPr>
        <w:t> </w:t>
      </w:r>
      <w:r>
        <w:rPr>
          <w:rFonts w:ascii="宋体" w:hAnsi="宋体" w:cs="宋体" w:eastAsia="宋体" w:hint="default"/>
          <w:sz w:val="20"/>
          <w:szCs w:val="20"/>
        </w:rPr>
        <w:t>列报。</w:t>
      </w:r>
    </w:p>
    <w:p>
      <w:pPr>
        <w:spacing w:before="12"/>
        <w:ind w:left="593" w:right="0" w:firstLine="0"/>
        <w:jc w:val="left"/>
        <w:rPr>
          <w:rFonts w:ascii="宋体" w:hAnsi="宋体" w:cs="宋体" w:eastAsia="宋体" w:hint="default"/>
          <w:sz w:val="20"/>
          <w:szCs w:val="20"/>
        </w:rPr>
      </w:pPr>
      <w:r>
        <w:rPr>
          <w:rFonts w:ascii="宋体" w:hAnsi="宋体" w:cs="宋体" w:eastAsia="宋体" w:hint="default"/>
          <w:sz w:val="20"/>
          <w:szCs w:val="20"/>
        </w:rPr>
        <w:t>我们相信，我们获取的审计证据是充分、适当的，为发表审计意见提供了基础。</w:t>
      </w:r>
    </w:p>
    <w:p>
      <w:pPr>
        <w:spacing w:line="240" w:lineRule="auto" w:before="10"/>
        <w:rPr>
          <w:rFonts w:ascii="宋体" w:hAnsi="宋体" w:cs="宋体" w:eastAsia="宋体" w:hint="default"/>
          <w:sz w:val="27"/>
          <w:szCs w:val="27"/>
        </w:rPr>
      </w:pPr>
    </w:p>
    <w:p>
      <w:pPr>
        <w:spacing w:before="0"/>
        <w:ind w:left="172" w:right="0" w:firstLine="0"/>
        <w:jc w:val="left"/>
        <w:rPr>
          <w:rFonts w:ascii="宋体" w:hAnsi="宋体" w:cs="宋体" w:eastAsia="宋体" w:hint="default"/>
          <w:sz w:val="20"/>
          <w:szCs w:val="20"/>
        </w:rPr>
      </w:pPr>
      <w:r>
        <w:rPr>
          <w:rFonts w:ascii="宋体" w:hAnsi="宋体" w:cs="宋体" w:eastAsia="宋体" w:hint="default"/>
          <w:b/>
          <w:bCs/>
          <w:sz w:val="20"/>
          <w:szCs w:val="20"/>
        </w:rPr>
        <w:t>三、审计意见</w:t>
      </w:r>
      <w:r>
        <w:rPr>
          <w:rFonts w:ascii="宋体" w:hAnsi="宋体" w:cs="宋体" w:eastAsia="宋体" w:hint="default"/>
          <w:sz w:val="20"/>
          <w:szCs w:val="20"/>
        </w:rPr>
      </w:r>
    </w:p>
    <w:p>
      <w:pPr>
        <w:spacing w:before="50"/>
        <w:ind w:left="593" w:right="0" w:firstLine="0"/>
        <w:jc w:val="left"/>
        <w:rPr>
          <w:rFonts w:ascii="宋体" w:hAnsi="宋体" w:cs="宋体" w:eastAsia="宋体" w:hint="default"/>
          <w:sz w:val="20"/>
          <w:szCs w:val="20"/>
        </w:rPr>
      </w:pPr>
      <w:r>
        <w:rPr>
          <w:rFonts w:ascii="宋体" w:hAnsi="宋体" w:cs="宋体" w:eastAsia="宋体" w:hint="default"/>
          <w:sz w:val="20"/>
          <w:szCs w:val="20"/>
        </w:rPr>
        <w:t>我们认为，丰东股份财务报表在所有重大方面按照企业会计准则的规定编制，公允反映了丰东股份</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p>
    <w:p>
      <w:pPr>
        <w:spacing w:line="540" w:lineRule="auto" w:before="35"/>
        <w:ind w:left="172" w:right="2554"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日的合并及公司财务状况以及</w:t>
      </w:r>
      <w:r>
        <w:rPr>
          <w:rFonts w:ascii="Times New Roman" w:hAnsi="Times New Roman" w:cs="Times New Roman" w:eastAsia="Times New Roman" w:hint="default"/>
          <w:sz w:val="20"/>
          <w:szCs w:val="20"/>
        </w:rPr>
        <w:t>2012</w:t>
      </w:r>
      <w:r>
        <w:rPr>
          <w:rFonts w:ascii="宋体" w:hAnsi="宋体" w:cs="宋体" w:eastAsia="宋体" w:hint="default"/>
          <w:sz w:val="20"/>
          <w:szCs w:val="20"/>
        </w:rPr>
        <w:t>年度的合并及公司经营成果和合并及公司现金流量。</w:t>
      </w:r>
      <w:r>
        <w:rPr>
          <w:rFonts w:ascii="宋体" w:hAnsi="宋体" w:cs="宋体" w:eastAsia="宋体" w:hint="default"/>
          <w:w w:val="99"/>
          <w:sz w:val="20"/>
          <w:szCs w:val="20"/>
        </w:rPr>
        <w:t> </w:t>
      </w:r>
      <w:r>
        <w:rPr>
          <w:rFonts w:ascii="宋体" w:hAnsi="宋体" w:cs="宋体" w:eastAsia="宋体" w:hint="default"/>
          <w:sz w:val="20"/>
          <w:szCs w:val="20"/>
        </w:rPr>
        <w:t>上海众华沪银会计师事务所有限公司中国注册会计师</w:t>
      </w:r>
    </w:p>
    <w:p>
      <w:pPr>
        <w:spacing w:before="112"/>
        <w:ind w:left="172" w:right="0" w:firstLine="0"/>
        <w:jc w:val="left"/>
        <w:rPr>
          <w:rFonts w:ascii="宋体" w:hAnsi="宋体" w:cs="宋体" w:eastAsia="宋体" w:hint="default"/>
          <w:sz w:val="20"/>
          <w:szCs w:val="20"/>
        </w:rPr>
      </w:pPr>
      <w:r>
        <w:rPr>
          <w:rFonts w:ascii="宋体" w:hAnsi="宋体" w:cs="宋体" w:eastAsia="宋体" w:hint="default"/>
          <w:sz w:val="20"/>
          <w:szCs w:val="20"/>
        </w:rPr>
        <w:t>中国注册会计师</w:t>
      </w:r>
    </w:p>
    <w:p>
      <w:pPr>
        <w:spacing w:line="240" w:lineRule="auto" w:before="9"/>
        <w:rPr>
          <w:rFonts w:ascii="宋体" w:hAnsi="宋体" w:cs="宋体" w:eastAsia="宋体" w:hint="default"/>
          <w:sz w:val="27"/>
          <w:szCs w:val="27"/>
        </w:rPr>
      </w:pPr>
    </w:p>
    <w:p>
      <w:pPr>
        <w:spacing w:before="0"/>
        <w:ind w:left="172" w:right="0" w:firstLine="0"/>
        <w:jc w:val="left"/>
        <w:rPr>
          <w:rFonts w:ascii="宋体" w:hAnsi="宋体" w:cs="宋体" w:eastAsia="宋体" w:hint="default"/>
          <w:sz w:val="20"/>
          <w:szCs w:val="20"/>
        </w:rPr>
      </w:pPr>
      <w:r>
        <w:rPr>
          <w:rFonts w:ascii="宋体" w:hAnsi="宋体" w:cs="宋体" w:eastAsia="宋体" w:hint="default"/>
          <w:sz w:val="20"/>
          <w:szCs w:val="20"/>
        </w:rPr>
        <w:t>中国，上海二〇一三年二月二十六日</w:t>
      </w:r>
    </w:p>
    <w:p>
      <w:pPr>
        <w:spacing w:after="0"/>
        <w:jc w:val="left"/>
        <w:rPr>
          <w:rFonts w:ascii="宋体" w:hAnsi="宋体" w:cs="宋体" w:eastAsia="宋体" w:hint="default"/>
          <w:sz w:val="20"/>
          <w:szCs w:val="20"/>
        </w:rPr>
        <w:sectPr>
          <w:type w:val="continuous"/>
          <w:pgSz w:w="11910" w:h="16840"/>
          <w:pgMar w:top="0" w:bottom="280" w:left="96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编制单位：江苏丰东热技术股份有限公司</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238,025,169.23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285,381,680.79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17,626,333.73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9,035,405.84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85,370,885.07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74,221,421.66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11,392,288.63</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13,772,696.44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3,584,629.70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4,157,466.35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163,764,185.54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167,693,599.17</w:t>
            </w:r>
            <w:r>
              <w:rPr>
                <w:rFonts w:ascii="Times New Roman"/>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4,835,969.70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519,763,491.90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559,098,239.95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72,835,084.75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38,014,723.03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178,807,649.18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176,072,494.59</w:t>
            </w:r>
          </w:p>
        </w:tc>
      </w:tr>
    </w:tbl>
    <w:p>
      <w:pPr>
        <w:spacing w:after="0" w:line="240" w:lineRule="auto"/>
        <w:jc w:val="right"/>
        <w:rPr>
          <w:rFonts w:ascii="Times New Roman" w:hAnsi="Times New Roman" w:cs="Times New Roman" w:eastAsia="Times New Roman" w:hint="default"/>
          <w:sz w:val="18"/>
          <w:szCs w:val="18"/>
        </w:rPr>
        <w:sectPr>
          <w:pgSz w:w="11910" w:h="16840"/>
          <w:pgMar w:header="706" w:footer="1340" w:top="1060" w:bottom="1580" w:left="9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27,064,598.70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7,464,551.09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32,132,658.13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32,820,840.87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5,919,293.97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5,919,293.97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1,448,810.83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489,666.05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3,870,570.08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3,034,027.30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322,078,665.64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263,815,596.90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841,842,157.54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822,913,836.85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48,448,962.08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63,134,800.55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102,881,895.78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111,732,041.53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5,444,318.40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5,492,142.39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8,344,638.88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3,873,230.04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977,500.00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820,000.00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4,322,502.20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4,607,684.80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06" w:footer="1340" w:top="1060" w:bottom="1540" w:left="9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181,919,817.34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199,959,899.31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817,063.08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836,138.52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10,513,554.97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8,984,078.97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11,330,618.05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9,820,217.49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193,250,435.39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209,780,116.80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209,468,822.85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343,468,822.85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17,850,126.57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13,110,943.00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128,214,434.82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98,931,879.00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623,533,384.24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589,511,644.85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25,058,337.91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23,622,075.20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648,591,722.15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613,133,720.05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841,842,157.54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822,913,836.85</w:t>
            </w:r>
          </w:p>
        </w:tc>
      </w:tr>
    </w:tbl>
    <w:p>
      <w:pPr>
        <w:spacing w:line="240" w:lineRule="auto" w:before="11"/>
        <w:rPr>
          <w:rFonts w:ascii="Times New Roman" w:hAnsi="Times New Roman" w:cs="Times New Roman" w:eastAsia="Times New Roman" w:hint="default"/>
          <w:sz w:val="22"/>
          <w:szCs w:val="22"/>
        </w:rPr>
      </w:pPr>
    </w:p>
    <w:p>
      <w:pPr>
        <w:tabs>
          <w:tab w:pos="3567" w:val="left" w:leader="none"/>
          <w:tab w:pos="7618" w:val="left" w:leader="none"/>
        </w:tabs>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法定代表人：朱文明</w:t>
        <w:tab/>
      </w:r>
      <w:r>
        <w:rPr>
          <w:rFonts w:ascii="宋体" w:hAnsi="宋体" w:cs="宋体" w:eastAsia="宋体" w:hint="default"/>
          <w:spacing w:val="-1"/>
          <w:sz w:val="18"/>
          <w:szCs w:val="18"/>
        </w:rPr>
        <w:t>主管会计工作负责人：徐仕俊</w:t>
        <w:tab/>
        <w:t>会计机构负责人：徐仕俊</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编制单位：江苏丰东热技术股份有限公司</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2955"/>
        <w:gridCol w:w="3302"/>
        <w:gridCol w:w="3290"/>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5" w:right="0"/>
              <w:jc w:val="left"/>
              <w:rPr>
                <w:rFonts w:ascii="Times New Roman" w:hAnsi="Times New Roman" w:cs="Times New Roman" w:eastAsia="Times New Roman" w:hint="default"/>
                <w:sz w:val="18"/>
                <w:szCs w:val="18"/>
              </w:rPr>
            </w:pPr>
            <w:r>
              <w:rPr>
                <w:rFonts w:ascii="Times New Roman"/>
                <w:sz w:val="18"/>
              </w:rPr>
              <w:t>142,411,455.08</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198,339,460.64</w:t>
            </w:r>
          </w:p>
        </w:tc>
      </w:tr>
    </w:tbl>
    <w:p>
      <w:pPr>
        <w:spacing w:after="0" w:line="240" w:lineRule="auto"/>
        <w:jc w:val="left"/>
        <w:rPr>
          <w:rFonts w:ascii="Times New Roman" w:hAnsi="Times New Roman" w:cs="Times New Roman" w:eastAsia="Times New Roman" w:hint="default"/>
          <w:sz w:val="18"/>
          <w:szCs w:val="18"/>
        </w:rPr>
        <w:sectPr>
          <w:pgSz w:w="11910" w:h="16840"/>
          <w:pgMar w:header="706" w:footer="1340" w:top="1060" w:bottom="1540" w:left="9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12,866,644.91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4,327,594.98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65,782,636.97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55,205,648.31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2"/>
                <w:sz w:val="18"/>
              </w:rPr>
              <w:t>13,117,111.90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5,778,084.52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1,021,672.88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5,941,081.29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2,622,748.80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3,088,523.19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133,665,868.94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136,634,077.53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3,465,225.22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371,488,139.48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412,779,695.68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263,426,837.33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228,606,475.61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69,618,607.19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64,936,344.59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21,679,612.66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3,288,781.00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20,804,374.92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21,206,137.03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769,996.18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741,549.94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376,299,428.28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318,779,288.17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747,787,567.76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731,558,983.85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06" w:footer="1340" w:top="1060" w:bottom="1540" w:left="9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32,003,333.33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47,059,819.09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97,114,122.26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101,098,876.58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3,061,886.23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3,715,257.55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6,028,554.09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1,362,784.22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2,355,249.60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3,299,135.88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140,563,145.51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156,535,873.32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8,983,554.97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8,094,078.97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8,983,554.97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8,094,078.97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149,546,700.48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164,629,952.29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211,266,227.30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345,266,227.30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17,850,126.57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13,110,943.00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101,124,513.41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74,551,861.26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598,240,867.28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566,929,031.56</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747,787,567.76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731,558,983.85</w:t>
            </w:r>
          </w:p>
        </w:tc>
      </w:tr>
    </w:tbl>
    <w:p>
      <w:pPr>
        <w:spacing w:line="240" w:lineRule="auto" w:before="11"/>
        <w:rPr>
          <w:rFonts w:ascii="Times New Roman" w:hAnsi="Times New Roman" w:cs="Times New Roman" w:eastAsia="Times New Roman" w:hint="default"/>
          <w:sz w:val="22"/>
          <w:szCs w:val="22"/>
        </w:rPr>
      </w:pPr>
    </w:p>
    <w:p>
      <w:pPr>
        <w:tabs>
          <w:tab w:pos="3567" w:val="left" w:leader="none"/>
          <w:tab w:pos="7618" w:val="left" w:leader="none"/>
        </w:tabs>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法定代表人：朱文明</w:t>
        <w:tab/>
      </w:r>
      <w:r>
        <w:rPr>
          <w:rFonts w:ascii="宋体" w:hAnsi="宋体" w:cs="宋体" w:eastAsia="宋体" w:hint="default"/>
          <w:spacing w:val="-1"/>
          <w:sz w:val="18"/>
          <w:szCs w:val="18"/>
        </w:rPr>
        <w:t>主管会计工作负责人：徐仕俊</w:t>
        <w:tab/>
        <w:t>会计机构负责人：徐仕俊</w:t>
      </w:r>
    </w:p>
    <w:p>
      <w:pPr>
        <w:spacing w:after="0"/>
        <w:jc w:val="left"/>
        <w:rPr>
          <w:rFonts w:ascii="宋体" w:hAnsi="宋体" w:cs="宋体" w:eastAsia="宋体" w:hint="default"/>
          <w:sz w:val="18"/>
          <w:szCs w:val="18"/>
        </w:rPr>
        <w:sectPr>
          <w:pgSz w:w="11910" w:h="16840"/>
          <w:pgMar w:header="706" w:footer="1340" w:top="1060" w:bottom="1540" w:left="96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编制单位：江苏丰东热技术股份有限公司</w:t>
      </w:r>
    </w:p>
    <w:p>
      <w:pPr>
        <w:spacing w:before="115"/>
        <w:ind w:left="0" w:right="1131" w:firstLine="0"/>
        <w:jc w:val="right"/>
        <w:rPr>
          <w:rFonts w:ascii="宋体" w:hAnsi="宋体" w:cs="宋体" w:eastAsia="宋体" w:hint="default"/>
          <w:sz w:val="18"/>
          <w:szCs w:val="18"/>
        </w:rPr>
      </w:pPr>
      <w:r>
        <w:rPr/>
        <w:pict>
          <v:shape style="position:absolute;margin-left:57pt;margin-top:22.981709pt;width:478.7pt;height:625.8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343,135,830.49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319,773,236.18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343,135,830.49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319,773,236.18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292,744,841.84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270,358,181.45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234,394,211.71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215,460,965.61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3,203,894.15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1,996,189.37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15,402,911.76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14,191,746.10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42,038,693.23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40,049,791.43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-4,147,204.48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-1,749,783.99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1,852,335.47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409,272.93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10,005,770.20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11,539,153.60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9,410,310.70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10,983,391.40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汇兑收</w:t>
                        </w:r>
                        <w:r>
                          <w:rPr>
                            <w:rFonts w:ascii="宋体" w:hAnsi="宋体" w:cs="宋体" w:eastAsia="宋体" w:hint="default"/>
                            <w:spacing w:val="-10"/>
                            <w:sz w:val="18"/>
                            <w:szCs w:val="18"/>
                          </w:rPr>
                          <w:t>益</w:t>
                        </w:r>
                        <w:r>
                          <w:rPr>
                            <w:rFonts w:ascii="宋体" w:hAnsi="宋体" w:cs="宋体" w:eastAsia="宋体" w:hint="default"/>
                            <w:sz w:val="18"/>
                            <w:szCs w:val="18"/>
                          </w:rPr>
                          <w:t>（损失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60,396,758.85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60,954,208.33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3,272,152.28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2,814,219.89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1,065,225.42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1,492,640.01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8,793.54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979,365.56</w:t>
                        </w:r>
                      </w:p>
                    </w:tc>
                  </w:tr>
                </w:tbl>
                <w:p>
                  <w:pPr/>
                </w:p>
              </w:txbxContent>
            </v:textbox>
            <w10:wrap type="none"/>
          </v:shape>
        </w:pict>
      </w: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06" w:footer="1340" w:top="1060" w:bottom="1580" w:left="960" w:right="0"/>
        </w:sectPr>
      </w:pPr>
    </w:p>
    <w:p>
      <w:pPr>
        <w:spacing w:line="240" w:lineRule="auto" w:before="6"/>
        <w:rPr>
          <w:rFonts w:ascii="宋体" w:hAnsi="宋体" w:cs="宋体" w:eastAsia="宋体" w:hint="default"/>
          <w:sz w:val="28"/>
          <w:szCs w:val="28"/>
        </w:rPr>
      </w:pPr>
    </w:p>
    <w:tbl>
      <w:tblPr>
        <w:tblW w:w="0" w:type="auto"/>
        <w:jc w:val="left"/>
        <w:tblInd w:w="18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62,603,685.71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62,275,788.21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10,046,298.85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11,133,587.48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52,557,386.86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51,142,200.73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50,101,739.39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48,548,696.21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2,455,647.47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2,593,504.52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52,557,386.86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51,142,200.73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50,101,739.39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48,548,696.21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2,455,647.47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2,593,504.52</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tabs>
          <w:tab w:pos="3567" w:val="left" w:leader="none"/>
          <w:tab w:pos="7618" w:val="left" w:leader="none"/>
        </w:tabs>
        <w:spacing w:before="141"/>
        <w:ind w:left="172" w:right="0" w:firstLine="0"/>
        <w:jc w:val="left"/>
        <w:rPr>
          <w:rFonts w:ascii="宋体" w:hAnsi="宋体" w:cs="宋体" w:eastAsia="宋体" w:hint="default"/>
          <w:sz w:val="18"/>
          <w:szCs w:val="18"/>
        </w:rPr>
      </w:pPr>
      <w:r>
        <w:rPr>
          <w:rFonts w:ascii="宋体" w:hAnsi="宋体" w:cs="宋体" w:eastAsia="宋体" w:hint="default"/>
          <w:sz w:val="18"/>
          <w:szCs w:val="18"/>
        </w:rPr>
        <w:t>法定代表人：朱文明</w:t>
        <w:tab/>
      </w:r>
      <w:r>
        <w:rPr>
          <w:rFonts w:ascii="宋体" w:hAnsi="宋体" w:cs="宋体" w:eastAsia="宋体" w:hint="default"/>
          <w:spacing w:val="-1"/>
          <w:sz w:val="18"/>
          <w:szCs w:val="18"/>
        </w:rPr>
        <w:t>主管会计工作负责人：徐仕俊</w:t>
        <w:tab/>
        <w:t>会计机构负责人：徐仕俊</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编制单位：江苏丰东热技术股份有限公司</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217,089,096.43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190,016,278.65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151,798,471.93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131,620,267.40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1,810,127.65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1,211,895.12</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11,364,293.41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9,726,662.68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21,727,854.43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20,452,601.98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-4,525,255.72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-2,237,398.17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1,772,675.72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543,896.49</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19,367,503.56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26,050,307.15</w:t>
            </w:r>
          </w:p>
        </w:tc>
      </w:tr>
    </w:tbl>
    <w:p>
      <w:pPr>
        <w:spacing w:after="0" w:line="240" w:lineRule="auto"/>
        <w:jc w:val="right"/>
        <w:rPr>
          <w:rFonts w:ascii="Times New Roman" w:hAnsi="Times New Roman" w:cs="Times New Roman" w:eastAsia="Times New Roman" w:hint="default"/>
          <w:sz w:val="18"/>
          <w:szCs w:val="18"/>
        </w:rPr>
        <w:sectPr>
          <w:pgSz w:w="11910" w:h="16840"/>
          <w:pgMar w:header="706" w:footer="1340" w:top="1060" w:bottom="1540" w:left="96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859288" coordorigin="9206,15298" coordsize="2700,1540">
            <v:shape style="position:absolute;left:9206;top:15298;width:2700;height:1540" type="#_x0000_t75" stroked="false">
              <v:imagedata r:id="rId26"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68</w:t>
                    </w:r>
                  </w:p>
                </w:txbxContent>
              </v:textbox>
              <w10:wrap type="none"/>
            </v:shape>
            <w10:wrap type="none"/>
          </v:group>
        </w:pict>
      </w:r>
    </w:p>
    <w:tbl>
      <w:tblPr>
        <w:tblW w:w="0" w:type="auto"/>
        <w:jc w:val="left"/>
        <w:tblInd w:w="180" w:type="dxa"/>
        <w:tblLayout w:type="fixed"/>
        <w:tblCellMar>
          <w:top w:w="0" w:type="dxa"/>
          <w:left w:w="0" w:type="dxa"/>
          <w:bottom w:w="0" w:type="dxa"/>
          <w:right w:w="0" w:type="dxa"/>
        </w:tblCellMar>
        <w:tblLook w:val="01E0"/>
      </w:tblPr>
      <w:tblGrid>
        <w:gridCol w:w="2942"/>
        <w:gridCol w:w="3314"/>
        <w:gridCol w:w="3303"/>
      </w:tblGrid>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8,938,112.92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10,983,391.40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52,508,432.57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54,748,660.30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1,497,120.80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779,781.35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929,740.07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446,890.77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3,308.73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3,100.00</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53,075,813.30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55,081,550.88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5,683,977.58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5,734,121.62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47,391,835.72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49,347,429.26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0.184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47,391,835.72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49,347,429.26</w:t>
            </w:r>
          </w:p>
        </w:tc>
      </w:tr>
    </w:tbl>
    <w:p>
      <w:pPr>
        <w:spacing w:line="240" w:lineRule="auto" w:before="2"/>
        <w:rPr>
          <w:rFonts w:ascii="宋体" w:hAnsi="宋体" w:cs="宋体" w:eastAsia="宋体" w:hint="default"/>
          <w:sz w:val="20"/>
          <w:szCs w:val="20"/>
        </w:rPr>
      </w:pPr>
    </w:p>
    <w:p>
      <w:pPr>
        <w:tabs>
          <w:tab w:pos="3567" w:val="left" w:leader="none"/>
          <w:tab w:pos="7618" w:val="left" w:leader="none"/>
        </w:tabs>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法定代表人：朱文明</w:t>
        <w:tab/>
      </w:r>
      <w:r>
        <w:rPr>
          <w:rFonts w:ascii="宋体" w:hAnsi="宋体" w:cs="宋体" w:eastAsia="宋体" w:hint="default"/>
          <w:spacing w:val="-1"/>
          <w:sz w:val="18"/>
          <w:szCs w:val="18"/>
        </w:rPr>
        <w:t>主管会计工作负责人：徐仕俊</w:t>
        <w:tab/>
        <w:t>会计机构负责人：徐仕俊</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编制单位：江苏丰东热技术股份有限公司</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398,199,795.01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410,748,675.93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0"/>
          <w:footerReference w:type="default" r:id="rId41"/>
          <w:pgSz w:w="11910" w:h="16840"/>
          <w:pgMar w:header="706" w:footer="0" w:top="1060" w:bottom="0" w:left="96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859240" coordorigin="9206,15298" coordsize="2700,1540">
            <v:shape style="position:absolute;left:9206;top:15298;width:2700;height:1540" type="#_x0000_t75" stroked="false">
              <v:imagedata r:id="rId26"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69</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8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2,599,766.31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1,917,465.79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10,051,745.62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5,163,475.56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410,851,306.94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417,829,617.28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pacing w:val="-1"/>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250,043,118.20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280,955,612.24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53,554,483.49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49,511,162.76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34,576,470.76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43,250,607.71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38,926,014.46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32,256,990.04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377,100,086.91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405,974,372.75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33,751,220.03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11,855,244.53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3,595,459.50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1,555,762.20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508,525.14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4,587,028.44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8,603,984.64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6,142,790.64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43,309,941.34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51,108,539.77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28,882,248.80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7,003,000.00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72,192,190.14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58,111,539.77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-63,588,205.50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-51,968,749.13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2"/>
          <w:footerReference w:type="default" r:id="rId43"/>
          <w:pgSz w:w="11910" w:h="16840"/>
          <w:pgMar w:header="706" w:footer="0" w:top="1060" w:bottom="0" w:left="96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859192" coordorigin="9206,15298" coordsize="2700,1540">
            <v:shape style="position:absolute;left:9206;top:15298;width:2700;height:1540" type="#_x0000_t75" stroked="false">
              <v:imagedata r:id="rId26"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70</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63,450,000.00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18,724,879.20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35,165,503.80</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861,884.76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6,875,178.64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4,908,006.00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62,524,879.20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103,523,509.80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-17,524,879.20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-88,723,509.80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5,353.11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39,497.71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-47,356,511.56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-128,797,516.69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285,381,680.79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414,179,197.48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238,025,169.23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285,381,680.79</w:t>
            </w:r>
          </w:p>
        </w:tc>
      </w:tr>
    </w:tbl>
    <w:p>
      <w:pPr>
        <w:spacing w:line="240" w:lineRule="auto" w:before="11"/>
        <w:rPr>
          <w:rFonts w:ascii="Times New Roman" w:hAnsi="Times New Roman" w:cs="Times New Roman" w:eastAsia="Times New Roman" w:hint="default"/>
          <w:sz w:val="22"/>
          <w:szCs w:val="22"/>
        </w:rPr>
      </w:pPr>
    </w:p>
    <w:p>
      <w:pPr>
        <w:tabs>
          <w:tab w:pos="3567" w:val="left" w:leader="none"/>
          <w:tab w:pos="7618" w:val="left" w:leader="none"/>
        </w:tabs>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法定代表人：朱文明</w:t>
        <w:tab/>
      </w:r>
      <w:r>
        <w:rPr>
          <w:rFonts w:ascii="宋体" w:hAnsi="宋体" w:cs="宋体" w:eastAsia="宋体" w:hint="default"/>
          <w:spacing w:val="-1"/>
          <w:sz w:val="18"/>
          <w:szCs w:val="18"/>
        </w:rPr>
        <w:t>主管会计工作负责人：徐仕俊</w:t>
        <w:tab/>
        <w:t>会计机构负责人：徐仕俊</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编制单位：江苏丰东热技术股份有限公司</w:t>
      </w:r>
    </w:p>
    <w:p>
      <w:pPr>
        <w:spacing w:before="7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4100"/>
        <w:gridCol w:w="2846"/>
        <w:gridCol w:w="2624"/>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232,325,531.26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248,793,362.95</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1,390,801.31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742,047.78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7,250,380.96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2,838,617.09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240,966,713.53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252,374,027.82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178,178,437.39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188,531,894.90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21,904,272.73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20,069,539.85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16,772,156.01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19,921,212.72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21,501,711.65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19,034,639.73</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238,356,577.78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247,557,287.20</w:t>
            </w:r>
          </w:p>
        </w:tc>
      </w:tr>
    </w:tbl>
    <w:p>
      <w:pPr>
        <w:spacing w:after="0" w:line="240" w:lineRule="auto"/>
        <w:jc w:val="right"/>
        <w:rPr>
          <w:rFonts w:ascii="Times New Roman" w:hAnsi="Times New Roman" w:cs="Times New Roman" w:eastAsia="Times New Roman" w:hint="default"/>
          <w:sz w:val="18"/>
          <w:szCs w:val="18"/>
        </w:rPr>
        <w:sectPr>
          <w:headerReference w:type="default" r:id="rId44"/>
          <w:footerReference w:type="default" r:id="rId45"/>
          <w:pgSz w:w="11910" w:h="16840"/>
          <w:pgMar w:header="706" w:footer="0" w:top="1060" w:bottom="0" w:left="960" w:right="0"/>
        </w:sectPr>
      </w:pPr>
    </w:p>
    <w:p>
      <w:pPr>
        <w:spacing w:line="240" w:lineRule="auto" w:before="6"/>
        <w:rPr>
          <w:rFonts w:ascii="宋体" w:hAnsi="宋体" w:cs="宋体" w:eastAsia="宋体" w:hint="default"/>
          <w:sz w:val="28"/>
          <w:szCs w:val="28"/>
        </w:rPr>
      </w:pPr>
    </w:p>
    <w:tbl>
      <w:tblPr>
        <w:tblW w:w="0" w:type="auto"/>
        <w:jc w:val="left"/>
        <w:tblInd w:w="169" w:type="dxa"/>
        <w:tblLayout w:type="fixed"/>
        <w:tblCellMar>
          <w:top w:w="0" w:type="dxa"/>
          <w:left w:w="0" w:type="dxa"/>
          <w:bottom w:w="0" w:type="dxa"/>
          <w:right w:w="0" w:type="dxa"/>
        </w:tblCellMar>
        <w:tblLook w:val="01E0"/>
      </w:tblPr>
      <w:tblGrid>
        <w:gridCol w:w="4100"/>
        <w:gridCol w:w="2846"/>
        <w:gridCol w:w="2624"/>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2,610,135.75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4,816,740.62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17,969,700.00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18,348,799.05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9,166,134.46</w:t>
            </w:r>
          </w:p>
        </w:tc>
      </w:tr>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36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处置固定资产、无形资产和其他长期资产收回的</w:t>
            </w:r>
            <w:r>
              <w:rPr>
                <w:rFonts w:ascii="宋体" w:hAnsi="宋体" w:cs="宋体" w:eastAsia="宋体" w:hint="default"/>
                <w:sz w:val="18"/>
                <w:szCs w:val="18"/>
              </w:rPr>
              <w:t> 现金净额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362,617.46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82,000.00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85"/>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18,711,416.51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27,217,834.46</w:t>
            </w:r>
          </w:p>
        </w:tc>
      </w:tr>
      <w:tr>
        <w:trPr>
          <w:trHeight w:val="715"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购建固定资产</w:t>
            </w:r>
            <w:r>
              <w:rPr>
                <w:rFonts w:ascii="宋体" w:hAnsi="宋体" w:cs="宋体" w:eastAsia="宋体" w:hint="default"/>
                <w:spacing w:val="-85"/>
                <w:sz w:val="18"/>
                <w:szCs w:val="18"/>
              </w:rPr>
              <w:t>、</w:t>
            </w:r>
            <w:r>
              <w:rPr>
                <w:rFonts w:ascii="宋体" w:hAnsi="宋体" w:cs="宋体" w:eastAsia="宋体" w:hint="default"/>
                <w:sz w:val="18"/>
                <w:szCs w:val="18"/>
              </w:rPr>
              <w:t>无形资产和其他长期资产支付的</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31,595,484.58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11,728,063.27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28,882,248.80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133,803,000.00</w:t>
            </w:r>
            <w:r>
              <w:rPr>
                <w:rFonts w:ascii="Times New Roman"/>
                <w:sz w:val="18"/>
              </w:rPr>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60,477,733.38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145,531,063.27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-41,766,316.87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-118,313,228.81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16,772,250.00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27,117,304.05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846" w:type="dxa"/>
            <w:tcBorders>
              <w:top w:val="single" w:sz="4" w:space="0" w:color="000000"/>
              <w:left w:val="single" w:sz="12" w:space="0" w:color="D2D2D2"/>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4,908,006.00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46,772,250.00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82,025,310.05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-16,772,250.00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-82,025,310.05</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425.56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41,603.87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-55,928,005.56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-195,480,194.37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198,339,460.64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393,819,655.01</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8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142,411,455.08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198,339,460.64</w:t>
            </w:r>
          </w:p>
        </w:tc>
      </w:tr>
    </w:tbl>
    <w:p>
      <w:pPr>
        <w:spacing w:line="240" w:lineRule="auto" w:before="2"/>
        <w:rPr>
          <w:rFonts w:ascii="宋体" w:hAnsi="宋体" w:cs="宋体" w:eastAsia="宋体" w:hint="default"/>
          <w:sz w:val="20"/>
          <w:szCs w:val="20"/>
        </w:rPr>
      </w:pPr>
    </w:p>
    <w:p>
      <w:pPr>
        <w:tabs>
          <w:tab w:pos="3567" w:val="left" w:leader="none"/>
          <w:tab w:pos="7618" w:val="left" w:leader="none"/>
        </w:tabs>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法定代表人：朱文明</w:t>
        <w:tab/>
      </w:r>
      <w:r>
        <w:rPr>
          <w:rFonts w:ascii="宋体" w:hAnsi="宋体" w:cs="宋体" w:eastAsia="宋体" w:hint="default"/>
          <w:spacing w:val="-1"/>
          <w:sz w:val="18"/>
          <w:szCs w:val="18"/>
        </w:rPr>
        <w:t>主管会计工作负责人：徐仕俊</w:t>
        <w:tab/>
        <w:t>会计机构负责人：徐仕俊</w:t>
      </w:r>
    </w:p>
    <w:p>
      <w:pPr>
        <w:spacing w:after="0"/>
        <w:jc w:val="left"/>
        <w:rPr>
          <w:rFonts w:ascii="宋体" w:hAnsi="宋体" w:cs="宋体" w:eastAsia="宋体" w:hint="default"/>
          <w:sz w:val="18"/>
          <w:szCs w:val="18"/>
        </w:rPr>
        <w:sectPr>
          <w:footerReference w:type="default" r:id="rId46"/>
          <w:pgSz w:w="11910" w:h="16840"/>
          <w:pgMar w:footer="1275" w:header="706" w:top="1060" w:bottom="1460" w:left="960" w:right="0"/>
          <w:pgNumType w:start="71"/>
        </w:sectPr>
      </w:pPr>
    </w:p>
    <w:p>
      <w:pPr>
        <w:spacing w:line="240" w:lineRule="auto" w:before="10"/>
        <w:rPr>
          <w:rFonts w:ascii="宋体" w:hAnsi="宋体" w:cs="宋体" w:eastAsia="宋体" w:hint="default"/>
          <w:sz w:val="24"/>
          <w:szCs w:val="24"/>
        </w:rPr>
      </w:pPr>
    </w:p>
    <w:p>
      <w:pPr>
        <w:pStyle w:val="Heading4"/>
        <w:spacing w:line="240" w:lineRule="auto" w:before="36"/>
        <w:ind w:left="812"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06" w:footer="1275" w:top="1060" w:bottom="1540" w:left="320" w:right="0"/>
        </w:sectPr>
      </w:pPr>
    </w:p>
    <w:p>
      <w:pPr>
        <w:spacing w:line="357" w:lineRule="auto" w:before="44"/>
        <w:ind w:left="812" w:right="-20" w:firstLine="0"/>
        <w:jc w:val="left"/>
        <w:rPr>
          <w:rFonts w:ascii="宋体" w:hAnsi="宋体" w:cs="宋体" w:eastAsia="宋体" w:hint="default"/>
          <w:sz w:val="18"/>
          <w:szCs w:val="18"/>
        </w:rPr>
      </w:pPr>
      <w:r>
        <w:rPr>
          <w:rFonts w:ascii="宋体" w:hAnsi="宋体" w:cs="宋体" w:eastAsia="宋体" w:hint="default"/>
          <w:sz w:val="18"/>
          <w:szCs w:val="18"/>
        </w:rPr>
        <w:t>编制单位：江苏丰东热技术股份有限公司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8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0" w:bottom="280" w:left="320" w:right="0"/>
          <w:cols w:num="2" w:equalWidth="0">
            <w:col w:w="4053" w:space="4867"/>
            <w:col w:w="2670"/>
          </w:cols>
        </w:sectPr>
      </w:pP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116"/>
        <w:gridCol w:w="1288"/>
        <w:gridCol w:w="1274"/>
        <w:gridCol w:w="456"/>
        <w:gridCol w:w="394"/>
        <w:gridCol w:w="1136"/>
        <w:gridCol w:w="425"/>
        <w:gridCol w:w="1133"/>
        <w:gridCol w:w="286"/>
        <w:gridCol w:w="1133"/>
        <w:gridCol w:w="1277"/>
      </w:tblGrid>
      <w:tr>
        <w:trPr>
          <w:trHeight w:val="401" w:hRule="exact"/>
        </w:trPr>
        <w:tc>
          <w:tcPr>
            <w:tcW w:w="2116" w:type="dxa"/>
            <w:vMerge w:val="restart"/>
            <w:tcBorders>
              <w:top w:val="single" w:sz="4" w:space="0" w:color="000000"/>
              <w:left w:val="single" w:sz="4" w:space="0" w:color="000000"/>
              <w:right w:val="single" w:sz="4" w:space="0" w:color="000000"/>
            </w:tcBorders>
            <w:shd w:val="clear" w:color="auto" w:fill="D2D2D2"/>
          </w:tcPr>
          <w:p>
            <w:pPr/>
          </w:p>
        </w:tc>
        <w:tc>
          <w:tcPr>
            <w:tcW w:w="880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36" w:hRule="exact"/>
        </w:trPr>
        <w:tc>
          <w:tcPr>
            <w:tcW w:w="2116" w:type="dxa"/>
            <w:vMerge/>
            <w:tcBorders>
              <w:left w:val="single" w:sz="4" w:space="0" w:color="000000"/>
              <w:bottom w:val="nil" w:sz="6" w:space="0" w:color="auto"/>
              <w:right w:val="single" w:sz="4" w:space="0" w:color="000000"/>
            </w:tcBorders>
            <w:shd w:val="clear" w:color="auto" w:fill="D2D2D2"/>
          </w:tcPr>
          <w:p>
            <w:pPr/>
          </w:p>
        </w:tc>
        <w:tc>
          <w:tcPr>
            <w:tcW w:w="639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r>
      <w:tr>
        <w:trPr>
          <w:trHeight w:val="85" w:hRule="exact"/>
        </w:trPr>
        <w:tc>
          <w:tcPr>
            <w:tcW w:w="21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6"/>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45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6"/>
              <w:ind w:left="103" w:right="9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136" w:type="dxa"/>
            <w:vMerge w:val="restart"/>
            <w:tcBorders>
              <w:top w:val="single" w:sz="4" w:space="0" w:color="000000"/>
              <w:left w:val="single" w:sz="4" w:space="0" w:color="000000"/>
              <w:right w:val="single" w:sz="4" w:space="0" w:color="FFFFFF"/>
            </w:tcBorders>
            <w:shd w:val="clear" w:color="auto" w:fill="D2D2D2"/>
          </w:tcPr>
          <w:p>
            <w:pPr/>
          </w:p>
        </w:tc>
        <w:tc>
          <w:tcPr>
            <w:tcW w:w="425" w:type="dxa"/>
            <w:tcBorders>
              <w:top w:val="single" w:sz="4" w:space="0" w:color="000000"/>
              <w:left w:val="single" w:sz="4" w:space="0" w:color="FFFFFF"/>
              <w:bottom w:val="nil" w:sz="6" w:space="0" w:color="auto"/>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286"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2116" w:type="dxa"/>
            <w:vMerge/>
            <w:tcBorders>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45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43" w:right="41"/>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394"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FFFFFF"/>
            </w:tcBorders>
            <w:shd w:val="clear" w:color="auto" w:fill="D2D2D2"/>
          </w:tcPr>
          <w:p>
            <w:pPr/>
          </w:p>
        </w:tc>
        <w:tc>
          <w:tcPr>
            <w:tcW w:w="425"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70"/>
              <w:ind w:left="28" w:right="2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33" w:type="dxa"/>
            <w:vMerge/>
            <w:tcBorders>
              <w:left w:val="single" w:sz="4" w:space="0" w:color="000000"/>
              <w:right w:val="single" w:sz="4" w:space="0" w:color="000000"/>
            </w:tcBorders>
            <w:shd w:val="clear" w:color="auto" w:fill="D2D2D2"/>
          </w:tcPr>
          <w:p>
            <w:pPr/>
          </w:p>
        </w:tc>
        <w:tc>
          <w:tcPr>
            <w:tcW w:w="286"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7"/>
              <w:ind w:left="472" w:right="108"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7"/>
              <w:ind w:left="542" w:right="91"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51" w:hRule="exact"/>
        </w:trPr>
        <w:tc>
          <w:tcPr>
            <w:tcW w:w="2116"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64" w:right="22" w:hanging="430"/>
              <w:jc w:val="left"/>
              <w:rPr>
                <w:rFonts w:ascii="宋体" w:hAnsi="宋体" w:cs="宋体" w:eastAsia="宋体" w:hint="default"/>
                <w:sz w:val="18"/>
                <w:szCs w:val="18"/>
              </w:rPr>
            </w:pPr>
            <w:r>
              <w:rPr>
                <w:rFonts w:ascii="宋体" w:hAnsi="宋体" w:cs="宋体" w:eastAsia="宋体" w:hint="default"/>
                <w:spacing w:val="-6"/>
                <w:sz w:val="18"/>
                <w:szCs w:val="18"/>
              </w:rPr>
              <w:t>实收资本（或股</w:t>
            </w:r>
            <w:r>
              <w:rPr>
                <w:rFonts w:ascii="宋体" w:hAnsi="宋体" w:cs="宋体" w:eastAsia="宋体" w:hint="default"/>
                <w:sz w:val="18"/>
                <w:szCs w:val="18"/>
              </w:rPr>
              <w:t> 本）</w:t>
            </w:r>
          </w:p>
        </w:tc>
        <w:tc>
          <w:tcPr>
            <w:tcW w:w="1274" w:type="dxa"/>
            <w:vMerge/>
            <w:tcBorders>
              <w:left w:val="single" w:sz="4" w:space="0" w:color="000000"/>
              <w:bottom w:val="nil" w:sz="6" w:space="0" w:color="auto"/>
              <w:right w:val="single" w:sz="4" w:space="0" w:color="000000"/>
            </w:tcBorders>
            <w:shd w:val="clear" w:color="auto" w:fill="D2D2D2"/>
          </w:tcPr>
          <w:p>
            <w:pPr/>
          </w:p>
        </w:tc>
        <w:tc>
          <w:tcPr>
            <w:tcW w:w="456" w:type="dxa"/>
            <w:vMerge/>
            <w:tcBorders>
              <w:left w:val="single" w:sz="4" w:space="0" w:color="000000"/>
              <w:right w:val="single" w:sz="4" w:space="0" w:color="000000"/>
            </w:tcBorders>
            <w:shd w:val="clear" w:color="auto" w:fill="D2D2D2"/>
          </w:tcPr>
          <w:p>
            <w:pPr/>
          </w:p>
        </w:tc>
        <w:tc>
          <w:tcPr>
            <w:tcW w:w="394"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FFFFFF"/>
            </w:tcBorders>
            <w:shd w:val="clear" w:color="auto" w:fill="D2D2D2"/>
          </w:tcPr>
          <w:p>
            <w:pPr/>
          </w:p>
        </w:tc>
        <w:tc>
          <w:tcPr>
            <w:tcW w:w="425" w:type="dxa"/>
            <w:vMerge/>
            <w:tcBorders>
              <w:left w:val="single" w:sz="4" w:space="0" w:color="FFFFFF"/>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2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0" w:right="44"/>
              <w:jc w:val="left"/>
              <w:rPr>
                <w:rFonts w:ascii="宋体" w:hAnsi="宋体" w:cs="宋体" w:eastAsia="宋体" w:hint="default"/>
                <w:sz w:val="18"/>
                <w:szCs w:val="18"/>
              </w:rPr>
            </w:pPr>
            <w:r>
              <w:rPr>
                <w:rFonts w:ascii="宋体" w:hAnsi="宋体" w:cs="宋体" w:eastAsia="宋体" w:hint="default"/>
                <w:sz w:val="18"/>
                <w:szCs w:val="18"/>
              </w:rPr>
              <w:t>其 他</w:t>
            </w:r>
          </w:p>
        </w:tc>
        <w:tc>
          <w:tcPr>
            <w:tcW w:w="1133"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r>
      <w:tr>
        <w:trPr>
          <w:trHeight w:val="370" w:hRule="exact"/>
        </w:trPr>
        <w:tc>
          <w:tcPr>
            <w:tcW w:w="2116" w:type="dxa"/>
            <w:vMerge w:val="restart"/>
            <w:tcBorders>
              <w:top w:val="nil" w:sz="6" w:space="0" w:color="auto"/>
              <w:left w:val="single" w:sz="4" w:space="0" w:color="000000"/>
              <w:right w:val="single" w:sz="4" w:space="0" w:color="000000"/>
            </w:tcBorders>
            <w:shd w:val="clear" w:color="auto" w:fill="D2D2D2"/>
          </w:tcPr>
          <w:p>
            <w:pPr/>
          </w:p>
        </w:tc>
        <w:tc>
          <w:tcPr>
            <w:tcW w:w="1288"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456" w:type="dxa"/>
            <w:vMerge/>
            <w:tcBorders>
              <w:left w:val="single" w:sz="4" w:space="0" w:color="000000"/>
              <w:right w:val="single" w:sz="4" w:space="0" w:color="000000"/>
            </w:tcBorders>
            <w:shd w:val="clear" w:color="auto" w:fill="D2D2D2"/>
          </w:tcPr>
          <w:p>
            <w:pPr/>
          </w:p>
        </w:tc>
        <w:tc>
          <w:tcPr>
            <w:tcW w:w="394" w:type="dxa"/>
            <w:vMerge/>
            <w:tcBorders>
              <w:left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tcBorders>
              <w:left w:val="single" w:sz="4" w:space="0" w:color="FFFFFF"/>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6"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2116" w:type="dxa"/>
            <w:vMerge/>
            <w:tcBorders>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456" w:type="dxa"/>
            <w:vMerge/>
            <w:tcBorders>
              <w:left w:val="single" w:sz="4" w:space="0" w:color="000000"/>
              <w:right w:val="single" w:sz="4" w:space="0" w:color="000000"/>
            </w:tcBorders>
            <w:shd w:val="clear" w:color="auto" w:fill="D2D2D2"/>
          </w:tcPr>
          <w:p>
            <w:pPr/>
          </w:p>
        </w:tc>
        <w:tc>
          <w:tcPr>
            <w:tcW w:w="394" w:type="dxa"/>
            <w:vMerge/>
            <w:tcBorders>
              <w:left w:val="single" w:sz="4" w:space="0" w:color="000000"/>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FFFFFF"/>
            </w:tcBorders>
            <w:shd w:val="clear" w:color="auto" w:fill="D2D2D2"/>
          </w:tcPr>
          <w:p>
            <w:pPr/>
          </w:p>
        </w:tc>
        <w:tc>
          <w:tcPr>
            <w:tcW w:w="425" w:type="dxa"/>
            <w:vMerge/>
            <w:tcBorders>
              <w:left w:val="single" w:sz="4" w:space="0" w:color="FFFFFF"/>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286"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116" w:type="dxa"/>
            <w:vMerge/>
            <w:tcBorders>
              <w:left w:val="single" w:sz="4" w:space="0" w:color="000000"/>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456" w:type="dxa"/>
            <w:vMerge/>
            <w:tcBorders>
              <w:left w:val="single" w:sz="4" w:space="0" w:color="000000"/>
              <w:bottom w:val="nil" w:sz="6" w:space="0" w:color="auto"/>
              <w:right w:val="single" w:sz="4" w:space="0" w:color="000000"/>
            </w:tcBorders>
            <w:shd w:val="clear" w:color="auto" w:fill="D2D2D2"/>
          </w:tcPr>
          <w:p>
            <w:pPr/>
          </w:p>
        </w:tc>
        <w:tc>
          <w:tcPr>
            <w:tcW w:w="394"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FFFFFF"/>
            </w:tcBorders>
            <w:shd w:val="clear" w:color="auto" w:fill="D2D2D2"/>
          </w:tcPr>
          <w:p>
            <w:pPr/>
          </w:p>
        </w:tc>
        <w:tc>
          <w:tcPr>
            <w:tcW w:w="425" w:type="dxa"/>
            <w:vMerge/>
            <w:tcBorders>
              <w:left w:val="single" w:sz="4" w:space="0" w:color="FFFFFF"/>
              <w:bottom w:val="nil" w:sz="6" w:space="0" w:color="auto"/>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286" w:type="dxa"/>
            <w:vMerge w:val="restart"/>
            <w:tcBorders>
              <w:top w:val="nil" w:sz="6" w:space="0" w:color="auto"/>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r>
      <w:tr>
        <w:trPr>
          <w:trHeight w:val="161" w:hRule="exact"/>
        </w:trPr>
        <w:tc>
          <w:tcPr>
            <w:tcW w:w="2116" w:type="dxa"/>
            <w:vMerge/>
            <w:tcBorders>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456" w:type="dxa"/>
            <w:tcBorders>
              <w:top w:val="nil" w:sz="6" w:space="0" w:color="auto"/>
              <w:left w:val="single" w:sz="4" w:space="0" w:color="000000"/>
              <w:bottom w:val="single" w:sz="4" w:space="0" w:color="000000"/>
              <w:right w:val="single" w:sz="4" w:space="0" w:color="000000"/>
            </w:tcBorders>
            <w:shd w:val="clear" w:color="auto" w:fill="D2D2D2"/>
          </w:tcPr>
          <w:p>
            <w:pPr/>
          </w:p>
        </w:tc>
        <w:tc>
          <w:tcPr>
            <w:tcW w:w="394"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FFFFFF"/>
            </w:tcBorders>
            <w:shd w:val="clear" w:color="auto" w:fill="D2D2D2"/>
          </w:tcPr>
          <w:p>
            <w:pPr/>
          </w:p>
        </w:tc>
        <w:tc>
          <w:tcPr>
            <w:tcW w:w="425" w:type="dxa"/>
            <w:tcBorders>
              <w:top w:val="nil" w:sz="6" w:space="0" w:color="auto"/>
              <w:left w:val="single" w:sz="4" w:space="0" w:color="FFFFFF"/>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286"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134,000,000.00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343,468,822.85</w:t>
            </w: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13,110,943.00</w:t>
            </w:r>
          </w:p>
        </w:tc>
        <w:tc>
          <w:tcPr>
            <w:tcW w:w="425"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98,931,879.00</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23,622,075.20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613,133,720.05</w:t>
            </w:r>
          </w:p>
        </w:tc>
      </w:tr>
      <w:tr>
        <w:trPr>
          <w:trHeight w:val="401"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
        </w:tc>
        <w:tc>
          <w:tcPr>
            <w:tcW w:w="425"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
        </w:tc>
        <w:tc>
          <w:tcPr>
            <w:tcW w:w="425"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其他</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
        </w:tc>
        <w:tc>
          <w:tcPr>
            <w:tcW w:w="425"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134,000,000.00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343,468,822.85</w:t>
            </w: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13,110,943.00</w:t>
            </w:r>
          </w:p>
        </w:tc>
        <w:tc>
          <w:tcPr>
            <w:tcW w:w="425"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98,931,879.00</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23,622,075.20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613,133,720.05</w:t>
            </w:r>
          </w:p>
        </w:tc>
      </w:tr>
      <w:tr>
        <w:trPr>
          <w:trHeight w:val="713"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11"/>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w w:val="100"/>
                <w:sz w:val="18"/>
                <w:szCs w:val="18"/>
              </w:rPr>
              <w:t>少以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134,000,000.00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-134,000,000.00</w:t>
            </w: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4,739,183.57</w:t>
            </w:r>
          </w:p>
        </w:tc>
        <w:tc>
          <w:tcPr>
            <w:tcW w:w="425"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29,282,555.82</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1,436,262.71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35,458,002.10</w:t>
            </w:r>
          </w:p>
        </w:tc>
      </w:tr>
      <w:tr>
        <w:trPr>
          <w:trHeight w:val="403"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
        </w:tc>
        <w:tc>
          <w:tcPr>
            <w:tcW w:w="425"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50,101,739.39</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center"/>
              <w:rPr>
                <w:rFonts w:ascii="Times New Roman" w:hAnsi="Times New Roman" w:cs="Times New Roman" w:eastAsia="Times New Roman" w:hint="default"/>
                <w:sz w:val="18"/>
                <w:szCs w:val="18"/>
              </w:rPr>
            </w:pPr>
            <w:r>
              <w:rPr>
                <w:rFonts w:ascii="Times New Roman"/>
                <w:sz w:val="18"/>
              </w:rPr>
              <w:t>2,455,647.47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52,557,386.86</w:t>
            </w:r>
          </w:p>
        </w:tc>
      </w:tr>
      <w:tr>
        <w:trPr>
          <w:trHeight w:val="401"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
        </w:tc>
        <w:tc>
          <w:tcPr>
            <w:tcW w:w="425"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
        </w:tc>
        <w:tc>
          <w:tcPr>
            <w:tcW w:w="425"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50,101,739.39</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center"/>
              <w:rPr>
                <w:rFonts w:ascii="Times New Roman" w:hAnsi="Times New Roman" w:cs="Times New Roman" w:eastAsia="Times New Roman" w:hint="default"/>
                <w:sz w:val="18"/>
                <w:szCs w:val="18"/>
              </w:rPr>
            </w:pPr>
            <w:r>
              <w:rPr>
                <w:rFonts w:ascii="Times New Roman"/>
                <w:sz w:val="18"/>
              </w:rPr>
              <w:t>2,455,647.47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52,557,386.86</w:t>
            </w:r>
          </w:p>
        </w:tc>
      </w:tr>
      <w:tr>
        <w:trPr>
          <w:trHeight w:val="713"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9"/>
              <w:jc w:val="left"/>
              <w:rPr>
                <w:rFonts w:ascii="宋体" w:hAnsi="宋体" w:cs="宋体" w:eastAsia="宋体" w:hint="default"/>
                <w:sz w:val="18"/>
                <w:szCs w:val="18"/>
              </w:rPr>
            </w:pPr>
            <w:r>
              <w:rPr>
                <w:rFonts w:ascii="宋体" w:hAnsi="宋体" w:cs="宋体" w:eastAsia="宋体" w:hint="default"/>
                <w:spacing w:val="-8"/>
                <w:sz w:val="18"/>
                <w:szCs w:val="18"/>
              </w:rPr>
              <w:t>（三）所有者投入和减少资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
        </w:tc>
        <w:tc>
          <w:tcPr>
            <w:tcW w:w="425"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
        </w:tc>
        <w:tc>
          <w:tcPr>
            <w:tcW w:w="425"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3"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 益的金额</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
        </w:tc>
        <w:tc>
          <w:tcPr>
            <w:tcW w:w="425"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
        </w:tc>
        <w:tc>
          <w:tcPr>
            <w:tcW w:w="425"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1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9" w:space="0" w:color="D2D2D2"/>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456" w:type="dxa"/>
            <w:vMerge w:val="restart"/>
            <w:tcBorders>
              <w:top w:val="single" w:sz="4" w:space="0" w:color="000000"/>
              <w:left w:val="single" w:sz="4" w:space="0" w:color="000000"/>
              <w:right w:val="single" w:sz="4" w:space="0" w:color="000000"/>
            </w:tcBorders>
          </w:tcPr>
          <w:p>
            <w:pPr/>
          </w:p>
        </w:tc>
        <w:tc>
          <w:tcPr>
            <w:tcW w:w="394"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4,739,183.57</w:t>
            </w:r>
          </w:p>
        </w:tc>
        <w:tc>
          <w:tcPr>
            <w:tcW w:w="425" w:type="dxa"/>
            <w:vMerge w:val="restart"/>
            <w:tcBorders>
              <w:top w:val="single" w:sz="4" w:space="0" w:color="000000"/>
              <w:left w:val="single" w:sz="4" w:space="0" w:color="FFFFFF"/>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-20,819,183.5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286"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-1,019,384.76</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-17,099,384.76</w:t>
            </w:r>
          </w:p>
        </w:tc>
      </w:tr>
      <w:tr>
        <w:trPr>
          <w:trHeight w:val="391" w:hRule="exact"/>
        </w:trPr>
        <w:tc>
          <w:tcPr>
            <w:tcW w:w="21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88" w:type="dxa"/>
            <w:vMerge/>
            <w:tcBorders>
              <w:left w:val="single" w:sz="9" w:space="0" w:color="D2D2D2"/>
              <w:right w:val="single" w:sz="4" w:space="0" w:color="000000"/>
            </w:tcBorders>
          </w:tcPr>
          <w:p>
            <w:pPr/>
          </w:p>
        </w:tc>
        <w:tc>
          <w:tcPr>
            <w:tcW w:w="1274" w:type="dxa"/>
            <w:vMerge/>
            <w:tcBorders>
              <w:left w:val="single" w:sz="4" w:space="0" w:color="000000"/>
              <w:right w:val="single" w:sz="4" w:space="0" w:color="000000"/>
            </w:tcBorders>
          </w:tcPr>
          <w:p>
            <w:pPr/>
          </w:p>
        </w:tc>
        <w:tc>
          <w:tcPr>
            <w:tcW w:w="456" w:type="dxa"/>
            <w:vMerge/>
            <w:tcBorders>
              <w:left w:val="single" w:sz="4" w:space="0" w:color="000000"/>
              <w:right w:val="single" w:sz="4" w:space="0" w:color="000000"/>
            </w:tcBorders>
          </w:tcPr>
          <w:p>
            <w:pPr/>
          </w:p>
        </w:tc>
        <w:tc>
          <w:tcPr>
            <w:tcW w:w="3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FFFFFF"/>
            </w:tcBorders>
          </w:tcPr>
          <w:p>
            <w:pPr/>
          </w:p>
        </w:tc>
        <w:tc>
          <w:tcPr>
            <w:tcW w:w="425" w:type="dxa"/>
            <w:vMerge/>
            <w:tcBorders>
              <w:left w:val="single" w:sz="4" w:space="0" w:color="FFFFFF"/>
              <w:right w:val="single" w:sz="4" w:space="0" w:color="000000"/>
            </w:tcBorders>
          </w:tcPr>
          <w:p>
            <w:pPr/>
          </w:p>
        </w:tc>
        <w:tc>
          <w:tcPr>
            <w:tcW w:w="1133" w:type="dxa"/>
            <w:vMerge/>
            <w:tcBorders>
              <w:left w:val="single" w:sz="4" w:space="0" w:color="000000"/>
              <w:right w:val="single" w:sz="4" w:space="0" w:color="000000"/>
            </w:tcBorders>
          </w:tcPr>
          <w:p>
            <w:pPr/>
          </w:p>
        </w:tc>
        <w:tc>
          <w:tcPr>
            <w:tcW w:w="28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r>
      <w:tr>
        <w:trPr>
          <w:trHeight w:val="161" w:hRule="exact"/>
        </w:trPr>
        <w:tc>
          <w:tcPr>
            <w:tcW w:w="21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9" w:space="0" w:color="D2D2D2"/>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456" w:type="dxa"/>
            <w:vMerge/>
            <w:tcBorders>
              <w:left w:val="single" w:sz="4" w:space="0" w:color="000000"/>
              <w:bottom w:val="single" w:sz="4" w:space="0" w:color="000000"/>
              <w:right w:val="single" w:sz="4" w:space="0" w:color="000000"/>
            </w:tcBorders>
          </w:tcPr>
          <w:p>
            <w:pPr/>
          </w:p>
        </w:tc>
        <w:tc>
          <w:tcPr>
            <w:tcW w:w="394"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FFFFFF"/>
            </w:tcBorders>
          </w:tcPr>
          <w:p>
            <w:pPr/>
          </w:p>
        </w:tc>
        <w:tc>
          <w:tcPr>
            <w:tcW w:w="425" w:type="dxa"/>
            <w:vMerge/>
            <w:tcBorders>
              <w:left w:val="single" w:sz="4" w:space="0" w:color="FFFFFF"/>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r>
      <w:tr>
        <w:trPr>
          <w:trHeight w:val="404"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4,739,183.57</w:t>
            </w:r>
          </w:p>
        </w:tc>
        <w:tc>
          <w:tcPr>
            <w:tcW w:w="425"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-4,739,183.57</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
        </w:tc>
        <w:tc>
          <w:tcPr>
            <w:tcW w:w="425"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 分配</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
        </w:tc>
        <w:tc>
          <w:tcPr>
            <w:tcW w:w="425"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-1,019,384.76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-17,099,384.76</w:t>
            </w:r>
          </w:p>
        </w:tc>
      </w:tr>
      <w:tr>
        <w:trPr>
          <w:trHeight w:val="401"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
        </w:tc>
        <w:tc>
          <w:tcPr>
            <w:tcW w:w="425"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9"/>
                <w:sz w:val="18"/>
                <w:szCs w:val="18"/>
              </w:rPr>
              <w:t>）</w:t>
            </w:r>
            <w:r>
              <w:rPr>
                <w:rFonts w:ascii="宋体" w:hAnsi="宋体" w:cs="宋体" w:eastAsia="宋体" w:hint="default"/>
                <w:sz w:val="18"/>
                <w:szCs w:val="18"/>
              </w:rPr>
              <w:t>所有者权益内部结转</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134,000,000.00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-134,000,000.00</w:t>
            </w: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
        </w:tc>
        <w:tc>
          <w:tcPr>
            <w:tcW w:w="425"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 股本）</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134,000,000.00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-134,000,000.00</w:t>
            </w: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FFFFFF"/>
            </w:tcBorders>
          </w:tcPr>
          <w:p>
            <w:pPr/>
          </w:p>
        </w:tc>
        <w:tc>
          <w:tcPr>
            <w:tcW w:w="425"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0" w:bottom="280" w:left="3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2127"/>
        <w:gridCol w:w="1277"/>
        <w:gridCol w:w="1274"/>
        <w:gridCol w:w="456"/>
        <w:gridCol w:w="394"/>
        <w:gridCol w:w="1136"/>
        <w:gridCol w:w="425"/>
        <w:gridCol w:w="1133"/>
        <w:gridCol w:w="286"/>
        <w:gridCol w:w="1133"/>
        <w:gridCol w:w="1277"/>
      </w:tblGrid>
      <w:tr>
        <w:trPr>
          <w:trHeight w:val="71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 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268,000,000.00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209,468,822.85</w:t>
            </w:r>
          </w:p>
        </w:tc>
        <w:tc>
          <w:tcPr>
            <w:tcW w:w="456"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17,850,126.57</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128,214,434.8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25,058,337.91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648,591,722.15</w:t>
            </w:r>
          </w:p>
        </w:tc>
      </w:tr>
    </w:tbl>
    <w:p>
      <w:pPr>
        <w:spacing w:before="49"/>
        <w:ind w:left="81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2104"/>
        <w:gridCol w:w="1288"/>
        <w:gridCol w:w="1274"/>
        <w:gridCol w:w="425"/>
        <w:gridCol w:w="425"/>
        <w:gridCol w:w="1136"/>
        <w:gridCol w:w="425"/>
        <w:gridCol w:w="1133"/>
        <w:gridCol w:w="286"/>
        <w:gridCol w:w="1133"/>
        <w:gridCol w:w="1277"/>
      </w:tblGrid>
      <w:tr>
        <w:trPr>
          <w:trHeight w:val="403" w:hRule="exact"/>
        </w:trPr>
        <w:tc>
          <w:tcPr>
            <w:tcW w:w="2104" w:type="dxa"/>
            <w:vMerge w:val="restart"/>
            <w:tcBorders>
              <w:top w:val="single" w:sz="4" w:space="0" w:color="000000"/>
              <w:left w:val="single" w:sz="4" w:space="0" w:color="000000"/>
              <w:right w:val="single" w:sz="4" w:space="0" w:color="000000"/>
            </w:tcBorders>
            <w:shd w:val="clear" w:color="auto" w:fill="D2D2D2"/>
          </w:tcPr>
          <w:p>
            <w:pPr/>
          </w:p>
        </w:tc>
        <w:tc>
          <w:tcPr>
            <w:tcW w:w="880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6" w:hRule="exact"/>
        </w:trPr>
        <w:tc>
          <w:tcPr>
            <w:tcW w:w="2104" w:type="dxa"/>
            <w:vMerge/>
            <w:tcBorders>
              <w:left w:val="single" w:sz="4" w:space="0" w:color="000000"/>
              <w:bottom w:val="nil" w:sz="6" w:space="0" w:color="auto"/>
              <w:right w:val="single" w:sz="4" w:space="0" w:color="000000"/>
            </w:tcBorders>
            <w:shd w:val="clear" w:color="auto" w:fill="D2D2D2"/>
          </w:tcPr>
          <w:p>
            <w:pPr/>
          </w:p>
        </w:tc>
        <w:tc>
          <w:tcPr>
            <w:tcW w:w="639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21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8" w:right="24"/>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8" w:right="2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33" w:type="dxa"/>
            <w:vMerge w:val="restart"/>
            <w:tcBorders>
              <w:top w:val="single" w:sz="4" w:space="0" w:color="000000"/>
              <w:left w:val="single" w:sz="4" w:space="0" w:color="000000"/>
              <w:right w:val="single" w:sz="4" w:space="0" w:color="FFFFFF"/>
            </w:tcBorders>
            <w:shd w:val="clear" w:color="auto" w:fill="D2D2D2"/>
          </w:tcPr>
          <w:p>
            <w:pPr/>
          </w:p>
        </w:tc>
        <w:tc>
          <w:tcPr>
            <w:tcW w:w="286" w:type="dxa"/>
            <w:tcBorders>
              <w:top w:val="single" w:sz="4" w:space="0" w:color="000000"/>
              <w:left w:val="single" w:sz="4" w:space="0" w:color="FFFFFF"/>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5"/>
              <w:ind w:left="472" w:right="108"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5"/>
              <w:ind w:left="542" w:right="91"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56" w:hRule="exact"/>
        </w:trPr>
        <w:tc>
          <w:tcPr>
            <w:tcW w:w="2104"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284"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115"/>
              <w:ind w:left="19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74"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8"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6"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FFFFFF"/>
            </w:tcBorders>
            <w:shd w:val="clear" w:color="auto" w:fill="D2D2D2"/>
          </w:tcPr>
          <w:p>
            <w:pPr/>
          </w:p>
        </w:tc>
        <w:tc>
          <w:tcPr>
            <w:tcW w:w="286"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3"/>
              <w:ind w:left="50" w:right="44"/>
              <w:jc w:val="left"/>
              <w:rPr>
                <w:rFonts w:ascii="宋体" w:hAnsi="宋体" w:cs="宋体" w:eastAsia="宋体" w:hint="default"/>
                <w:sz w:val="18"/>
                <w:szCs w:val="18"/>
              </w:rPr>
            </w:pPr>
            <w:r>
              <w:rPr>
                <w:rFonts w:ascii="宋体" w:hAnsi="宋体" w:cs="宋体" w:eastAsia="宋体" w:hint="default"/>
                <w:sz w:val="18"/>
                <w:szCs w:val="18"/>
              </w:rPr>
              <w:t>其 他</w:t>
            </w:r>
          </w:p>
        </w:tc>
        <w:tc>
          <w:tcPr>
            <w:tcW w:w="1133"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r>
      <w:tr>
        <w:trPr>
          <w:trHeight w:val="372" w:hRule="exact"/>
        </w:trPr>
        <w:tc>
          <w:tcPr>
            <w:tcW w:w="2104" w:type="dxa"/>
            <w:vMerge w:val="restart"/>
            <w:tcBorders>
              <w:top w:val="nil" w:sz="6" w:space="0" w:color="auto"/>
              <w:left w:val="single" w:sz="4" w:space="0" w:color="000000"/>
              <w:right w:val="single" w:sz="4" w:space="0" w:color="000000"/>
            </w:tcBorders>
            <w:shd w:val="clear" w:color="auto" w:fill="D2D2D2"/>
          </w:tcPr>
          <w:p>
            <w:pPr/>
          </w:p>
        </w:tc>
        <w:tc>
          <w:tcPr>
            <w:tcW w:w="1288"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6" w:type="dxa"/>
            <w:vMerge/>
            <w:tcBorders>
              <w:left w:val="single" w:sz="4" w:space="0" w:color="FFFFFF"/>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r>
      <w:tr>
        <w:trPr>
          <w:trHeight w:val="171" w:hRule="exact"/>
        </w:trPr>
        <w:tc>
          <w:tcPr>
            <w:tcW w:w="2104" w:type="dxa"/>
            <w:vMerge/>
            <w:tcBorders>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FFFFFF"/>
            </w:tcBorders>
            <w:shd w:val="clear" w:color="auto" w:fill="D2D2D2"/>
          </w:tcPr>
          <w:p>
            <w:pPr/>
          </w:p>
        </w:tc>
        <w:tc>
          <w:tcPr>
            <w:tcW w:w="286" w:type="dxa"/>
            <w:vMerge/>
            <w:tcBorders>
              <w:left w:val="single" w:sz="4" w:space="0" w:color="FFFFFF"/>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104" w:type="dxa"/>
            <w:vMerge/>
            <w:tcBorders>
              <w:left w:val="single" w:sz="4" w:space="0" w:color="000000"/>
              <w:bottom w:val="single" w:sz="4" w:space="0" w:color="000000"/>
              <w:right w:val="single" w:sz="4" w:space="0" w:color="000000"/>
            </w:tcBorders>
            <w:shd w:val="clear" w:color="auto" w:fill="D2D2D2"/>
          </w:tcPr>
          <w:p>
            <w:pPr/>
          </w:p>
        </w:tc>
        <w:tc>
          <w:tcPr>
            <w:tcW w:w="12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FFFFFF"/>
            </w:tcBorders>
            <w:shd w:val="clear" w:color="auto" w:fill="D2D2D2"/>
          </w:tcPr>
          <w:p>
            <w:pPr/>
          </w:p>
        </w:tc>
        <w:tc>
          <w:tcPr>
            <w:tcW w:w="286" w:type="dxa"/>
            <w:tcBorders>
              <w:top w:val="nil" w:sz="6" w:space="0" w:color="auto"/>
              <w:left w:val="single" w:sz="4" w:space="0" w:color="FFFFFF"/>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134,000,000.00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344,459,213.37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8,176,200.07</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82,117,925.72</w:t>
            </w:r>
          </w:p>
        </w:tc>
        <w:tc>
          <w:tcPr>
            <w:tcW w:w="286"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34,491,358.80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603,244,697.96</w:t>
            </w:r>
          </w:p>
        </w:tc>
      </w:tr>
      <w:tr>
        <w:trPr>
          <w:trHeight w:val="716"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9" w:firstLine="360"/>
              <w:jc w:val="left"/>
              <w:rPr>
                <w:rFonts w:ascii="宋体" w:hAnsi="宋体" w:cs="宋体" w:eastAsia="宋体" w:hint="default"/>
                <w:sz w:val="18"/>
                <w:szCs w:val="18"/>
              </w:rPr>
            </w:pPr>
            <w:r>
              <w:rPr>
                <w:rFonts w:ascii="宋体" w:hAnsi="宋体" w:cs="宋体" w:eastAsia="宋体" w:hint="default"/>
                <w:spacing w:val="-9"/>
                <w:sz w:val="18"/>
                <w:szCs w:val="18"/>
              </w:rPr>
              <w:t>加：同一控制下企业合</w:t>
            </w:r>
            <w:r>
              <w:rPr>
                <w:rFonts w:ascii="宋体" w:hAnsi="宋体" w:cs="宋体" w:eastAsia="宋体" w:hint="default"/>
                <w:sz w:val="18"/>
                <w:szCs w:val="18"/>
              </w:rPr>
              <w:t> 并产生的追溯调整</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286"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286"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286"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8"/>
              <w:jc w:val="center"/>
              <w:rPr>
                <w:rFonts w:ascii="宋体" w:hAnsi="宋体" w:cs="宋体" w:eastAsia="宋体" w:hint="default"/>
                <w:sz w:val="18"/>
                <w:szCs w:val="18"/>
              </w:rPr>
            </w:pPr>
            <w:r>
              <w:rPr>
                <w:rFonts w:ascii="宋体" w:hAnsi="宋体" w:cs="宋体" w:eastAsia="宋体" w:hint="default"/>
                <w:sz w:val="18"/>
                <w:szCs w:val="18"/>
              </w:rPr>
              <w:t>其他</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286"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134,000,000.00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344,459,213.37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8,176,200.07</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82,117,925.72</w:t>
            </w:r>
          </w:p>
        </w:tc>
        <w:tc>
          <w:tcPr>
            <w:tcW w:w="286"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34,491,358.80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603,244,697.96</w:t>
            </w:r>
          </w:p>
        </w:tc>
      </w:tr>
      <w:tr>
        <w:trPr>
          <w:trHeight w:val="71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11"/>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w w:val="100"/>
                <w:sz w:val="18"/>
                <w:szCs w:val="18"/>
              </w:rPr>
              <w:t>少以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-990,390.52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4,934,742.93</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16,813,953.28</w:t>
            </w:r>
          </w:p>
        </w:tc>
        <w:tc>
          <w:tcPr>
            <w:tcW w:w="286"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-10,869,283.6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9,889,022.09</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48,548,696.21</w:t>
            </w:r>
          </w:p>
        </w:tc>
        <w:tc>
          <w:tcPr>
            <w:tcW w:w="286"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center"/>
              <w:rPr>
                <w:rFonts w:ascii="Times New Roman" w:hAnsi="Times New Roman" w:cs="Times New Roman" w:eastAsia="Times New Roman" w:hint="default"/>
                <w:sz w:val="18"/>
                <w:szCs w:val="18"/>
              </w:rPr>
            </w:pPr>
            <w:r>
              <w:rPr>
                <w:rFonts w:ascii="Times New Roman"/>
                <w:sz w:val="18"/>
              </w:rPr>
              <w:t>2,593,504.52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51,142,200.73</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286"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48,548,696.21</w:t>
            </w:r>
          </w:p>
        </w:tc>
        <w:tc>
          <w:tcPr>
            <w:tcW w:w="286"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center"/>
              <w:rPr>
                <w:rFonts w:ascii="Times New Roman" w:hAnsi="Times New Roman" w:cs="Times New Roman" w:eastAsia="Times New Roman" w:hint="default"/>
                <w:sz w:val="18"/>
                <w:szCs w:val="18"/>
              </w:rPr>
            </w:pPr>
            <w:r>
              <w:rPr>
                <w:rFonts w:ascii="Times New Roman"/>
                <w:sz w:val="18"/>
              </w:rPr>
              <w:t>2,593,504.52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51,142,200.73</w:t>
            </w:r>
          </w:p>
        </w:tc>
      </w:tr>
      <w:tr>
        <w:trPr>
          <w:trHeight w:val="71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9"/>
              <w:jc w:val="left"/>
              <w:rPr>
                <w:rFonts w:ascii="宋体" w:hAnsi="宋体" w:cs="宋体" w:eastAsia="宋体" w:hint="default"/>
                <w:sz w:val="18"/>
                <w:szCs w:val="18"/>
              </w:rPr>
            </w:pPr>
            <w:r>
              <w:rPr>
                <w:rFonts w:ascii="宋体" w:hAnsi="宋体" w:cs="宋体" w:eastAsia="宋体" w:hint="default"/>
                <w:spacing w:val="-8"/>
                <w:sz w:val="18"/>
                <w:szCs w:val="18"/>
              </w:rPr>
              <w:t>（三）所有者投入和减少资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-990,390.52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286"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-6,426,175.66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-7,416,566.18</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286"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1"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 益的金额</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286"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-990,390.52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286"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-6,426,175.66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-7,416,566.18</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4,934,742.93</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10"/>
              <w:ind w:left="95" w:right="0"/>
              <w:jc w:val="left"/>
              <w:rPr>
                <w:rFonts w:ascii="Times New Roman" w:hAnsi="Times New Roman" w:cs="Times New Roman" w:eastAsia="Times New Roman" w:hint="default"/>
                <w:sz w:val="18"/>
                <w:szCs w:val="18"/>
              </w:rPr>
            </w:pPr>
            <w:r>
              <w:rPr>
                <w:rFonts w:ascii="Times New Roman"/>
                <w:sz w:val="18"/>
              </w:rPr>
              <w:t>-31,734,742.9</w:t>
            </w:r>
          </w:p>
        </w:tc>
        <w:tc>
          <w:tcPr>
            <w:tcW w:w="286" w:type="dxa"/>
            <w:tcBorders>
              <w:top w:val="single" w:sz="4" w:space="0" w:color="000000"/>
              <w:left w:val="single" w:sz="4" w:space="0" w:color="FF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-7,450,178.64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-34,250,178.64</w:t>
            </w:r>
          </w:p>
        </w:tc>
      </w:tr>
    </w:tbl>
    <w:p>
      <w:pPr>
        <w:spacing w:after="0" w:line="240" w:lineRule="auto"/>
        <w:jc w:val="right"/>
        <w:rPr>
          <w:rFonts w:ascii="Times New Roman" w:hAnsi="Times New Roman" w:cs="Times New Roman" w:eastAsia="Times New Roman" w:hint="default"/>
          <w:sz w:val="18"/>
          <w:szCs w:val="18"/>
        </w:rPr>
        <w:sectPr>
          <w:pgSz w:w="11910" w:h="16840"/>
          <w:pgMar w:header="706" w:footer="1275" w:top="1060" w:bottom="1540" w:left="3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2127"/>
        <w:gridCol w:w="1277"/>
        <w:gridCol w:w="1274"/>
        <w:gridCol w:w="425"/>
        <w:gridCol w:w="425"/>
        <w:gridCol w:w="1136"/>
        <w:gridCol w:w="425"/>
        <w:gridCol w:w="1133"/>
        <w:gridCol w:w="286"/>
        <w:gridCol w:w="1133"/>
        <w:gridCol w:w="1277"/>
      </w:tblGrid>
      <w:tr>
        <w:trPr>
          <w:trHeight w:val="36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center"/>
              <w:rPr>
                <w:rFonts w:ascii="Times New Roman" w:hAnsi="Times New Roman" w:cs="Times New Roman" w:eastAsia="Times New Roman" w:hint="default"/>
                <w:sz w:val="18"/>
                <w:szCs w:val="18"/>
              </w:rPr>
            </w:pPr>
            <w:r>
              <w:rPr>
                <w:rFonts w:ascii="Times New Roman"/>
                <w:sz w:val="18"/>
              </w:rPr>
              <w:t>4,934,742.93</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-4,934,742.93</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 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-7,450,178.64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-34,250,178.64</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9"/>
                <w:sz w:val="18"/>
                <w:szCs w:val="18"/>
              </w:rPr>
              <w:t>）</w:t>
            </w:r>
            <w:r>
              <w:rPr>
                <w:rFonts w:ascii="宋体" w:hAnsi="宋体" w:cs="宋体" w:eastAsia="宋体" w:hint="default"/>
                <w:sz w:val="18"/>
                <w:szCs w:val="18"/>
              </w:rPr>
              <w:t>所有者权益内部结转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413,566.18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413,566.18</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 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 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413,566.18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413,566.18</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134,000,000.00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343,468,822.85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13,110,943.00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98,931,879.00</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23,622,075.20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613,133,720.05</w:t>
            </w:r>
          </w:p>
        </w:tc>
      </w:tr>
    </w:tbl>
    <w:p>
      <w:pPr>
        <w:spacing w:line="240" w:lineRule="auto" w:before="2"/>
        <w:rPr>
          <w:rFonts w:ascii="宋体" w:hAnsi="宋体" w:cs="宋体" w:eastAsia="宋体" w:hint="default"/>
          <w:sz w:val="20"/>
          <w:szCs w:val="20"/>
        </w:rPr>
      </w:pPr>
    </w:p>
    <w:p>
      <w:pPr>
        <w:tabs>
          <w:tab w:pos="4207" w:val="left" w:leader="none"/>
          <w:tab w:pos="8258" w:val="left" w:leader="none"/>
        </w:tabs>
        <w:spacing w:before="44"/>
        <w:ind w:left="812" w:right="0" w:firstLine="0"/>
        <w:jc w:val="left"/>
        <w:rPr>
          <w:rFonts w:ascii="宋体" w:hAnsi="宋体" w:cs="宋体" w:eastAsia="宋体" w:hint="default"/>
          <w:sz w:val="18"/>
          <w:szCs w:val="18"/>
        </w:rPr>
      </w:pPr>
      <w:r>
        <w:rPr>
          <w:rFonts w:ascii="宋体" w:hAnsi="宋体" w:cs="宋体" w:eastAsia="宋体" w:hint="default"/>
          <w:sz w:val="18"/>
          <w:szCs w:val="18"/>
        </w:rPr>
        <w:t>法定代表人：朱文明</w:t>
        <w:tab/>
      </w:r>
      <w:r>
        <w:rPr>
          <w:rFonts w:ascii="宋体" w:hAnsi="宋体" w:cs="宋体" w:eastAsia="宋体" w:hint="default"/>
          <w:spacing w:val="-1"/>
          <w:sz w:val="18"/>
          <w:szCs w:val="18"/>
        </w:rPr>
        <w:t>主管会计工作负责人：徐仕俊</w:t>
        <w:tab/>
        <w:t>会计机构负责人：徐仕俊</w:t>
      </w:r>
    </w:p>
    <w:p>
      <w:pPr>
        <w:spacing w:line="240" w:lineRule="auto" w:before="0"/>
        <w:rPr>
          <w:rFonts w:ascii="宋体" w:hAnsi="宋体" w:cs="宋体" w:eastAsia="宋体" w:hint="default"/>
          <w:sz w:val="18"/>
          <w:szCs w:val="18"/>
        </w:rPr>
      </w:pPr>
    </w:p>
    <w:p>
      <w:pPr>
        <w:pStyle w:val="Heading4"/>
        <w:spacing w:line="240" w:lineRule="auto" w:before="120"/>
        <w:ind w:left="812"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06" w:footer="1275" w:top="1060" w:bottom="1540" w:left="320" w:right="0"/>
        </w:sectPr>
      </w:pPr>
    </w:p>
    <w:p>
      <w:pPr>
        <w:spacing w:line="357" w:lineRule="auto" w:before="44"/>
        <w:ind w:left="812" w:right="-20" w:firstLine="0"/>
        <w:jc w:val="left"/>
        <w:rPr>
          <w:rFonts w:ascii="宋体" w:hAnsi="宋体" w:cs="宋体" w:eastAsia="宋体" w:hint="default"/>
          <w:sz w:val="18"/>
          <w:szCs w:val="18"/>
        </w:rPr>
      </w:pPr>
      <w:r>
        <w:rPr>
          <w:rFonts w:ascii="宋体" w:hAnsi="宋体" w:cs="宋体" w:eastAsia="宋体" w:hint="default"/>
          <w:sz w:val="18"/>
          <w:szCs w:val="18"/>
        </w:rPr>
        <w:t>编制单位：江苏丰东热技术股份有限公司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8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0" w:bottom="280" w:left="320" w:right="0"/>
          <w:cols w:num="2" w:equalWidth="0">
            <w:col w:w="4053" w:space="4867"/>
            <w:col w:w="2670"/>
          </w:cols>
        </w:sectPr>
      </w:pPr>
    </w:p>
    <w:p>
      <w:pPr>
        <w:spacing w:line="240" w:lineRule="auto" w:before="4"/>
        <w:rPr>
          <w:rFonts w:ascii="宋体" w:hAnsi="宋体" w:cs="宋体" w:eastAsia="宋体" w:hint="default"/>
          <w:sz w:val="8"/>
          <w:szCs w:val="8"/>
        </w:rPr>
      </w:pPr>
    </w:p>
    <w:tbl>
      <w:tblPr>
        <w:tblW w:w="0" w:type="auto"/>
        <w:jc w:val="left"/>
        <w:tblInd w:w="394" w:type="dxa"/>
        <w:tblLayout w:type="fixed"/>
        <w:tblCellMar>
          <w:top w:w="0" w:type="dxa"/>
          <w:left w:w="0" w:type="dxa"/>
          <w:bottom w:w="0" w:type="dxa"/>
          <w:right w:w="0" w:type="dxa"/>
        </w:tblCellMar>
        <w:tblLook w:val="01E0"/>
      </w:tblPr>
      <w:tblGrid>
        <w:gridCol w:w="2530"/>
        <w:gridCol w:w="1245"/>
        <w:gridCol w:w="1318"/>
        <w:gridCol w:w="567"/>
        <w:gridCol w:w="569"/>
        <w:gridCol w:w="1090"/>
        <w:gridCol w:w="754"/>
        <w:gridCol w:w="1275"/>
        <w:gridCol w:w="1277"/>
      </w:tblGrid>
      <w:tr>
        <w:trPr>
          <w:trHeight w:val="396" w:hRule="exact"/>
        </w:trPr>
        <w:tc>
          <w:tcPr>
            <w:tcW w:w="2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09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87" w:hRule="exact"/>
        </w:trPr>
        <w:tc>
          <w:tcPr>
            <w:tcW w:w="2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2"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117"/>
              <w:ind w:left="17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5"/>
              <w:ind w:left="98" w:right="21"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5"/>
              <w:ind w:left="100"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5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5"/>
              <w:ind w:left="100" w:right="101"/>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5"/>
              <w:ind w:left="542" w:right="91"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0" w:hRule="exact"/>
        </w:trPr>
        <w:tc>
          <w:tcPr>
            <w:tcW w:w="2530" w:type="dxa"/>
            <w:vMerge/>
            <w:tcBorders>
              <w:left w:val="single" w:sz="4" w:space="0" w:color="000000"/>
              <w:bottom w:val="nil" w:sz="6" w:space="0" w:color="auto"/>
              <w:right w:val="single" w:sz="4" w:space="0" w:color="000000"/>
            </w:tcBorders>
            <w:shd w:val="clear" w:color="auto" w:fill="D2D2D2"/>
          </w:tcPr>
          <w:p>
            <w:pPr/>
          </w:p>
        </w:tc>
        <w:tc>
          <w:tcPr>
            <w:tcW w:w="1245"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7"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54" w:type="dxa"/>
            <w:vMerge/>
            <w:tcBorders>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7" w:type="dxa"/>
            <w:vMerge/>
            <w:tcBorders>
              <w:left w:val="single" w:sz="4" w:space="0" w:color="000000"/>
              <w:right w:val="single" w:sz="4" w:space="0" w:color="000000"/>
            </w:tcBorders>
            <w:shd w:val="clear" w:color="auto" w:fill="D2D2D2"/>
          </w:tcPr>
          <w:p>
            <w:pPr/>
          </w:p>
        </w:tc>
      </w:tr>
      <w:tr>
        <w:trPr>
          <w:trHeight w:val="202" w:hRule="exact"/>
        </w:trPr>
        <w:tc>
          <w:tcPr>
            <w:tcW w:w="2530" w:type="dxa"/>
            <w:vMerge w:val="restart"/>
            <w:tcBorders>
              <w:top w:val="nil" w:sz="6" w:space="0" w:color="auto"/>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75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r>
      <w:tr>
        <w:trPr>
          <w:trHeight w:val="180" w:hRule="exact"/>
        </w:trPr>
        <w:tc>
          <w:tcPr>
            <w:tcW w:w="2530" w:type="dxa"/>
            <w:vMerge/>
            <w:tcBorders>
              <w:left w:val="single" w:sz="4" w:space="0" w:color="000000"/>
              <w:bottom w:val="single" w:sz="4" w:space="0" w:color="000000"/>
              <w:right w:val="single" w:sz="4" w:space="0" w:color="000000"/>
            </w:tcBorders>
            <w:shd w:val="clear" w:color="auto" w:fill="D2D2D2"/>
          </w:tcPr>
          <w:p>
            <w:pPr/>
          </w:p>
        </w:tc>
        <w:tc>
          <w:tcPr>
            <w:tcW w:w="1245" w:type="dxa"/>
            <w:vMerge/>
            <w:tcBorders>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54"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center"/>
              <w:rPr>
                <w:rFonts w:ascii="Times New Roman" w:hAnsi="Times New Roman" w:cs="Times New Roman" w:eastAsia="Times New Roman" w:hint="default"/>
                <w:sz w:val="18"/>
                <w:szCs w:val="18"/>
              </w:rPr>
            </w:pPr>
            <w:r>
              <w:rPr>
                <w:rFonts w:ascii="Times New Roman"/>
                <w:sz w:val="18"/>
              </w:rPr>
              <w:t>345,266,227.30</w:t>
            </w:r>
          </w:p>
        </w:tc>
        <w:tc>
          <w:tcPr>
            <w:tcW w:w="567" w:type="dxa"/>
            <w:tcBorders>
              <w:top w:val="single" w:sz="12" w:space="0" w:color="D2D2D2"/>
              <w:left w:val="single" w:sz="4" w:space="0" w:color="000000"/>
              <w:bottom w:val="single" w:sz="4" w:space="0" w:color="000000"/>
              <w:right w:val="single" w:sz="4" w:space="0" w:color="000000"/>
            </w:tcBorders>
          </w:tcPr>
          <w:p>
            <w:pPr/>
          </w:p>
        </w:tc>
        <w:tc>
          <w:tcPr>
            <w:tcW w:w="569" w:type="dxa"/>
            <w:tcBorders>
              <w:top w:val="single" w:sz="12" w:space="0" w:color="D2D2D2"/>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13,110,943.00</w:t>
            </w:r>
          </w:p>
        </w:tc>
        <w:tc>
          <w:tcPr>
            <w:tcW w:w="754" w:type="dxa"/>
            <w:tcBorders>
              <w:top w:val="single" w:sz="12" w:space="0" w:color="D2D2D2"/>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74,551,861.26</w:t>
            </w:r>
          </w:p>
        </w:tc>
        <w:tc>
          <w:tcPr>
            <w:tcW w:w="1277"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1"/>
              <w:ind w:left="93" w:right="0"/>
              <w:jc w:val="center"/>
              <w:rPr>
                <w:rFonts w:ascii="Times New Roman" w:hAnsi="Times New Roman" w:cs="Times New Roman" w:eastAsia="Times New Roman" w:hint="default"/>
                <w:sz w:val="18"/>
                <w:szCs w:val="18"/>
              </w:rPr>
            </w:pPr>
            <w:r>
              <w:rPr>
                <w:rFonts w:ascii="Times New Roman"/>
                <w:sz w:val="18"/>
              </w:rPr>
              <w:t>566,929,031.56</w:t>
            </w:r>
          </w:p>
        </w:tc>
      </w:tr>
      <w:tr>
        <w:trPr>
          <w:trHeight w:val="401"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5"/>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245" w:type="dxa"/>
            <w:tcBorders>
              <w:top w:val="single" w:sz="4" w:space="0" w:color="000000"/>
              <w:left w:val="single" w:sz="10" w:space="0" w:color="D2D2D2"/>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4"/>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245" w:type="dxa"/>
            <w:tcBorders>
              <w:top w:val="single" w:sz="4" w:space="0" w:color="000000"/>
              <w:left w:val="single" w:sz="10" w:space="0" w:color="D2D2D2"/>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5" w:type="dxa"/>
            <w:tcBorders>
              <w:top w:val="single" w:sz="4" w:space="0" w:color="000000"/>
              <w:left w:val="single" w:sz="10" w:space="0" w:color="D2D2D2"/>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center"/>
              <w:rPr>
                <w:rFonts w:ascii="Times New Roman" w:hAnsi="Times New Roman" w:cs="Times New Roman" w:eastAsia="Times New Roman" w:hint="default"/>
                <w:sz w:val="18"/>
                <w:szCs w:val="18"/>
              </w:rPr>
            </w:pPr>
            <w:r>
              <w:rPr>
                <w:rFonts w:ascii="Times New Roman"/>
                <w:sz w:val="18"/>
              </w:rPr>
              <w:t>345,266,227.30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13,110,943.00</w:t>
            </w: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74,551,861.26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566,929,031.56</w:t>
            </w:r>
          </w:p>
        </w:tc>
      </w:tr>
      <w:tr>
        <w:trPr>
          <w:trHeight w:val="713"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w:t>
            </w:r>
          </w:p>
          <w:p>
            <w:pPr>
              <w:pStyle w:val="TableParagraph"/>
              <w:spacing w:line="240" w:lineRule="auto" w:before="76"/>
              <w:ind w:left="13"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2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-134,000,000.00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4,739,183.57</w:t>
            </w: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26,572,652.15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31,311,835.72</w:t>
            </w:r>
          </w:p>
        </w:tc>
      </w:tr>
      <w:tr>
        <w:trPr>
          <w:trHeight w:val="403"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45" w:type="dxa"/>
            <w:tcBorders>
              <w:top w:val="single" w:sz="4" w:space="0" w:color="000000"/>
              <w:left w:val="single" w:sz="10" w:space="0" w:color="D2D2D2"/>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47,391,835.72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47,391,835.72</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0" w:bottom="280" w:left="320" w:right="0"/>
        </w:sectPr>
      </w:pPr>
    </w:p>
    <w:p>
      <w:pPr>
        <w:spacing w:line="240" w:lineRule="auto" w:before="6"/>
        <w:rPr>
          <w:rFonts w:ascii="宋体" w:hAnsi="宋体" w:cs="宋体" w:eastAsia="宋体" w:hint="default"/>
          <w:sz w:val="28"/>
          <w:szCs w:val="28"/>
        </w:rPr>
      </w:pPr>
      <w:r>
        <w:rPr/>
        <w:pict>
          <v:shape style="position:absolute;margin-left:121.194pt;margin-top:329.329987pt;width:102.2pt;height:19.6pt;mso-position-horizontal-relative:page;mso-position-vertical-relative:page;z-index:-85916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21.194pt;margin-top:349.48999pt;width:102.2pt;height:19.6pt;mso-position-horizontal-relative:page;mso-position-vertical-relative:page;z-index:-85914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63.339996pt;margin-top:328.789978pt;width:60.05pt;height:40.8pt;mso-position-horizontal-relative:page;mso-position-vertical-relative:page;z-index:-859120" coordorigin="3267,6576" coordsize="1201,816">
            <v:group style="position:absolute;left:3278;top:6587;width:2;height:392" coordorigin="3278,6587" coordsize="2,392">
              <v:shape style="position:absolute;left:3278;top:6587;width:2;height:392" coordorigin="3278,6587" coordsize="0,392" path="m3278,6587l3278,6978e" filled="false" stroked="true" strokeweight="1.08pt" strokecolor="#ffffff">
                <v:path arrowok="t"/>
              </v:shape>
            </v:group>
            <v:group style="position:absolute;left:3288;top:6587;width:1179;height:392" coordorigin="3288,6587" coordsize="1179,392">
              <v:shape style="position:absolute;left:3288;top:6587;width:1179;height:392" coordorigin="3288,6587" coordsize="1179,392" path="m3288,6978l4467,6978,4467,6587,3288,6587,3288,6978xe" filled="true" fillcolor="#ffffff" stroked="false">
                <v:path arrowok="t"/>
                <v:fill type="solid"/>
              </v:shape>
            </v:group>
            <v:group style="position:absolute;left:3278;top:6990;width:2;height:392" coordorigin="3278,6990" coordsize="2,392">
              <v:shape style="position:absolute;left:3278;top:6990;width:2;height:392" coordorigin="3278,6990" coordsize="0,392" path="m3278,6990l3278,7381e" filled="false" stroked="true" strokeweight="1.08pt" strokecolor="#ffffff">
                <v:path arrowok="t"/>
              </v:shape>
            </v:group>
            <v:group style="position:absolute;left:3288;top:6990;width:1179;height:392" coordorigin="3288,6990" coordsize="1179,392">
              <v:shape style="position:absolute;left:3288;top:6990;width:1179;height:392" coordorigin="3288,6990" coordsize="1179,392" path="m3288,7381l4467,7381,4467,6990,3288,6990,3288,7381xe" filled="true" fillcolor="#ffffff" stroked="false">
                <v:path arrowok="t"/>
                <v:fill type="solid"/>
              </v:shape>
            </v:group>
            <w10:wrap type="none"/>
          </v:group>
        </w:pict>
      </w:r>
    </w:p>
    <w:tbl>
      <w:tblPr>
        <w:tblW w:w="0" w:type="auto"/>
        <w:jc w:val="left"/>
        <w:tblInd w:w="101" w:type="dxa"/>
        <w:tblLayout w:type="fixed"/>
        <w:tblCellMar>
          <w:top w:w="0" w:type="dxa"/>
          <w:left w:w="0" w:type="dxa"/>
          <w:bottom w:w="0" w:type="dxa"/>
          <w:right w:w="0" w:type="dxa"/>
        </w:tblCellMar>
        <w:tblLook w:val="01E0"/>
      </w:tblPr>
      <w:tblGrid>
        <w:gridCol w:w="2553"/>
        <w:gridCol w:w="73"/>
        <w:gridCol w:w="1161"/>
        <w:gridCol w:w="1318"/>
        <w:gridCol w:w="567"/>
        <w:gridCol w:w="569"/>
        <w:gridCol w:w="1090"/>
        <w:gridCol w:w="754"/>
        <w:gridCol w:w="1275"/>
        <w:gridCol w:w="1277"/>
      </w:tblGrid>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34" w:type="dxa"/>
            <w:gridSpan w:val="2"/>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34" w:type="dxa"/>
            <w:gridSpan w:val="2"/>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47,391,835.72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4" w:right="0"/>
              <w:jc w:val="center"/>
              <w:rPr>
                <w:rFonts w:ascii="Times New Roman" w:hAnsi="Times New Roman" w:cs="Times New Roman" w:eastAsia="Times New Roman" w:hint="default"/>
                <w:sz w:val="18"/>
                <w:szCs w:val="18"/>
              </w:rPr>
            </w:pPr>
            <w:r>
              <w:rPr>
                <w:rFonts w:ascii="Times New Roman"/>
                <w:sz w:val="18"/>
              </w:rPr>
              <w:t>47,391,835.72</w:t>
            </w:r>
          </w:p>
        </w:tc>
      </w:tr>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234" w:type="dxa"/>
            <w:gridSpan w:val="2"/>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34" w:type="dxa"/>
            <w:gridSpan w:val="2"/>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1234" w:type="dxa"/>
            <w:gridSpan w:val="2"/>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34" w:type="dxa"/>
            <w:gridSpan w:val="2"/>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34" w:type="dxa"/>
            <w:gridSpan w:val="2"/>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4,739,183.57</w:t>
            </w: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-20,819,183.57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-16,080,000.00</w:t>
            </w: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34" w:type="dxa"/>
            <w:gridSpan w:val="2"/>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center"/>
              <w:rPr>
                <w:rFonts w:ascii="Times New Roman" w:hAnsi="Times New Roman" w:cs="Times New Roman" w:eastAsia="Times New Roman" w:hint="default"/>
                <w:sz w:val="18"/>
                <w:szCs w:val="18"/>
              </w:rPr>
            </w:pPr>
            <w:r>
              <w:rPr>
                <w:rFonts w:ascii="Times New Roman"/>
                <w:sz w:val="18"/>
              </w:rPr>
              <w:t>4,739,183.57</w:t>
            </w: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-4,739,183.57</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34" w:type="dxa"/>
            <w:gridSpan w:val="2"/>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34" w:type="dxa"/>
            <w:gridSpan w:val="2"/>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-16,080,000.00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center"/>
              <w:rPr>
                <w:rFonts w:ascii="Times New Roman" w:hAnsi="Times New Roman" w:cs="Times New Roman" w:eastAsia="Times New Roman" w:hint="default"/>
                <w:sz w:val="18"/>
                <w:szCs w:val="18"/>
              </w:rPr>
            </w:pPr>
            <w:r>
              <w:rPr>
                <w:rFonts w:ascii="Times New Roman"/>
                <w:sz w:val="18"/>
              </w:rPr>
              <w:t>-16,080,000.00</w:t>
            </w:r>
          </w:p>
        </w:tc>
      </w:tr>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34" w:type="dxa"/>
            <w:gridSpan w:val="2"/>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134,000,000.00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 w:right="0"/>
              <w:jc w:val="center"/>
              <w:rPr>
                <w:rFonts w:ascii="Times New Roman" w:hAnsi="Times New Roman" w:cs="Times New Roman" w:eastAsia="Times New Roman" w:hint="default"/>
                <w:sz w:val="18"/>
                <w:szCs w:val="18"/>
              </w:rPr>
            </w:pPr>
            <w:r>
              <w:rPr>
                <w:rFonts w:ascii="Times New Roman"/>
                <w:sz w:val="18"/>
              </w:rPr>
              <w:t>-134,000,000.00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73" w:type="dxa"/>
            <w:tcBorders>
              <w:top w:val="single" w:sz="4" w:space="0" w:color="000000"/>
              <w:left w:val="single" w:sz="4" w:space="0" w:color="000000"/>
              <w:bottom w:val="single" w:sz="4" w:space="0" w:color="000000"/>
              <w:right w:val="nil" w:sz="6" w:space="0" w:color="auto"/>
            </w:tcBorders>
          </w:tcPr>
          <w:p>
            <w:pPr/>
          </w:p>
        </w:tc>
        <w:tc>
          <w:tcPr>
            <w:tcW w:w="1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 w:right="0"/>
              <w:jc w:val="left"/>
              <w:rPr>
                <w:rFonts w:ascii="Times New Roman" w:hAnsi="Times New Roman" w:cs="Times New Roman" w:eastAsia="Times New Roman" w:hint="default"/>
                <w:sz w:val="18"/>
                <w:szCs w:val="18"/>
              </w:rPr>
            </w:pPr>
            <w:r>
              <w:rPr>
                <w:rFonts w:ascii="Times New Roman"/>
                <w:sz w:val="18"/>
              </w:rPr>
              <w:t>134,000,000.00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-134,000,000.00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234" w:type="dxa"/>
            <w:gridSpan w:val="2"/>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34" w:type="dxa"/>
            <w:gridSpan w:val="2"/>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34" w:type="dxa"/>
            <w:gridSpan w:val="2"/>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34" w:type="dxa"/>
            <w:gridSpan w:val="2"/>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34" w:type="dxa"/>
            <w:gridSpan w:val="2"/>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34" w:type="dxa"/>
            <w:gridSpan w:val="2"/>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34" w:type="dxa"/>
            <w:gridSpan w:val="2"/>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268,000,000.00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center"/>
              <w:rPr>
                <w:rFonts w:ascii="Times New Roman" w:hAnsi="Times New Roman" w:cs="Times New Roman" w:eastAsia="Times New Roman" w:hint="default"/>
                <w:sz w:val="18"/>
                <w:szCs w:val="18"/>
              </w:rPr>
            </w:pPr>
            <w:r>
              <w:rPr>
                <w:rFonts w:ascii="Times New Roman"/>
                <w:sz w:val="18"/>
              </w:rPr>
              <w:t>211,266,227.30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17,850,126.57</w:t>
            </w:r>
          </w:p>
        </w:tc>
        <w:tc>
          <w:tcPr>
            <w:tcW w:w="75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101,124,513.41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598,240,867.28</w:t>
            </w:r>
          </w:p>
        </w:tc>
      </w:tr>
    </w:tbl>
    <w:p>
      <w:pPr>
        <w:spacing w:before="49"/>
        <w:ind w:left="53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530"/>
        <w:gridCol w:w="1264"/>
        <w:gridCol w:w="1298"/>
        <w:gridCol w:w="567"/>
        <w:gridCol w:w="569"/>
        <w:gridCol w:w="1106"/>
        <w:gridCol w:w="737"/>
        <w:gridCol w:w="1275"/>
        <w:gridCol w:w="1277"/>
      </w:tblGrid>
      <w:tr>
        <w:trPr>
          <w:trHeight w:val="396" w:hRule="exact"/>
        </w:trPr>
        <w:tc>
          <w:tcPr>
            <w:tcW w:w="2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09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87" w:hRule="exact"/>
        </w:trPr>
        <w:tc>
          <w:tcPr>
            <w:tcW w:w="2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2"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117"/>
              <w:ind w:left="18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5"/>
              <w:ind w:left="98" w:right="21"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5"/>
              <w:ind w:left="100"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0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5"/>
              <w:ind w:left="93" w:right="91"/>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5"/>
              <w:ind w:left="542" w:right="91"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0" w:hRule="exact"/>
        </w:trPr>
        <w:tc>
          <w:tcPr>
            <w:tcW w:w="2530" w:type="dxa"/>
            <w:vMerge/>
            <w:tcBorders>
              <w:left w:val="single" w:sz="4" w:space="0" w:color="000000"/>
              <w:bottom w:val="nil" w:sz="6" w:space="0" w:color="auto"/>
              <w:right w:val="single" w:sz="4" w:space="0" w:color="000000"/>
            </w:tcBorders>
            <w:shd w:val="clear" w:color="auto" w:fill="D2D2D2"/>
          </w:tcPr>
          <w:p>
            <w:pPr/>
          </w:p>
        </w:tc>
        <w:tc>
          <w:tcPr>
            <w:tcW w:w="1264" w:type="dxa"/>
            <w:vMerge/>
            <w:tcBorders>
              <w:left w:val="single" w:sz="4" w:space="0" w:color="000000"/>
              <w:right w:val="single" w:sz="4" w:space="0" w:color="000000"/>
            </w:tcBorders>
            <w:shd w:val="clear" w:color="auto" w:fill="D2D2D2"/>
          </w:tcPr>
          <w:p>
            <w:pPr/>
          </w:p>
        </w:tc>
        <w:tc>
          <w:tcPr>
            <w:tcW w:w="12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7"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11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37" w:type="dxa"/>
            <w:vMerge/>
            <w:tcBorders>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7" w:type="dxa"/>
            <w:vMerge/>
            <w:tcBorders>
              <w:left w:val="single" w:sz="4" w:space="0" w:color="000000"/>
              <w:right w:val="single" w:sz="4" w:space="0" w:color="000000"/>
            </w:tcBorders>
            <w:shd w:val="clear" w:color="auto" w:fill="D2D2D2"/>
          </w:tcPr>
          <w:p>
            <w:pPr/>
          </w:p>
        </w:tc>
      </w:tr>
      <w:tr>
        <w:trPr>
          <w:trHeight w:val="202" w:hRule="exact"/>
        </w:trPr>
        <w:tc>
          <w:tcPr>
            <w:tcW w:w="2530" w:type="dxa"/>
            <w:vMerge w:val="restart"/>
            <w:tcBorders>
              <w:top w:val="nil" w:sz="6" w:space="0" w:color="auto"/>
              <w:left w:val="single" w:sz="4" w:space="0" w:color="000000"/>
              <w:right w:val="single" w:sz="4" w:space="0" w:color="000000"/>
            </w:tcBorders>
            <w:shd w:val="clear" w:color="auto" w:fill="D2D2D2"/>
          </w:tcPr>
          <w:p>
            <w:pPr/>
          </w:p>
        </w:tc>
        <w:tc>
          <w:tcPr>
            <w:tcW w:w="1264" w:type="dxa"/>
            <w:vMerge/>
            <w:tcBorders>
              <w:left w:val="single" w:sz="4" w:space="0" w:color="000000"/>
              <w:right w:val="single" w:sz="4" w:space="0" w:color="000000"/>
            </w:tcBorders>
            <w:shd w:val="clear" w:color="auto" w:fill="D2D2D2"/>
          </w:tcPr>
          <w:p>
            <w:pPr/>
          </w:p>
        </w:tc>
        <w:tc>
          <w:tcPr>
            <w:tcW w:w="1298" w:type="dxa"/>
            <w:vMerge/>
            <w:tcBorders>
              <w:left w:val="single" w:sz="4" w:space="0" w:color="000000"/>
              <w:bottom w:val="nil" w:sz="6" w:space="0" w:color="auto"/>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1106" w:type="dxa"/>
            <w:vMerge/>
            <w:tcBorders>
              <w:left w:val="single" w:sz="4" w:space="0" w:color="000000"/>
              <w:bottom w:val="nil" w:sz="6" w:space="0" w:color="auto"/>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r>
      <w:tr>
        <w:trPr>
          <w:trHeight w:val="180" w:hRule="exact"/>
        </w:trPr>
        <w:tc>
          <w:tcPr>
            <w:tcW w:w="2530" w:type="dxa"/>
            <w:vMerge/>
            <w:tcBorders>
              <w:left w:val="single" w:sz="4" w:space="0" w:color="000000"/>
              <w:bottom w:val="single" w:sz="4" w:space="0" w:color="000000"/>
              <w:right w:val="single" w:sz="4" w:space="0" w:color="000000"/>
            </w:tcBorders>
            <w:shd w:val="clear" w:color="auto" w:fill="D2D2D2"/>
          </w:tcPr>
          <w:p>
            <w:pPr/>
          </w:p>
        </w:tc>
        <w:tc>
          <w:tcPr>
            <w:tcW w:w="1264" w:type="dxa"/>
            <w:vMerge/>
            <w:tcBorders>
              <w:left w:val="single" w:sz="4" w:space="0" w:color="000000"/>
              <w:bottom w:val="single" w:sz="4" w:space="0" w:color="000000"/>
              <w:right w:val="single" w:sz="4" w:space="0" w:color="000000"/>
            </w:tcBorders>
            <w:shd w:val="clear" w:color="auto" w:fill="D2D2D2"/>
          </w:tcPr>
          <w:p>
            <w:pPr/>
          </w:p>
        </w:tc>
        <w:tc>
          <w:tcPr>
            <w:tcW w:w="12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110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345,266,227.30</w:t>
            </w:r>
          </w:p>
        </w:tc>
        <w:tc>
          <w:tcPr>
            <w:tcW w:w="567" w:type="dxa"/>
            <w:tcBorders>
              <w:top w:val="single" w:sz="12" w:space="0" w:color="D2D2D2"/>
              <w:left w:val="single" w:sz="4" w:space="0" w:color="000000"/>
              <w:bottom w:val="single" w:sz="4" w:space="0" w:color="000000"/>
              <w:right w:val="single" w:sz="4" w:space="0" w:color="000000"/>
            </w:tcBorders>
          </w:tcPr>
          <w:p>
            <w:pPr/>
          </w:p>
        </w:tc>
        <w:tc>
          <w:tcPr>
            <w:tcW w:w="569" w:type="dxa"/>
            <w:tcBorders>
              <w:top w:val="single" w:sz="12" w:space="0" w:color="D2D2D2"/>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8,176,200.07</w:t>
            </w:r>
          </w:p>
        </w:tc>
        <w:tc>
          <w:tcPr>
            <w:tcW w:w="737" w:type="dxa"/>
            <w:tcBorders>
              <w:top w:val="single" w:sz="12" w:space="0" w:color="D2D2D2"/>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56,939,174.93</w:t>
            </w:r>
          </w:p>
        </w:tc>
        <w:tc>
          <w:tcPr>
            <w:tcW w:w="1277"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1"/>
              <w:ind w:left="93" w:right="0"/>
              <w:jc w:val="center"/>
              <w:rPr>
                <w:rFonts w:ascii="Times New Roman" w:hAnsi="Times New Roman" w:cs="Times New Roman" w:eastAsia="Times New Roman" w:hint="default"/>
                <w:sz w:val="18"/>
                <w:szCs w:val="18"/>
              </w:rPr>
            </w:pPr>
            <w:r>
              <w:rPr>
                <w:rFonts w:ascii="Times New Roman"/>
                <w:sz w:val="18"/>
              </w:rPr>
              <w:t>544,381,602.30</w:t>
            </w:r>
          </w:p>
        </w:tc>
      </w:tr>
      <w:tr>
        <w:trPr>
          <w:trHeight w:val="401"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5"/>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264" w:type="dxa"/>
            <w:tcBorders>
              <w:top w:val="single" w:sz="4" w:space="0" w:color="000000"/>
              <w:left w:val="single" w:sz="10" w:space="0" w:color="D2D2D2"/>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4"/>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264" w:type="dxa"/>
            <w:tcBorders>
              <w:top w:val="single" w:sz="4" w:space="0" w:color="000000"/>
              <w:left w:val="single" w:sz="10" w:space="0" w:color="D2D2D2"/>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4" w:type="dxa"/>
            <w:tcBorders>
              <w:top w:val="single" w:sz="4" w:space="0" w:color="000000"/>
              <w:left w:val="single" w:sz="10" w:space="0" w:color="D2D2D2"/>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345,266,227.30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8,176,200.07</w:t>
            </w: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56,939,174.93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544,381,602.30</w:t>
            </w:r>
          </w:p>
        </w:tc>
      </w:tr>
      <w:tr>
        <w:trPr>
          <w:trHeight w:val="713"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w:t>
            </w:r>
          </w:p>
          <w:p>
            <w:pPr>
              <w:pStyle w:val="TableParagraph"/>
              <w:spacing w:line="240" w:lineRule="auto" w:before="76"/>
              <w:ind w:left="13"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264" w:type="dxa"/>
            <w:tcBorders>
              <w:top w:val="single" w:sz="4" w:space="0" w:color="000000"/>
              <w:left w:val="single" w:sz="10" w:space="0" w:color="D2D2D2"/>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4,934,742.93</w:t>
            </w: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17,612,686.33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22,547,429.26</w:t>
            </w:r>
          </w:p>
        </w:tc>
      </w:tr>
      <w:tr>
        <w:trPr>
          <w:trHeight w:val="403"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64" w:type="dxa"/>
            <w:tcBorders>
              <w:top w:val="single" w:sz="4" w:space="0" w:color="000000"/>
              <w:left w:val="single" w:sz="10" w:space="0" w:color="D2D2D2"/>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49,347,429.26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49,347,429.26</w:t>
            </w:r>
          </w:p>
        </w:tc>
      </w:tr>
    </w:tbl>
    <w:p>
      <w:pPr>
        <w:spacing w:after="0" w:line="240" w:lineRule="auto"/>
        <w:jc w:val="center"/>
        <w:rPr>
          <w:rFonts w:ascii="Times New Roman" w:hAnsi="Times New Roman" w:cs="Times New Roman" w:eastAsia="Times New Roman" w:hint="default"/>
          <w:sz w:val="18"/>
          <w:szCs w:val="18"/>
        </w:rPr>
        <w:sectPr>
          <w:pgSz w:w="11910" w:h="16840"/>
          <w:pgMar w:header="706" w:footer="1275" w:top="1060" w:bottom="1540" w:left="600" w:right="0"/>
        </w:sectPr>
      </w:pPr>
    </w:p>
    <w:p>
      <w:pPr>
        <w:spacing w:line="240" w:lineRule="auto" w:before="6"/>
        <w:rPr>
          <w:rFonts w:ascii="宋体" w:hAnsi="宋体" w:cs="宋体" w:eastAsia="宋体" w:hint="default"/>
          <w:sz w:val="28"/>
          <w:szCs w:val="28"/>
        </w:rPr>
      </w:pPr>
      <w:r>
        <w:rPr/>
        <w:pict>
          <v:shape style="position:absolute;margin-left:121.194pt;margin-top:329.329987pt;width:103.15pt;height:19.6pt;mso-position-horizontal-relative:page;mso-position-vertical-relative:page;z-index:-85909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21.194pt;margin-top:349.48999pt;width:103.15pt;height:19.6pt;mso-position-horizontal-relative:page;mso-position-vertical-relative:page;z-index:-85907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63.339996pt;margin-top:328.789978pt;width:61pt;height:40.8pt;mso-position-horizontal-relative:page;mso-position-vertical-relative:page;z-index:-859048" coordorigin="3267,6576" coordsize="1220,816">
            <v:group style="position:absolute;left:3278;top:6587;width:2;height:392" coordorigin="3278,6587" coordsize="2,392">
              <v:shape style="position:absolute;left:3278;top:6587;width:2;height:392" coordorigin="3278,6587" coordsize="0,392" path="m3278,6587l3278,6978e" filled="false" stroked="true" strokeweight="1.08pt" strokecolor="#ffffff">
                <v:path arrowok="t"/>
              </v:shape>
            </v:group>
            <v:group style="position:absolute;left:3288;top:6587;width:1199;height:392" coordorigin="3288,6587" coordsize="1199,392">
              <v:shape style="position:absolute;left:3288;top:6587;width:1199;height:392" coordorigin="3288,6587" coordsize="1199,392" path="m3288,6978l4486,6978,4486,6587,3288,6587,3288,6978xe" filled="true" fillcolor="#ffffff" stroked="false">
                <v:path arrowok="t"/>
                <v:fill type="solid"/>
              </v:shape>
            </v:group>
            <v:group style="position:absolute;left:3278;top:6990;width:2;height:392" coordorigin="3278,6990" coordsize="2,392">
              <v:shape style="position:absolute;left:3278;top:6990;width:2;height:392" coordorigin="3278,6990" coordsize="0,392" path="m3278,6990l3278,7381e" filled="false" stroked="true" strokeweight="1.08pt" strokecolor="#ffffff">
                <v:path arrowok="t"/>
              </v:shape>
            </v:group>
            <v:group style="position:absolute;left:3288;top:6990;width:1199;height:392" coordorigin="3288,6990" coordsize="1199,392">
              <v:shape style="position:absolute;left:3288;top:6990;width:1199;height:392" coordorigin="3288,6990" coordsize="1199,392" path="m3288,7381l4486,7381,4486,6990,3288,6990,3288,7381xe" filled="true" fillcolor="#ffffff" stroked="false">
                <v:path arrowok="t"/>
                <v:fill type="solid"/>
              </v:shape>
            </v:group>
            <w10:wrap type="none"/>
          </v:group>
        </w:pict>
      </w:r>
    </w:p>
    <w:tbl>
      <w:tblPr>
        <w:tblW w:w="0" w:type="auto"/>
        <w:jc w:val="left"/>
        <w:tblInd w:w="101" w:type="dxa"/>
        <w:tblLayout w:type="fixed"/>
        <w:tblCellMar>
          <w:top w:w="0" w:type="dxa"/>
          <w:left w:w="0" w:type="dxa"/>
          <w:bottom w:w="0" w:type="dxa"/>
          <w:right w:w="0" w:type="dxa"/>
        </w:tblCellMar>
        <w:tblLook w:val="01E0"/>
      </w:tblPr>
      <w:tblGrid>
        <w:gridCol w:w="2553"/>
        <w:gridCol w:w="1253"/>
        <w:gridCol w:w="1298"/>
        <w:gridCol w:w="567"/>
        <w:gridCol w:w="569"/>
        <w:gridCol w:w="1106"/>
        <w:gridCol w:w="737"/>
        <w:gridCol w:w="1275"/>
        <w:gridCol w:w="1277"/>
      </w:tblGrid>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49,347,429.26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4" w:right="0"/>
              <w:jc w:val="center"/>
              <w:rPr>
                <w:rFonts w:ascii="Times New Roman" w:hAnsi="Times New Roman" w:cs="Times New Roman" w:eastAsia="Times New Roman" w:hint="default"/>
                <w:sz w:val="18"/>
                <w:szCs w:val="18"/>
              </w:rPr>
            </w:pPr>
            <w:r>
              <w:rPr>
                <w:rFonts w:ascii="Times New Roman"/>
                <w:sz w:val="18"/>
              </w:rPr>
              <w:t>49,347,429.26</w:t>
            </w:r>
          </w:p>
        </w:tc>
      </w:tr>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4,934,742.93</w:t>
            </w: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-31,734,742.93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-26,800,000.00</w:t>
            </w: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4,934,742.93</w:t>
            </w: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-4,934,742.93</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center"/>
              <w:rPr>
                <w:rFonts w:ascii="Times New Roman" w:hAnsi="Times New Roman" w:cs="Times New Roman" w:eastAsia="Times New Roman" w:hint="default"/>
                <w:sz w:val="18"/>
                <w:szCs w:val="18"/>
              </w:rPr>
            </w:pPr>
            <w:r>
              <w:rPr>
                <w:rFonts w:ascii="Times New Roman"/>
                <w:sz w:val="18"/>
              </w:rPr>
              <w:t>-26,800,000.00</w:t>
            </w:r>
          </w:p>
        </w:tc>
      </w:tr>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134,000,000.00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345,266,227.30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13,110,943.00</w:t>
            </w:r>
          </w:p>
        </w:tc>
        <w:tc>
          <w:tcPr>
            <w:tcW w:w="73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74,551,861.26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566,929,031.56</w:t>
            </w:r>
          </w:p>
        </w:tc>
      </w:tr>
    </w:tbl>
    <w:p>
      <w:pPr>
        <w:spacing w:line="240" w:lineRule="auto" w:before="2"/>
        <w:rPr>
          <w:rFonts w:ascii="宋体" w:hAnsi="宋体" w:cs="宋体" w:eastAsia="宋体" w:hint="default"/>
          <w:sz w:val="20"/>
          <w:szCs w:val="20"/>
        </w:rPr>
      </w:pPr>
    </w:p>
    <w:p>
      <w:pPr>
        <w:tabs>
          <w:tab w:pos="3927" w:val="left" w:leader="none"/>
          <w:tab w:pos="7978" w:val="left" w:leader="none"/>
        </w:tabs>
        <w:spacing w:before="44"/>
        <w:ind w:left="532" w:right="0" w:firstLine="0"/>
        <w:jc w:val="left"/>
        <w:rPr>
          <w:rFonts w:ascii="宋体" w:hAnsi="宋体" w:cs="宋体" w:eastAsia="宋体" w:hint="default"/>
          <w:sz w:val="18"/>
          <w:szCs w:val="18"/>
        </w:rPr>
      </w:pPr>
      <w:r>
        <w:rPr>
          <w:rFonts w:ascii="宋体" w:hAnsi="宋体" w:cs="宋体" w:eastAsia="宋体" w:hint="default"/>
          <w:sz w:val="18"/>
          <w:szCs w:val="18"/>
        </w:rPr>
        <w:t>法定代表人：朱文明</w:t>
        <w:tab/>
      </w:r>
      <w:r>
        <w:rPr>
          <w:rFonts w:ascii="宋体" w:hAnsi="宋体" w:cs="宋体" w:eastAsia="宋体" w:hint="default"/>
          <w:spacing w:val="-1"/>
          <w:sz w:val="18"/>
          <w:szCs w:val="18"/>
        </w:rPr>
        <w:t>主管会计工作负责人：徐仕俊</w:t>
        <w:tab/>
        <w:t>会计机构负责人：徐仕俊</w:t>
      </w:r>
    </w:p>
    <w:p>
      <w:pPr>
        <w:spacing w:line="240" w:lineRule="auto" w:before="1"/>
        <w:rPr>
          <w:rFonts w:ascii="宋体" w:hAnsi="宋体" w:cs="宋体" w:eastAsia="宋体" w:hint="default"/>
          <w:sz w:val="25"/>
          <w:szCs w:val="25"/>
        </w:rPr>
      </w:pPr>
    </w:p>
    <w:p>
      <w:pPr>
        <w:pStyle w:val="Heading2"/>
        <w:spacing w:line="240" w:lineRule="auto"/>
        <w:ind w:left="532" w:right="0"/>
        <w:jc w:val="left"/>
        <w:rPr>
          <w:b w:val="0"/>
          <w:bCs w:val="0"/>
        </w:rPr>
      </w:pPr>
      <w:r>
        <w:rPr/>
        <w:t>三、公司基本情况</w:t>
      </w:r>
      <w:r>
        <w:rPr>
          <w:b w:val="0"/>
          <w:bCs w:val="0"/>
        </w:rPr>
      </w:r>
    </w:p>
    <w:p>
      <w:pPr>
        <w:spacing w:line="240" w:lineRule="auto" w:before="10"/>
        <w:rPr>
          <w:rFonts w:ascii="宋体" w:hAnsi="宋体" w:cs="宋体" w:eastAsia="宋体" w:hint="default"/>
          <w:b/>
          <w:bCs/>
          <w:sz w:val="32"/>
          <w:szCs w:val="32"/>
        </w:rPr>
      </w:pPr>
    </w:p>
    <w:p>
      <w:pPr>
        <w:pStyle w:val="BodyText"/>
        <w:spacing w:line="348" w:lineRule="auto"/>
        <w:ind w:left="532" w:right="0" w:firstLine="420"/>
        <w:jc w:val="left"/>
      </w:pPr>
      <w:r>
        <w:rPr>
          <w:w w:val="100"/>
        </w:rPr>
        <w:t>江苏</w:t>
      </w:r>
      <w:r>
        <w:rPr>
          <w:spacing w:val="-3"/>
          <w:w w:val="100"/>
        </w:rPr>
        <w:t>丰</w:t>
      </w:r>
      <w:r>
        <w:rPr>
          <w:w w:val="100"/>
        </w:rPr>
        <w:t>东</w:t>
      </w:r>
      <w:r>
        <w:rPr>
          <w:spacing w:val="-3"/>
          <w:w w:val="100"/>
        </w:rPr>
        <w:t>热</w:t>
      </w:r>
      <w:r>
        <w:rPr>
          <w:w w:val="100"/>
        </w:rPr>
        <w:t>技</w:t>
      </w:r>
      <w:r>
        <w:rPr>
          <w:spacing w:val="-3"/>
          <w:w w:val="100"/>
        </w:rPr>
        <w:t>术</w:t>
      </w:r>
      <w:r>
        <w:rPr>
          <w:w w:val="100"/>
        </w:rPr>
        <w:t>股</w:t>
      </w:r>
      <w:r>
        <w:rPr>
          <w:spacing w:val="-3"/>
          <w:w w:val="100"/>
        </w:rPr>
        <w:t>份</w:t>
      </w:r>
      <w:r>
        <w:rPr>
          <w:w w:val="100"/>
        </w:rPr>
        <w:t>有</w:t>
      </w:r>
      <w:r>
        <w:rPr>
          <w:spacing w:val="-3"/>
          <w:w w:val="100"/>
        </w:rPr>
        <w:t>限</w:t>
      </w:r>
      <w:r>
        <w:rPr>
          <w:w w:val="100"/>
        </w:rPr>
        <w:t>公司</w:t>
      </w:r>
      <w:r>
        <w:rPr>
          <w:rFonts w:ascii="Times New Roman" w:hAnsi="Times New Roman" w:cs="Times New Roman" w:eastAsia="Times New Roman" w:hint="default"/>
          <w:spacing w:val="-1"/>
          <w:w w:val="100"/>
        </w:rPr>
        <w:t>(</w:t>
      </w:r>
      <w:r>
        <w:rPr>
          <w:spacing w:val="-3"/>
          <w:w w:val="100"/>
        </w:rPr>
        <w:t>以</w:t>
      </w:r>
      <w:r>
        <w:rPr>
          <w:w w:val="100"/>
        </w:rPr>
        <w:t>下</w:t>
      </w:r>
      <w:r>
        <w:rPr>
          <w:spacing w:val="-3"/>
          <w:w w:val="100"/>
        </w:rPr>
        <w:t>简</w:t>
      </w:r>
      <w:r>
        <w:rPr>
          <w:spacing w:val="-1"/>
          <w:w w:val="100"/>
        </w:rPr>
        <w:t>称</w:t>
      </w:r>
      <w:r>
        <w:rPr>
          <w:rFonts w:ascii="Times New Roman" w:hAnsi="Times New Roman" w:cs="Times New Roman" w:eastAsia="Times New Roman" w:hint="default"/>
          <w:spacing w:val="-1"/>
          <w:w w:val="44"/>
        </w:rPr>
        <w:t>―</w:t>
      </w:r>
      <w:r>
        <w:rPr>
          <w:spacing w:val="-3"/>
          <w:w w:val="100"/>
        </w:rPr>
        <w:t>本</w:t>
      </w:r>
      <w:r>
        <w:rPr>
          <w:w w:val="100"/>
        </w:rPr>
        <w:t>公</w:t>
      </w:r>
      <w:r>
        <w:rPr>
          <w:spacing w:val="-3"/>
          <w:w w:val="100"/>
        </w:rPr>
        <w:t>司</w:t>
      </w:r>
      <w:r>
        <w:rPr>
          <w:rFonts w:ascii="Times New Roman" w:hAnsi="Times New Roman" w:cs="Times New Roman" w:eastAsia="Times New Roman" w:hint="default"/>
          <w:spacing w:val="-1"/>
          <w:w w:val="127"/>
        </w:rPr>
        <w:t>‖)</w:t>
      </w:r>
      <w:r>
        <w:rPr>
          <w:spacing w:val="-3"/>
          <w:w w:val="100"/>
        </w:rPr>
        <w:t>为</w:t>
      </w:r>
      <w:r>
        <w:rPr>
          <w:w w:val="100"/>
        </w:rPr>
        <w:t>境内</w:t>
      </w:r>
      <w:r>
        <w:rPr>
          <w:spacing w:val="-3"/>
          <w:w w:val="100"/>
        </w:rPr>
        <w:t>公</w:t>
      </w:r>
      <w:r>
        <w:rPr>
          <w:w w:val="100"/>
        </w:rPr>
        <w:t>开</w:t>
      </w:r>
      <w:r>
        <w:rPr>
          <w:spacing w:val="-3"/>
          <w:w w:val="100"/>
        </w:rPr>
        <w:t>发行</w:t>
      </w:r>
      <w:r>
        <w:rPr>
          <w:rFonts w:ascii="Times New Roman" w:hAnsi="Times New Roman" w:cs="Times New Roman" w:eastAsia="Times New Roman" w:hint="default"/>
          <w:spacing w:val="1"/>
          <w:w w:val="100"/>
        </w:rPr>
        <w:t>A</w:t>
      </w:r>
      <w:r>
        <w:rPr>
          <w:spacing w:val="-3"/>
          <w:w w:val="100"/>
        </w:rPr>
        <w:t>股</w:t>
      </w:r>
      <w:r>
        <w:rPr>
          <w:w w:val="100"/>
        </w:rPr>
        <w:t>股</w:t>
      </w:r>
      <w:r>
        <w:rPr>
          <w:spacing w:val="-3"/>
          <w:w w:val="100"/>
        </w:rPr>
        <w:t>票并</w:t>
      </w:r>
      <w:r>
        <w:rPr>
          <w:w w:val="100"/>
        </w:rPr>
        <w:t>在深</w:t>
      </w:r>
      <w:r>
        <w:rPr>
          <w:spacing w:val="-3"/>
          <w:w w:val="100"/>
        </w:rPr>
        <w:t>圳</w:t>
      </w:r>
      <w:r>
        <w:rPr>
          <w:w w:val="100"/>
        </w:rPr>
        <w:t>证</w:t>
      </w:r>
      <w:r>
        <w:rPr>
          <w:spacing w:val="-3"/>
          <w:w w:val="100"/>
        </w:rPr>
        <w:t>券</w:t>
      </w:r>
      <w:r>
        <w:rPr>
          <w:w w:val="100"/>
        </w:rPr>
        <w:t>交</w:t>
      </w:r>
      <w:r>
        <w:rPr>
          <w:spacing w:val="-3"/>
          <w:w w:val="100"/>
        </w:rPr>
        <w:t>易</w:t>
      </w:r>
      <w:r>
        <w:rPr>
          <w:w w:val="100"/>
        </w:rPr>
        <w:t>所</w:t>
      </w:r>
      <w:r>
        <w:rPr>
          <w:spacing w:val="-3"/>
          <w:w w:val="100"/>
        </w:rPr>
        <w:t>上</w:t>
      </w:r>
      <w:r>
        <w:rPr>
          <w:w w:val="100"/>
        </w:rPr>
        <w:t>市</w:t>
      </w:r>
      <w:r>
        <w:rPr>
          <w:w w:val="100"/>
        </w:rPr>
        <w:t> </w:t>
      </w:r>
      <w:r>
        <w:rPr/>
        <w:t>的股份有限公司。</w:t>
      </w:r>
    </w:p>
    <w:p>
      <w:pPr>
        <w:pStyle w:val="BodyText"/>
        <w:spacing w:line="355" w:lineRule="auto" w:before="50"/>
        <w:ind w:left="532" w:right="0" w:firstLine="420"/>
        <w:jc w:val="left"/>
      </w:pPr>
      <w:r>
        <w:rPr>
          <w:spacing w:val="-2"/>
        </w:rPr>
        <w:t>经中国证券监督管理委员会《关于核准江苏丰东热技术股份有限公司首次公开发行股票的批复》（证</w:t>
      </w:r>
      <w:r>
        <w:rPr>
          <w:w w:val="100"/>
        </w:rPr>
        <w:t> </w:t>
      </w:r>
      <w:r>
        <w:rPr>
          <w:spacing w:val="-2"/>
        </w:rPr>
        <w:t>监许可［</w:t>
      </w:r>
      <w:r>
        <w:rPr>
          <w:rFonts w:ascii="Times New Roman" w:hAnsi="Times New Roman" w:cs="Times New Roman" w:eastAsia="Times New Roman" w:hint="default"/>
          <w:spacing w:val="-2"/>
        </w:rPr>
        <w:t>2010</w:t>
      </w:r>
      <w:r>
        <w:rPr>
          <w:spacing w:val="-2"/>
        </w:rPr>
        <w:t>］</w:t>
      </w:r>
      <w:r>
        <w:rPr>
          <w:rFonts w:ascii="Times New Roman" w:hAnsi="Times New Roman" w:cs="Times New Roman" w:eastAsia="Times New Roman" w:hint="default"/>
          <w:spacing w:val="-2"/>
        </w:rPr>
        <w:t>1757</w:t>
      </w:r>
      <w:r>
        <w:rPr>
          <w:spacing w:val="-2"/>
        </w:rPr>
        <w:t>号</w:t>
      </w:r>
      <w:r>
        <w:rPr>
          <w:rFonts w:ascii="Times New Roman" w:hAnsi="Times New Roman" w:cs="Times New Roman" w:eastAsia="Times New Roman" w:hint="default"/>
          <w:spacing w:val="-2"/>
        </w:rPr>
        <w:t>)</w:t>
      </w:r>
      <w:r>
        <w:rPr>
          <w:spacing w:val="-2"/>
        </w:rPr>
        <w:t>的核准，公司向社会公开发行人民币普通股股票</w:t>
      </w:r>
      <w:r>
        <w:rPr>
          <w:rFonts w:ascii="Times New Roman" w:hAnsi="Times New Roman" w:cs="Times New Roman" w:eastAsia="Times New Roman" w:hint="default"/>
          <w:spacing w:val="-2"/>
        </w:rPr>
        <w:t>3,400</w:t>
      </w:r>
      <w:r>
        <w:rPr>
          <w:spacing w:val="-2"/>
        </w:rPr>
        <w:t>万股，每股面值壹元，每股</w:t>
      </w:r>
      <w:r>
        <w:rPr>
          <w:spacing w:val="-10"/>
        </w:rPr>
        <w:t> </w:t>
      </w:r>
      <w:r>
        <w:rPr>
          <w:spacing w:val="-10"/>
        </w:rPr>
      </w:r>
      <w:r>
        <w:rPr>
          <w:spacing w:val="-2"/>
        </w:rPr>
        <w:t>发行价为人民币壹拾贰元，募集资金总额为人民币肆亿零捌佰万元整。经深圳证券交易所《关于江苏丰东</w:t>
      </w:r>
      <w:r>
        <w:rPr>
          <w:spacing w:val="-43"/>
        </w:rPr>
        <w:t> </w:t>
      </w:r>
      <w:r>
        <w:rPr>
          <w:spacing w:val="-43"/>
        </w:rPr>
      </w:r>
      <w:r>
        <w:rPr/>
        <w:t>热技术股份有限公司人民币普通股股票上市交易的通知》（深证上［</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429</w:t>
      </w:r>
      <w:r>
        <w:rPr/>
        <w:t>号）同意，本公司发行的</w:t>
      </w:r>
      <w:r>
        <w:rPr>
          <w:w w:val="100"/>
        </w:rPr>
        <w:t> </w:t>
      </w:r>
      <w:r>
        <w:rPr>
          <w:spacing w:val="-2"/>
          <w:w w:val="100"/>
        </w:rPr>
        <w:t>人民币普通股股票在深圳证券交易所上市，证券简称</w:t>
      </w:r>
      <w:r>
        <w:rPr>
          <w:rFonts w:ascii="Times New Roman" w:hAnsi="Times New Roman" w:cs="Times New Roman" w:eastAsia="Times New Roman" w:hint="default"/>
          <w:spacing w:val="-2"/>
          <w:w w:val="100"/>
        </w:rPr>
        <w:t>―</w:t>
      </w:r>
      <w:r>
        <w:rPr>
          <w:spacing w:val="-2"/>
          <w:w w:val="100"/>
        </w:rPr>
        <w:t>丰东股份</w:t>
      </w:r>
      <w:r>
        <w:rPr>
          <w:rFonts w:ascii="Times New Roman" w:hAnsi="Times New Roman" w:cs="Times New Roman" w:eastAsia="Times New Roman" w:hint="default"/>
          <w:spacing w:val="-2"/>
          <w:w w:val="100"/>
        </w:rPr>
        <w:t>‖</w:t>
      </w:r>
      <w:r>
        <w:rPr>
          <w:spacing w:val="-2"/>
          <w:w w:val="100"/>
        </w:rPr>
        <w:t>，股票代码</w:t>
      </w:r>
      <w:r>
        <w:rPr>
          <w:rFonts w:ascii="Times New Roman" w:hAnsi="Times New Roman" w:cs="Times New Roman" w:eastAsia="Times New Roman" w:hint="default"/>
          <w:spacing w:val="-2"/>
          <w:w w:val="100"/>
        </w:rPr>
        <w:t>―002530‖</w:t>
      </w:r>
      <w:r>
        <w:rPr>
          <w:spacing w:val="-2"/>
          <w:w w:val="100"/>
        </w:rPr>
        <w:t>。</w:t>
      </w:r>
      <w:r>
        <w:rPr>
          <w:w w:val="100"/>
        </w:rPr>
        <w:t> </w:t>
      </w:r>
      <w:r>
        <w:rPr>
          <w:spacing w:val="-2"/>
        </w:rPr>
        <w:t>根据财政部、国资委、证监会和全国社保基金理事会联合印发的《境内证券市场转持部分国有股充实全国</w:t>
      </w:r>
    </w:p>
    <w:p>
      <w:pPr>
        <w:spacing w:after="0" w:line="355" w:lineRule="auto"/>
        <w:jc w:val="left"/>
        <w:sectPr>
          <w:pgSz w:w="11910" w:h="16840"/>
          <w:pgMar w:header="706" w:footer="1275" w:top="1060" w:bottom="1540" w:left="60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357" w:lineRule="auto"/>
        <w:ind w:right="1126"/>
        <w:jc w:val="both"/>
      </w:pPr>
      <w:r>
        <w:rPr>
          <w:spacing w:val="-2"/>
        </w:rPr>
        <w:t>社会保障基金实施办法》文件规定及江苏省国资委《关于同意江苏丰东热技术股份有限公司国有股转持的</w:t>
      </w:r>
      <w:r>
        <w:rPr>
          <w:spacing w:val="-42"/>
        </w:rPr>
        <w:t> </w:t>
      </w:r>
      <w:r>
        <w:rPr>
          <w:spacing w:val="-42"/>
        </w:rPr>
      </w:r>
      <w:r>
        <w:rPr>
          <w:spacing w:val="-3"/>
        </w:rPr>
        <w:t>批复》（苏国资复</w:t>
      </w:r>
      <w:r>
        <w:rPr>
          <w:rFonts w:ascii="Times New Roman" w:hAnsi="Times New Roman" w:cs="Times New Roman" w:eastAsia="Times New Roman" w:hint="default"/>
          <w:spacing w:val="-3"/>
        </w:rPr>
        <w:t>[2010]51</w:t>
      </w:r>
      <w:r>
        <w:rPr>
          <w:spacing w:val="-3"/>
        </w:rPr>
        <w:t>号），江苏高科技投资集团有限公司将持有的本公司</w:t>
      </w:r>
      <w:r>
        <w:rPr>
          <w:rFonts w:ascii="Times New Roman" w:hAnsi="Times New Roman" w:cs="Times New Roman" w:eastAsia="Times New Roman" w:hint="default"/>
          <w:spacing w:val="-3"/>
        </w:rPr>
        <w:t>340</w:t>
      </w:r>
      <w:r>
        <w:rPr>
          <w:spacing w:val="-3"/>
        </w:rPr>
        <w:t>万股股份（按本次发行</w:t>
      </w:r>
      <w:r>
        <w:rPr>
          <w:spacing w:val="-20"/>
        </w:rPr>
        <w:t> </w:t>
      </w:r>
      <w:r>
        <w:rPr>
          <w:spacing w:val="-20"/>
        </w:rPr>
      </w:r>
      <w:r>
        <w:rPr>
          <w:rFonts w:ascii="Times New Roman" w:hAnsi="Times New Roman" w:cs="Times New Roman" w:eastAsia="Times New Roman" w:hint="default"/>
        </w:rPr>
        <w:t>3,400</w:t>
      </w:r>
      <w:r>
        <w:rPr/>
        <w:t>万股的</w:t>
      </w:r>
      <w:r>
        <w:rPr>
          <w:rFonts w:ascii="Times New Roman" w:hAnsi="Times New Roman" w:cs="Times New Roman" w:eastAsia="Times New Roman" w:hint="default"/>
        </w:rPr>
        <w:t>10%</w:t>
      </w:r>
      <w:r>
        <w:rPr/>
        <w:t>计算）划转给全国社会保障基金理事会。</w:t>
      </w:r>
    </w:p>
    <w:p>
      <w:pPr>
        <w:pStyle w:val="BodyText"/>
        <w:spacing w:line="352" w:lineRule="auto" w:before="15"/>
        <w:ind w:right="0" w:firstLine="420"/>
        <w:jc w:val="left"/>
      </w:pPr>
      <w:r>
        <w:rPr>
          <w:spacing w:val="-7"/>
          <w:w w:val="100"/>
        </w:rPr>
        <w:t>根据中华人民共和国财政部《关于回拨江苏丰东热技术股份有限公司部份国有股有关问题的通知》（财</w:t>
      </w:r>
      <w:r>
        <w:rPr>
          <w:w w:val="100"/>
        </w:rPr>
        <w:t> </w:t>
      </w:r>
      <w:r>
        <w:rPr>
          <w:spacing w:val="-2"/>
        </w:rPr>
        <w:t>企</w:t>
      </w:r>
      <w:r>
        <w:rPr>
          <w:rFonts w:ascii="Times New Roman" w:hAnsi="Times New Roman" w:cs="Times New Roman" w:eastAsia="Times New Roman" w:hint="default"/>
          <w:spacing w:val="-2"/>
        </w:rPr>
        <w:t>[2011]43</w:t>
      </w:r>
      <w:r>
        <w:rPr>
          <w:spacing w:val="-2"/>
        </w:rPr>
        <w:t>号）文件规定，江苏高科技投资集团有限公司原划转给全国社会保障基金理事会持有的本公司</w:t>
      </w:r>
      <w:r>
        <w:rPr>
          <w:spacing w:val="-13"/>
        </w:rPr>
        <w:t> </w:t>
      </w:r>
      <w:r>
        <w:rPr>
          <w:spacing w:val="-13"/>
        </w:rPr>
      </w:r>
      <w:r>
        <w:rPr>
          <w:rFonts w:ascii="Times New Roman" w:hAnsi="Times New Roman" w:cs="Times New Roman" w:eastAsia="Times New Roman" w:hint="default"/>
        </w:rPr>
        <w:t>340</w:t>
      </w:r>
      <w:r>
        <w:rPr/>
        <w:t>万股限售流通股于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日回拨到江苏高科技集团有限公司的证券账户中。</w:t>
      </w:r>
      <w:r>
        <w:rPr>
          <w:w w:val="100"/>
        </w:rPr>
        <w:t> </w:t>
      </w:r>
      <w:r>
        <w:rPr>
          <w:spacing w:val="-2"/>
        </w:rPr>
        <w:t>根据公司</w:t>
      </w:r>
      <w:r>
        <w:rPr>
          <w:rFonts w:ascii="Times New Roman" w:hAnsi="Times New Roman" w:cs="Times New Roman" w:eastAsia="Times New Roman" w:hint="default"/>
          <w:spacing w:val="-2"/>
        </w:rPr>
        <w:t>2011</w:t>
      </w:r>
      <w:r>
        <w:rPr>
          <w:spacing w:val="-2"/>
        </w:rPr>
        <w:t>年年度股东大会决议，本公司实施资本公积转增注册资本</w:t>
      </w:r>
      <w:r>
        <w:rPr>
          <w:rFonts w:ascii="Times New Roman" w:hAnsi="Times New Roman" w:cs="Times New Roman" w:eastAsia="Times New Roman" w:hint="default"/>
          <w:spacing w:val="-2"/>
        </w:rPr>
        <w:t>134,000,000</w:t>
      </w:r>
      <w:r>
        <w:rPr>
          <w:spacing w:val="-2"/>
        </w:rPr>
        <w:t>元，转增基准日为</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日，转增后本公司注册资本为人民币</w:t>
      </w:r>
      <w:r>
        <w:rPr>
          <w:rFonts w:ascii="Times New Roman" w:hAnsi="Times New Roman" w:cs="Times New Roman" w:eastAsia="Times New Roman" w:hint="default"/>
        </w:rPr>
        <w:t>268,000,000</w:t>
      </w:r>
      <w:r>
        <w:rPr/>
        <w:t>元。</w:t>
      </w:r>
    </w:p>
    <w:p>
      <w:pPr>
        <w:pStyle w:val="BodyText"/>
        <w:spacing w:line="240" w:lineRule="auto" w:before="20"/>
        <w:ind w:left="593" w:right="0"/>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日的公司股权结构</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1943"/>
        <w:gridCol w:w="1891"/>
        <w:gridCol w:w="1732"/>
        <w:gridCol w:w="1692"/>
        <w:gridCol w:w="2439"/>
      </w:tblGrid>
      <w:tr>
        <w:trPr>
          <w:trHeight w:val="375" w:hRule="exact"/>
        </w:trPr>
        <w:tc>
          <w:tcPr>
            <w:tcW w:w="1943"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91"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406" w:right="0"/>
              <w:jc w:val="left"/>
              <w:rPr>
                <w:rFonts w:ascii="宋体" w:hAnsi="宋体" w:cs="宋体" w:eastAsia="宋体" w:hint="default"/>
                <w:sz w:val="18"/>
                <w:szCs w:val="18"/>
              </w:rPr>
            </w:pPr>
            <w:r>
              <w:rPr>
                <w:rFonts w:ascii="宋体" w:hAnsi="宋体" w:cs="宋体" w:eastAsia="宋体" w:hint="default"/>
                <w:sz w:val="18"/>
                <w:szCs w:val="18"/>
              </w:rPr>
              <w:t>无限售流通股</w:t>
            </w:r>
          </w:p>
        </w:tc>
        <w:tc>
          <w:tcPr>
            <w:tcW w:w="1732"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right="16"/>
              <w:jc w:val="center"/>
              <w:rPr>
                <w:rFonts w:ascii="宋体" w:hAnsi="宋体" w:cs="宋体" w:eastAsia="宋体" w:hint="default"/>
                <w:sz w:val="18"/>
                <w:szCs w:val="18"/>
              </w:rPr>
            </w:pPr>
            <w:r>
              <w:rPr>
                <w:rFonts w:ascii="宋体" w:hAnsi="宋体" w:cs="宋体" w:eastAsia="宋体" w:hint="default"/>
                <w:sz w:val="18"/>
                <w:szCs w:val="18"/>
              </w:rPr>
              <w:t>限售流通股</w:t>
            </w:r>
          </w:p>
        </w:tc>
        <w:tc>
          <w:tcPr>
            <w:tcW w:w="1692"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合计</w:t>
            </w:r>
          </w:p>
        </w:tc>
        <w:tc>
          <w:tcPr>
            <w:tcW w:w="2439"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3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22" w:hRule="exact"/>
        </w:trPr>
        <w:tc>
          <w:tcPr>
            <w:tcW w:w="1943" w:type="dxa"/>
            <w:tcBorders>
              <w:top w:val="single" w:sz="6" w:space="0" w:color="000000"/>
              <w:left w:val="nil" w:sz="6" w:space="0" w:color="auto"/>
              <w:bottom w:val="nil" w:sz="6" w:space="0" w:color="auto"/>
              <w:right w:val="nil" w:sz="6" w:space="0" w:color="auto"/>
            </w:tcBorders>
          </w:tcPr>
          <w:p>
            <w:pPr>
              <w:pStyle w:val="TableParagraph"/>
              <w:spacing w:line="240" w:lineRule="auto" w:before="8"/>
              <w:ind w:left="300"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891" w:type="dxa"/>
            <w:tcBorders>
              <w:top w:val="single" w:sz="6" w:space="0" w:color="000000"/>
              <w:left w:val="nil" w:sz="6" w:space="0" w:color="auto"/>
              <w:bottom w:val="nil" w:sz="6" w:space="0" w:color="auto"/>
              <w:right w:val="nil" w:sz="6" w:space="0" w:color="auto"/>
            </w:tcBorders>
          </w:tcPr>
          <w:p>
            <w:pPr>
              <w:pStyle w:val="TableParagraph"/>
              <w:spacing w:line="240" w:lineRule="auto" w:before="50"/>
              <w:ind w:left="497" w:right="0"/>
              <w:jc w:val="left"/>
              <w:rPr>
                <w:rFonts w:ascii="Times New Roman" w:hAnsi="Times New Roman" w:cs="Times New Roman" w:eastAsia="Times New Roman" w:hint="default"/>
                <w:sz w:val="18"/>
                <w:szCs w:val="18"/>
              </w:rPr>
            </w:pPr>
            <w:r>
              <w:rPr>
                <w:rFonts w:ascii="Times New Roman"/>
                <w:sz w:val="18"/>
              </w:rPr>
              <w:t>13,340,000</w:t>
            </w:r>
          </w:p>
        </w:tc>
        <w:tc>
          <w:tcPr>
            <w:tcW w:w="1732" w:type="dxa"/>
            <w:tcBorders>
              <w:top w:val="single" w:sz="6" w:space="0" w:color="000000"/>
              <w:left w:val="nil" w:sz="6" w:space="0" w:color="auto"/>
              <w:bottom w:val="nil" w:sz="6" w:space="0" w:color="auto"/>
              <w:right w:val="nil" w:sz="6" w:space="0" w:color="auto"/>
            </w:tcBorders>
          </w:tcPr>
          <w:p>
            <w:pPr>
              <w:pStyle w:val="TableParagraph"/>
              <w:spacing w:line="240" w:lineRule="auto" w:before="50"/>
              <w:ind w:right="3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2" w:type="dxa"/>
            <w:tcBorders>
              <w:top w:val="single" w:sz="6" w:space="0" w:color="000000"/>
              <w:left w:val="nil" w:sz="6" w:space="0" w:color="auto"/>
              <w:bottom w:val="nil" w:sz="6" w:space="0" w:color="auto"/>
              <w:right w:val="nil" w:sz="6" w:space="0" w:color="auto"/>
            </w:tcBorders>
          </w:tcPr>
          <w:p>
            <w:pPr>
              <w:pStyle w:val="TableParagraph"/>
              <w:spacing w:line="240" w:lineRule="auto" w:before="50"/>
              <w:ind w:left="106" w:right="0"/>
              <w:jc w:val="center"/>
              <w:rPr>
                <w:rFonts w:ascii="Times New Roman" w:hAnsi="Times New Roman" w:cs="Times New Roman" w:eastAsia="Times New Roman" w:hint="default"/>
                <w:sz w:val="18"/>
                <w:szCs w:val="18"/>
              </w:rPr>
            </w:pPr>
            <w:r>
              <w:rPr>
                <w:rFonts w:ascii="Times New Roman"/>
                <w:sz w:val="18"/>
              </w:rPr>
              <w:t>13,340,000</w:t>
            </w:r>
          </w:p>
        </w:tc>
        <w:tc>
          <w:tcPr>
            <w:tcW w:w="2439" w:type="dxa"/>
            <w:tcBorders>
              <w:top w:val="single" w:sz="6" w:space="0" w:color="000000"/>
              <w:left w:val="nil" w:sz="6" w:space="0" w:color="auto"/>
              <w:bottom w:val="nil" w:sz="6" w:space="0" w:color="auto"/>
              <w:right w:val="nil" w:sz="6" w:space="0" w:color="auto"/>
            </w:tcBorders>
          </w:tcPr>
          <w:p>
            <w:pPr>
              <w:pStyle w:val="TableParagraph"/>
              <w:spacing w:line="240" w:lineRule="auto" w:before="50"/>
              <w:ind w:left="494" w:right="0"/>
              <w:jc w:val="left"/>
              <w:rPr>
                <w:rFonts w:ascii="Times New Roman" w:hAnsi="Times New Roman" w:cs="Times New Roman" w:eastAsia="Times New Roman" w:hint="default"/>
                <w:sz w:val="18"/>
                <w:szCs w:val="18"/>
              </w:rPr>
            </w:pPr>
            <w:r>
              <w:rPr>
                <w:rFonts w:ascii="Times New Roman"/>
                <w:sz w:val="18"/>
              </w:rPr>
              <w:t>4.98</w:t>
            </w:r>
          </w:p>
        </w:tc>
      </w:tr>
      <w:tr>
        <w:trPr>
          <w:trHeight w:val="312"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5"/>
              <w:ind w:left="329" w:right="0"/>
              <w:jc w:val="left"/>
              <w:rPr>
                <w:rFonts w:ascii="宋体" w:hAnsi="宋体" w:cs="宋体" w:eastAsia="宋体" w:hint="default"/>
                <w:sz w:val="18"/>
                <w:szCs w:val="18"/>
              </w:rPr>
            </w:pPr>
            <w:r>
              <w:rPr>
                <w:rFonts w:ascii="宋体" w:hAnsi="宋体" w:cs="宋体" w:eastAsia="宋体" w:hint="default"/>
                <w:sz w:val="18"/>
                <w:szCs w:val="18"/>
              </w:rPr>
              <w:t>境内一般法人</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57" w:right="0"/>
              <w:jc w:val="left"/>
              <w:rPr>
                <w:rFonts w:ascii="Times New Roman" w:hAnsi="Times New Roman" w:cs="Times New Roman" w:eastAsia="Times New Roman" w:hint="default"/>
                <w:sz w:val="18"/>
                <w:szCs w:val="18"/>
              </w:rPr>
            </w:pPr>
            <w:r>
              <w:rPr>
                <w:rFonts w:ascii="Times New Roman"/>
                <w:sz w:val="18"/>
              </w:rPr>
              <w:t>5,220,900</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 w:right="0"/>
              <w:jc w:val="center"/>
              <w:rPr>
                <w:rFonts w:ascii="Times New Roman" w:hAnsi="Times New Roman" w:cs="Times New Roman" w:eastAsia="Times New Roman" w:hint="default"/>
                <w:sz w:val="18"/>
                <w:szCs w:val="18"/>
              </w:rPr>
            </w:pPr>
            <w:r>
              <w:rPr>
                <w:rFonts w:ascii="Times New Roman"/>
                <w:sz w:val="18"/>
              </w:rPr>
              <w:t>103,560,000</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center"/>
              <w:rPr>
                <w:rFonts w:ascii="Times New Roman" w:hAnsi="Times New Roman" w:cs="Times New Roman" w:eastAsia="Times New Roman" w:hint="default"/>
                <w:sz w:val="18"/>
                <w:szCs w:val="18"/>
              </w:rPr>
            </w:pPr>
            <w:r>
              <w:rPr>
                <w:rFonts w:ascii="Times New Roman"/>
                <w:sz w:val="18"/>
              </w:rPr>
              <w:t>108,780,900</w:t>
            </w:r>
          </w:p>
        </w:tc>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34" w:right="0"/>
              <w:jc w:val="left"/>
              <w:rPr>
                <w:rFonts w:ascii="Times New Roman" w:hAnsi="Times New Roman" w:cs="Times New Roman" w:eastAsia="Times New Roman" w:hint="default"/>
                <w:sz w:val="18"/>
                <w:szCs w:val="18"/>
              </w:rPr>
            </w:pPr>
            <w:r>
              <w:rPr>
                <w:rFonts w:ascii="Times New Roman"/>
                <w:sz w:val="18"/>
              </w:rPr>
              <w:t>40.59</w:t>
            </w:r>
          </w:p>
        </w:tc>
      </w:tr>
      <w:tr>
        <w:trPr>
          <w:trHeight w:val="312"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5"/>
              <w:ind w:left="3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97" w:right="0"/>
              <w:jc w:val="left"/>
              <w:rPr>
                <w:rFonts w:ascii="Times New Roman" w:hAnsi="Times New Roman" w:cs="Times New Roman" w:eastAsia="Times New Roman" w:hint="default"/>
                <w:sz w:val="18"/>
                <w:szCs w:val="18"/>
              </w:rPr>
            </w:pPr>
            <w:r>
              <w:rPr>
                <w:rFonts w:ascii="Times New Roman"/>
                <w:sz w:val="18"/>
              </w:rPr>
              <w:t>69,539,605</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6" w:right="0"/>
              <w:jc w:val="center"/>
              <w:rPr>
                <w:rFonts w:ascii="Times New Roman" w:hAnsi="Times New Roman" w:cs="Times New Roman" w:eastAsia="Times New Roman" w:hint="default"/>
                <w:sz w:val="18"/>
                <w:szCs w:val="18"/>
              </w:rPr>
            </w:pPr>
            <w:r>
              <w:rPr>
                <w:rFonts w:ascii="Times New Roman"/>
                <w:sz w:val="18"/>
              </w:rPr>
              <w:t>69,539,605</w:t>
            </w:r>
          </w:p>
        </w:tc>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34" w:right="0"/>
              <w:jc w:val="left"/>
              <w:rPr>
                <w:rFonts w:ascii="Times New Roman" w:hAnsi="Times New Roman" w:cs="Times New Roman" w:eastAsia="Times New Roman" w:hint="default"/>
                <w:sz w:val="18"/>
                <w:szCs w:val="18"/>
              </w:rPr>
            </w:pPr>
            <w:r>
              <w:rPr>
                <w:rFonts w:ascii="Times New Roman"/>
                <w:sz w:val="18"/>
              </w:rPr>
              <w:t>25.95</w:t>
            </w:r>
          </w:p>
        </w:tc>
      </w:tr>
      <w:tr>
        <w:trPr>
          <w:trHeight w:val="312"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5"/>
              <w:ind w:left="300"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97" w:right="0"/>
              <w:jc w:val="left"/>
              <w:rPr>
                <w:rFonts w:ascii="Times New Roman" w:hAnsi="Times New Roman" w:cs="Times New Roman" w:eastAsia="Times New Roman" w:hint="default"/>
                <w:sz w:val="18"/>
                <w:szCs w:val="18"/>
              </w:rPr>
            </w:pPr>
            <w:r>
              <w:rPr>
                <w:rFonts w:ascii="Times New Roman"/>
                <w:sz w:val="18"/>
              </w:rPr>
              <w:t>73,127,100</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6" w:right="0"/>
              <w:jc w:val="center"/>
              <w:rPr>
                <w:rFonts w:ascii="Times New Roman" w:hAnsi="Times New Roman" w:cs="Times New Roman" w:eastAsia="Times New Roman" w:hint="default"/>
                <w:sz w:val="18"/>
                <w:szCs w:val="18"/>
              </w:rPr>
            </w:pPr>
            <w:r>
              <w:rPr>
                <w:rFonts w:ascii="Times New Roman"/>
                <w:sz w:val="18"/>
              </w:rPr>
              <w:t>73,127,100</w:t>
            </w:r>
          </w:p>
        </w:tc>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02" w:right="0"/>
              <w:jc w:val="left"/>
              <w:rPr>
                <w:rFonts w:ascii="Times New Roman" w:hAnsi="Times New Roman" w:cs="Times New Roman" w:eastAsia="Times New Roman" w:hint="default"/>
                <w:sz w:val="18"/>
                <w:szCs w:val="18"/>
              </w:rPr>
            </w:pPr>
            <w:r>
              <w:rPr>
                <w:rFonts w:ascii="Times New Roman"/>
                <w:sz w:val="18"/>
              </w:rPr>
              <w:t>27.29</w:t>
            </w:r>
          </w:p>
        </w:tc>
      </w:tr>
      <w:tr>
        <w:trPr>
          <w:trHeight w:val="312"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5"/>
              <w:ind w:left="329" w:right="0"/>
              <w:jc w:val="left"/>
              <w:rPr>
                <w:rFonts w:ascii="宋体" w:hAnsi="宋体" w:cs="宋体" w:eastAsia="宋体" w:hint="default"/>
                <w:sz w:val="18"/>
                <w:szCs w:val="18"/>
              </w:rPr>
            </w:pPr>
            <w:r>
              <w:rPr>
                <w:rFonts w:ascii="宋体" w:hAnsi="宋体" w:cs="宋体" w:eastAsia="宋体" w:hint="default"/>
                <w:sz w:val="18"/>
                <w:szCs w:val="18"/>
              </w:rPr>
              <w:t>基金、理财产品</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82" w:right="0"/>
              <w:jc w:val="left"/>
              <w:rPr>
                <w:rFonts w:ascii="Times New Roman" w:hAnsi="Times New Roman" w:cs="Times New Roman" w:eastAsia="Times New Roman" w:hint="default"/>
                <w:sz w:val="18"/>
                <w:szCs w:val="18"/>
              </w:rPr>
            </w:pPr>
            <w:r>
              <w:rPr>
                <w:rFonts w:ascii="Times New Roman"/>
                <w:sz w:val="18"/>
              </w:rPr>
              <w:t>3,212,395</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60" w:right="0"/>
              <w:jc w:val="center"/>
              <w:rPr>
                <w:rFonts w:ascii="Times New Roman" w:hAnsi="Times New Roman" w:cs="Times New Roman" w:eastAsia="Times New Roman" w:hint="default"/>
                <w:sz w:val="18"/>
                <w:szCs w:val="18"/>
              </w:rPr>
            </w:pPr>
            <w:r>
              <w:rPr>
                <w:rFonts w:ascii="Times New Roman"/>
                <w:sz w:val="18"/>
              </w:rPr>
              <w:t>3,212,395</w:t>
            </w:r>
          </w:p>
        </w:tc>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87" w:right="0"/>
              <w:jc w:val="left"/>
              <w:rPr>
                <w:rFonts w:ascii="Times New Roman" w:hAnsi="Times New Roman" w:cs="Times New Roman" w:eastAsia="Times New Roman" w:hint="default"/>
                <w:sz w:val="18"/>
                <w:szCs w:val="18"/>
              </w:rPr>
            </w:pPr>
            <w:r>
              <w:rPr>
                <w:rFonts w:ascii="Times New Roman"/>
                <w:sz w:val="18"/>
              </w:rPr>
              <w:t>1.19</w:t>
            </w:r>
          </w:p>
        </w:tc>
      </w:tr>
      <w:tr>
        <w:trPr>
          <w:trHeight w:val="321"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5"/>
              <w:ind w:left="5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3" w:right="0"/>
              <w:jc w:val="left"/>
              <w:rPr>
                <w:rFonts w:ascii="Times New Roman" w:hAnsi="Times New Roman" w:cs="Times New Roman" w:eastAsia="Times New Roman" w:hint="default"/>
                <w:sz w:val="18"/>
                <w:szCs w:val="18"/>
              </w:rPr>
            </w:pPr>
            <w:r>
              <w:rPr>
                <w:rFonts w:ascii="Times New Roman"/>
                <w:sz w:val="18"/>
              </w:rPr>
              <w:t>164,440,000</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1" w:right="0"/>
              <w:jc w:val="center"/>
              <w:rPr>
                <w:rFonts w:ascii="Times New Roman" w:hAnsi="Times New Roman" w:cs="Times New Roman" w:eastAsia="Times New Roman" w:hint="default"/>
                <w:sz w:val="18"/>
                <w:szCs w:val="18"/>
              </w:rPr>
            </w:pPr>
            <w:r>
              <w:rPr>
                <w:rFonts w:ascii="Times New Roman"/>
                <w:sz w:val="18"/>
              </w:rPr>
              <w:t>103,560,000</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center"/>
              <w:rPr>
                <w:rFonts w:ascii="Times New Roman" w:hAnsi="Times New Roman" w:cs="Times New Roman" w:eastAsia="Times New Roman" w:hint="default"/>
                <w:sz w:val="18"/>
                <w:szCs w:val="18"/>
              </w:rPr>
            </w:pPr>
            <w:r>
              <w:rPr>
                <w:rFonts w:ascii="Times New Roman"/>
                <w:sz w:val="18"/>
              </w:rPr>
              <w:t>268,000,000</w:t>
            </w:r>
          </w:p>
        </w:tc>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81"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251" w:lineRule="exact"/>
        <w:ind w:left="593" w:right="0"/>
        <w:jc w:val="left"/>
      </w:pPr>
      <w:r>
        <w:rPr/>
        <w:t>公司主要经营范围：开发、生产热处理设备及其辅助设备并销售本公司自产产品；承接金属零件的热</w:t>
      </w:r>
    </w:p>
    <w:p>
      <w:pPr>
        <w:pStyle w:val="BodyText"/>
        <w:spacing w:line="240" w:lineRule="auto" w:before="37"/>
        <w:ind w:right="0"/>
        <w:jc w:val="left"/>
      </w:pPr>
      <w:r>
        <w:rPr/>
        <w:t>处理加工业务；提供热处理设备的保修维修服务；提供专业热处理技术咨询服务。</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四、公司主要会计政策、会计估计和前期差错</w:t>
      </w:r>
      <w:r>
        <w:rPr>
          <w:b w:val="0"/>
          <w:bCs w:val="0"/>
        </w:rPr>
      </w:r>
    </w:p>
    <w:p>
      <w:pPr>
        <w:spacing w:line="614" w:lineRule="exact" w:before="77"/>
        <w:ind w:left="59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本公司以持续经营为基础，根据实际发生的交易和事项，按照《企业会计准则</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基本准则》和其他各</w:t>
      </w:r>
    </w:p>
    <w:p>
      <w:pPr>
        <w:pStyle w:val="BodyText"/>
        <w:spacing w:line="219" w:lineRule="exact"/>
        <w:ind w:right="0"/>
        <w:jc w:val="left"/>
      </w:pPr>
      <w:r>
        <w:rPr/>
        <w:t>项会计准则的规定进行确认和计量，在此基础上编制财务报表。</w:t>
      </w:r>
    </w:p>
    <w:p>
      <w:pPr>
        <w:spacing w:line="590" w:lineRule="atLeast" w:before="38"/>
        <w:ind w:left="59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本公司所编制的财务报表符合企业会计准则的要求，真实、完整地反映了本公司的财务状况、经营成</w:t>
      </w:r>
    </w:p>
    <w:p>
      <w:pPr>
        <w:pStyle w:val="BodyText"/>
        <w:spacing w:line="240" w:lineRule="auto" w:before="37"/>
        <w:ind w:right="0"/>
        <w:jc w:val="left"/>
      </w:pPr>
      <w:r>
        <w:rPr>
          <w:spacing w:val="-5"/>
        </w:rPr>
        <w:t>果、股东权益变动和现金流量等有关信息，本公司管理层对财务报表的真实性、合法性和完整性承担责任。</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93" w:right="0"/>
        <w:jc w:val="left"/>
      </w:pPr>
      <w:r>
        <w:rPr/>
        <w:t>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93" w:right="0"/>
        <w:jc w:val="left"/>
      </w:pPr>
      <w:r>
        <w:rPr/>
        <w:t>记账本位币为人民币。</w:t>
      </w:r>
    </w:p>
    <w:p>
      <w:pPr>
        <w:spacing w:after="0" w:line="240" w:lineRule="auto"/>
        <w:jc w:val="left"/>
        <w:sectPr>
          <w:pgSz w:w="11910" w:h="16840"/>
          <w:pgMar w:header="706" w:footer="1275" w:top="1060" w:bottom="1540" w:left="96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590" w:lineRule="atLeast" w:before="25"/>
        <w:ind w:left="59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参与合并的企业在合并前后均受同一方或相同的多方最终控制且该控制并非暂时性的，认定为同一控</w:t>
      </w:r>
    </w:p>
    <w:p>
      <w:pPr>
        <w:pStyle w:val="BodyText"/>
        <w:spacing w:line="273" w:lineRule="auto" w:before="37"/>
        <w:ind w:left="593" w:right="0" w:hanging="421"/>
        <w:jc w:val="left"/>
      </w:pPr>
      <w:r>
        <w:rPr/>
        <w:t>制下的企业合并。</w:t>
      </w:r>
      <w:r>
        <w:rPr>
          <w:w w:val="100"/>
        </w:rPr>
        <w:t> </w:t>
      </w:r>
      <w:r>
        <w:rPr>
          <w:spacing w:val="-2"/>
        </w:rPr>
        <w:t>合并方以支付现金、转让非现金资产或承担债务方式作为合并对价的，在合并日按照取得被合并方所</w:t>
      </w:r>
    </w:p>
    <w:p>
      <w:pPr>
        <w:pStyle w:val="BodyText"/>
        <w:spacing w:line="273" w:lineRule="auto" w:before="7"/>
        <w:ind w:right="1105"/>
        <w:jc w:val="both"/>
      </w:pPr>
      <w:r>
        <w:rPr>
          <w:spacing w:val="-2"/>
        </w:rPr>
        <w:t>有者权益账面价值的份额作为长期股权投资的初始投资成本。长期股权投资初始投资成本与支付的现金、</w:t>
      </w:r>
      <w:r>
        <w:rPr>
          <w:spacing w:val="-21"/>
        </w:rPr>
        <w:t> </w:t>
      </w:r>
      <w:r>
        <w:rPr>
          <w:spacing w:val="-21"/>
        </w:rPr>
      </w:r>
      <w:r>
        <w:rPr>
          <w:spacing w:val="-2"/>
        </w:rPr>
        <w:t>转让的非现金资产以及所承担债务账面价值之间的差额，调整资本公积；资本公积不足冲减的，调整留存</w:t>
      </w:r>
      <w:r>
        <w:rPr>
          <w:spacing w:val="-43"/>
        </w:rPr>
        <w:t> </w:t>
      </w:r>
      <w:r>
        <w:rPr>
          <w:spacing w:val="-43"/>
        </w:rPr>
      </w:r>
      <w:r>
        <w:rPr/>
        <w:t>收益。</w:t>
      </w:r>
    </w:p>
    <w:p>
      <w:pPr>
        <w:pStyle w:val="BodyText"/>
        <w:spacing w:line="240" w:lineRule="auto" w:before="7"/>
        <w:ind w:left="593" w:right="0"/>
        <w:jc w:val="left"/>
      </w:pPr>
      <w:r>
        <w:rPr/>
        <w:t>为进行企业合并发生的各项直接相关费用于发生时计入当期损益。</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07" w:firstLine="420"/>
        <w:jc w:val="right"/>
      </w:pPr>
      <w:r>
        <w:rPr>
          <w:spacing w:val="-2"/>
        </w:rPr>
        <w:t>参与合并的各方在合并前后不受同一方或相同的多方最终控制的，认定为非同一控制下的企业合并。</w:t>
      </w:r>
      <w:r>
        <w:rPr>
          <w:w w:val="100"/>
        </w:rPr>
        <w:t> </w:t>
      </w:r>
      <w:r>
        <w:rPr>
          <w:spacing w:val="-2"/>
        </w:rPr>
        <w:t>购买方通过一次交换交易实现的企业合并，合并成本为购买方在购买日为取得对被购买方的控制权而</w:t>
      </w:r>
      <w:r>
        <w:rPr>
          <w:w w:val="100"/>
        </w:rPr>
        <w:t> </w:t>
      </w:r>
      <w:r>
        <w:rPr>
          <w:spacing w:val="-2"/>
        </w:rPr>
        <w:t>付出的资产、发生或承担的负债以及发行的权益性证券的公允价值。通过多次交换交易分步实现的企业合</w:t>
      </w:r>
      <w:r>
        <w:rPr>
          <w:spacing w:val="-86"/>
        </w:rPr>
        <w:t> </w:t>
      </w:r>
      <w:r>
        <w:rPr>
          <w:spacing w:val="-86"/>
        </w:rPr>
      </w:r>
      <w:r>
        <w:rPr>
          <w:spacing w:val="-2"/>
        </w:rPr>
        <w:t>并，合并成本为每一单项交易成本之和。购买方为企业合并发生的审计、法律服务、评估咨询等中介费用</w:t>
      </w:r>
      <w:r>
        <w:rPr>
          <w:spacing w:val="-98"/>
        </w:rPr>
        <w:t> </w:t>
      </w:r>
      <w:r>
        <w:rPr>
          <w:spacing w:val="-98"/>
        </w:rPr>
      </w:r>
      <w:r>
        <w:rPr>
          <w:spacing w:val="-2"/>
        </w:rPr>
        <w:t>以及其他相关管理费用，于发生时计入当期损益；购买方作为合并对价发行的权益性证券或债务性证券的</w:t>
      </w:r>
    </w:p>
    <w:p>
      <w:pPr>
        <w:pStyle w:val="BodyText"/>
        <w:spacing w:line="273" w:lineRule="auto" w:before="7"/>
        <w:ind w:left="593" w:right="0" w:hanging="421"/>
        <w:jc w:val="left"/>
      </w:pPr>
      <w:r>
        <w:rPr/>
        <w:t>交易费用，计入权益性证券或债务性证券的初始确认金额。</w:t>
      </w:r>
      <w:r>
        <w:rPr>
          <w:w w:val="100"/>
        </w:rPr>
        <w:t> </w:t>
      </w:r>
      <w:r>
        <w:rPr>
          <w:spacing w:val="-2"/>
        </w:rPr>
        <w:t>购买方的合并成本和购买方在合并中取得的可辨认净资产按购买日的公允价值计量。合并成本大于合</w:t>
      </w:r>
    </w:p>
    <w:p>
      <w:pPr>
        <w:pStyle w:val="BodyText"/>
        <w:spacing w:line="273" w:lineRule="auto" w:before="7"/>
        <w:ind w:right="1126"/>
        <w:jc w:val="both"/>
      </w:pPr>
      <w:r>
        <w:rPr>
          <w:spacing w:val="-2"/>
        </w:rPr>
        <w:t>并中取得的被购买方于购买日可辨认净资产公允价值份额的差额，确认为商誉；合并成本小于合并中取得</w:t>
      </w:r>
      <w:r>
        <w:rPr>
          <w:spacing w:val="-43"/>
        </w:rPr>
        <w:t> </w:t>
      </w:r>
      <w:r>
        <w:rPr>
          <w:spacing w:val="-43"/>
        </w:rPr>
      </w:r>
      <w:r>
        <w:rPr/>
        <w:t>的被购买方可辨认净资产公允价值份额的差额，计入当期损益。</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600" w:lineRule="atLeast" w:before="12"/>
        <w:ind w:left="593" w:right="445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合并财务报表的合并范围包括本公司及子公司。</w:t>
      </w:r>
    </w:p>
    <w:p>
      <w:pPr>
        <w:pStyle w:val="BodyText"/>
        <w:spacing w:line="273" w:lineRule="auto" w:before="37"/>
        <w:ind w:right="1126" w:firstLine="420"/>
        <w:jc w:val="both"/>
      </w:pPr>
      <w:r>
        <w:rPr>
          <w:spacing w:val="-2"/>
        </w:rPr>
        <w:t>从取得子公司实际控制权之日起，本公司开始将其予以合并；从丧失实际控制权之日起停止合并。公</w:t>
      </w:r>
      <w:r>
        <w:rPr>
          <w:w w:val="100"/>
        </w:rPr>
        <w:t> </w:t>
      </w:r>
      <w:r>
        <w:rPr>
          <w:spacing w:val="-2"/>
        </w:rPr>
        <w:t>司间所有重大往来余额、交易及未实现利润在合并财务报表编制时予以抵销。子公司的股东权益中不属于</w:t>
      </w:r>
      <w:r>
        <w:rPr>
          <w:spacing w:val="-43"/>
        </w:rPr>
        <w:t> </w:t>
      </w:r>
      <w:r>
        <w:rPr>
          <w:spacing w:val="-43"/>
        </w:rPr>
      </w:r>
      <w:r>
        <w:rPr>
          <w:spacing w:val="-2"/>
        </w:rPr>
        <w:t>母公司所拥有的部分作为少数股东权益在合并资产负债表中股东权益项下单独列示；子公司净利润中不属</w:t>
      </w:r>
      <w:r>
        <w:rPr>
          <w:spacing w:val="-46"/>
        </w:rPr>
        <w:t> </w:t>
      </w:r>
      <w:r>
        <w:rPr>
          <w:spacing w:val="-46"/>
        </w:rPr>
      </w:r>
      <w:r>
        <w:rPr/>
        <w:t>于母公司所拥有的部分作为少数股东损益在合并利润表中净利润项下单独列示。</w:t>
      </w:r>
    </w:p>
    <w:p>
      <w:pPr>
        <w:pStyle w:val="BodyText"/>
        <w:spacing w:line="273" w:lineRule="auto" w:before="7"/>
        <w:ind w:right="0" w:firstLine="420"/>
        <w:jc w:val="left"/>
      </w:pPr>
      <w:r>
        <w:rPr>
          <w:spacing w:val="-2"/>
        </w:rPr>
        <w:t>子公司与本公司采用的会计政策或会计期间不一致的，在编制合并财务报表时，按照本公司的会计政</w:t>
      </w:r>
      <w:r>
        <w:rPr>
          <w:w w:val="100"/>
        </w:rPr>
        <w:t> </w:t>
      </w:r>
      <w:r>
        <w:rPr/>
        <w:t>策或会计期间对子公司财务报表进行必要的调整。</w:t>
      </w:r>
    </w:p>
    <w:p>
      <w:pPr>
        <w:pStyle w:val="BodyText"/>
        <w:spacing w:line="273" w:lineRule="auto" w:before="8"/>
        <w:ind w:right="0" w:firstLine="420"/>
        <w:jc w:val="left"/>
      </w:pPr>
      <w:r>
        <w:rPr/>
        <w:t>对于因非同一控制下企业合并取得的子公司，在编制合并财务报表时，以购买日可辨认净资产公允价</w:t>
      </w:r>
      <w:r>
        <w:rPr>
          <w:w w:val="100"/>
        </w:rPr>
        <w:t> </w:t>
      </w:r>
      <w:r>
        <w:rPr>
          <w:spacing w:val="-5"/>
        </w:rPr>
        <w:t>值为基础对其个别财务报表进行调整；对于因同一控制下企业合并取得的子公司，在编制合并财务报表时， </w:t>
      </w:r>
      <w:r>
        <w:rPr>
          <w:spacing w:val="-5"/>
        </w:rPr>
      </w:r>
      <w:r>
        <w:rPr>
          <w:spacing w:val="-2"/>
        </w:rPr>
        <w:t>视同该企业合并于报告期最早期间的期初已经发生，从报告期最早期间的期初起将其资产、负债、经营成</w:t>
      </w:r>
      <w:r>
        <w:rPr>
          <w:spacing w:val="-44"/>
        </w:rPr>
        <w:t> </w:t>
      </w:r>
      <w:r>
        <w:rPr>
          <w:spacing w:val="-44"/>
        </w:rPr>
      </w:r>
      <w:r>
        <w:rPr/>
        <w:t>果和现金流量纳入合并财务报表，且其合并日前实现的净利润在合并利润表中单列项目反映。</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600" w:lineRule="atLeast" w:before="12"/>
        <w:ind w:left="59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列示于现金流量表中的现金是指库存现金及可随时用于支付的存款，现金等价物是指持有的期限短、</w:t>
      </w:r>
    </w:p>
    <w:p>
      <w:pPr>
        <w:spacing w:after="0" w:line="600" w:lineRule="atLeast"/>
        <w:jc w:val="left"/>
        <w:rPr>
          <w:rFonts w:ascii="宋体" w:hAnsi="宋体" w:cs="宋体" w:eastAsia="宋体" w:hint="default"/>
          <w:sz w:val="21"/>
          <w:szCs w:val="21"/>
        </w:rPr>
        <w:sectPr>
          <w:pgSz w:w="11910" w:h="16840"/>
          <w:pgMar w:header="706" w:footer="1275" w:top="1060" w:bottom="1480" w:left="96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流动性强、易于转换为已知金额现金及价值变动风险很小的投资。</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593" w:right="0"/>
        <w:jc w:val="left"/>
      </w:pPr>
      <w:r>
        <w:rPr/>
        <w:t>外币业务按业务发生日的即期汇率将外币金额折算为人民币入账。</w:t>
      </w:r>
      <w:r>
        <w:rPr>
          <w:w w:val="100"/>
        </w:rPr>
        <w:t> </w:t>
      </w:r>
      <w:r>
        <w:rPr>
          <w:spacing w:val="-2"/>
        </w:rPr>
        <w:t>于资产负债表日，外币货币性项目采用资产负债表日的即期汇率折算为人民币，所产生的折算差额除</w:t>
      </w:r>
    </w:p>
    <w:p>
      <w:pPr>
        <w:pStyle w:val="BodyText"/>
        <w:spacing w:line="273" w:lineRule="auto" w:before="7"/>
        <w:ind w:right="0"/>
        <w:jc w:val="left"/>
      </w:pPr>
      <w:r>
        <w:rPr>
          <w:spacing w:val="-2"/>
        </w:rPr>
        <w:t>了为购建或生产符合资本化条件的资产而借入的外币借款产生的汇兑差额按资本化的原则处理外，直接计</w:t>
      </w:r>
      <w:r>
        <w:rPr>
          <w:spacing w:val="-43"/>
        </w:rPr>
        <w:t> </w:t>
      </w:r>
      <w:r>
        <w:rPr>
          <w:spacing w:val="-43"/>
        </w:rPr>
      </w:r>
      <w:r>
        <w:rPr/>
        <w:t>入当期损益。以历史成本计量的外币非货币性项目，于资产负债表日采用交易发生日的即期汇率折算。</w:t>
      </w:r>
    </w:p>
    <w:p>
      <w:pPr>
        <w:spacing w:line="616" w:lineRule="exact" w:before="60"/>
        <w:ind w:left="59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100"/>
          <w:sz w:val="21"/>
          <w:szCs w:val="21"/>
        </w:rPr>
        <w:t> </w:t>
      </w:r>
      <w:r>
        <w:rPr>
          <w:rFonts w:ascii="宋体" w:hAnsi="宋体" w:cs="宋体" w:eastAsia="宋体" w:hint="default"/>
          <w:spacing w:val="-2"/>
          <w:sz w:val="21"/>
          <w:szCs w:val="21"/>
        </w:rPr>
        <w:t>以非记账本位币编制的资产负债表中的资产和负债项目，采用资产负债表日的即期汇率折算成记账本</w:t>
      </w:r>
    </w:p>
    <w:p>
      <w:pPr>
        <w:pStyle w:val="BodyText"/>
        <w:spacing w:line="218" w:lineRule="exact"/>
        <w:ind w:right="0"/>
        <w:jc w:val="left"/>
      </w:pPr>
      <w:r>
        <w:rPr/>
        <w:t>位币，股东权益中除未分配利润项目外，其他项目采用发生时的即期汇率折算。以非记账本位币编制的利</w:t>
      </w:r>
    </w:p>
    <w:p>
      <w:pPr>
        <w:pStyle w:val="BodyText"/>
        <w:spacing w:line="273" w:lineRule="auto" w:before="37"/>
        <w:ind w:right="1126"/>
        <w:jc w:val="both"/>
      </w:pPr>
      <w:r>
        <w:rPr>
          <w:spacing w:val="-2"/>
        </w:rPr>
        <w:t>润表中的收入与费用项目，采用交易发生日的即期汇率折算成记账本位币。上述折算产生的外币报表折算</w:t>
      </w:r>
      <w:r>
        <w:rPr>
          <w:spacing w:val="-43"/>
        </w:rPr>
        <w:t> </w:t>
      </w:r>
      <w:r>
        <w:rPr>
          <w:spacing w:val="-43"/>
        </w:rPr>
      </w:r>
      <w:r>
        <w:rPr>
          <w:spacing w:val="-2"/>
        </w:rPr>
        <w:t>差额，在股东权益中以单独项目列示。以非记账本位币编制的现金流量表中各项目的现金流量采用现金流</w:t>
      </w:r>
      <w:r>
        <w:rPr>
          <w:spacing w:val="-43"/>
        </w:rPr>
        <w:t> </w:t>
      </w:r>
      <w:r>
        <w:rPr>
          <w:spacing w:val="-43"/>
        </w:rPr>
      </w:r>
      <w:r>
        <w:rPr/>
        <w:t>量发生日的即期汇率折算成记账本位币。汇率变动对现金的影响额，在现金流量表中单独列示。</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487" w:right="3914"/>
        <w:jc w:val="left"/>
      </w:pPr>
      <w:r>
        <w:rPr>
          <w:spacing w:val="-2"/>
        </w:rPr>
        <w:t>本公司于成为金融工具合同的一方时确认一项金融资产或金融负债。</w:t>
      </w:r>
      <w:r>
        <w:rPr>
          <w:spacing w:val="-48"/>
        </w:rPr>
        <w:t> </w:t>
      </w:r>
      <w:r>
        <w:rPr>
          <w:spacing w:val="-48"/>
        </w:rPr>
      </w:r>
      <w:r>
        <w:rPr/>
        <w:t>金融资产满足下列条件之一的，终止确认：</w:t>
      </w:r>
      <w:r>
        <w:rPr>
          <w:w w:val="100"/>
        </w:rPr>
        <w:t> </w:t>
      </w:r>
      <w:r>
        <w:rPr>
          <w:rFonts w:ascii="Times New Roman" w:hAnsi="Times New Roman" w:cs="Times New Roman" w:eastAsia="Times New Roman" w:hint="default"/>
        </w:rPr>
        <w:t>(1)</w:t>
      </w:r>
      <w:r>
        <w:rPr/>
        <w:t>收取该金融资产现金流量的合同权利终止；</w:t>
      </w:r>
    </w:p>
    <w:p>
      <w:pPr>
        <w:pStyle w:val="BodyText"/>
        <w:spacing w:line="256" w:lineRule="auto"/>
        <w:ind w:right="0" w:firstLine="314"/>
        <w:jc w:val="left"/>
      </w:pPr>
      <w:r>
        <w:rPr>
          <w:rFonts w:ascii="Times New Roman" w:hAnsi="Times New Roman" w:cs="Times New Roman" w:eastAsia="Times New Roman" w:hint="default"/>
          <w:spacing w:val="-3"/>
        </w:rPr>
        <w:t>(2)</w:t>
      </w:r>
      <w:r>
        <w:rPr>
          <w:spacing w:val="-3"/>
        </w:rPr>
        <w:t>该金融资产已转移，且符合《企业会计准则第</w:t>
      </w:r>
      <w:r>
        <w:rPr>
          <w:rFonts w:ascii="Times New Roman" w:hAnsi="Times New Roman" w:cs="Times New Roman" w:eastAsia="Times New Roman" w:hint="default"/>
          <w:spacing w:val="-3"/>
        </w:rPr>
        <w:t>23</w:t>
      </w:r>
      <w:r>
        <w:rPr>
          <w:spacing w:val="-3"/>
        </w:rPr>
        <w:t>号－金融资产转移》规定的金融资产终止确认条件。</w:t>
      </w:r>
      <w:r>
        <w:rPr>
          <w:w w:val="100"/>
        </w:rPr>
        <w:t> </w:t>
      </w:r>
      <w:r>
        <w:rPr/>
        <w:t>金融负债的现时义务全部或部分已经解除的，终止确认该金融负债或其一部分。</w:t>
      </w:r>
    </w:p>
    <w:p>
      <w:pPr>
        <w:spacing w:line="240" w:lineRule="auto" w:before="11"/>
        <w:rPr>
          <w:rFonts w:ascii="宋体" w:hAnsi="宋体" w:cs="宋体" w:eastAsia="宋体" w:hint="default"/>
          <w:sz w:val="24"/>
          <w:szCs w:val="24"/>
        </w:rPr>
      </w:pPr>
    </w:p>
    <w:p>
      <w:pPr>
        <w:pStyle w:val="BodyText"/>
        <w:spacing w:line="600" w:lineRule="atLeast"/>
        <w:ind w:left="593" w:right="0" w:hanging="42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100"/>
        </w:rPr>
        <w:t> </w:t>
      </w:r>
      <w:r>
        <w:rPr>
          <w:spacing w:val="-2"/>
        </w:rPr>
        <w:t>金融资产于初始确认时分类为：以公允价值计量且其变动计入当期损益的金融资产、应收款项、可供</w:t>
      </w:r>
    </w:p>
    <w:p>
      <w:pPr>
        <w:pStyle w:val="BodyText"/>
        <w:spacing w:line="240" w:lineRule="auto" w:before="37"/>
        <w:ind w:right="0"/>
        <w:jc w:val="left"/>
      </w:pPr>
      <w:r>
        <w:rPr/>
        <w:t>出售金融资产和持有至到期投资。金融资产的分类取决于本公司对金融资产的持有意图和持有能力。</w:t>
      </w:r>
    </w:p>
    <w:p>
      <w:pPr>
        <w:pStyle w:val="BodyText"/>
        <w:spacing w:line="264" w:lineRule="auto" w:before="37"/>
        <w:ind w:right="0"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以公允价值计量且其变动计入当期损益的金融资产</w:t>
      </w:r>
      <w:r>
        <w:rPr>
          <w:w w:val="100"/>
        </w:rPr>
        <w:t> </w:t>
      </w:r>
      <w:r>
        <w:rPr>
          <w:spacing w:val="-2"/>
        </w:rPr>
        <w:t>以公允价值计量且其变动计入当期损益的金融资产包括持有目的为短期内出售的金融资产，该资产在资产</w:t>
      </w:r>
      <w:r>
        <w:rPr>
          <w:spacing w:val="-43"/>
        </w:rPr>
        <w:t> </w:t>
      </w:r>
      <w:r>
        <w:rPr>
          <w:spacing w:val="-43"/>
        </w:rPr>
      </w:r>
      <w:r>
        <w:rPr/>
        <w:t>负债表中以交易性金融资产列示。</w:t>
      </w:r>
    </w:p>
    <w:p>
      <w:pPr>
        <w:pStyle w:val="BodyText"/>
        <w:spacing w:line="256" w:lineRule="auto" w:before="16"/>
        <w:ind w:left="593" w:right="112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应收款项</w:t>
      </w:r>
      <w:r>
        <w:rPr>
          <w:spacing w:val="-103"/>
        </w:rPr>
        <w:t> </w:t>
      </w:r>
      <w:r>
        <w:rPr>
          <w:spacing w:val="-103"/>
        </w:rPr>
      </w:r>
      <w:r>
        <w:rPr>
          <w:spacing w:val="-2"/>
        </w:rPr>
        <w:t>应收款项是指在活跃市场中没有报价、回收金额固定或可确定的非衍生金融资产，包括应收账款、其</w:t>
      </w:r>
    </w:p>
    <w:p>
      <w:pPr>
        <w:pStyle w:val="BodyText"/>
        <w:spacing w:line="240" w:lineRule="auto" w:before="22"/>
        <w:ind w:right="0"/>
        <w:jc w:val="left"/>
      </w:pPr>
      <w:r>
        <w:rPr/>
        <w:t>他应收款和长期应收款等。</w:t>
      </w:r>
    </w:p>
    <w:p>
      <w:pPr>
        <w:pStyle w:val="BodyText"/>
        <w:spacing w:line="256" w:lineRule="auto" w:before="37"/>
        <w:ind w:left="59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可供出售金融资产</w:t>
      </w:r>
      <w:r>
        <w:rPr>
          <w:w w:val="100"/>
        </w:rPr>
        <w:t> </w:t>
      </w:r>
      <w:r>
        <w:rPr>
          <w:spacing w:val="-2"/>
        </w:rPr>
        <w:t>可供出售金融资产包括初始确认时即被指定为可供出售的非衍生金融资产及未被划分为其他类的金</w:t>
      </w:r>
    </w:p>
    <w:p>
      <w:pPr>
        <w:pStyle w:val="BodyText"/>
        <w:spacing w:line="256" w:lineRule="auto" w:before="22"/>
        <w:ind w:right="1124"/>
        <w:jc w:val="left"/>
      </w:pPr>
      <w:r>
        <w:rPr>
          <w:spacing w:val="-2"/>
        </w:rPr>
        <w:t>融资产。自资产负债表日起</w:t>
      </w:r>
      <w:r>
        <w:rPr>
          <w:rFonts w:ascii="Times New Roman" w:hAnsi="Times New Roman" w:cs="Times New Roman" w:eastAsia="Times New Roman" w:hint="default"/>
          <w:spacing w:val="-2"/>
        </w:rPr>
        <w:t>12</w:t>
      </w:r>
      <w:r>
        <w:rPr>
          <w:spacing w:val="-2"/>
        </w:rPr>
        <w:t>个月内将出售的可供出售金融资产在资产负债表中列示为一年内到期的非流</w:t>
      </w:r>
      <w:r>
        <w:rPr>
          <w:spacing w:val="-41"/>
        </w:rPr>
        <w:t> </w:t>
      </w:r>
      <w:r>
        <w:rPr>
          <w:spacing w:val="-41"/>
        </w:rPr>
      </w:r>
      <w:r>
        <w:rPr/>
        <w:t>动资产。</w:t>
      </w:r>
    </w:p>
    <w:p>
      <w:pPr>
        <w:pStyle w:val="BodyText"/>
        <w:spacing w:line="256" w:lineRule="auto" w:before="22"/>
        <w:ind w:left="59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持有至到期投资</w:t>
      </w:r>
      <w:r>
        <w:rPr>
          <w:spacing w:val="-103"/>
        </w:rPr>
        <w:t> </w:t>
      </w:r>
      <w:r>
        <w:rPr>
          <w:spacing w:val="-103"/>
        </w:rPr>
      </w:r>
      <w:r>
        <w:rPr>
          <w:spacing w:val="-2"/>
        </w:rPr>
        <w:t>持有至到期投资是指到期日固定、回收金额固定或可确定，且管理层有明确意图和能力持有至到期的</w:t>
      </w:r>
    </w:p>
    <w:p>
      <w:pPr>
        <w:pStyle w:val="BodyText"/>
        <w:spacing w:line="240" w:lineRule="auto" w:before="22"/>
        <w:ind w:right="0"/>
        <w:jc w:val="left"/>
      </w:pPr>
      <w:r>
        <w:rPr/>
        <w:t>非衍生金融资产。自资产负债表日起</w:t>
      </w:r>
      <w:r>
        <w:rPr>
          <w:rFonts w:ascii="Times New Roman" w:hAnsi="Times New Roman" w:cs="Times New Roman" w:eastAsia="Times New Roman" w:hint="default"/>
        </w:rPr>
        <w:t>12</w:t>
      </w:r>
      <w:r>
        <w:rPr/>
        <w:t>个月内到期的持有至到期投资在资产负债表中列示为一年内到期的</w:t>
      </w:r>
    </w:p>
    <w:p>
      <w:pPr>
        <w:spacing w:after="0" w:line="240" w:lineRule="auto"/>
        <w:jc w:val="left"/>
        <w:sectPr>
          <w:pgSz w:w="11910" w:h="16840"/>
          <w:pgMar w:header="706" w:footer="1275" w:top="1060" w:bottom="1460" w:left="96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非流动资产。</w:t>
      </w:r>
    </w:p>
    <w:p>
      <w:pPr>
        <w:pStyle w:val="BodyText"/>
        <w:spacing w:line="273" w:lineRule="auto" w:before="37"/>
        <w:ind w:right="1104" w:firstLine="420"/>
        <w:jc w:val="both"/>
      </w:pPr>
      <w:r>
        <w:rPr>
          <w:spacing w:val="-2"/>
        </w:rPr>
        <w:t>金融负债于初始确认时分类为：以公允价值计量且其变动计入当期损益的金融负债和其他金融负债。</w:t>
      </w:r>
      <w:r>
        <w:rPr>
          <w:w w:val="100"/>
        </w:rPr>
        <w:t> </w:t>
      </w:r>
      <w:r>
        <w:rPr>
          <w:spacing w:val="-2"/>
        </w:rPr>
        <w:t>以公允价值计量且其变动计入当期损益的金融负债，包括交易性金融负债和初始确认时指定为以公允价值</w:t>
      </w:r>
      <w:r>
        <w:rPr>
          <w:spacing w:val="-43"/>
        </w:rPr>
        <w:t> </w:t>
      </w:r>
      <w:r>
        <w:rPr>
          <w:spacing w:val="-43"/>
        </w:rPr>
      </w:r>
      <w:r>
        <w:rPr/>
        <w:t>计量且其变动计入当期损益的金融负债。</w:t>
      </w:r>
    </w:p>
    <w:p>
      <w:pPr>
        <w:spacing w:line="240" w:lineRule="auto" w:before="10"/>
        <w:rPr>
          <w:rFonts w:ascii="宋体" w:hAnsi="宋体" w:cs="宋体" w:eastAsia="宋体" w:hint="default"/>
          <w:sz w:val="23"/>
          <w:szCs w:val="23"/>
        </w:rPr>
      </w:pPr>
    </w:p>
    <w:p>
      <w:pPr>
        <w:spacing w:line="600" w:lineRule="atLeast" w:before="0"/>
        <w:ind w:left="59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金融资产于本公司成为金融工具合同的一方时，按公允价值在资产负债表内确认。以公允价值计量且</w:t>
      </w:r>
    </w:p>
    <w:p>
      <w:pPr>
        <w:pStyle w:val="BodyText"/>
        <w:spacing w:line="273" w:lineRule="auto" w:before="37"/>
        <w:ind w:right="0"/>
        <w:jc w:val="left"/>
      </w:pPr>
      <w:r>
        <w:rPr>
          <w:spacing w:val="-2"/>
        </w:rPr>
        <w:t>其变动计入当期损益的金融资产，取得时发生的相关交易费用直接计入当期损益。其他金融资产的相关交</w:t>
      </w:r>
      <w:r>
        <w:rPr>
          <w:spacing w:val="-43"/>
        </w:rPr>
        <w:t> </w:t>
      </w:r>
      <w:r>
        <w:rPr>
          <w:spacing w:val="-43"/>
        </w:rPr>
      </w:r>
      <w:r>
        <w:rPr/>
        <w:t>易费用计入初始确认金额。</w:t>
      </w:r>
    </w:p>
    <w:p>
      <w:pPr>
        <w:pStyle w:val="BodyText"/>
        <w:spacing w:line="273" w:lineRule="auto" w:before="7"/>
        <w:ind w:right="1104" w:firstLine="420"/>
        <w:jc w:val="both"/>
      </w:pPr>
      <w:r>
        <w:rPr>
          <w:spacing w:val="-2"/>
        </w:rPr>
        <w:t>以公允价值计量且其变动计入当期损益的金融资产和可供出售金融资产按照公允价值进行后续计量，</w:t>
      </w:r>
      <w:r>
        <w:rPr>
          <w:w w:val="100"/>
        </w:rPr>
        <w:t> </w:t>
      </w:r>
      <w:r>
        <w:rPr>
          <w:spacing w:val="-2"/>
        </w:rPr>
        <w:t>但在活跃市场中没有报价且其公允价值不能可靠计量的权益工具投资，按照成本计量；应收款项以及持有</w:t>
      </w:r>
      <w:r>
        <w:rPr>
          <w:spacing w:val="-42"/>
        </w:rPr>
        <w:t> </w:t>
      </w:r>
      <w:r>
        <w:rPr>
          <w:spacing w:val="-42"/>
        </w:rPr>
      </w:r>
      <w:r>
        <w:rPr/>
        <w:t>至到期投资采用实际利率法，以摊余成本计量。</w:t>
      </w:r>
    </w:p>
    <w:p>
      <w:pPr>
        <w:pStyle w:val="BodyText"/>
        <w:spacing w:line="273" w:lineRule="auto" w:before="7"/>
        <w:ind w:right="0" w:firstLine="314"/>
        <w:jc w:val="left"/>
      </w:pPr>
      <w:r>
        <w:rPr>
          <w:spacing w:val="-2"/>
        </w:rPr>
        <w:t>以公允价值计量且其变动计入当期损益的金融资产的公允价值变动计入公允价值变动损益；在资产持</w:t>
      </w:r>
      <w:r>
        <w:rPr>
          <w:w w:val="100"/>
        </w:rPr>
        <w:t> </w:t>
      </w:r>
      <w:r>
        <w:rPr/>
        <w:t>有期间所取得的利息或现金股利以及在处置时产生的处置损益，计入当期损益。</w:t>
      </w:r>
    </w:p>
    <w:p>
      <w:pPr>
        <w:pStyle w:val="BodyText"/>
        <w:spacing w:line="273" w:lineRule="auto" w:before="7"/>
        <w:ind w:right="1126" w:firstLine="420"/>
        <w:jc w:val="both"/>
      </w:pPr>
      <w:r>
        <w:rPr>
          <w:spacing w:val="-2"/>
        </w:rPr>
        <w:t>除减值损失及外币货币性金融资产形成的汇兑损益外，可供出售金融资产公允价值计入股东权益，待</w:t>
      </w:r>
      <w:r>
        <w:rPr>
          <w:w w:val="100"/>
        </w:rPr>
        <w:t> </w:t>
      </w:r>
      <w:r>
        <w:rPr>
          <w:spacing w:val="-2"/>
        </w:rPr>
        <w:t>该金融资产终止确认时，原直接计入权益的公允价值变动累计额转入当期损益。可供出售债务工具投资在</w:t>
      </w:r>
      <w:r>
        <w:rPr>
          <w:spacing w:val="-43"/>
        </w:rPr>
        <w:t> </w:t>
      </w:r>
      <w:r>
        <w:rPr>
          <w:spacing w:val="-43"/>
        </w:rPr>
      </w:r>
      <w:r>
        <w:rPr>
          <w:spacing w:val="-2"/>
        </w:rPr>
        <w:t>持有期间按实际利率法计算利息，计入投资收益；可供出售权益工具投资的现金股利，于被投资单位宣告</w:t>
      </w:r>
      <w:r>
        <w:rPr>
          <w:spacing w:val="-43"/>
        </w:rPr>
        <w:t> </w:t>
      </w:r>
      <w:r>
        <w:rPr>
          <w:spacing w:val="-43"/>
        </w:rPr>
      </w:r>
      <w:r>
        <w:rPr/>
        <w:t>发放股利时计入投资收益。</w:t>
      </w:r>
    </w:p>
    <w:p>
      <w:pPr>
        <w:pStyle w:val="BodyText"/>
        <w:spacing w:line="273" w:lineRule="auto" w:before="7"/>
        <w:ind w:right="1126" w:firstLine="420"/>
        <w:jc w:val="both"/>
      </w:pPr>
      <w:r>
        <w:rPr>
          <w:spacing w:val="-2"/>
        </w:rPr>
        <w:t>金融负债于本公司成为金融工具合同的一方时，按公允价值在资产负债表内确认。以公允价值计量且</w:t>
      </w:r>
      <w:r>
        <w:rPr>
          <w:w w:val="100"/>
        </w:rPr>
        <w:t> </w:t>
      </w:r>
      <w:r>
        <w:rPr>
          <w:spacing w:val="-2"/>
        </w:rPr>
        <w:t>其变动计入当期损益的金融负债，取得时发生的相关交易费用直接计入当期损益；其他金融负债的相关交</w:t>
      </w:r>
      <w:r>
        <w:rPr>
          <w:spacing w:val="-43"/>
        </w:rPr>
        <w:t> </w:t>
      </w:r>
      <w:r>
        <w:rPr>
          <w:spacing w:val="-43"/>
        </w:rPr>
      </w:r>
      <w:r>
        <w:rPr/>
        <w:t>易费用计入初始确认金额。</w:t>
      </w:r>
    </w:p>
    <w:p>
      <w:pPr>
        <w:pStyle w:val="BodyText"/>
        <w:spacing w:line="273" w:lineRule="auto" w:before="7"/>
        <w:ind w:right="1126" w:firstLine="420"/>
        <w:jc w:val="both"/>
      </w:pPr>
      <w:r>
        <w:rPr>
          <w:spacing w:val="-2"/>
        </w:rPr>
        <w:t>以公允价值计量且其变动计入当期损益的金融负债，按照公允价值后续计量，且不扣除将来结清金融</w:t>
      </w:r>
      <w:r>
        <w:rPr>
          <w:w w:val="100"/>
        </w:rPr>
        <w:t> </w:t>
      </w:r>
      <w:r>
        <w:rPr/>
        <w:t>负债时可能发生的交易费用。</w:t>
      </w:r>
    </w:p>
    <w:p>
      <w:pPr>
        <w:pStyle w:val="BodyText"/>
        <w:spacing w:line="240" w:lineRule="auto" w:before="7"/>
        <w:ind w:left="593" w:right="0"/>
        <w:jc w:val="left"/>
      </w:pPr>
      <w:r>
        <w:rPr/>
        <w:t>其他金融负债，采用实际利率法，按照摊余成本进行后续计量。</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590" w:lineRule="atLeast" w:before="24"/>
        <w:ind w:left="59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存在活跃市场的金融资产或金融负债，采用活跃市场中的报价确定其公允价值。金融工具不存在活跃</w:t>
      </w:r>
    </w:p>
    <w:p>
      <w:pPr>
        <w:pStyle w:val="BodyText"/>
        <w:spacing w:line="273" w:lineRule="auto" w:before="37"/>
        <w:ind w:right="0"/>
        <w:jc w:val="left"/>
      </w:pPr>
      <w:r>
        <w:rPr>
          <w:spacing w:val="-2"/>
        </w:rPr>
        <w:t>市场的，采用估值技术确定其公允价值，估值技术包括参考熟悉情况并自愿交易的各方最近进行的市场交</w:t>
      </w:r>
      <w:r>
        <w:rPr>
          <w:spacing w:val="-43"/>
        </w:rPr>
        <w:t> </w:t>
      </w:r>
      <w:r>
        <w:rPr>
          <w:spacing w:val="-43"/>
        </w:rPr>
      </w:r>
      <w:r>
        <w:rPr>
          <w:spacing w:val="-2"/>
        </w:rPr>
        <w:t>易中使用的价格、参照实质上相同的其他金融工具的当前公允价值、现金流量折现法和期权定价模型等。</w:t>
      </w:r>
    </w:p>
    <w:p>
      <w:pPr>
        <w:spacing w:line="600" w:lineRule="atLeast" w:before="0"/>
        <w:ind w:left="59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除以公允价值计量且其变动计入当期损益的金融资产外，本公司于资产负债表日对金融资产的账面价</w:t>
      </w:r>
    </w:p>
    <w:p>
      <w:pPr>
        <w:pStyle w:val="BodyText"/>
        <w:spacing w:line="273" w:lineRule="auto" w:before="37"/>
        <w:ind w:left="593" w:right="0" w:hanging="421"/>
        <w:jc w:val="left"/>
      </w:pPr>
      <w:r>
        <w:rPr/>
        <w:t>值进行检查，如果有客观证据表明某项金融资产发生减值的，计提减值准备。</w:t>
      </w:r>
      <w:r>
        <w:rPr>
          <w:w w:val="100"/>
        </w:rPr>
        <w:t> </w:t>
      </w:r>
      <w:r>
        <w:rPr>
          <w:spacing w:val="-2"/>
        </w:rPr>
        <w:t>以摊余成本计量的金融资产发生减值时，按预计未来现金流量</w:t>
      </w:r>
      <w:r>
        <w:rPr>
          <w:rFonts w:ascii="Times New Roman" w:hAnsi="Times New Roman" w:cs="Times New Roman" w:eastAsia="Times New Roman" w:hint="default"/>
          <w:spacing w:val="-2"/>
        </w:rPr>
        <w:t>(</w:t>
      </w:r>
      <w:r>
        <w:rPr>
          <w:spacing w:val="-2"/>
        </w:rPr>
        <w:t>不包括尚未发生的未来信用损失</w:t>
      </w:r>
      <w:r>
        <w:rPr>
          <w:rFonts w:ascii="Times New Roman" w:hAnsi="Times New Roman" w:cs="Times New Roman" w:eastAsia="Times New Roman" w:hint="default"/>
          <w:spacing w:val="-2"/>
        </w:rPr>
        <w:t>)</w:t>
      </w:r>
      <w:r>
        <w:rPr>
          <w:spacing w:val="-2"/>
        </w:rPr>
        <w:t>现值</w:t>
      </w:r>
      <w:r>
        <w:rPr/>
      </w:r>
    </w:p>
    <w:p>
      <w:pPr>
        <w:pStyle w:val="BodyText"/>
        <w:spacing w:line="273" w:lineRule="auto"/>
        <w:ind w:right="0"/>
        <w:jc w:val="left"/>
      </w:pPr>
      <w:r>
        <w:rPr>
          <w:spacing w:val="-2"/>
        </w:rPr>
        <w:t>低于账面价值的差额，计提减值准备。如果有客观证据表明该金融资产价值已恢复，且客观上与确认该损</w:t>
      </w:r>
      <w:r>
        <w:rPr>
          <w:spacing w:val="-42"/>
        </w:rPr>
        <w:t> </w:t>
      </w:r>
      <w:r>
        <w:rPr>
          <w:spacing w:val="-42"/>
        </w:rPr>
      </w:r>
      <w:r>
        <w:rPr/>
        <w:t>失后发生的事项有关，原确认的减值损失予以转回，计入当期损益。</w:t>
      </w:r>
    </w:p>
    <w:p>
      <w:pPr>
        <w:pStyle w:val="BodyText"/>
        <w:spacing w:line="240" w:lineRule="auto" w:before="7"/>
        <w:ind w:left="593" w:right="0"/>
        <w:jc w:val="left"/>
      </w:pPr>
      <w:r>
        <w:rPr/>
        <w:t>当可供出售金融资产的公允价值发生较大幅度或非暂时性下降，原直接计入股东权益的因公允价值下</w:t>
      </w:r>
    </w:p>
    <w:p>
      <w:pPr>
        <w:spacing w:after="0" w:line="240" w:lineRule="auto"/>
        <w:jc w:val="left"/>
        <w:sectPr>
          <w:pgSz w:w="11910" w:h="16840"/>
          <w:pgMar w:header="706" w:footer="1275" w:top="1060" w:bottom="1460" w:left="960" w:right="0"/>
        </w:sectPr>
      </w:pPr>
    </w:p>
    <w:p>
      <w:pPr>
        <w:spacing w:line="240" w:lineRule="auto" w:before="10"/>
        <w:rPr>
          <w:rFonts w:ascii="宋体" w:hAnsi="宋体" w:cs="宋体" w:eastAsia="宋体" w:hint="default"/>
          <w:sz w:val="24"/>
          <w:szCs w:val="24"/>
        </w:rPr>
      </w:pPr>
    </w:p>
    <w:p>
      <w:pPr>
        <w:pStyle w:val="BodyText"/>
        <w:spacing w:line="273" w:lineRule="auto" w:before="36"/>
        <w:ind w:right="0"/>
        <w:jc w:val="left"/>
      </w:pPr>
      <w:r>
        <w:rPr>
          <w:spacing w:val="-2"/>
        </w:rPr>
        <w:t>降形成的累计损失计入减值损失。对已确认减值损失的可供出售债务工具投资，在期后公允价值上升且客</w:t>
      </w:r>
      <w:r>
        <w:rPr>
          <w:spacing w:val="-44"/>
        </w:rPr>
        <w:t> </w:t>
      </w:r>
      <w:r>
        <w:rPr>
          <w:spacing w:val="-44"/>
        </w:rPr>
      </w:r>
      <w:r>
        <w:rPr>
          <w:spacing w:val="-2"/>
        </w:rPr>
        <w:t>观上与确认原减值损失确认后发生的事项有关的，原确认的减值损失予以转回，计入当期损益。对已确认</w:t>
      </w:r>
      <w:r>
        <w:rPr>
          <w:spacing w:val="-43"/>
        </w:rPr>
        <w:t> </w:t>
      </w:r>
      <w:r>
        <w:rPr>
          <w:spacing w:val="-43"/>
        </w:rPr>
      </w:r>
      <w:r>
        <w:rPr/>
        <w:t>减值损失的可供出售权益工具投资，在期后公允价值上升且客观上与确认原减值损失后发生的事项有关</w:t>
      </w:r>
      <w:r>
        <w:rPr>
          <w:w w:val="100"/>
        </w:rPr>
        <w:t> </w:t>
      </w:r>
      <w:r>
        <w:rPr>
          <w:spacing w:val="-2"/>
        </w:rPr>
        <w:t>的，原确认的减值损失予以转回，直接计入股东权益。在活跃市场中没有报价且其公允价值不能可靠计量</w:t>
      </w:r>
      <w:r>
        <w:rPr>
          <w:spacing w:val="-42"/>
        </w:rPr>
        <w:t> </w:t>
      </w:r>
      <w:r>
        <w:rPr>
          <w:spacing w:val="-42"/>
        </w:rPr>
      </w:r>
      <w:r>
        <w:rPr/>
        <w:t>的权益工具投资发生的减值损失，如果在以后期间价值得以恢复，也不予转回。</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69" w:type="dxa"/>
        <w:tblLayout w:type="fixed"/>
        <w:tblCellMar>
          <w:top w:w="0" w:type="dxa"/>
          <w:left w:w="0" w:type="dxa"/>
          <w:bottom w:w="0" w:type="dxa"/>
          <w:right w:w="0" w:type="dxa"/>
        </w:tblCellMar>
        <w:tblLook w:val="01E0"/>
      </w:tblPr>
      <w:tblGrid>
        <w:gridCol w:w="5054"/>
        <w:gridCol w:w="4515"/>
      </w:tblGrid>
      <w:tr>
        <w:trPr>
          <w:trHeight w:val="1337"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对于单项金额重大的应收款项（应收账款金额在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w:t>
            </w:r>
          </w:p>
          <w:p>
            <w:pPr>
              <w:pStyle w:val="TableParagraph"/>
              <w:spacing w:line="309" w:lineRule="auto" w:before="60"/>
              <w:ind w:left="23" w:right="22"/>
              <w:jc w:val="left"/>
              <w:rPr>
                <w:rFonts w:ascii="宋体" w:hAnsi="宋体" w:cs="宋体" w:eastAsia="宋体" w:hint="default"/>
                <w:sz w:val="18"/>
                <w:szCs w:val="18"/>
              </w:rPr>
            </w:pPr>
            <w:r>
              <w:rPr>
                <w:rFonts w:ascii="宋体" w:hAnsi="宋体" w:cs="宋体" w:eastAsia="宋体" w:hint="default"/>
                <w:spacing w:val="-2"/>
                <w:sz w:val="18"/>
                <w:szCs w:val="18"/>
              </w:rPr>
              <w:t>以上、其他应收款金额在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万元以上），当存在客观证据</w:t>
            </w:r>
            <w:r>
              <w:rPr>
                <w:rFonts w:ascii="宋体" w:hAnsi="宋体" w:cs="宋体" w:eastAsia="宋体" w:hint="default"/>
                <w:sz w:val="18"/>
                <w:szCs w:val="18"/>
              </w:rPr>
              <w:t> 表明本公司将无法按应收款项的原有条款收回所有款项 时，确认相应的坏账准备。</w:t>
            </w:r>
          </w:p>
        </w:tc>
      </w:tr>
      <w:tr>
        <w:trPr>
          <w:trHeight w:val="715"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根据该款项预计未来现金流量现值低于其账面价值的差 额，单独进行减值测试，计提坏账准备。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67" w:type="dxa"/>
        <w:tblLayout w:type="fixed"/>
        <w:tblCellMar>
          <w:top w:w="0" w:type="dxa"/>
          <w:left w:w="0" w:type="dxa"/>
          <w:bottom w:w="0" w:type="dxa"/>
          <w:right w:w="0" w:type="dxa"/>
        </w:tblCellMar>
        <w:tblLook w:val="01E0"/>
      </w:tblPr>
      <w:tblGrid>
        <w:gridCol w:w="2600"/>
        <w:gridCol w:w="2187"/>
        <w:gridCol w:w="4784"/>
      </w:tblGrid>
      <w:tr>
        <w:trPr>
          <w:trHeight w:val="715"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按账龄进行组合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按账龄进行组合</w:t>
            </w:r>
          </w:p>
        </w:tc>
      </w:tr>
      <w:tr>
        <w:trPr>
          <w:trHeight w:val="71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经减值测试后不需计提坏 账准备的组合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经减值测试后不需计提坏账准备的组合</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2577"/>
        <w:gridCol w:w="2988"/>
        <w:gridCol w:w="3994"/>
      </w:tblGrid>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0.5%</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7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39"/>
        <w:ind w:left="172" w:right="0" w:firstLine="0"/>
        <w:jc w:val="left"/>
        <w:rPr>
          <w:rFonts w:ascii="宋体" w:hAnsi="宋体" w:cs="宋体" w:eastAsia="宋体" w:hint="default"/>
          <w:sz w:val="18"/>
          <w:szCs w:val="18"/>
        </w:rPr>
      </w:pPr>
      <w:r>
        <w:rPr/>
        <w:pict>
          <v:group style="position:absolute;margin-left:460.320007pt;margin-top:35.445721pt;width:135pt;height:77pt;mso-position-horizontal-relative:page;mso-position-vertical-relative:paragraph;z-index:-859000" coordorigin="9206,709" coordsize="2700,1540">
            <v:shape style="position:absolute;left:9206;top:709;width:2700;height:1540" type="#_x0000_t75" stroked="false">
              <v:imagedata r:id="rId26" o:title=""/>
            </v:shape>
            <v:shape style="position:absolute;left:10593;top:106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81</w:t>
                    </w:r>
                  </w:p>
                </w:txbxContent>
              </v:textbox>
              <w10:wrap type="none"/>
            </v:shape>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3931"/>
        <w:gridCol w:w="5639"/>
      </w:tblGrid>
      <w:tr>
        <w:trPr>
          <w:trHeight w:val="402" w:hRule="exact"/>
        </w:trPr>
        <w:tc>
          <w:tcPr>
            <w:tcW w:w="3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方法说明</w:t>
            </w:r>
          </w:p>
        </w:tc>
      </w:tr>
    </w:tbl>
    <w:p>
      <w:pPr>
        <w:spacing w:after="0" w:line="240" w:lineRule="auto"/>
        <w:jc w:val="center"/>
        <w:rPr>
          <w:rFonts w:ascii="宋体" w:hAnsi="宋体" w:cs="宋体" w:eastAsia="宋体" w:hint="default"/>
          <w:sz w:val="18"/>
          <w:szCs w:val="18"/>
        </w:rPr>
        <w:sectPr>
          <w:headerReference w:type="default" r:id="rId47"/>
          <w:footerReference w:type="default" r:id="rId48"/>
          <w:pgSz w:w="11910" w:h="16840"/>
          <w:pgMar w:header="706" w:footer="0" w:top="1060" w:bottom="0" w:left="960" w:right="0"/>
        </w:sectPr>
      </w:pPr>
    </w:p>
    <w:p>
      <w:pPr>
        <w:spacing w:line="240" w:lineRule="auto" w:before="11"/>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3932"/>
        <w:gridCol w:w="5639"/>
      </w:tblGrid>
      <w:tr>
        <w:trPr>
          <w:trHeight w:val="334" w:hRule="exact"/>
        </w:trPr>
        <w:tc>
          <w:tcPr>
            <w:tcW w:w="3932" w:type="dxa"/>
            <w:tcBorders>
              <w:top w:val="single" w:sz="6" w:space="0" w:color="000000"/>
              <w:left w:val="nil" w:sz="6" w:space="0" w:color="auto"/>
              <w:bottom w:val="single" w:sz="4" w:space="0" w:color="000000"/>
              <w:right w:val="nil" w:sz="6" w:space="0" w:color="auto"/>
            </w:tcBorders>
          </w:tcPr>
          <w:p>
            <w:pPr/>
          </w:p>
        </w:tc>
        <w:tc>
          <w:tcPr>
            <w:tcW w:w="5639"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经减值测试后不需计提坏账准备的组合</w:t>
            </w:r>
          </w:p>
        </w:tc>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不计提坏账</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spacing w:before="44"/>
        <w:ind w:left="0" w:right="1139" w:firstLine="0"/>
        <w:jc w:val="right"/>
        <w:rPr>
          <w:rFonts w:ascii="宋体" w:hAnsi="宋体" w:cs="宋体" w:eastAsia="宋体" w:hint="default"/>
          <w:sz w:val="18"/>
          <w:szCs w:val="18"/>
        </w:rPr>
      </w:pPr>
      <w:r>
        <w:rPr/>
        <w:pict>
          <v:shape style="position:absolute;margin-left:56.459999pt;margin-top:-36.488258pt;width:479.2pt;height:71.9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5"/>
                    <w:gridCol w:w="6215"/>
                  </w:tblGrid>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对于单项金额虽不重大的应收款项，当存在客观证据表明本公司将无法按应收 款项的原有条款收回所有款项时，确认相应的坏账准备。</w:t>
                        </w:r>
                      </w:p>
                    </w:tc>
                  </w:tr>
                  <w:tr>
                    <w:trPr>
                      <w:trHeight w:val="71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pacing w:val="-2"/>
                            <w:sz w:val="18"/>
                            <w:szCs w:val="18"/>
                          </w:rPr>
                          <w:t>根据该款项预计未来现金流量现值低于其账面价值的差额，单独进行减值测试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计提坏账准备。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92"/>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BodyText"/>
        <w:spacing w:line="506" w:lineRule="auto"/>
        <w:ind w:left="593" w:right="1124" w:hanging="42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spacing w:val="-104"/>
        </w:rPr>
        <w:t> </w:t>
      </w:r>
      <w:r>
        <w:rPr>
          <w:spacing w:val="-2"/>
        </w:rPr>
        <w:t>存货包括原材料、在产品、产成品、发出商品和周转材料等，按成本与可变现净值孰低列示。</w:t>
      </w:r>
    </w:p>
    <w:p>
      <w:pPr>
        <w:pStyle w:val="Heading4"/>
        <w:spacing w:line="240" w:lineRule="auto" w:before="104"/>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spacing w:before="0"/>
        <w:ind w:left="624" w:right="0" w:firstLine="0"/>
        <w:jc w:val="left"/>
        <w:rPr>
          <w:rFonts w:ascii="宋体" w:hAnsi="宋体" w:cs="宋体" w:eastAsia="宋体" w:hint="default"/>
          <w:sz w:val="18"/>
          <w:szCs w:val="18"/>
        </w:rPr>
      </w:pPr>
      <w:r>
        <w:rPr>
          <w:rFonts w:ascii="宋体" w:hAnsi="宋体" w:cs="宋体" w:eastAsia="宋体" w:hint="default"/>
          <w:sz w:val="18"/>
          <w:szCs w:val="18"/>
        </w:rPr>
        <w:t>计价方法：加权平均法</w:t>
      </w:r>
    </w:p>
    <w:p>
      <w:pPr>
        <w:pStyle w:val="BodyText"/>
        <w:spacing w:line="273" w:lineRule="auto" w:before="96"/>
        <w:ind w:right="0" w:firstLine="420"/>
        <w:jc w:val="left"/>
      </w:pPr>
      <w:r>
        <w:rPr>
          <w:spacing w:val="-2"/>
        </w:rPr>
        <w:t>存货发出时的成本按加权平均法核算，产成品和在产品成本包括原材料、直接人工以及在正常生产能</w:t>
      </w:r>
      <w:r>
        <w:rPr>
          <w:w w:val="100"/>
        </w:rPr>
        <w:t> </w:t>
      </w:r>
      <w:r>
        <w:rPr/>
        <w:t>力下按照一定方法分配的制造费用。周转材料包括低值易耗品和包装物等。</w:t>
      </w:r>
    </w:p>
    <w:p>
      <w:pPr>
        <w:spacing w:line="590" w:lineRule="atLeast" w:before="8"/>
        <w:ind w:left="59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5"/>
          <w:sz w:val="21"/>
          <w:szCs w:val="21"/>
        </w:rPr>
        <w:t>存货成本高于其可变现净值的，计提存货跌价准备，计入当期损益。可变现净值，是指在日常活动中，</w:t>
      </w:r>
    </w:p>
    <w:p>
      <w:pPr>
        <w:pStyle w:val="BodyText"/>
        <w:spacing w:line="273" w:lineRule="auto" w:before="37"/>
        <w:ind w:right="1126"/>
        <w:jc w:val="both"/>
      </w:pPr>
      <w:r>
        <w:rPr>
          <w:spacing w:val="-2"/>
        </w:rPr>
        <w:t>存货的估计售价减去至完工时估计将要发生的成本、估计的销售费用以及相关税费后的金额。公司确定存</w:t>
      </w:r>
      <w:r>
        <w:rPr>
          <w:spacing w:val="-44"/>
        </w:rPr>
        <w:t> </w:t>
      </w:r>
      <w:r>
        <w:rPr>
          <w:spacing w:val="-44"/>
        </w:rPr>
      </w:r>
      <w:r>
        <w:rPr>
          <w:spacing w:val="-2"/>
        </w:rPr>
        <w:t>货的可变现净值，以取得的确凿证据为基础，并且考虑持有存货的目的、资产负债表日后事项的影响等因</w:t>
      </w:r>
      <w:r>
        <w:rPr>
          <w:spacing w:val="-44"/>
        </w:rPr>
        <w:t> </w:t>
      </w:r>
      <w:r>
        <w:rPr>
          <w:spacing w:val="-44"/>
        </w:rPr>
      </w:r>
      <w:r>
        <w:rPr/>
        <w:t>素。</w:t>
      </w:r>
    </w:p>
    <w:p>
      <w:pPr>
        <w:spacing w:line="240" w:lineRule="auto" w:before="7"/>
        <w:rPr>
          <w:rFonts w:ascii="宋体" w:hAnsi="宋体" w:cs="宋体" w:eastAsia="宋体" w:hint="default"/>
          <w:sz w:val="23"/>
          <w:szCs w:val="23"/>
        </w:rPr>
      </w:pPr>
    </w:p>
    <w:p>
      <w:pPr>
        <w:spacing w:line="506" w:lineRule="auto" w:before="0"/>
        <w:ind w:left="593" w:right="787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pacing w:val="-2"/>
          <w:sz w:val="21"/>
          <w:szCs w:val="21"/>
        </w:rPr>
        <w:t>盘存制度：永续盘存制</w:t>
      </w:r>
    </w:p>
    <w:p>
      <w:pPr>
        <w:pStyle w:val="Heading4"/>
        <w:spacing w:line="240" w:lineRule="auto" w:before="101"/>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ind w:left="593" w:right="7874"/>
        <w:jc w:val="left"/>
      </w:pPr>
      <w:r>
        <w:rPr/>
        <w:t>低值易耗品</w:t>
      </w:r>
      <w:r>
        <w:rPr>
          <w:spacing w:val="-102"/>
        </w:rPr>
        <w:t> </w:t>
      </w:r>
      <w:r>
        <w:rPr>
          <w:spacing w:val="-102"/>
        </w:rPr>
      </w:r>
      <w:r>
        <w:rPr>
          <w:spacing w:val="-2"/>
        </w:rPr>
        <w:t>摊销方法：一次摊销法</w:t>
      </w:r>
      <w:r>
        <w:rPr>
          <w:spacing w:val="-85"/>
        </w:rPr>
        <w:t> </w:t>
      </w:r>
      <w:r>
        <w:rPr>
          <w:spacing w:val="-85"/>
        </w:rPr>
      </w:r>
      <w:r>
        <w:rPr/>
        <w:t>包装物</w:t>
      </w:r>
      <w:r>
        <w:rPr>
          <w:spacing w:val="-102"/>
        </w:rPr>
        <w:t> </w:t>
      </w:r>
      <w:r>
        <w:rPr>
          <w:spacing w:val="-2"/>
        </w:rPr>
        <w:t>摊销方法：一次摊销法</w:t>
      </w:r>
    </w:p>
    <w:p>
      <w:pPr>
        <w:spacing w:after="0" w:line="307" w:lineRule="auto"/>
        <w:jc w:val="left"/>
        <w:sectPr>
          <w:footerReference w:type="default" r:id="rId49"/>
          <w:pgSz w:w="11910" w:h="16840"/>
          <w:pgMar w:footer="1251" w:header="706" w:top="1060" w:bottom="1440" w:left="960" w:right="0"/>
          <w:pgNumType w:start="82"/>
        </w:sectPr>
      </w:pPr>
    </w:p>
    <w:p>
      <w:pPr>
        <w:spacing w:line="240" w:lineRule="auto" w:before="11"/>
        <w:rPr>
          <w:rFonts w:ascii="宋体" w:hAnsi="宋体" w:cs="宋体" w:eastAsia="宋体" w:hint="default"/>
          <w:sz w:val="2"/>
          <w:szCs w:val="2"/>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4"/>
        <w:spacing w:line="240" w:lineRule="auto" w:before="36"/>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right="1126" w:firstLine="420"/>
        <w:jc w:val="both"/>
      </w:pPr>
      <w:r>
        <w:rPr>
          <w:spacing w:val="-6"/>
          <w:w w:val="97"/>
        </w:rPr>
        <w:t>企业合并形成的长期股权投资，按照本附注</w:t>
      </w:r>
      <w:r>
        <w:rPr>
          <w:rFonts w:ascii="Times New Roman" w:hAnsi="Times New Roman" w:cs="Times New Roman" w:eastAsia="Times New Roman" w:hint="default"/>
          <w:spacing w:val="-6"/>
          <w:w w:val="97"/>
        </w:rPr>
        <w:t>―3.3</w:t>
      </w:r>
      <w:r>
        <w:rPr>
          <w:rFonts w:ascii="Times New Roman" w:hAnsi="Times New Roman" w:cs="Times New Roman" w:eastAsia="Times New Roman" w:hint="default"/>
          <w:spacing w:val="-24"/>
          <w:w w:val="97"/>
        </w:rPr>
        <w:t> </w:t>
      </w:r>
      <w:r>
        <w:rPr>
          <w:spacing w:val="-2"/>
          <w:w w:val="103"/>
        </w:rPr>
        <w:t>同一控制下和非同一控制下企业合并的会计处理方法</w:t>
      </w:r>
      <w:r>
        <w:rPr>
          <w:rFonts w:ascii="Times New Roman" w:hAnsi="Times New Roman" w:cs="Times New Roman" w:eastAsia="Times New Roman" w:hint="default"/>
          <w:spacing w:val="-2"/>
          <w:w w:val="103"/>
        </w:rPr>
        <w:t>‖</w:t>
      </w:r>
      <w:r>
        <w:rPr>
          <w:rFonts w:ascii="Times New Roman" w:hAnsi="Times New Roman" w:cs="Times New Roman" w:eastAsia="Times New Roman" w:hint="default"/>
          <w:w w:val="159"/>
        </w:rPr>
        <w:t> </w:t>
      </w:r>
      <w:r>
        <w:rPr>
          <w:spacing w:val="-2"/>
        </w:rPr>
        <w:t>的相关内容确认初始投资成本；除企业合并形成的长期股权投资以外，其他方式取得的长期股权投资，按</w:t>
      </w:r>
      <w:r>
        <w:rPr>
          <w:spacing w:val="-43"/>
        </w:rPr>
        <w:t> </w:t>
      </w:r>
      <w:r>
        <w:rPr>
          <w:spacing w:val="-43"/>
        </w:rPr>
      </w:r>
      <w:r>
        <w:rPr/>
        <w:t>照下述方法确认其初始投资成本：</w:t>
      </w:r>
    </w:p>
    <w:p>
      <w:pPr>
        <w:pStyle w:val="BodyText"/>
        <w:spacing w:line="240" w:lineRule="auto" w:before="57"/>
        <w:ind w:left="593" w:right="0"/>
        <w:jc w:val="left"/>
      </w:pPr>
      <w:r>
        <w:rPr>
          <w:rFonts w:ascii="Times New Roman" w:hAnsi="Times New Roman" w:cs="Times New Roman" w:eastAsia="Times New Roman" w:hint="default"/>
        </w:rPr>
        <w:t>1</w:t>
      </w:r>
      <w:r>
        <w:rPr/>
        <w:t>）以支付现金方式取得的长期股权投资，按照实际支付的购买价款作为初始投资成本。</w:t>
      </w:r>
    </w:p>
    <w:p>
      <w:pPr>
        <w:pStyle w:val="BodyText"/>
        <w:spacing w:line="240" w:lineRule="auto" w:before="59"/>
        <w:ind w:left="593" w:right="0"/>
        <w:jc w:val="left"/>
      </w:pPr>
      <w:r>
        <w:rPr>
          <w:rFonts w:ascii="Times New Roman" w:hAnsi="Times New Roman" w:cs="Times New Roman" w:eastAsia="Times New Roman" w:hint="default"/>
        </w:rPr>
        <w:t>2</w:t>
      </w:r>
      <w:r>
        <w:rPr/>
        <w:t>）以发行权益性证券取得的长期股权投资，按照发行权益性证券的公允价值作为初始投资成本。</w:t>
      </w:r>
    </w:p>
    <w:p>
      <w:pPr>
        <w:pStyle w:val="BodyText"/>
        <w:spacing w:line="264" w:lineRule="auto" w:before="62"/>
        <w:ind w:right="0" w:firstLine="420"/>
        <w:jc w:val="left"/>
      </w:pPr>
      <w:r>
        <w:rPr>
          <w:rFonts w:ascii="Times New Roman" w:hAnsi="Times New Roman" w:cs="Times New Roman" w:eastAsia="Times New Roman" w:hint="default"/>
        </w:rPr>
        <w:t>3</w:t>
      </w:r>
      <w:r>
        <w:rPr/>
        <w:t>）投资者投入的长期股权投资，按照投资合同或协议约定的价值作为初始投资成本，但合同或协议</w:t>
      </w:r>
      <w:r>
        <w:rPr>
          <w:w w:val="100"/>
        </w:rPr>
        <w:t> </w:t>
      </w:r>
      <w:r>
        <w:rPr/>
        <w:t>约定价值不公允的除外。</w:t>
      </w:r>
      <w:r>
        <w:rPr>
          <w:rFonts w:ascii="Times New Roman" w:hAnsi="Times New Roman" w:cs="Times New Roman" w:eastAsia="Times New Roman" w:hint="default"/>
        </w:rPr>
        <w:t>4</w:t>
      </w:r>
      <w:r>
        <w:rPr/>
        <w:t>）在非货币性资产交换具备商业实质和换入资产或换出资产的公允价值能够可</w:t>
      </w:r>
      <w:r>
        <w:rPr>
          <w:w w:val="100"/>
        </w:rPr>
        <w:t> </w:t>
      </w:r>
      <w:r>
        <w:rPr>
          <w:spacing w:val="-2"/>
        </w:rPr>
        <w:t>靠计量的前提下，非货币性资产交换换入的长期股权投资以换出资产的公允价值为基础确定其初始投资成</w:t>
      </w:r>
      <w:r>
        <w:rPr>
          <w:spacing w:val="-43"/>
        </w:rPr>
        <w:t> </w:t>
      </w:r>
      <w:r>
        <w:rPr>
          <w:spacing w:val="-43"/>
        </w:rPr>
      </w:r>
      <w:r>
        <w:rPr>
          <w:spacing w:val="-2"/>
        </w:rPr>
        <w:t>本，除非有确凿证据表明换入资产的公允价值更加可靠；不满足上述前提的非货币性资产交换，以换出资</w:t>
      </w:r>
      <w:r>
        <w:rPr>
          <w:spacing w:val="-43"/>
        </w:rPr>
        <w:t> </w:t>
      </w:r>
      <w:r>
        <w:rPr>
          <w:spacing w:val="-43"/>
        </w:rPr>
      </w:r>
      <w:r>
        <w:rPr/>
        <w:t>产的账面价值和应支付的相关税费作为换入长期股权投资的初始投资成本。</w:t>
      </w:r>
    </w:p>
    <w:p>
      <w:pPr>
        <w:pStyle w:val="BodyText"/>
        <w:spacing w:line="240" w:lineRule="auto" w:before="57"/>
        <w:ind w:left="593" w:right="0"/>
        <w:jc w:val="left"/>
      </w:pPr>
      <w:r>
        <w:rPr>
          <w:rFonts w:ascii="Times New Roman" w:hAnsi="Times New Roman" w:cs="Times New Roman" w:eastAsia="Times New Roman" w:hint="default"/>
        </w:rPr>
        <w:t>5</w:t>
      </w:r>
      <w:r>
        <w:rPr/>
        <w:t>）通过债务重组取得的长期股权投资，其初始投资成本按照公允价值为基础确定。</w:t>
      </w:r>
    </w:p>
    <w:p>
      <w:pPr>
        <w:spacing w:line="670" w:lineRule="exact" w:before="28"/>
        <w:ind w:left="59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b/>
          <w:bCs/>
          <w:w w:val="100"/>
          <w:sz w:val="21"/>
          <w:szCs w:val="21"/>
        </w:rPr>
        <w:t> </w:t>
      </w:r>
      <w:r>
        <w:rPr>
          <w:rFonts w:ascii="宋体" w:hAnsi="宋体" w:cs="宋体" w:eastAsia="宋体" w:hint="default"/>
          <w:spacing w:val="-2"/>
          <w:sz w:val="21"/>
          <w:szCs w:val="21"/>
        </w:rPr>
        <w:t>公司对子公司的长期股权投资，采用成本法核算，编制合并财务报表时按照权益法进行调整。对被投</w:t>
      </w:r>
    </w:p>
    <w:p>
      <w:pPr>
        <w:pStyle w:val="BodyText"/>
        <w:spacing w:line="256" w:lineRule="exact"/>
        <w:ind w:right="0"/>
        <w:jc w:val="left"/>
      </w:pPr>
      <w:r>
        <w:rPr>
          <w:spacing w:val="-5"/>
        </w:rPr>
        <w:t>资单位不具有共同控制或重大影响，并且在活跃市场中没有报价、公允价值不能可靠计量的长期股权投资，</w:t>
      </w:r>
    </w:p>
    <w:p>
      <w:pPr>
        <w:pStyle w:val="BodyText"/>
        <w:spacing w:line="352" w:lineRule="auto" w:before="82"/>
        <w:ind w:left="593" w:right="0" w:hanging="421"/>
        <w:jc w:val="left"/>
      </w:pPr>
      <w:r>
        <w:rPr/>
        <w:t>采用成本法核算。对被投资单位具有共同控制或重大影响的长期股权投资，采用权益法核算。</w:t>
      </w:r>
      <w:r>
        <w:rPr>
          <w:w w:val="100"/>
        </w:rPr>
        <w:t> </w:t>
      </w:r>
      <w:r>
        <w:rPr>
          <w:spacing w:val="-2"/>
        </w:rPr>
        <w:t>采用成本法核算的长期股权投资，除取得投资时实际支付的价款或对价中包含的已宣告但尚未发放的</w:t>
      </w:r>
    </w:p>
    <w:p>
      <w:pPr>
        <w:pStyle w:val="BodyText"/>
        <w:spacing w:line="262" w:lineRule="exact"/>
        <w:ind w:right="0"/>
        <w:jc w:val="left"/>
      </w:pPr>
      <w:r>
        <w:rPr/>
        <w:t>现金股利或利润外，投资企业应当按照享有被投资单位宣告发放的现金股利或利润确认投资收益。采用权</w:t>
      </w:r>
    </w:p>
    <w:p>
      <w:pPr>
        <w:pStyle w:val="BodyText"/>
        <w:spacing w:line="314" w:lineRule="auto" w:before="85"/>
        <w:ind w:right="1126"/>
        <w:jc w:val="both"/>
      </w:pPr>
      <w:r>
        <w:rPr>
          <w:spacing w:val="-2"/>
        </w:rPr>
        <w:t>益法核算的长期股权投资，初始投资成本大于投资时应享有被投资单位可辨认净资产公允价值份额的，其</w:t>
      </w:r>
      <w:r>
        <w:rPr>
          <w:spacing w:val="-44"/>
        </w:rPr>
        <w:t> </w:t>
      </w:r>
      <w:r>
        <w:rPr>
          <w:spacing w:val="-44"/>
        </w:rPr>
      </w:r>
      <w:r>
        <w:rPr>
          <w:spacing w:val="-2"/>
        </w:rPr>
        <w:t>差额包含在初始投资成本中；初始投资成本小于投资时应享有被投资单位可辨认净资产公允价值份额且经</w:t>
      </w:r>
      <w:r>
        <w:rPr>
          <w:spacing w:val="-43"/>
        </w:rPr>
        <w:t> </w:t>
      </w:r>
      <w:r>
        <w:rPr>
          <w:spacing w:val="-43"/>
        </w:rPr>
      </w:r>
      <w:r>
        <w:rPr/>
        <w:t>复核两者差额仍存在时，该差额计入当期损益，同时调整长期股权投资成本。</w:t>
      </w:r>
    </w:p>
    <w:p>
      <w:pPr>
        <w:pStyle w:val="BodyText"/>
        <w:spacing w:line="314" w:lineRule="auto" w:before="63"/>
        <w:ind w:right="1105" w:firstLine="420"/>
        <w:jc w:val="both"/>
      </w:pPr>
      <w:r>
        <w:rPr>
          <w:spacing w:val="-2"/>
        </w:rPr>
        <w:t>采用权益法核算时，按应享有或应分担的被投资单位的净损益份额确认当期投资损益。确认被投资单</w:t>
      </w:r>
      <w:r>
        <w:rPr>
          <w:w w:val="100"/>
        </w:rPr>
        <w:t> </w:t>
      </w:r>
      <w:r>
        <w:rPr>
          <w:spacing w:val="-2"/>
        </w:rPr>
        <w:t>位发生的净亏损，以长期股权投资的账面价值以及其他实质上构成对被投资单位净投资的长期权益减记至</w:t>
      </w:r>
      <w:r>
        <w:rPr>
          <w:spacing w:val="-43"/>
        </w:rPr>
        <w:t> </w:t>
      </w:r>
      <w:r>
        <w:rPr>
          <w:spacing w:val="-43"/>
        </w:rPr>
      </w:r>
      <w:r>
        <w:rPr>
          <w:spacing w:val="-2"/>
        </w:rPr>
        <w:t>零为限，但本公司负有承担额外损失义务且符合或有事项准则所规定的预计负债确认条件的，继续确认投</w:t>
      </w:r>
      <w:r>
        <w:rPr>
          <w:spacing w:val="-44"/>
        </w:rPr>
        <w:t> </w:t>
      </w:r>
      <w:r>
        <w:rPr>
          <w:spacing w:val="-44"/>
        </w:rPr>
      </w:r>
      <w:r>
        <w:rPr>
          <w:spacing w:val="-2"/>
        </w:rPr>
        <w:t>资损失和预计负债。被投资单位除净损益以外股东权益的其他变动，本公司按照持股比例计算应享有或承</w:t>
      </w:r>
      <w:r>
        <w:rPr>
          <w:spacing w:val="-43"/>
        </w:rPr>
        <w:t> </w:t>
      </w:r>
      <w:r>
        <w:rPr>
          <w:spacing w:val="-43"/>
        </w:rPr>
      </w:r>
      <w:r>
        <w:rPr>
          <w:spacing w:val="-2"/>
        </w:rPr>
        <w:t>担的部分直接计入资本公积。被投资单位分派的利润或现金股利于宣告分派时按照本公司应分得的部分，</w:t>
      </w:r>
      <w:r>
        <w:rPr>
          <w:spacing w:val="-21"/>
        </w:rPr>
        <w:t> </w:t>
      </w:r>
      <w:r>
        <w:rPr>
          <w:spacing w:val="-21"/>
        </w:rPr>
      </w:r>
      <w:r>
        <w:rPr>
          <w:spacing w:val="-2"/>
        </w:rPr>
        <w:t>相应减少长期股权投资的账面价值。本公司与被投资单位之间的交易产生的未实现损益在本公司拥有被投</w:t>
      </w:r>
      <w:r>
        <w:rPr>
          <w:spacing w:val="-43"/>
        </w:rPr>
        <w:t> </w:t>
      </w:r>
      <w:r>
        <w:rPr>
          <w:spacing w:val="-43"/>
        </w:rPr>
      </w:r>
      <w:r>
        <w:rPr/>
        <w:t>资单位的权益范围内予以抵销，惟该交易所转让的资产发生减值的，则相应的未实现损益不予抵销。</w:t>
      </w:r>
    </w:p>
    <w:p>
      <w:pPr>
        <w:spacing w:line="614" w:lineRule="exact" w:before="19"/>
        <w:ind w:left="59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按照合同约定对某项经济活动所共有的控制，仅在与该项经济活动相关的重要财务和经营决策需要分</w:t>
      </w:r>
    </w:p>
    <w:p>
      <w:pPr>
        <w:pStyle w:val="BodyText"/>
        <w:spacing w:line="219" w:lineRule="exact"/>
        <w:ind w:right="0"/>
        <w:jc w:val="left"/>
      </w:pPr>
      <w:r>
        <w:rPr/>
        <w:t>享控制权的投资方一致同意时存在，则视为与其他方对被投资单位实施共同控制；对一个企业的财务和经</w:t>
      </w:r>
    </w:p>
    <w:p>
      <w:pPr>
        <w:pStyle w:val="BodyText"/>
        <w:spacing w:line="273" w:lineRule="auto" w:before="37"/>
        <w:ind w:right="0"/>
        <w:jc w:val="left"/>
      </w:pPr>
      <w:r>
        <w:rPr>
          <w:spacing w:val="-2"/>
        </w:rPr>
        <w:t>营决策有参与决策的权力，但并不能够控制或者与其他方一起共同控制这些政策的制定，则视为对被投资</w:t>
      </w:r>
      <w:r>
        <w:rPr>
          <w:spacing w:val="-44"/>
        </w:rPr>
        <w:t> </w:t>
      </w:r>
      <w:r>
        <w:rPr>
          <w:spacing w:val="-44"/>
        </w:rPr>
      </w:r>
      <w:r>
        <w:rPr/>
        <w:t>单位施加重大影响。</w:t>
      </w:r>
    </w:p>
    <w:p>
      <w:pPr>
        <w:spacing w:after="0" w:line="273" w:lineRule="auto"/>
        <w:jc w:val="left"/>
        <w:sectPr>
          <w:pgSz w:w="11910" w:h="16840"/>
          <w:pgMar w:header="706" w:footer="1251" w:top="1060" w:bottom="1540" w:left="96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firstLine="420"/>
        <w:jc w:val="left"/>
      </w:pPr>
      <w:r>
        <w:rPr>
          <w:spacing w:val="-2"/>
        </w:rPr>
        <w:t>采用成本法核算的、在活跃市场中没有报价、公允价值不能可靠计量的长期股权投资，其账面价值低</w:t>
      </w:r>
      <w:r>
        <w:rPr>
          <w:w w:val="100"/>
        </w:rPr>
        <w:t> </w:t>
      </w:r>
      <w:r>
        <w:rPr>
          <w:spacing w:val="-2"/>
        </w:rPr>
        <w:t>于按照类似投资当时市场收益率对未来现金流量折现确定的现值，确认该项投资存在减值。采用权益法核</w:t>
      </w:r>
      <w:r>
        <w:rPr>
          <w:spacing w:val="-42"/>
        </w:rPr>
        <w:t> </w:t>
      </w:r>
      <w:r>
        <w:rPr>
          <w:spacing w:val="-42"/>
        </w:rPr>
      </w:r>
      <w:r>
        <w:rPr>
          <w:spacing w:val="-2"/>
        </w:rPr>
        <w:t>算的联营企业和合营企业以及采用成本法核算的子公司的长期股权投资，当长期股权投资的账面价值低于</w:t>
      </w:r>
      <w:r>
        <w:rPr>
          <w:spacing w:val="-43"/>
        </w:rPr>
        <w:t> </w:t>
      </w:r>
      <w:r>
        <w:rPr>
          <w:spacing w:val="-43"/>
        </w:rPr>
      </w:r>
      <w:r>
        <w:rPr>
          <w:spacing w:val="-2"/>
        </w:rPr>
        <w:t>可收回金额时，确认该项投资存在减值。长期股权投资存在减值迹象的，其账面价值减记至可收回金额。</w:t>
      </w:r>
      <w:r>
        <w:rPr>
          <w:spacing w:val="-21"/>
        </w:rPr>
        <w:t> </w:t>
      </w:r>
      <w:r>
        <w:rPr>
          <w:spacing w:val="-21"/>
        </w:rPr>
      </w:r>
      <w:r>
        <w:rPr/>
        <w:t>可收回金额根据长期股权投资的公允价值减去处置费用后的净额与长期股权投资预计未来现金流量的现</w:t>
      </w:r>
      <w:r>
        <w:rPr>
          <w:w w:val="100"/>
        </w:rPr>
        <w:t> </w:t>
      </w:r>
      <w:r>
        <w:rPr/>
        <w:t>值两者之间较高者确定。</w:t>
      </w:r>
    </w:p>
    <w:p>
      <w:pPr>
        <w:pStyle w:val="BodyText"/>
        <w:spacing w:line="590" w:lineRule="atLeast" w:before="8"/>
        <w:ind w:left="593" w:right="0" w:hanging="421"/>
        <w:jc w:val="left"/>
      </w:pPr>
      <w:r>
        <w:rPr>
          <w:rFonts w:ascii="Times New Roman" w:hAnsi="Times New Roman" w:cs="Times New Roman" w:eastAsia="Times New Roman" w:hint="default"/>
          <w:b/>
          <w:bCs/>
        </w:rPr>
        <w:t>13</w:t>
      </w:r>
      <w:r>
        <w:rPr>
          <w:rFonts w:ascii="宋体" w:hAnsi="宋体" w:cs="宋体" w:eastAsia="宋体" w:hint="default"/>
          <w:b/>
          <w:bCs/>
        </w:rPr>
        <w:t>、投资性房地产</w:t>
      </w:r>
      <w:r>
        <w:rPr>
          <w:rFonts w:ascii="宋体" w:hAnsi="宋体" w:cs="宋体" w:eastAsia="宋体" w:hint="default"/>
          <w:b/>
          <w:bCs/>
          <w:w w:val="100"/>
        </w:rPr>
        <w:t> </w:t>
      </w:r>
      <w:r>
        <w:rPr>
          <w:spacing w:val="-2"/>
        </w:rPr>
        <w:t>投资性房地产包括已出租持有并准备增值后转让的土地使用权以及已出租的建筑物，以实际成本进行</w:t>
      </w:r>
    </w:p>
    <w:p>
      <w:pPr>
        <w:pStyle w:val="BodyText"/>
        <w:spacing w:line="273" w:lineRule="auto" w:before="37"/>
        <w:ind w:right="0"/>
        <w:jc w:val="left"/>
      </w:pPr>
      <w:r>
        <w:rPr>
          <w:spacing w:val="-2"/>
        </w:rPr>
        <w:t>初始计量。与投资性房地产有关的后续支出，在相关的经济利益很可能流入本公司且其成本能够可靠的计</w:t>
      </w:r>
      <w:r>
        <w:rPr>
          <w:spacing w:val="-42"/>
        </w:rPr>
        <w:t> </w:t>
      </w:r>
      <w:r>
        <w:rPr>
          <w:spacing w:val="-42"/>
        </w:rPr>
      </w:r>
      <w:r>
        <w:rPr/>
        <w:t>量时，计入投资性房地产成本；否则，在发生时计入当期损益。</w:t>
      </w:r>
    </w:p>
    <w:p>
      <w:pPr>
        <w:pStyle w:val="BodyText"/>
        <w:spacing w:line="273" w:lineRule="auto" w:before="7"/>
        <w:ind w:right="0" w:firstLine="420"/>
        <w:jc w:val="left"/>
      </w:pPr>
      <w:r>
        <w:rPr>
          <w:spacing w:val="-2"/>
        </w:rPr>
        <w:t>本公司采用成本模式对所有投资性房地产进行后续计量，按其预计使用寿命及净残值率对建筑物和土</w:t>
      </w:r>
      <w:r>
        <w:rPr>
          <w:w w:val="100"/>
        </w:rPr>
        <w:t> </w:t>
      </w:r>
      <w:r>
        <w:rPr/>
        <w:t>地使用权计提折旧或摊销。投资性房地产的预计使用寿命、净残值率及年折旧</w:t>
      </w:r>
      <w:r>
        <w:rPr>
          <w:rFonts w:ascii="Times New Roman" w:hAnsi="Times New Roman" w:cs="Times New Roman" w:eastAsia="Times New Roman" w:hint="default"/>
        </w:rPr>
        <w:t>(</w:t>
      </w:r>
      <w:r>
        <w:rPr/>
        <w:t>摊销</w:t>
      </w:r>
      <w:r>
        <w:rPr>
          <w:rFonts w:ascii="Times New Roman" w:hAnsi="Times New Roman" w:cs="Times New Roman" w:eastAsia="Times New Roman" w:hint="default"/>
        </w:rPr>
        <w:t>)</w:t>
      </w:r>
      <w:r>
        <w:rPr/>
        <w:t>率列示如下：</w:t>
      </w:r>
    </w:p>
    <w:tbl>
      <w:tblPr>
        <w:tblW w:w="0" w:type="auto"/>
        <w:jc w:val="left"/>
        <w:tblInd w:w="165" w:type="dxa"/>
        <w:tblLayout w:type="fixed"/>
        <w:tblCellMar>
          <w:top w:w="0" w:type="dxa"/>
          <w:left w:w="0" w:type="dxa"/>
          <w:bottom w:w="0" w:type="dxa"/>
          <w:right w:w="0" w:type="dxa"/>
        </w:tblCellMar>
        <w:tblLook w:val="01E0"/>
      </w:tblPr>
      <w:tblGrid>
        <w:gridCol w:w="2132"/>
        <w:gridCol w:w="1995"/>
        <w:gridCol w:w="2393"/>
        <w:gridCol w:w="2482"/>
      </w:tblGrid>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4"/>
              <w:jc w:val="right"/>
              <w:rPr>
                <w:rFonts w:ascii="宋体" w:hAnsi="宋体" w:cs="宋体" w:eastAsia="宋体" w:hint="default"/>
                <w:sz w:val="21"/>
                <w:szCs w:val="21"/>
              </w:rPr>
            </w:pPr>
            <w:r>
              <w:rPr>
                <w:rFonts w:ascii="宋体" w:hAnsi="宋体" w:cs="宋体" w:eastAsia="宋体" w:hint="default"/>
                <w:spacing w:val="-1"/>
                <w:sz w:val="21"/>
                <w:szCs w:val="21"/>
              </w:rPr>
              <w:t>预计使用寿命</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预计净残值率</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年折旧</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摊销</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率</w:t>
            </w:r>
          </w:p>
        </w:tc>
      </w:tr>
      <w:tr>
        <w:trPr>
          <w:trHeight w:val="343" w:hRule="exact"/>
        </w:trPr>
        <w:tc>
          <w:tcPr>
            <w:tcW w:w="2132" w:type="dxa"/>
            <w:tcBorders>
              <w:top w:val="single" w:sz="6" w:space="0" w:color="000000"/>
              <w:left w:val="single" w:sz="6" w:space="0" w:color="000000"/>
              <w:bottom w:val="single" w:sz="4"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建筑物</w:t>
            </w:r>
          </w:p>
        </w:tc>
        <w:tc>
          <w:tcPr>
            <w:tcW w:w="1995" w:type="dxa"/>
            <w:tcBorders>
              <w:top w:val="single" w:sz="6" w:space="0" w:color="000000"/>
              <w:left w:val="single" w:sz="6" w:space="0" w:color="000000"/>
              <w:bottom w:val="single" w:sz="4" w:space="0" w:color="000000"/>
              <w:right w:val="single" w:sz="6" w:space="0" w:color="000000"/>
            </w:tcBorders>
          </w:tcPr>
          <w:p>
            <w:pPr>
              <w:pStyle w:val="TableParagraph"/>
              <w:spacing w:line="288" w:lineRule="exact"/>
              <w:ind w:right="24"/>
              <w:jc w:val="righ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年</w:t>
            </w:r>
          </w:p>
        </w:tc>
        <w:tc>
          <w:tcPr>
            <w:tcW w:w="239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10%</w:t>
            </w:r>
          </w:p>
        </w:tc>
        <w:tc>
          <w:tcPr>
            <w:tcW w:w="248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4.5%</w:t>
            </w:r>
          </w:p>
        </w:tc>
      </w:tr>
    </w:tbl>
    <w:p>
      <w:pPr>
        <w:pStyle w:val="BodyText"/>
        <w:spacing w:line="273" w:lineRule="auto"/>
        <w:ind w:right="1104" w:firstLine="420"/>
        <w:jc w:val="both"/>
      </w:pPr>
      <w:r>
        <w:rPr>
          <w:spacing w:val="-2"/>
        </w:rPr>
        <w:t>投资性房地产的用途改变为自用时，自改变之日起，将该投资性房地产转换为固定资产或无形资产。</w:t>
      </w:r>
      <w:r>
        <w:rPr>
          <w:w w:val="100"/>
        </w:rPr>
        <w:t> </w:t>
      </w:r>
      <w:r>
        <w:rPr>
          <w:spacing w:val="-2"/>
        </w:rPr>
        <w:t>自用房地产的用途改变为赚取租金或资本增值时，自改变之日起，将固定资产或无形资产转换为投资性房</w:t>
      </w:r>
      <w:r>
        <w:rPr>
          <w:spacing w:val="-42"/>
        </w:rPr>
        <w:t> </w:t>
      </w:r>
      <w:r>
        <w:rPr>
          <w:spacing w:val="-42"/>
        </w:rPr>
      </w:r>
      <w:r>
        <w:rPr/>
        <w:t>地产。发生转换时，以转换前的账面价值作为转换后的入账价值。</w:t>
      </w:r>
    </w:p>
    <w:p>
      <w:pPr>
        <w:pStyle w:val="BodyText"/>
        <w:spacing w:line="256" w:lineRule="auto" w:before="7"/>
        <w:ind w:right="1174" w:firstLine="420"/>
        <w:jc w:val="both"/>
      </w:pPr>
      <w:r>
        <w:rPr>
          <w:spacing w:val="-2"/>
        </w:rPr>
        <w:t>对投资性房地产的预计使用寿命、预计净残值和折旧</w:t>
      </w:r>
      <w:r>
        <w:rPr>
          <w:rFonts w:ascii="Times New Roman" w:hAnsi="Times New Roman" w:cs="Times New Roman" w:eastAsia="Times New Roman" w:hint="default"/>
          <w:spacing w:val="-2"/>
        </w:rPr>
        <w:t>(</w:t>
      </w:r>
      <w:r>
        <w:rPr>
          <w:spacing w:val="-2"/>
        </w:rPr>
        <w:t>摊销</w:t>
      </w:r>
      <w:r>
        <w:rPr>
          <w:rFonts w:ascii="Times New Roman" w:hAnsi="Times New Roman" w:cs="Times New Roman" w:eastAsia="Times New Roman" w:hint="default"/>
          <w:spacing w:val="-2"/>
        </w:rPr>
        <w:t>)</w:t>
      </w:r>
      <w:r>
        <w:rPr>
          <w:spacing w:val="-2"/>
        </w:rPr>
        <w:t>方法于每年年度终了进行复核并作适当调</w:t>
      </w:r>
      <w:r>
        <w:rPr>
          <w:w w:val="100"/>
        </w:rPr>
        <w:t> </w:t>
      </w:r>
      <w:r>
        <w:rPr/>
        <w:t>整。</w:t>
      </w:r>
    </w:p>
    <w:p>
      <w:pPr>
        <w:pStyle w:val="BodyText"/>
        <w:spacing w:line="273" w:lineRule="auto" w:before="22"/>
        <w:ind w:right="1126" w:firstLine="420"/>
        <w:jc w:val="both"/>
      </w:pPr>
      <w:r>
        <w:rPr>
          <w:spacing w:val="-2"/>
        </w:rPr>
        <w:t>当投资性房地产被处置、或者永久退出使用且预计不能从其处置中取得经济利益时，终止确认该项投</w:t>
      </w:r>
      <w:r>
        <w:rPr>
          <w:w w:val="100"/>
        </w:rPr>
        <w:t> </w:t>
      </w:r>
      <w:r>
        <w:rPr>
          <w:spacing w:val="-2"/>
        </w:rPr>
        <w:t>资性房地产。投资性房地产出售、转让、报废或毁损的处置收入扣除其账面价值和相关税费后的金额计入</w:t>
      </w:r>
      <w:r>
        <w:rPr>
          <w:spacing w:val="-43"/>
        </w:rPr>
        <w:t> </w:t>
      </w:r>
      <w:r>
        <w:rPr>
          <w:spacing w:val="-43"/>
        </w:rPr>
      </w:r>
      <w:r>
        <w:rPr/>
        <w:t>当期损益。</w:t>
      </w:r>
    </w:p>
    <w:p>
      <w:pPr>
        <w:pStyle w:val="BodyText"/>
        <w:spacing w:line="240" w:lineRule="auto" w:before="7"/>
        <w:ind w:left="593" w:right="0"/>
        <w:jc w:val="left"/>
      </w:pPr>
      <w:r>
        <w:rPr/>
        <w:t>当投资性房地产的可收回金额低于其账面价值时，账面价值减记至可收回金额。</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14</w:t>
      </w:r>
      <w:r>
        <w:rPr/>
        <w:t>、固定资产</w:t>
      </w:r>
      <w:r>
        <w:rPr>
          <w:b w:val="0"/>
          <w:bCs w:val="0"/>
        </w:rPr>
      </w:r>
    </w:p>
    <w:p>
      <w:pPr>
        <w:spacing w:line="590" w:lineRule="atLeast" w:before="24"/>
        <w:ind w:left="59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固定资产是指为生产商品、提供劳务、出租或经营管理而持有的，使用寿命超过一个会计年度的有形</w:t>
      </w:r>
    </w:p>
    <w:p>
      <w:pPr>
        <w:pStyle w:val="BodyText"/>
        <w:spacing w:line="240" w:lineRule="auto" w:before="37"/>
        <w:ind w:right="0"/>
        <w:jc w:val="both"/>
      </w:pPr>
      <w:r>
        <w:rPr/>
        <w:t>资产。固定资产同时满足下列条件的，才能予以确认：</w:t>
      </w:r>
    </w:p>
    <w:p>
      <w:pPr>
        <w:pStyle w:val="BodyText"/>
        <w:spacing w:line="240" w:lineRule="auto" w:before="78"/>
        <w:ind w:left="593" w:right="0"/>
        <w:jc w:val="left"/>
      </w:pPr>
      <w:r>
        <w:rPr>
          <w:rFonts w:ascii="Times New Roman" w:hAnsi="Times New Roman" w:cs="Times New Roman" w:eastAsia="Times New Roman" w:hint="default"/>
        </w:rPr>
        <w:t>1</w:t>
      </w:r>
      <w:r>
        <w:rPr/>
        <w:t>）</w:t>
      </w:r>
      <w:r>
        <w:rPr>
          <w:spacing w:val="-3"/>
        </w:rPr>
        <w:t> </w:t>
      </w:r>
      <w:r>
        <w:rPr/>
        <w:t>与该固定资产有关的经济利益很可能流入企业；</w:t>
      </w:r>
    </w:p>
    <w:p>
      <w:pPr>
        <w:pStyle w:val="BodyText"/>
        <w:spacing w:line="290" w:lineRule="auto" w:before="62"/>
        <w:ind w:left="593" w:right="0"/>
        <w:jc w:val="left"/>
      </w:pPr>
      <w:r>
        <w:rPr>
          <w:rFonts w:ascii="Times New Roman" w:hAnsi="Times New Roman" w:cs="Times New Roman" w:eastAsia="Times New Roman" w:hint="default"/>
        </w:rPr>
        <w:t>2</w:t>
      </w:r>
      <w:r>
        <w:rPr/>
        <w:t>） 该固定资产的成本能够可靠地计量。</w:t>
      </w:r>
      <w:r>
        <w:rPr>
          <w:w w:val="100"/>
        </w:rPr>
        <w:t> </w:t>
      </w:r>
      <w:r>
        <w:rPr>
          <w:spacing w:val="-2"/>
        </w:rPr>
        <w:t>固定资产初始计量和后续计量购置或新建的固定资产按取得时的实际成本进行初始计量。本公司在进</w:t>
      </w:r>
    </w:p>
    <w:p>
      <w:pPr>
        <w:pStyle w:val="BodyText"/>
        <w:spacing w:line="273" w:lineRule="auto"/>
        <w:ind w:right="1126"/>
        <w:jc w:val="both"/>
      </w:pPr>
      <w:r>
        <w:rPr>
          <w:spacing w:val="-2"/>
        </w:rPr>
        <w:t>行公司制改建时，国有股股东投入的固定资产，按国有资产管理部门确认的评估值作为入账价值。与固定</w:t>
      </w:r>
      <w:r>
        <w:rPr>
          <w:spacing w:val="-45"/>
        </w:rPr>
        <w:t> </w:t>
      </w:r>
      <w:r>
        <w:rPr>
          <w:spacing w:val="-45"/>
        </w:rPr>
      </w:r>
      <w:r>
        <w:rPr>
          <w:spacing w:val="-2"/>
        </w:rPr>
        <w:t>资产有关的后续支出，在相关的经济利益很可能流入本公司且其成本能够可靠的计量时，计入固定资产成</w:t>
      </w:r>
      <w:r>
        <w:rPr>
          <w:spacing w:val="-44"/>
        </w:rPr>
        <w:t> </w:t>
      </w:r>
      <w:r>
        <w:rPr>
          <w:spacing w:val="-44"/>
        </w:rPr>
      </w:r>
      <w:r>
        <w:rPr>
          <w:spacing w:val="-2"/>
        </w:rPr>
        <w:t>本；对于被替换的部分，终止确认其账面价值；所有其他后续支出于发生时计入当期损益。当固定资产被</w:t>
      </w:r>
      <w:r>
        <w:rPr>
          <w:spacing w:val="-47"/>
        </w:rPr>
        <w:t> </w:t>
      </w:r>
      <w:r>
        <w:rPr>
          <w:spacing w:val="-47"/>
        </w:rPr>
      </w:r>
      <w:r>
        <w:rPr>
          <w:spacing w:val="-2"/>
        </w:rPr>
        <w:t>处置、或者预期通过使用或处置不能产生经济利益时，终止确认该固定资产。固定资产出售、转让、报废</w:t>
      </w:r>
      <w:r>
        <w:rPr>
          <w:spacing w:val="-43"/>
        </w:rPr>
        <w:t> </w:t>
      </w:r>
      <w:r>
        <w:rPr>
          <w:spacing w:val="-43"/>
        </w:rPr>
      </w:r>
      <w:r>
        <w:rPr/>
        <w:t>或毁损的处置收入扣除其账面价值和相关税费后的金额计入当期损益。</w:t>
      </w:r>
    </w:p>
    <w:p>
      <w:pPr>
        <w:spacing w:after="0" w:line="273" w:lineRule="auto"/>
        <w:jc w:val="both"/>
        <w:sectPr>
          <w:pgSz w:w="11910" w:h="16840"/>
          <w:pgMar w:header="706" w:footer="1251" w:top="1060" w:bottom="1540" w:left="96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7"/>
        <w:rPr>
          <w:rFonts w:ascii="宋体" w:hAnsi="宋体" w:cs="宋体" w:eastAsia="宋体" w:hint="default"/>
          <w:b/>
          <w:bCs/>
          <w:sz w:val="25"/>
          <w:szCs w:val="25"/>
        </w:rPr>
      </w:pPr>
    </w:p>
    <w:tbl>
      <w:tblPr>
        <w:tblW w:w="0" w:type="auto"/>
        <w:jc w:val="left"/>
        <w:tblInd w:w="180" w:type="dxa"/>
        <w:tblLayout w:type="fixed"/>
        <w:tblCellMar>
          <w:top w:w="0" w:type="dxa"/>
          <w:left w:w="0" w:type="dxa"/>
          <w:bottom w:w="0" w:type="dxa"/>
          <w:right w:w="0" w:type="dxa"/>
        </w:tblCellMar>
        <w:tblLook w:val="01E0"/>
      </w:tblPr>
      <w:tblGrid>
        <w:gridCol w:w="2495"/>
        <w:gridCol w:w="2116"/>
        <w:gridCol w:w="2220"/>
        <w:gridCol w:w="2727"/>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24" w:firstLine="420"/>
        <w:jc w:val="left"/>
      </w:pPr>
      <w:r>
        <w:rPr/>
        <w:t>当固定资产的公允价值减去处置费用后的净额和资产预计未来现金流量的现值均低于固定资产账面</w:t>
      </w:r>
      <w:r>
        <w:rPr>
          <w:w w:val="100"/>
        </w:rPr>
        <w:t> </w:t>
      </w:r>
      <w:r>
        <w:rPr>
          <w:spacing w:val="-2"/>
        </w:rPr>
        <w:t>价值时，确认固定资产存在减值迹象。固定资产存在减值迹象的，其账面价值减记至可收回金额。可收回</w:t>
      </w:r>
      <w:r>
        <w:rPr>
          <w:spacing w:val="-50"/>
        </w:rPr>
        <w:t> </w:t>
      </w:r>
      <w:r>
        <w:rPr>
          <w:spacing w:val="-50"/>
        </w:rPr>
      </w:r>
      <w:r>
        <w:rPr/>
        <w:t>金额根据固定资产的公允价值减去处置费用后的净额与固定资产预计未来现金流量的现值两者之间较高</w:t>
      </w:r>
      <w:r>
        <w:rPr>
          <w:w w:val="100"/>
        </w:rPr>
        <w:t> </w:t>
      </w:r>
      <w:r>
        <w:rPr/>
        <w:t>者确定。</w:t>
      </w:r>
    </w:p>
    <w:p>
      <w:pPr>
        <w:pStyle w:val="BodyText"/>
        <w:spacing w:line="273" w:lineRule="auto" w:before="7"/>
        <w:ind w:right="0" w:firstLine="420"/>
        <w:jc w:val="left"/>
      </w:pPr>
      <w:r>
        <w:rPr>
          <w:spacing w:val="-2"/>
        </w:rPr>
        <w:t>符合持有待售条件的固定资产，以账面价值与公允价值减去处置费用孰低的金额列示。公允价值减去</w:t>
      </w:r>
      <w:r>
        <w:rPr>
          <w:w w:val="100"/>
        </w:rPr>
        <w:t> </w:t>
      </w:r>
      <w:r>
        <w:rPr/>
        <w:t>处置费用低于原账面价值的金额，确认为资产减值损失。</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15</w:t>
      </w:r>
      <w:r>
        <w:rPr/>
        <w:t>、在建工程</w:t>
      </w:r>
      <w:r>
        <w:rPr>
          <w:b w:val="0"/>
          <w:bCs w:val="0"/>
        </w:rPr>
      </w:r>
    </w:p>
    <w:p>
      <w:pPr>
        <w:pStyle w:val="BodyText"/>
        <w:spacing w:line="600" w:lineRule="atLeast" w:before="12"/>
        <w:ind w:left="593" w:right="0" w:hanging="42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）在建工程的类别</w:t>
      </w:r>
      <w:r>
        <w:rPr>
          <w:rFonts w:ascii="宋体" w:hAnsi="宋体" w:cs="宋体" w:eastAsia="宋体" w:hint="default"/>
          <w:b/>
          <w:bCs/>
          <w:w w:val="100"/>
        </w:rPr>
        <w:t> </w:t>
      </w:r>
      <w:r>
        <w:rPr>
          <w:spacing w:val="-2"/>
        </w:rPr>
        <w:t>在建工程按实际发生的成本计量。实际成本包括建筑费用、其他为使在建工程达到预定可使用状态所</w:t>
      </w:r>
    </w:p>
    <w:p>
      <w:pPr>
        <w:pStyle w:val="BodyText"/>
        <w:spacing w:line="240" w:lineRule="auto" w:before="37"/>
        <w:ind w:right="0"/>
        <w:jc w:val="left"/>
      </w:pPr>
      <w:r>
        <w:rPr/>
        <w:t>发生的必要支出以及在资产达到预定可使用状态之前所发生的符合资本化条件的借款费用。</w:t>
      </w:r>
    </w:p>
    <w:p>
      <w:pPr>
        <w:spacing w:line="240" w:lineRule="auto" w:before="10"/>
        <w:rPr>
          <w:rFonts w:ascii="宋体" w:hAnsi="宋体" w:cs="宋体" w:eastAsia="宋体" w:hint="default"/>
          <w:sz w:val="25"/>
          <w:szCs w:val="25"/>
        </w:rPr>
      </w:pPr>
    </w:p>
    <w:p>
      <w:pPr>
        <w:spacing w:line="506" w:lineRule="auto" w:before="0"/>
        <w:ind w:left="59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在建工程在达到预定可使用状态时，转入固定资产并自次月起开始计提折旧。</w:t>
      </w:r>
    </w:p>
    <w:p>
      <w:pPr>
        <w:spacing w:line="508" w:lineRule="auto" w:before="104"/>
        <w:ind w:left="59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当在建工程的可收回金额低于其账面价值时，账面价值减记至可收回金额。</w:t>
      </w:r>
    </w:p>
    <w:p>
      <w:pPr>
        <w:pStyle w:val="Heading4"/>
        <w:spacing w:line="240" w:lineRule="auto" w:before="102"/>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590" w:lineRule="atLeast" w:before="24"/>
        <w:ind w:left="59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发生的可直接归属于需要经过相当长时间的购建活动才能达到预定可使用状态之固定资产的购建的</w:t>
      </w:r>
    </w:p>
    <w:p>
      <w:pPr>
        <w:pStyle w:val="BodyText"/>
        <w:spacing w:line="273" w:lineRule="auto" w:before="37"/>
        <w:ind w:right="0"/>
        <w:jc w:val="left"/>
      </w:pPr>
      <w:r>
        <w:rPr>
          <w:spacing w:val="-5"/>
        </w:rPr>
        <w:t>借款费用，在资产支出及借款费用已经发生、为使资产达到预定可使用状态所必要的购建活动已经开始时，</w:t>
      </w:r>
      <w:r>
        <w:rPr>
          <w:spacing w:val="-6"/>
        </w:rPr>
        <w:t> </w:t>
      </w:r>
      <w:r>
        <w:rPr>
          <w:spacing w:val="-6"/>
        </w:rPr>
      </w:r>
      <w:r>
        <w:rPr>
          <w:spacing w:val="-2"/>
        </w:rPr>
        <w:t>开始资本化并计入该资产的成本。当购建的资产达到预定可使用状态时停止资本化，其后发生的借款费用</w:t>
      </w:r>
    </w:p>
    <w:p>
      <w:pPr>
        <w:spacing w:after="0" w:line="273" w:lineRule="auto"/>
        <w:jc w:val="left"/>
        <w:sectPr>
          <w:pgSz w:w="11910" w:h="16840"/>
          <w:pgMar w:header="706" w:footer="1251" w:top="1060" w:bottom="1540" w:left="960" w:right="0"/>
        </w:sectPr>
      </w:pPr>
    </w:p>
    <w:p>
      <w:pPr>
        <w:spacing w:line="240" w:lineRule="auto" w:before="10"/>
        <w:rPr>
          <w:rFonts w:ascii="宋体" w:hAnsi="宋体" w:cs="宋体" w:eastAsia="宋体" w:hint="default"/>
          <w:sz w:val="24"/>
          <w:szCs w:val="24"/>
        </w:rPr>
      </w:pPr>
    </w:p>
    <w:p>
      <w:pPr>
        <w:pStyle w:val="BodyText"/>
        <w:spacing w:line="256" w:lineRule="auto" w:before="36"/>
        <w:ind w:right="0"/>
        <w:jc w:val="left"/>
      </w:pPr>
      <w:r>
        <w:rPr>
          <w:spacing w:val="-2"/>
        </w:rPr>
        <w:t>计入当期损益。如果资产的购建活动发生非正常中断，并且中断时间连续超过</w:t>
      </w:r>
      <w:r>
        <w:rPr>
          <w:rFonts w:ascii="Times New Roman" w:hAnsi="Times New Roman" w:cs="Times New Roman" w:eastAsia="Times New Roman" w:hint="default"/>
          <w:spacing w:val="-2"/>
        </w:rPr>
        <w:t>3</w:t>
      </w:r>
      <w:r>
        <w:rPr>
          <w:spacing w:val="-2"/>
        </w:rPr>
        <w:t>个月，暂停借款费用的资</w:t>
      </w:r>
      <w:r>
        <w:rPr>
          <w:spacing w:val="-22"/>
        </w:rPr>
        <w:t> </w:t>
      </w:r>
      <w:r>
        <w:rPr>
          <w:spacing w:val="-22"/>
        </w:rPr>
      </w:r>
      <w:r>
        <w:rPr/>
        <w:t>本化，直至资产的购建活动重新开始。</w:t>
      </w:r>
    </w:p>
    <w:p>
      <w:pPr>
        <w:spacing w:line="614" w:lineRule="exact" w:before="76"/>
        <w:ind w:left="59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在资本化期间内，专门借款</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指为购建或者生产符合资本化条件的资产而专门借入的款项</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以专门借款</w:t>
      </w:r>
    </w:p>
    <w:p>
      <w:pPr>
        <w:pStyle w:val="BodyText"/>
        <w:spacing w:line="219" w:lineRule="exact"/>
        <w:ind w:right="0"/>
        <w:jc w:val="left"/>
      </w:pPr>
      <w:r>
        <w:rPr/>
        <w:t>当期实际发生的利息费用，减去将尚未动用的借款资金存入银行取得的利息收入或进行暂时性投资取得的</w:t>
      </w:r>
    </w:p>
    <w:p>
      <w:pPr>
        <w:pStyle w:val="BodyText"/>
        <w:spacing w:line="273" w:lineRule="auto" w:before="37"/>
        <w:ind w:right="1126"/>
        <w:jc w:val="both"/>
      </w:pPr>
      <w:r>
        <w:rPr>
          <w:spacing w:val="-2"/>
        </w:rPr>
        <w:t>投资收益后确定应予资本化的利息金额；一般借款则根据累计资产支出超过专门借款部分的资产支出加权</w:t>
      </w:r>
      <w:r>
        <w:rPr>
          <w:spacing w:val="-43"/>
        </w:rPr>
        <w:t> </w:t>
      </w:r>
      <w:r>
        <w:rPr>
          <w:spacing w:val="-43"/>
        </w:rPr>
      </w:r>
      <w:r>
        <w:rPr>
          <w:spacing w:val="-2"/>
        </w:rPr>
        <w:t>平均数乘以所占用一般借款的资本化率，计算确定一般借款应予资本化的利息金额。资本化率根据一般借</w:t>
      </w:r>
      <w:r>
        <w:rPr>
          <w:spacing w:val="-43"/>
        </w:rPr>
        <w:t> </w:t>
      </w:r>
      <w:r>
        <w:rPr>
          <w:spacing w:val="-43"/>
        </w:rPr>
      </w:r>
      <w:r>
        <w:rPr/>
        <w:t>款加权平均利率计算确定。</w:t>
      </w:r>
    </w:p>
    <w:p>
      <w:pPr>
        <w:pStyle w:val="BodyText"/>
        <w:spacing w:line="273" w:lineRule="auto" w:before="7"/>
        <w:ind w:right="1124" w:firstLine="420"/>
        <w:jc w:val="left"/>
      </w:pPr>
      <w:r>
        <w:rPr>
          <w:spacing w:val="-2"/>
        </w:rPr>
        <w:t>借款存在折价或者溢价的，按照实际利率法确定每一会计期间应摊销的折价或者溢价金额，调整每期</w:t>
      </w:r>
      <w:r>
        <w:rPr>
          <w:w w:val="100"/>
        </w:rPr>
        <w:t> </w:t>
      </w:r>
      <w:r>
        <w:rPr/>
        <w:t>利息金额。</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593" w:right="0"/>
        <w:jc w:val="left"/>
      </w:pPr>
      <w:r>
        <w:rPr/>
        <w:t>无形资产包括土地使用权、专利权及非专利技术等。无形资产以实际成本计量。</w:t>
      </w:r>
      <w:r>
        <w:rPr>
          <w:w w:val="100"/>
        </w:rPr>
        <w:t> </w:t>
      </w:r>
      <w:r>
        <w:rPr>
          <w:spacing w:val="-2"/>
        </w:rPr>
        <w:t>土地使用权按使用年限平均摊销。外购土地及建筑物的价款难以在土地使用权与建筑物之间合理分配</w:t>
      </w:r>
    </w:p>
    <w:p>
      <w:pPr>
        <w:pStyle w:val="BodyText"/>
        <w:spacing w:line="273" w:lineRule="auto" w:before="7"/>
        <w:ind w:left="593" w:right="0" w:hanging="421"/>
        <w:jc w:val="left"/>
      </w:pPr>
      <w:r>
        <w:rPr/>
        <w:t>的，全部作为固定资产。专利权按法律规定的有效年限平均摊销。</w:t>
      </w:r>
      <w:r>
        <w:rPr>
          <w:w w:val="100"/>
        </w:rPr>
        <w:t> </w:t>
      </w:r>
      <w:r>
        <w:rPr>
          <w:spacing w:val="-2"/>
        </w:rPr>
        <w:t>当无形资产的公允价值减去处置费用后的净额和资产预计未来现金流量的现值均低于无形资产账面</w:t>
      </w:r>
    </w:p>
    <w:p>
      <w:pPr>
        <w:pStyle w:val="BodyText"/>
        <w:spacing w:line="273" w:lineRule="auto" w:before="7"/>
        <w:ind w:right="1124"/>
        <w:jc w:val="left"/>
      </w:pPr>
      <w:r>
        <w:rPr>
          <w:spacing w:val="-2"/>
        </w:rPr>
        <w:t>价值时，确认无形资产存在减值迹象。无形资产存在减值迹象的，其账面价值减记至可收回金额。可收回</w:t>
      </w:r>
      <w:r>
        <w:rPr>
          <w:spacing w:val="-50"/>
        </w:rPr>
        <w:t> </w:t>
      </w:r>
      <w:r>
        <w:rPr>
          <w:spacing w:val="-50"/>
        </w:rPr>
      </w:r>
      <w:r>
        <w:rPr/>
        <w:t>金额根据无形资产的公允价值减去处置费用后的净额与无形资产预计未来现金流量的现值两者之间较高</w:t>
      </w:r>
      <w:r>
        <w:rPr>
          <w:w w:val="100"/>
        </w:rPr>
        <w:t> </w:t>
      </w:r>
      <w:r>
        <w:rPr/>
        <w:t>者确定。</w:t>
      </w:r>
    </w:p>
    <w:p>
      <w:pPr>
        <w:spacing w:line="240" w:lineRule="auto" w:before="7"/>
        <w:rPr>
          <w:rFonts w:ascii="宋体" w:hAnsi="宋体" w:cs="宋体" w:eastAsia="宋体" w:hint="default"/>
          <w:sz w:val="23"/>
          <w:szCs w:val="23"/>
        </w:rPr>
      </w:pPr>
    </w:p>
    <w:p>
      <w:pPr>
        <w:spacing w:line="506" w:lineRule="auto" w:before="0"/>
        <w:ind w:left="593" w:right="0" w:hanging="421"/>
        <w:jc w:val="left"/>
        <w:rPr>
          <w:rFonts w:ascii="宋体" w:hAnsi="宋体" w:cs="宋体" w:eastAsia="宋体" w:hint="default"/>
          <w:sz w:val="21"/>
          <w:szCs w:val="21"/>
        </w:rPr>
      </w:pPr>
      <w:r>
        <w:rPr/>
        <w:pict>
          <v:shape style="position:absolute;margin-left:56.459999pt;margin-top:46.853664pt;width:479.2pt;height:20.6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9"/>
                    <w:gridCol w:w="2216"/>
                    <w:gridCol w:w="5075"/>
                  </w:tblGrid>
                  <w:tr>
                    <w:trPr>
                      <w:trHeight w:val="403" w:hRule="exact"/>
                    </w:trPr>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b/>
          <w:bCs/>
          <w:w w:val="100"/>
          <w:sz w:val="21"/>
          <w:szCs w:val="21"/>
        </w:rPr>
        <w:t> </w:t>
      </w:r>
      <w:r>
        <w:rPr>
          <w:rFonts w:ascii="宋体" w:hAnsi="宋体" w:cs="宋体" w:eastAsia="宋体" w:hint="default"/>
          <w:spacing w:val="-2"/>
          <w:sz w:val="21"/>
          <w:szCs w:val="21"/>
        </w:rPr>
        <w:t>对使用寿命有限的无形资产的预计使用寿命及摊销方法于每年年度终了进行复核并作适当调整。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600" w:lineRule="atLeast" w:before="12"/>
        <w:ind w:left="59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100"/>
          <w:sz w:val="21"/>
          <w:szCs w:val="21"/>
        </w:rPr>
        <w:t> </w:t>
      </w:r>
      <w:r>
        <w:rPr>
          <w:rFonts w:ascii="宋体" w:hAnsi="宋体" w:cs="宋体" w:eastAsia="宋体" w:hint="default"/>
          <w:spacing w:val="-2"/>
          <w:sz w:val="21"/>
          <w:szCs w:val="21"/>
        </w:rPr>
        <w:t>根据内部研究开发项目支出的性质以及研发活动最终形成无形资产是否具有较大不确定性，分为研究</w:t>
      </w:r>
    </w:p>
    <w:p>
      <w:pPr>
        <w:spacing w:after="0" w:line="600" w:lineRule="atLeast"/>
        <w:jc w:val="left"/>
        <w:rPr>
          <w:rFonts w:ascii="宋体" w:hAnsi="宋体" w:cs="宋体" w:eastAsia="宋体" w:hint="default"/>
          <w:sz w:val="21"/>
          <w:szCs w:val="21"/>
        </w:rPr>
        <w:sectPr>
          <w:pgSz w:w="11910" w:h="16840"/>
          <w:pgMar w:header="706" w:footer="1251" w:top="1060" w:bottom="1440" w:left="96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阶段支出和开发阶段支出。</w:t>
      </w:r>
    </w:p>
    <w:p>
      <w:pPr>
        <w:spacing w:line="600" w:lineRule="atLeast" w:before="28"/>
        <w:ind w:left="59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）内部研究开发项目支出的核算</w:t>
      </w:r>
      <w:r>
        <w:rPr>
          <w:rFonts w:ascii="宋体" w:hAnsi="宋体" w:cs="宋体" w:eastAsia="宋体" w:hint="default"/>
          <w:b/>
          <w:bCs/>
          <w:w w:val="100"/>
          <w:sz w:val="21"/>
          <w:szCs w:val="21"/>
        </w:rPr>
        <w:t> </w:t>
      </w:r>
      <w:r>
        <w:rPr>
          <w:rFonts w:ascii="宋体" w:hAnsi="宋体" w:cs="宋体" w:eastAsia="宋体" w:hint="default"/>
          <w:spacing w:val="-5"/>
          <w:sz w:val="21"/>
          <w:szCs w:val="21"/>
        </w:rPr>
        <w:t>研究阶段的支出，于发生时计入当期损益；开发阶段的支出，同时满足下列条件的，确认为无形资产：</w:t>
      </w:r>
    </w:p>
    <w:p>
      <w:pPr>
        <w:pStyle w:val="BodyText"/>
        <w:spacing w:line="240" w:lineRule="auto" w:before="37"/>
        <w:ind w:left="593" w:right="0"/>
        <w:jc w:val="left"/>
      </w:pP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1"/>
        <w:ind w:left="593" w:right="0"/>
        <w:jc w:val="left"/>
      </w:pPr>
      <w:r>
        <w:rPr>
          <w:rFonts w:ascii="Times New Roman" w:hAnsi="Times New Roman" w:cs="Times New Roman" w:eastAsia="Times New Roman" w:hint="default"/>
        </w:rPr>
        <w:t>2)</w:t>
      </w:r>
      <w:r>
        <w:rPr/>
        <w:t>管理层具有完成该无形资产并使用或出售的意图；</w:t>
      </w:r>
    </w:p>
    <w:p>
      <w:pPr>
        <w:pStyle w:val="BodyText"/>
        <w:spacing w:line="240" w:lineRule="auto" w:before="21"/>
        <w:ind w:left="593" w:right="0"/>
        <w:jc w:val="left"/>
      </w:pPr>
      <w:r>
        <w:rPr>
          <w:rFonts w:ascii="Times New Roman" w:hAnsi="Times New Roman" w:cs="Times New Roman" w:eastAsia="Times New Roman" w:hint="default"/>
        </w:rPr>
        <w:t>3)</w:t>
      </w:r>
      <w:r>
        <w:rPr/>
        <w:t>能够证明该无形资产将如何产生经济利益；</w:t>
      </w:r>
    </w:p>
    <w:p>
      <w:pPr>
        <w:pStyle w:val="BodyText"/>
        <w:spacing w:line="256" w:lineRule="auto" w:before="21"/>
        <w:ind w:right="1124" w:firstLine="420"/>
        <w:jc w:val="left"/>
      </w:pPr>
      <w:r>
        <w:rPr>
          <w:rFonts w:ascii="Times New Roman" w:hAnsi="Times New Roman" w:cs="Times New Roman" w:eastAsia="Times New Roman" w:hint="default"/>
          <w:spacing w:val="-2"/>
        </w:rPr>
        <w:t>4)</w:t>
      </w:r>
      <w:r>
        <w:rPr>
          <w:spacing w:val="-2"/>
        </w:rPr>
        <w:t>有足够的技术、财务资源和其他资源支持，以完成该无形资产的开发，并有能力使用或出售该无形</w:t>
      </w:r>
      <w:r>
        <w:rPr>
          <w:w w:val="100"/>
        </w:rPr>
        <w:t> </w:t>
      </w:r>
      <w:r>
        <w:rPr/>
        <w:t>资产；</w:t>
      </w:r>
    </w:p>
    <w:p>
      <w:pPr>
        <w:pStyle w:val="BodyText"/>
        <w:spacing w:line="256" w:lineRule="auto" w:before="22"/>
        <w:ind w:left="593" w:right="0"/>
        <w:jc w:val="left"/>
      </w:pPr>
      <w:r>
        <w:rPr>
          <w:rFonts w:ascii="Times New Roman" w:hAnsi="Times New Roman" w:cs="Times New Roman" w:eastAsia="Times New Roman" w:hint="default"/>
        </w:rPr>
        <w:t>5)</w:t>
      </w:r>
      <w:r>
        <w:rPr/>
        <w:t>归属于该无形资产开发阶段的支出能够可靠地计量。</w:t>
      </w:r>
      <w:r>
        <w:rPr>
          <w:w w:val="100"/>
        </w:rPr>
        <w:t> </w:t>
      </w:r>
      <w:r>
        <w:rPr>
          <w:spacing w:val="-2"/>
        </w:rPr>
        <w:t>不满足上述条件的开发阶段的支出，于发生时计入当期损益。前期已计入损益的开发支出不在以后期</w:t>
      </w:r>
    </w:p>
    <w:p>
      <w:pPr>
        <w:pStyle w:val="BodyText"/>
        <w:spacing w:line="273" w:lineRule="auto" w:before="23"/>
        <w:ind w:right="0"/>
        <w:jc w:val="left"/>
      </w:pPr>
      <w:r>
        <w:rPr>
          <w:spacing w:val="-2"/>
        </w:rPr>
        <w:t>间确认为资产。已资本化的开发阶段的支出在资产负债表上列示为开发支出，自该项目达到预定可使用状</w:t>
      </w:r>
      <w:r>
        <w:rPr>
          <w:spacing w:val="-43"/>
        </w:rPr>
        <w:t> </w:t>
      </w:r>
      <w:r>
        <w:rPr>
          <w:spacing w:val="-43"/>
        </w:rPr>
      </w:r>
      <w:r>
        <w:rPr/>
        <w:t>态之日起转为无形资产。</w:t>
      </w:r>
    </w:p>
    <w:p>
      <w:pPr>
        <w:pStyle w:val="BodyText"/>
        <w:spacing w:line="240" w:lineRule="auto" w:before="7"/>
        <w:ind w:left="593" w:right="0"/>
        <w:jc w:val="left"/>
      </w:pPr>
      <w:r>
        <w:rPr/>
        <w:t>当开发支出的可收回金额低于其账面价值时，账面价值减记至可收回金额。</w:t>
      </w:r>
    </w:p>
    <w:p>
      <w:pPr>
        <w:spacing w:line="240" w:lineRule="auto" w:before="10"/>
        <w:rPr>
          <w:rFonts w:ascii="宋体" w:hAnsi="宋体" w:cs="宋体" w:eastAsia="宋体" w:hint="default"/>
          <w:sz w:val="26"/>
          <w:szCs w:val="26"/>
        </w:rPr>
      </w:pPr>
    </w:p>
    <w:p>
      <w:pPr>
        <w:pStyle w:val="BodyText"/>
        <w:spacing w:line="590" w:lineRule="atLeast"/>
        <w:ind w:left="593" w:right="1124" w:hanging="421"/>
        <w:jc w:val="left"/>
      </w:pPr>
      <w:r>
        <w:rPr>
          <w:rFonts w:ascii="Times New Roman" w:hAnsi="Times New Roman" w:cs="Times New Roman" w:eastAsia="Times New Roman" w:hint="default"/>
          <w:b/>
          <w:bCs/>
        </w:rPr>
        <w:t>20</w:t>
      </w:r>
      <w:r>
        <w:rPr>
          <w:rFonts w:ascii="宋体" w:hAnsi="宋体" w:cs="宋体" w:eastAsia="宋体" w:hint="default"/>
          <w:b/>
          <w:bCs/>
        </w:rPr>
        <w:t>、长期待摊费用</w:t>
      </w:r>
      <w:r>
        <w:rPr>
          <w:rFonts w:ascii="宋体" w:hAnsi="宋体" w:cs="宋体" w:eastAsia="宋体" w:hint="default"/>
          <w:b/>
          <w:bCs/>
          <w:w w:val="100"/>
        </w:rPr>
        <w:t> </w:t>
      </w:r>
      <w:r>
        <w:rPr>
          <w:spacing w:val="-2"/>
        </w:rPr>
        <w:t>长期待摊费用包括经营租入固定资产改良及其他已经发生但应由本期和以后各期负担的分摊期限在</w:t>
      </w:r>
    </w:p>
    <w:p>
      <w:pPr>
        <w:pStyle w:val="BodyText"/>
        <w:spacing w:line="240" w:lineRule="auto" w:before="37"/>
        <w:ind w:right="0"/>
        <w:jc w:val="left"/>
      </w:pPr>
      <w:r>
        <w:rPr/>
        <w:t>一年以上的各项费用，按预计受益期间分期平均摊销，并以实际支出减去累计摊销后的净额列示。</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22</w:t>
      </w:r>
      <w:r>
        <w:rPr/>
        <w:t>、预计负债</w:t>
      </w:r>
      <w:r>
        <w:rPr>
          <w:b w:val="0"/>
          <w:bCs w:val="0"/>
        </w:rPr>
      </w:r>
    </w:p>
    <w:p>
      <w:pPr>
        <w:spacing w:line="600" w:lineRule="atLeast" w:before="12"/>
        <w:ind w:left="59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对因产品质量保证、亏损合同等形成的现时义务，其履行很可能导致经济利益的流出，在该义务的金</w:t>
      </w:r>
    </w:p>
    <w:p>
      <w:pPr>
        <w:pStyle w:val="BodyText"/>
        <w:spacing w:line="240" w:lineRule="auto" w:before="37"/>
        <w:ind w:right="0"/>
        <w:jc w:val="left"/>
      </w:pPr>
      <w:r>
        <w:rPr/>
        <w:t>额能够可靠计量时，确认为预计负债。对于未来经营亏损，不确认预计负债。</w:t>
      </w:r>
    </w:p>
    <w:p>
      <w:pPr>
        <w:spacing w:line="590" w:lineRule="atLeast" w:before="38"/>
        <w:ind w:left="59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预计负债按照履行相关现时义务所需支出的最佳估计数进行初始计量，并综合考虑与或有事项有关的</w:t>
      </w:r>
    </w:p>
    <w:p>
      <w:pPr>
        <w:pStyle w:val="BodyText"/>
        <w:spacing w:line="273" w:lineRule="auto" w:before="37"/>
        <w:ind w:right="1126"/>
        <w:jc w:val="both"/>
      </w:pPr>
      <w:r>
        <w:rPr>
          <w:spacing w:val="-2"/>
        </w:rPr>
        <w:t>风险、不确定性和货币时间价值等因素。货币时间价值影响重大的，通过对相关未来现金流出进行折现后</w:t>
      </w:r>
      <w:r>
        <w:rPr>
          <w:spacing w:val="-45"/>
        </w:rPr>
        <w:t> </w:t>
      </w:r>
      <w:r>
        <w:rPr>
          <w:spacing w:val="-45"/>
        </w:rPr>
      </w:r>
      <w:r>
        <w:rPr>
          <w:spacing w:val="-2"/>
        </w:rPr>
        <w:t>确定最佳估计数；因随着时间推移所进行的折现还原而导致的预计负债账面价值的增加金额，确认为利息</w:t>
      </w:r>
      <w:r>
        <w:rPr>
          <w:spacing w:val="-44"/>
        </w:rPr>
        <w:t> </w:t>
      </w:r>
      <w:r>
        <w:rPr>
          <w:spacing w:val="-44"/>
        </w:rPr>
      </w:r>
      <w:r>
        <w:rPr/>
        <w:t>费用。</w:t>
      </w:r>
    </w:p>
    <w:p>
      <w:pPr>
        <w:pStyle w:val="BodyText"/>
        <w:spacing w:line="240" w:lineRule="auto" w:before="7"/>
        <w:ind w:right="0"/>
        <w:jc w:val="left"/>
      </w:pPr>
      <w:r>
        <w:rPr/>
        <w:t>于资产负债表日，对预计负债的账面价值进行复核并作适当调整，以反映当前的最佳估计数。</w:t>
      </w:r>
    </w:p>
    <w:p>
      <w:pPr>
        <w:spacing w:after="0" w:line="240" w:lineRule="auto"/>
        <w:jc w:val="left"/>
        <w:sectPr>
          <w:pgSz w:w="11910" w:h="16840"/>
          <w:pgMar w:header="706" w:footer="1251" w:top="1060" w:bottom="1440" w:left="96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25</w:t>
      </w:r>
      <w:r>
        <w:rPr/>
        <w:t>、收入</w:t>
      </w:r>
      <w:r>
        <w:rPr>
          <w:b w:val="0"/>
          <w:bCs w:val="0"/>
        </w:rPr>
      </w:r>
    </w:p>
    <w:p>
      <w:pPr>
        <w:spacing w:line="590" w:lineRule="atLeast" w:before="24"/>
        <w:ind w:left="59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收入的金额按照本公司在日常经营活动中销售商品和提供劳务时，已收或应收合同或协议价款的公允</w:t>
      </w:r>
    </w:p>
    <w:p>
      <w:pPr>
        <w:pStyle w:val="BodyText"/>
        <w:spacing w:line="273" w:lineRule="auto" w:before="37"/>
        <w:ind w:right="0"/>
        <w:jc w:val="left"/>
      </w:pPr>
      <w:r>
        <w:rPr>
          <w:spacing w:val="-2"/>
        </w:rPr>
        <w:t>价值确定。收入按扣除增值税、商业折扣、销售折让及销售退回的净额列示。与交易相关的经济利益能够</w:t>
      </w:r>
      <w:r>
        <w:rPr>
          <w:spacing w:val="-47"/>
        </w:rPr>
        <w:t> </w:t>
      </w:r>
      <w:r>
        <w:rPr>
          <w:spacing w:val="-47"/>
        </w:rPr>
      </w:r>
      <w:r>
        <w:rPr>
          <w:spacing w:val="-5"/>
        </w:rPr>
        <w:t>流入本公司，相关的收入能够可靠计量且满足下列各项经营活动的特定收入确认标准时，确认相关的收入。</w:t>
      </w:r>
      <w:r>
        <w:rPr>
          <w:spacing w:val="-4"/>
        </w:rPr>
        <w:t> </w:t>
      </w:r>
      <w:r>
        <w:rPr>
          <w:spacing w:val="-4"/>
        </w:rPr>
      </w:r>
      <w:r>
        <w:rPr>
          <w:spacing w:val="-2"/>
        </w:rPr>
        <w:t>商品销售在商品所有权上的主要风险和报酬已转移给买方，本公司不再对该商品实施继续管理权和实际控</w:t>
      </w:r>
      <w:r>
        <w:rPr>
          <w:spacing w:val="-43"/>
        </w:rPr>
        <w:t> </w:t>
      </w:r>
      <w:r>
        <w:rPr>
          <w:spacing w:val="-43"/>
        </w:rPr>
      </w:r>
      <w:r>
        <w:rPr/>
        <w:t>制权，与交易相关的经济利益很可能流入企业，并且与销售该商品相关的收入和成本能够可靠地计量时，</w:t>
      </w:r>
      <w:r>
        <w:rPr>
          <w:w w:val="100"/>
        </w:rPr>
        <w:t> </w:t>
      </w:r>
      <w:r>
        <w:rPr/>
        <w:t>确认营业收入的实现。</w:t>
      </w:r>
    </w:p>
    <w:p>
      <w:pPr>
        <w:spacing w:line="614" w:lineRule="exact" w:before="62"/>
        <w:ind w:left="59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让渡资产使用权取得的利息收入和使用费收入，在与交易相关的经济利益能够流入企业，且收入的金</w:t>
      </w:r>
    </w:p>
    <w:p>
      <w:pPr>
        <w:pStyle w:val="BodyText"/>
        <w:spacing w:line="219" w:lineRule="exact"/>
        <w:ind w:right="0"/>
        <w:jc w:val="left"/>
      </w:pPr>
      <w:r>
        <w:rPr/>
        <w:t>额能够可靠地计量时，确认收入的实现。</w:t>
      </w:r>
    </w:p>
    <w:p>
      <w:pPr>
        <w:spacing w:line="590" w:lineRule="atLeast" w:before="38"/>
        <w:ind w:left="59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）确认提供劳务收入的依据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提供的劳务在同一会计年度开始并完成的，在劳务已经提供，收到价款或取得收取价款的证据时，确</w:t>
      </w:r>
    </w:p>
    <w:p>
      <w:pPr>
        <w:pStyle w:val="BodyText"/>
        <w:spacing w:line="273" w:lineRule="auto" w:before="37"/>
        <w:ind w:right="1126"/>
        <w:jc w:val="both"/>
      </w:pPr>
      <w:r>
        <w:rPr>
          <w:spacing w:val="-2"/>
        </w:rPr>
        <w:t>认营业收入的实现；劳务的开始和完成分属不同会计年度的，在劳务合同的总收入、劳务的完成程度能够</w:t>
      </w:r>
      <w:r>
        <w:rPr>
          <w:spacing w:val="-42"/>
        </w:rPr>
        <w:t> </w:t>
      </w:r>
      <w:r>
        <w:rPr>
          <w:spacing w:val="-42"/>
        </w:rPr>
      </w:r>
      <w:r>
        <w:rPr>
          <w:spacing w:val="-2"/>
        </w:rPr>
        <w:t>可靠地确定，与交易相关的价款能够流入，已经发生的成本和为完成劳务将要发生的成本能够可靠地计量</w:t>
      </w:r>
      <w:r>
        <w:rPr>
          <w:spacing w:val="-44"/>
        </w:rPr>
        <w:t> </w:t>
      </w:r>
      <w:r>
        <w:rPr>
          <w:spacing w:val="-44"/>
        </w:rPr>
      </w:r>
      <w:r>
        <w:rPr>
          <w:spacing w:val="-2"/>
        </w:rPr>
        <w:t>时，按完工百分比法确认营业收入的实现；长期合同工程在合同结果已经能够合理地预见时，按结账时已</w:t>
      </w:r>
      <w:r>
        <w:rPr>
          <w:spacing w:val="-44"/>
        </w:rPr>
        <w:t> </w:t>
      </w:r>
      <w:r>
        <w:rPr>
          <w:spacing w:val="-44"/>
        </w:rPr>
      </w:r>
      <w:r>
        <w:rPr/>
        <w:t>完成工程进度的百分比法确认营业收入的实现。</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26" w:firstLine="420"/>
        <w:jc w:val="both"/>
      </w:pPr>
      <w:r>
        <w:rPr>
          <w:spacing w:val="-2"/>
        </w:rPr>
        <w:t>政府补助，是指公司从政府无偿取得货币性资产或非货币性资产，但不包括政府作为公司所有者投入</w:t>
      </w:r>
      <w:r>
        <w:rPr>
          <w:w w:val="100"/>
        </w:rPr>
        <w:t> </w:t>
      </w:r>
      <w:r>
        <w:rPr>
          <w:spacing w:val="-2"/>
        </w:rPr>
        <w:t>的资本。政府补助分为与资产相关的政府补助和与收益相关的政府补助。与资产相关的政府补助，是指公</w:t>
      </w:r>
      <w:r>
        <w:rPr>
          <w:spacing w:val="-44"/>
        </w:rPr>
        <w:t> </w:t>
      </w:r>
      <w:r>
        <w:rPr>
          <w:spacing w:val="-44"/>
        </w:rPr>
      </w:r>
      <w:r>
        <w:rPr>
          <w:spacing w:val="-2"/>
        </w:rPr>
        <w:t>司取得的、用于购建或以其他方式形成长期资产的政府补助。与收益相关的政府补助，是指除与资产相关</w:t>
      </w:r>
    </w:p>
    <w:p>
      <w:pPr>
        <w:spacing w:after="0" w:line="273" w:lineRule="auto"/>
        <w:jc w:val="both"/>
        <w:sectPr>
          <w:pgSz w:w="11910" w:h="16840"/>
          <w:pgMar w:header="706" w:footer="1251" w:top="1060" w:bottom="1440" w:left="96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的政府补助之外的政府补助。</w:t>
      </w:r>
    </w:p>
    <w:p>
      <w:pPr>
        <w:pStyle w:val="BodyText"/>
        <w:spacing w:line="600" w:lineRule="atLeast" w:before="28"/>
        <w:ind w:left="593" w:right="0" w:hanging="42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）会计处理方法</w:t>
      </w:r>
      <w:r>
        <w:rPr>
          <w:rFonts w:ascii="宋体" w:hAnsi="宋体" w:cs="宋体" w:eastAsia="宋体" w:hint="default"/>
          <w:b/>
          <w:bCs/>
          <w:spacing w:val="-104"/>
        </w:rPr>
        <w:t> </w:t>
      </w:r>
      <w:r>
        <w:rPr>
          <w:spacing w:val="-2"/>
        </w:rPr>
        <w:t>政府补助为货币性资产的，按照收到或应收的金额计量。政府补助为非货币性资产的，按照公允价值</w:t>
      </w:r>
    </w:p>
    <w:p>
      <w:pPr>
        <w:pStyle w:val="BodyText"/>
        <w:spacing w:line="273" w:lineRule="auto" w:before="37"/>
        <w:ind w:left="593" w:right="0" w:hanging="421"/>
        <w:jc w:val="left"/>
      </w:pPr>
      <w:r>
        <w:rPr/>
        <w:t>计量；公允价值不能可靠取得的，按照名义金额计量。</w:t>
      </w:r>
      <w:r>
        <w:rPr>
          <w:w w:val="100"/>
        </w:rPr>
        <w:t> </w:t>
      </w:r>
      <w:r>
        <w:rPr>
          <w:spacing w:val="-2"/>
        </w:rPr>
        <w:t>与资产相关的政府补助，应当确认为递延收益，并在相关资产使用寿命内平均分配，计入当期损益。</w:t>
      </w:r>
    </w:p>
    <w:p>
      <w:pPr>
        <w:pStyle w:val="BodyText"/>
        <w:spacing w:line="273" w:lineRule="auto" w:before="7"/>
        <w:ind w:right="1126"/>
        <w:jc w:val="both"/>
      </w:pPr>
      <w:r>
        <w:rPr>
          <w:spacing w:val="-2"/>
        </w:rPr>
        <w:t>按照名义金额计量的政府补助，直接计入当期损益。与收益相关的政府补助，用于补偿公司以后期间的相</w:t>
      </w:r>
      <w:r>
        <w:rPr>
          <w:spacing w:val="-45"/>
        </w:rPr>
        <w:t> </w:t>
      </w:r>
      <w:r>
        <w:rPr>
          <w:spacing w:val="-45"/>
        </w:rPr>
      </w:r>
      <w:r>
        <w:rPr>
          <w:spacing w:val="-2"/>
        </w:rPr>
        <w:t>关费用或损失的，确认为递延收益，并在确认相关费用的期间，计入当期损益；用于补偿公司已发生的相</w:t>
      </w:r>
      <w:r>
        <w:rPr>
          <w:spacing w:val="-50"/>
        </w:rPr>
        <w:t> </w:t>
      </w:r>
      <w:r>
        <w:rPr>
          <w:spacing w:val="-50"/>
        </w:rPr>
      </w:r>
      <w:r>
        <w:rPr/>
        <w:t>关费用或损失的，直接计入当期损益。</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614" w:lineRule="exact" w:before="76"/>
        <w:ind w:left="59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递延所得税资产和递延所得税负债根据资产和负债的计税基础与其账面价值的差额</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包括应纳税暂时</w:t>
      </w:r>
    </w:p>
    <w:p>
      <w:pPr>
        <w:pStyle w:val="BodyText"/>
        <w:spacing w:line="235" w:lineRule="exact"/>
        <w:ind w:right="0"/>
        <w:jc w:val="left"/>
      </w:pPr>
      <w:r>
        <w:rPr/>
        <w:t>性差异和可抵扣暂时性差异</w:t>
      </w:r>
      <w:r>
        <w:rPr>
          <w:rFonts w:ascii="Times New Roman" w:hAnsi="Times New Roman" w:cs="Times New Roman" w:eastAsia="Times New Roman" w:hint="default"/>
        </w:rPr>
        <w:t>)</w:t>
      </w:r>
      <w:r>
        <w:rPr/>
        <w:t>计算确认。对于按照税法规定能够于以后年度抵减应纳税所得额的可抵扣亏</w:t>
      </w:r>
    </w:p>
    <w:p>
      <w:pPr>
        <w:pStyle w:val="BodyText"/>
        <w:spacing w:line="268" w:lineRule="auto" w:before="21"/>
        <w:ind w:right="1126"/>
        <w:jc w:val="both"/>
      </w:pPr>
      <w:r>
        <w:rPr>
          <w:spacing w:val="-2"/>
        </w:rPr>
        <w:t>损，视同可抵扣暂时性差异。对于商誉的初始确认产生的暂时性差异，不确认相应的递延所得税负债。对</w:t>
      </w:r>
      <w:r>
        <w:rPr>
          <w:spacing w:val="-47"/>
        </w:rPr>
        <w:t> </w:t>
      </w:r>
      <w:r>
        <w:rPr>
          <w:spacing w:val="-47"/>
        </w:rPr>
      </w:r>
      <w:r>
        <w:rPr>
          <w:spacing w:val="-2"/>
        </w:rPr>
        <w:t>于既不影响会计利润也不影响应纳税所得额</w:t>
      </w:r>
      <w:r>
        <w:rPr>
          <w:rFonts w:ascii="Times New Roman" w:hAnsi="Times New Roman" w:cs="Times New Roman" w:eastAsia="Times New Roman" w:hint="default"/>
          <w:spacing w:val="-2"/>
        </w:rPr>
        <w:t>(</w:t>
      </w:r>
      <w:r>
        <w:rPr>
          <w:spacing w:val="-2"/>
        </w:rPr>
        <w:t>或可抵扣亏损</w:t>
      </w:r>
      <w:r>
        <w:rPr>
          <w:rFonts w:ascii="Times New Roman" w:hAnsi="Times New Roman" w:cs="Times New Roman" w:eastAsia="Times New Roman" w:hint="default"/>
          <w:spacing w:val="-2"/>
        </w:rPr>
        <w:t>)</w:t>
      </w:r>
      <w:r>
        <w:rPr>
          <w:spacing w:val="-2"/>
        </w:rPr>
        <w:t>的非企业合并的交易中产生的资产或负债的初</w:t>
      </w:r>
      <w:r>
        <w:rPr>
          <w:spacing w:val="-19"/>
        </w:rPr>
        <w:t> </w:t>
      </w:r>
      <w:r>
        <w:rPr>
          <w:spacing w:val="-19"/>
        </w:rPr>
      </w:r>
      <w:r>
        <w:rPr>
          <w:spacing w:val="-2"/>
        </w:rPr>
        <w:t>始确认形成的暂时性差异，不确认相应的递延所得税资产和递延所得税负债。于资产负债表日，递延所得</w:t>
      </w:r>
      <w:r>
        <w:rPr>
          <w:spacing w:val="-45"/>
        </w:rPr>
        <w:t> </w:t>
      </w:r>
      <w:r>
        <w:rPr>
          <w:spacing w:val="-45"/>
        </w:rPr>
      </w:r>
      <w:r>
        <w:rPr>
          <w:spacing w:val="-2"/>
        </w:rPr>
        <w:t>税资产和递延所得税负债，按照预期收回该资产或清偿该负债期间的适用税率计量。递延所得税资产的确</w:t>
      </w:r>
      <w:r>
        <w:rPr>
          <w:spacing w:val="-44"/>
        </w:rPr>
        <w:t> </w:t>
      </w:r>
      <w:r>
        <w:rPr>
          <w:spacing w:val="-44"/>
        </w:rPr>
      </w:r>
      <w:r>
        <w:rPr/>
        <w:t>认以本公司很可能取得用来抵扣可抵扣暂时性差异、可抵扣亏损和税款抵减的应纳税所得额为限。</w:t>
      </w:r>
    </w:p>
    <w:p>
      <w:pPr>
        <w:pStyle w:val="BodyText"/>
        <w:spacing w:line="273" w:lineRule="auto" w:before="50"/>
        <w:ind w:right="1126" w:firstLine="420"/>
        <w:jc w:val="both"/>
      </w:pPr>
      <w:r>
        <w:rPr>
          <w:spacing w:val="-2"/>
        </w:rPr>
        <w:t>对子公司、联营企业及合营企业投资相关的暂时性差异产生的递延所得税资产和递延所得税负债，予</w:t>
      </w:r>
      <w:r>
        <w:rPr>
          <w:w w:val="100"/>
        </w:rPr>
        <w:t> </w:t>
      </w:r>
      <w:r>
        <w:rPr>
          <w:spacing w:val="-2"/>
        </w:rPr>
        <w:t>以确认。但本公司能够控制暂时性差异转回的时间且该暂时性差异在可预见的未来很可能不会转回的，不</w:t>
      </w:r>
      <w:r>
        <w:rPr>
          <w:spacing w:val="-44"/>
        </w:rPr>
        <w:t> </w:t>
      </w:r>
      <w:r>
        <w:rPr>
          <w:spacing w:val="-44"/>
        </w:rPr>
      </w:r>
      <w:r>
        <w:rPr/>
        <w:t>予确认。</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600" w:lineRule="atLeast" w:before="12"/>
        <w:ind w:left="59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b/>
          <w:bCs/>
          <w:w w:val="100"/>
          <w:sz w:val="21"/>
          <w:szCs w:val="21"/>
        </w:rPr>
        <w:t> </w:t>
      </w:r>
      <w:r>
        <w:rPr>
          <w:rFonts w:ascii="宋体" w:hAnsi="宋体" w:cs="宋体" w:eastAsia="宋体" w:hint="default"/>
          <w:spacing w:val="-2"/>
          <w:sz w:val="21"/>
          <w:szCs w:val="21"/>
        </w:rPr>
        <w:t>实质上转移了与资产所有权有关的全部风险和报酬的租赁为融资租赁。其他的租赁为经营租赁。</w:t>
      </w:r>
    </w:p>
    <w:p>
      <w:pPr>
        <w:pStyle w:val="BodyText"/>
        <w:spacing w:line="240" w:lineRule="auto" w:before="37"/>
        <w:ind w:right="0"/>
        <w:jc w:val="left"/>
      </w:pPr>
      <w:r>
        <w:rPr/>
        <w:t>经营租赁的租金支出在租赁期内按照直线法计入相关资产成本或当期损益。</w:t>
      </w:r>
    </w:p>
    <w:p>
      <w:pPr>
        <w:spacing w:line="590" w:lineRule="atLeast" w:before="38"/>
        <w:ind w:left="59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）融资租赁会计处理</w:t>
      </w:r>
      <w:r>
        <w:rPr>
          <w:rFonts w:ascii="宋体" w:hAnsi="宋体" w:cs="宋体" w:eastAsia="宋体" w:hint="default"/>
          <w:b/>
          <w:bCs/>
          <w:w w:val="100"/>
          <w:sz w:val="21"/>
          <w:szCs w:val="21"/>
        </w:rPr>
        <w:t> </w:t>
      </w:r>
      <w:r>
        <w:rPr>
          <w:rFonts w:ascii="宋体" w:hAnsi="宋体" w:cs="宋体" w:eastAsia="宋体" w:hint="default"/>
          <w:spacing w:val="-2"/>
          <w:sz w:val="21"/>
          <w:szCs w:val="21"/>
        </w:rPr>
        <w:t>按租赁资产的公允价值与最低租赁付款额的现值两者中较低者作为租入资产的入账价值，租入资产的</w:t>
      </w:r>
    </w:p>
    <w:p>
      <w:pPr>
        <w:pStyle w:val="BodyText"/>
        <w:spacing w:line="273" w:lineRule="auto" w:before="37"/>
        <w:ind w:right="1126"/>
        <w:jc w:val="both"/>
      </w:pPr>
      <w:r>
        <w:rPr>
          <w:spacing w:val="-2"/>
        </w:rPr>
        <w:t>入账价值与最低租赁付款额之间的差额为未确认融资费用，在租赁期内按实际利率法摊销。最低租赁付款</w:t>
      </w:r>
      <w:r>
        <w:rPr>
          <w:spacing w:val="-43"/>
        </w:rPr>
        <w:t> </w:t>
      </w:r>
      <w:r>
        <w:rPr>
          <w:spacing w:val="-43"/>
        </w:rPr>
      </w:r>
      <w:r>
        <w:rPr/>
        <w:t>额扣除未确认融资费用后的余额以长期应付款列示。</w:t>
      </w:r>
    </w:p>
    <w:p>
      <w:pPr>
        <w:spacing w:after="0" w:line="273" w:lineRule="auto"/>
        <w:jc w:val="both"/>
        <w:sectPr>
          <w:pgSz w:w="11910" w:h="16840"/>
          <w:pgMar w:header="706" w:footer="1251" w:top="1060" w:bottom="1440" w:left="96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4"/>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before="115"/>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4"/>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before="117"/>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5"/>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before="117"/>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2"/>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line="340" w:lineRule="auto" w:before="117"/>
        <w:ind w:left="172" w:right="986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无</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2"/>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before="117"/>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2"/>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before="117"/>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06" w:footer="1251" w:top="1060" w:bottom="1440" w:left="96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firstLine="420"/>
        <w:jc w:val="left"/>
      </w:pPr>
      <w:r>
        <w:rPr>
          <w:spacing w:val="-2"/>
        </w:rPr>
        <w:t>在应用本公司的会计政策的过程中，管理层除了作出会计估计外，还作出了以下对财务报表所确认的</w:t>
      </w:r>
      <w:r>
        <w:rPr>
          <w:w w:val="100"/>
        </w:rPr>
        <w:t> </w:t>
      </w:r>
      <w:r>
        <w:rPr/>
        <w:t>金额具有重大影响的判断：</w:t>
      </w:r>
    </w:p>
    <w:p>
      <w:pPr>
        <w:pStyle w:val="BodyText"/>
        <w:spacing w:line="256" w:lineRule="auto" w:before="7"/>
        <w:ind w:left="593" w:right="0"/>
        <w:jc w:val="left"/>
      </w:pPr>
      <w:r>
        <w:rPr/>
        <w:t>经营租赁 </w:t>
      </w:r>
      <w:r>
        <w:rPr>
          <w:rFonts w:ascii="Times New Roman" w:hAnsi="Times New Roman" w:cs="Times New Roman" w:eastAsia="Times New Roman" w:hint="default"/>
        </w:rPr>
        <w:t>– </w:t>
      </w:r>
      <w:r>
        <w:rPr/>
        <w:t>本公司作为出租人</w:t>
      </w:r>
      <w:r>
        <w:rPr>
          <w:spacing w:val="-96"/>
        </w:rPr>
        <w:t> </w:t>
      </w:r>
      <w:r>
        <w:rPr>
          <w:spacing w:val="-96"/>
        </w:rPr>
      </w:r>
      <w:r>
        <w:rPr>
          <w:spacing w:val="-2"/>
        </w:rPr>
        <w:t>本公司就投资性房地产签订了租赁合同。本公司认为，本公司保留了这些房地产所有权上的所有重大</w:t>
      </w:r>
    </w:p>
    <w:p>
      <w:pPr>
        <w:pStyle w:val="BodyText"/>
        <w:spacing w:line="273" w:lineRule="auto" w:before="22"/>
        <w:ind w:left="593" w:right="0" w:hanging="421"/>
        <w:jc w:val="left"/>
      </w:pPr>
      <w:r>
        <w:rPr/>
        <w:t>风险和报酬，因此作为经营租赁处理。</w:t>
      </w:r>
      <w:r>
        <w:rPr>
          <w:w w:val="100"/>
        </w:rPr>
        <w:t> </w:t>
      </w:r>
      <w:r>
        <w:rPr>
          <w:spacing w:val="-2"/>
        </w:rPr>
        <w:t>以下为于资产负债表日有关未来的关键假设以及估计不确定性的其他关键来源，可能会导致下一会计</w:t>
      </w:r>
    </w:p>
    <w:p>
      <w:pPr>
        <w:pStyle w:val="BodyText"/>
        <w:spacing w:line="273" w:lineRule="auto" w:before="7"/>
        <w:ind w:left="593" w:right="6794" w:hanging="421"/>
        <w:jc w:val="left"/>
      </w:pPr>
      <w:r>
        <w:rPr>
          <w:spacing w:val="-2"/>
        </w:rPr>
        <w:t>年度资产和负债账面金额重大调整：</w:t>
      </w:r>
      <w:r>
        <w:rPr>
          <w:spacing w:val="-71"/>
        </w:rPr>
        <w:t> </w:t>
      </w:r>
      <w:r>
        <w:rPr>
          <w:spacing w:val="-71"/>
        </w:rPr>
      </w:r>
      <w:r>
        <w:rPr/>
        <w:t>商誉减值</w:t>
      </w:r>
    </w:p>
    <w:p>
      <w:pPr>
        <w:pStyle w:val="BodyText"/>
        <w:spacing w:line="273" w:lineRule="auto" w:before="7"/>
        <w:ind w:right="0" w:firstLine="420"/>
        <w:jc w:val="left"/>
      </w:pPr>
      <w:r>
        <w:rPr/>
        <w:t>本公司至少每年评估商誉是否发生减值。这要求对分配了商誉的资产组的使用价值进行估计。估计使</w:t>
      </w:r>
      <w:r>
        <w:rPr>
          <w:w w:val="100"/>
        </w:rPr>
        <w:t> </w:t>
      </w:r>
      <w:r>
        <w:rPr>
          <w:spacing w:val="-5"/>
        </w:rPr>
        <w:t>用价值时，本公司需要估计未来来自资产组的现金流量，同时选择恰当的折现率计算未来现金流量的现值。</w:t>
      </w:r>
    </w:p>
    <w:p>
      <w:pPr>
        <w:pStyle w:val="BodyText"/>
        <w:spacing w:line="273" w:lineRule="auto" w:before="8"/>
        <w:ind w:left="593" w:right="0"/>
        <w:jc w:val="left"/>
      </w:pPr>
      <w:r>
        <w:rPr/>
        <w:t>递延所得税资产</w:t>
      </w:r>
      <w:r>
        <w:rPr>
          <w:spacing w:val="-103"/>
        </w:rPr>
        <w:t> </w:t>
      </w:r>
      <w:r>
        <w:rPr>
          <w:spacing w:val="-103"/>
        </w:rPr>
      </w:r>
      <w:r>
        <w:rPr>
          <w:spacing w:val="-2"/>
        </w:rPr>
        <w:t>在很有可能有足够的应纳税利润来抵扣亏损的限度内，应就所有未利用的税务亏损确认递延所得税资</w:t>
      </w:r>
    </w:p>
    <w:p>
      <w:pPr>
        <w:pStyle w:val="BodyText"/>
        <w:spacing w:line="273" w:lineRule="auto" w:before="7"/>
        <w:ind w:right="0"/>
        <w:jc w:val="left"/>
      </w:pPr>
      <w:r>
        <w:rPr>
          <w:spacing w:val="-2"/>
        </w:rPr>
        <w:t>产。这需要管理层运用大量的判断来估计未来应纳税利润发生的时间和金额，结合纳税筹划策略，以决定</w:t>
      </w:r>
      <w:r>
        <w:rPr>
          <w:spacing w:val="-43"/>
        </w:rPr>
        <w:t> </w:t>
      </w:r>
      <w:r>
        <w:rPr>
          <w:spacing w:val="-43"/>
        </w:rPr>
      </w:r>
      <w:r>
        <w:rPr/>
        <w:t>应确认的递延所得税资产的金额。</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7" w:type="dxa"/>
        <w:tblLayout w:type="fixed"/>
        <w:tblCellMar>
          <w:top w:w="0" w:type="dxa"/>
          <w:left w:w="0" w:type="dxa"/>
          <w:bottom w:w="0" w:type="dxa"/>
          <w:right w:w="0" w:type="dxa"/>
        </w:tblCellMar>
        <w:tblLook w:val="01E0"/>
      </w:tblPr>
      <w:tblGrid>
        <w:gridCol w:w="3517"/>
        <w:gridCol w:w="3024"/>
        <w:gridCol w:w="3027"/>
      </w:tblGrid>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0" w:space="0" w:color="D2D2D2"/>
              <w:right w:val="single" w:sz="4" w:space="0" w:color="000000"/>
            </w:tcBorders>
          </w:tcPr>
          <w:p>
            <w:pPr>
              <w:pStyle w:val="TableParagraph"/>
              <w:spacing w:line="309" w:lineRule="auto" w:before="49"/>
              <w:ind w:left="16"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 额乘以适用税率扣除当期允许抵扣的 进项税后的余额计算</w:t>
            </w:r>
            <w:r>
              <w:rPr>
                <w:rFonts w:ascii="Times New Roman" w:hAnsi="Times New Roman" w:cs="Times New Roman" w:eastAsia="Times New Roman" w:hint="default"/>
                <w:sz w:val="18"/>
                <w:szCs w:val="18"/>
              </w:rPr>
              <w:t>)</w:t>
            </w:r>
          </w:p>
        </w:tc>
        <w:tc>
          <w:tcPr>
            <w:tcW w:w="30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17%</w:t>
            </w:r>
          </w:p>
        </w:tc>
      </w:tr>
      <w:tr>
        <w:trPr>
          <w:trHeight w:val="394" w:hRule="exact"/>
        </w:trPr>
        <w:tc>
          <w:tcPr>
            <w:tcW w:w="3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vMerge/>
            <w:tcBorders>
              <w:left w:val="single" w:sz="10"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317" w:hRule="exact"/>
        </w:trPr>
        <w:tc>
          <w:tcPr>
            <w:tcW w:w="3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0"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w:t>
            </w:r>
          </w:p>
        </w:tc>
      </w:tr>
    </w:tbl>
    <w:p>
      <w:pPr>
        <w:spacing w:before="49"/>
        <w:ind w:left="172" w:right="0" w:firstLine="0"/>
        <w:jc w:val="both"/>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pStyle w:val="BodyText"/>
        <w:spacing w:line="264" w:lineRule="auto" w:before="94"/>
        <w:ind w:right="1126" w:firstLine="420"/>
        <w:jc w:val="both"/>
      </w:pPr>
      <w:r>
        <w:rPr>
          <w:spacing w:val="-2"/>
        </w:rPr>
        <w:t>公司子公司长春丰东热处理有限公司、江苏丰东热处理及表面改性工程技术研究有限公司、盐城丰东</w:t>
      </w:r>
      <w:r>
        <w:rPr>
          <w:w w:val="100"/>
        </w:rPr>
        <w:t> </w:t>
      </w:r>
      <w:r>
        <w:rPr>
          <w:spacing w:val="-7"/>
        </w:rPr>
        <w:t>特种炉业有限公司、南京丰东热处理工程有限公司、天津丰东热处理有限公司、上海昂先实业有限公司</w:t>
      </w:r>
      <w:r>
        <w:rPr>
          <w:rFonts w:ascii="Times New Roman" w:hAnsi="Times New Roman" w:cs="Times New Roman" w:eastAsia="Times New Roman" w:hint="default"/>
          <w:spacing w:val="-7"/>
        </w:rPr>
        <w:t>2012</w:t>
      </w:r>
      <w:r>
        <w:rPr>
          <w:rFonts w:ascii="Times New Roman" w:hAnsi="Times New Roman" w:cs="Times New Roman" w:eastAsia="Times New Roman" w:hint="default"/>
          <w:spacing w:val="5"/>
        </w:rPr>
        <w:t> </w:t>
      </w:r>
      <w:r>
        <w:rPr/>
        <w:t>年度所得税率为</w:t>
      </w:r>
      <w:r>
        <w:rPr>
          <w:rFonts w:ascii="Times New Roman" w:hAnsi="Times New Roman" w:cs="Times New Roman" w:eastAsia="Times New Roman" w:hint="default"/>
        </w:rPr>
        <w:t>25%</w:t>
      </w:r>
      <w:r>
        <w:rPr/>
        <w:t>。</w:t>
      </w:r>
    </w:p>
    <w:p>
      <w:pPr>
        <w:pStyle w:val="BodyText"/>
        <w:spacing w:line="616" w:lineRule="exact" w:before="50"/>
        <w:ind w:left="593" w:right="1124" w:hanging="421"/>
        <w:jc w:val="left"/>
      </w:pPr>
      <w:r>
        <w:rPr>
          <w:rFonts w:ascii="Times New Roman" w:hAnsi="Times New Roman" w:cs="Times New Roman" w:eastAsia="Times New Roman" w:hint="default"/>
          <w:b/>
          <w:bCs/>
        </w:rPr>
        <w:t>2</w:t>
      </w:r>
      <w:r>
        <w:rPr>
          <w:rFonts w:ascii="宋体" w:hAnsi="宋体" w:cs="宋体" w:eastAsia="宋体" w:hint="default"/>
          <w:b/>
          <w:bCs/>
        </w:rPr>
        <w:t>、税收优惠及批文</w:t>
      </w:r>
      <w:r>
        <w:rPr>
          <w:rFonts w:ascii="宋体" w:hAnsi="宋体" w:cs="宋体" w:eastAsia="宋体" w:hint="default"/>
          <w:b/>
          <w:bCs/>
          <w:spacing w:val="-103"/>
        </w:rPr>
        <w:t> </w:t>
      </w:r>
      <w:r>
        <w:rPr>
          <w:spacing w:val="-2"/>
        </w:rPr>
        <w:t>公司</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4</w:t>
      </w:r>
      <w:r>
        <w:rPr>
          <w:spacing w:val="-2"/>
        </w:rPr>
        <w:t>日经江苏省高新技术企业认定管理工作协调小组苏高企协</w:t>
      </w:r>
      <w:r>
        <w:rPr>
          <w:rFonts w:ascii="Times New Roman" w:hAnsi="Times New Roman" w:cs="Times New Roman" w:eastAsia="Times New Roman" w:hint="default"/>
          <w:spacing w:val="-2"/>
        </w:rPr>
        <w:t>[2009]7</w:t>
      </w:r>
      <w:r>
        <w:rPr>
          <w:spacing w:val="-2"/>
        </w:rPr>
        <w:t>号文认定为高新技</w:t>
      </w:r>
    </w:p>
    <w:p>
      <w:pPr>
        <w:pStyle w:val="BodyText"/>
        <w:spacing w:line="234" w:lineRule="exact"/>
        <w:ind w:right="0"/>
        <w:jc w:val="both"/>
      </w:pPr>
      <w:r>
        <w:rPr>
          <w:spacing w:val="-3"/>
        </w:rPr>
        <w:t>术企业，证书编号为</w:t>
      </w:r>
      <w:r>
        <w:rPr>
          <w:rFonts w:ascii="Times New Roman" w:hAnsi="Times New Roman" w:cs="Times New Roman" w:eastAsia="Times New Roman" w:hint="default"/>
          <w:spacing w:val="-3"/>
        </w:rPr>
        <w:t>GR200932000013</w:t>
      </w:r>
      <w:r>
        <w:rPr>
          <w:spacing w:val="-3"/>
        </w:rPr>
        <w:t>，</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16</w:t>
      </w:r>
      <w:r>
        <w:rPr>
          <w:spacing w:val="-3"/>
        </w:rPr>
        <w:t>日通过复审，自</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日起执行</w:t>
      </w:r>
      <w:r>
        <w:rPr>
          <w:rFonts w:ascii="Times New Roman" w:hAnsi="Times New Roman" w:cs="Times New Roman" w:eastAsia="Times New Roman" w:hint="default"/>
          <w:spacing w:val="-3"/>
        </w:rPr>
        <w:t>15%</w:t>
      </w:r>
      <w:r>
        <w:rPr>
          <w:spacing w:val="-3"/>
        </w:rPr>
        <w:t>的所得税率。</w:t>
      </w:r>
    </w:p>
    <w:p>
      <w:pPr>
        <w:pStyle w:val="BodyText"/>
        <w:spacing w:line="256" w:lineRule="auto" w:before="21"/>
        <w:ind w:right="1126"/>
        <w:jc w:val="both"/>
      </w:pPr>
      <w:r>
        <w:rPr>
          <w:spacing w:val="-2"/>
        </w:rPr>
        <w:t>公司子公司青岛丰东热处理有限公司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日获得由青岛市科学技术局、青岛市财政局、山东省青</w:t>
      </w:r>
      <w:r>
        <w:rPr>
          <w:spacing w:val="-35"/>
        </w:rPr>
        <w:t> </w:t>
      </w:r>
      <w:r>
        <w:rPr>
          <w:spacing w:val="-35"/>
        </w:rPr>
      </w:r>
      <w:r>
        <w:rPr>
          <w:spacing w:val="-4"/>
        </w:rPr>
        <w:t>岛市国家税务局、青岛市地方税务局共同颁发的高新技术企业证书，证书编号为</w:t>
      </w:r>
      <w:r>
        <w:rPr>
          <w:rFonts w:ascii="Times New Roman" w:hAnsi="Times New Roman" w:cs="Times New Roman" w:eastAsia="Times New Roman" w:hint="default"/>
          <w:spacing w:val="-4"/>
        </w:rPr>
        <w:t>GR201137100030</w:t>
      </w:r>
      <w:r>
        <w:rPr>
          <w:spacing w:val="-4"/>
        </w:rPr>
        <w:t>，自</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5"/>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w:t>
      </w:r>
      <w:r>
        <w:rPr>
          <w:rFonts w:ascii="Times New Roman" w:hAnsi="Times New Roman" w:cs="Times New Roman" w:eastAsia="Times New Roman" w:hint="default"/>
        </w:rPr>
        <w:t>15%</w:t>
      </w:r>
      <w:r>
        <w:rPr/>
        <w:t>的所得税率。</w:t>
      </w:r>
    </w:p>
    <w:p>
      <w:pPr>
        <w:pStyle w:val="BodyText"/>
        <w:spacing w:line="261" w:lineRule="auto" w:before="5"/>
        <w:ind w:right="1017" w:firstLine="420"/>
        <w:jc w:val="left"/>
      </w:pPr>
      <w:r>
        <w:rPr>
          <w:w w:val="100"/>
        </w:rPr>
        <w:t>公司</w:t>
      </w:r>
      <w:r>
        <w:rPr>
          <w:spacing w:val="-3"/>
          <w:w w:val="100"/>
        </w:rPr>
        <w:t>子</w:t>
      </w:r>
      <w:r>
        <w:rPr>
          <w:w w:val="100"/>
        </w:rPr>
        <w:t>公</w:t>
      </w:r>
      <w:r>
        <w:rPr>
          <w:spacing w:val="-3"/>
          <w:w w:val="100"/>
        </w:rPr>
        <w:t>司</w:t>
      </w:r>
      <w:r>
        <w:rPr>
          <w:w w:val="100"/>
        </w:rPr>
        <w:t>重</w:t>
      </w:r>
      <w:r>
        <w:rPr>
          <w:spacing w:val="-3"/>
          <w:w w:val="100"/>
        </w:rPr>
        <w:t>庆</w:t>
      </w:r>
      <w:r>
        <w:rPr>
          <w:w w:val="100"/>
        </w:rPr>
        <w:t>丰</w:t>
      </w:r>
      <w:r>
        <w:rPr>
          <w:spacing w:val="-3"/>
          <w:w w:val="100"/>
        </w:rPr>
        <w:t>东</w:t>
      </w:r>
      <w:r>
        <w:rPr>
          <w:w w:val="100"/>
        </w:rPr>
        <w:t>神</w:t>
      </w:r>
      <w:r>
        <w:rPr>
          <w:spacing w:val="-3"/>
          <w:w w:val="100"/>
        </w:rPr>
        <w:t>五</w:t>
      </w:r>
      <w:r>
        <w:rPr>
          <w:w w:val="100"/>
        </w:rPr>
        <w:t>热处</w:t>
      </w:r>
      <w:r>
        <w:rPr>
          <w:spacing w:val="-3"/>
          <w:w w:val="100"/>
        </w:rPr>
        <w:t>理</w:t>
      </w:r>
      <w:r>
        <w:rPr>
          <w:w w:val="100"/>
        </w:rPr>
        <w:t>工</w:t>
      </w:r>
      <w:r>
        <w:rPr>
          <w:spacing w:val="-3"/>
          <w:w w:val="100"/>
        </w:rPr>
        <w:t>程</w:t>
      </w:r>
      <w:r>
        <w:rPr>
          <w:w w:val="100"/>
        </w:rPr>
        <w:t>有</w:t>
      </w:r>
      <w:r>
        <w:rPr>
          <w:spacing w:val="-3"/>
          <w:w w:val="100"/>
        </w:rPr>
        <w:t>限</w:t>
      </w:r>
      <w:r>
        <w:rPr>
          <w:w w:val="100"/>
        </w:rPr>
        <w:t>公</w:t>
      </w:r>
      <w:r>
        <w:rPr>
          <w:spacing w:val="-106"/>
          <w:w w:val="100"/>
        </w:rPr>
        <w:t>司</w:t>
      </w:r>
      <w:r>
        <w:rPr>
          <w:spacing w:val="-3"/>
          <w:w w:val="100"/>
        </w:rPr>
        <w:t>（</w:t>
      </w:r>
      <w:r>
        <w:rPr>
          <w:w w:val="100"/>
        </w:rPr>
        <w:t>以</w:t>
      </w:r>
      <w:r>
        <w:rPr>
          <w:spacing w:val="-3"/>
          <w:w w:val="100"/>
        </w:rPr>
        <w:t>下</w:t>
      </w:r>
      <w:r>
        <w:rPr>
          <w:w w:val="100"/>
        </w:rPr>
        <w:t>简称</w:t>
      </w:r>
      <w:r>
        <w:rPr>
          <w:rFonts w:ascii="Times New Roman" w:hAnsi="Times New Roman" w:cs="Times New Roman" w:eastAsia="Times New Roman" w:hint="default"/>
          <w:spacing w:val="-3"/>
          <w:w w:val="44"/>
        </w:rPr>
        <w:t>―</w:t>
      </w:r>
      <w:r>
        <w:rPr>
          <w:w w:val="100"/>
        </w:rPr>
        <w:t>重</w:t>
      </w:r>
      <w:r>
        <w:rPr>
          <w:spacing w:val="-3"/>
          <w:w w:val="100"/>
        </w:rPr>
        <w:t>庆</w:t>
      </w:r>
      <w:r>
        <w:rPr>
          <w:w w:val="100"/>
        </w:rPr>
        <w:t>丰东</w:t>
      </w:r>
      <w:r>
        <w:rPr>
          <w:rFonts w:ascii="Times New Roman" w:hAnsi="Times New Roman" w:cs="Times New Roman" w:eastAsia="Times New Roman" w:hint="default"/>
          <w:spacing w:val="-3"/>
          <w:w w:val="159"/>
        </w:rPr>
        <w:t>‖</w:t>
      </w:r>
      <w:r>
        <w:rPr>
          <w:spacing w:val="-106"/>
          <w:w w:val="100"/>
        </w:rPr>
        <w:t>）</w:t>
      </w:r>
      <w:r>
        <w:rPr>
          <w:w w:val="100"/>
        </w:rPr>
        <w:t>系</w:t>
      </w:r>
      <w:r>
        <w:rPr>
          <w:spacing w:val="-3"/>
          <w:w w:val="100"/>
        </w:rPr>
        <w:t>公</w:t>
      </w:r>
      <w:r>
        <w:rPr>
          <w:w w:val="100"/>
        </w:rPr>
        <w:t>司</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07</w:t>
      </w:r>
      <w:r>
        <w:rPr>
          <w:w w:val="100"/>
        </w:rPr>
        <w:t>年</w:t>
      </w:r>
      <w:r>
        <w:rPr>
          <w:rFonts w:ascii="Times New Roman" w:hAnsi="Times New Roman" w:cs="Times New Roman" w:eastAsia="Times New Roman" w:hint="default"/>
          <w:spacing w:val="-3"/>
          <w:w w:val="100"/>
        </w:rPr>
        <w:t>8</w:t>
      </w:r>
      <w:r>
        <w:rPr>
          <w:w w:val="100"/>
        </w:rPr>
        <w:t>月</w:t>
      </w:r>
      <w:r>
        <w:rPr>
          <w:spacing w:val="-3"/>
          <w:w w:val="100"/>
        </w:rPr>
        <w:t>购</w:t>
      </w:r>
      <w:r>
        <w:rPr>
          <w:w w:val="100"/>
        </w:rPr>
        <w:t>并</w:t>
      </w:r>
      <w:r>
        <w:rPr>
          <w:spacing w:val="-3"/>
          <w:w w:val="100"/>
        </w:rPr>
        <w:t>的</w:t>
      </w:r>
      <w:r>
        <w:rPr>
          <w:w w:val="100"/>
        </w:rPr>
        <w:t>子</w:t>
      </w:r>
      <w:r>
        <w:rPr>
          <w:spacing w:val="-3"/>
          <w:w w:val="100"/>
        </w:rPr>
        <w:t>公</w:t>
      </w:r>
      <w:r>
        <w:rPr>
          <w:w w:val="100"/>
        </w:rPr>
        <w:t>司，</w:t>
      </w:r>
      <w:r>
        <w:rPr>
          <w:w w:val="100"/>
        </w:rPr>
        <w:t> </w:t>
      </w:r>
      <w:r>
        <w:rPr>
          <w:spacing w:val="-2"/>
        </w:rPr>
        <w:t>按应纳税所得额和当期适用之税率计缴所得税，根据《财政部、国家税务总局、海关总署关于西部大开发</w:t>
      </w:r>
      <w:r>
        <w:rPr>
          <w:spacing w:val="-47"/>
        </w:rPr>
        <w:t> </w:t>
      </w:r>
      <w:r>
        <w:rPr>
          <w:spacing w:val="-47"/>
        </w:rPr>
      </w:r>
      <w:r>
        <w:rPr/>
        <w:t>税收优惠政策问题的通知》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[2001]202</w:t>
      </w:r>
      <w:r>
        <w:rPr/>
        <w:t>号</w:t>
      </w:r>
      <w:r>
        <w:rPr>
          <w:rFonts w:ascii="Times New Roman" w:hAnsi="Times New Roman" w:cs="Times New Roman" w:eastAsia="Times New Roman" w:hint="default"/>
        </w:rPr>
        <w:t>)</w:t>
      </w:r>
      <w:r>
        <w:rPr/>
        <w:t>规定，所得税税率为</w:t>
      </w:r>
      <w:r>
        <w:rPr>
          <w:rFonts w:ascii="Times New Roman" w:hAnsi="Times New Roman" w:cs="Times New Roman" w:eastAsia="Times New Roman" w:hint="default"/>
        </w:rPr>
        <w:t>15%</w:t>
      </w:r>
      <w:r>
        <w:rPr/>
        <w:t>；重庆丰东系重庆市民政局发证的</w:t>
      </w:r>
      <w:r>
        <w:rPr>
          <w:w w:val="100"/>
        </w:rPr>
        <w:t> </w:t>
      </w:r>
      <w:r>
        <w:rPr>
          <w:spacing w:val="-3"/>
        </w:rPr>
        <w:t>社会福利企业，证号为福企证字第</w:t>
      </w:r>
      <w:r>
        <w:rPr>
          <w:rFonts w:ascii="Times New Roman" w:hAnsi="Times New Roman" w:cs="Times New Roman" w:eastAsia="Times New Roman" w:hint="default"/>
          <w:spacing w:val="-3"/>
        </w:rPr>
        <w:t>500059990636</w:t>
      </w:r>
      <w:r>
        <w:rPr>
          <w:spacing w:val="-3"/>
        </w:rPr>
        <w:t>号，按照财政部、国家税务总局财税</w:t>
      </w:r>
      <w:r>
        <w:rPr>
          <w:rFonts w:ascii="Times New Roman" w:hAnsi="Times New Roman" w:cs="Times New Roman" w:eastAsia="Times New Roman" w:hint="default"/>
          <w:spacing w:val="-3"/>
        </w:rPr>
        <w:t>[2007]92</w:t>
      </w:r>
      <w:r>
        <w:rPr>
          <w:spacing w:val="-3"/>
        </w:rPr>
        <w:t>号《财政部、</w:t>
      </w:r>
    </w:p>
    <w:p>
      <w:pPr>
        <w:spacing w:after="0" w:line="261" w:lineRule="auto"/>
        <w:jc w:val="left"/>
        <w:sectPr>
          <w:pgSz w:w="11910" w:h="16840"/>
          <w:pgMar w:header="706" w:footer="1251" w:top="1060" w:bottom="1440" w:left="960" w:right="0"/>
        </w:sectPr>
      </w:pPr>
    </w:p>
    <w:p>
      <w:pPr>
        <w:spacing w:line="240" w:lineRule="auto" w:before="10"/>
        <w:rPr>
          <w:rFonts w:ascii="宋体" w:hAnsi="宋体" w:cs="宋体" w:eastAsia="宋体" w:hint="default"/>
          <w:sz w:val="24"/>
          <w:szCs w:val="24"/>
        </w:rPr>
      </w:pPr>
    </w:p>
    <w:p>
      <w:pPr>
        <w:pStyle w:val="BodyText"/>
        <w:spacing w:line="240" w:lineRule="auto" w:before="36"/>
        <w:ind w:left="832" w:right="0"/>
        <w:jc w:val="left"/>
      </w:pPr>
      <w:r>
        <w:rPr/>
        <w:t>国家税务总局关于促进残疾人就业税收优惠政策的通知》，享受有关税收优惠政策。</w:t>
      </w:r>
    </w:p>
    <w:p>
      <w:pPr>
        <w:spacing w:line="240" w:lineRule="auto" w:before="10"/>
        <w:rPr>
          <w:rFonts w:ascii="宋体" w:hAnsi="宋体" w:cs="宋体" w:eastAsia="宋体" w:hint="default"/>
          <w:sz w:val="25"/>
          <w:szCs w:val="25"/>
        </w:rPr>
      </w:pPr>
    </w:p>
    <w:p>
      <w:pPr>
        <w:spacing w:line="487" w:lineRule="auto" w:before="0"/>
        <w:ind w:left="832" w:right="76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04"/>
          <w:sz w:val="21"/>
          <w:szCs w:val="21"/>
        </w:rPr>
        <w:t> </w:t>
      </w:r>
      <w:r>
        <w:rPr>
          <w:rFonts w:ascii="宋体" w:hAnsi="宋体" w:cs="宋体" w:eastAsia="宋体" w:hint="default"/>
          <w:b/>
          <w:bCs/>
          <w:sz w:val="24"/>
          <w:szCs w:val="24"/>
        </w:rPr>
        <w:t>六、企业合并及合并财务报表</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Heading4"/>
        <w:spacing w:line="240" w:lineRule="auto" w:before="84"/>
        <w:ind w:left="832"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570"/>
        <w:gridCol w:w="684"/>
        <w:gridCol w:w="475"/>
        <w:gridCol w:w="709"/>
        <w:gridCol w:w="866"/>
        <w:gridCol w:w="1118"/>
        <w:gridCol w:w="711"/>
        <w:gridCol w:w="708"/>
        <w:gridCol w:w="566"/>
        <w:gridCol w:w="566"/>
        <w:gridCol w:w="427"/>
        <w:gridCol w:w="685"/>
        <w:gridCol w:w="682"/>
        <w:gridCol w:w="1325"/>
      </w:tblGrid>
      <w:tr>
        <w:trPr>
          <w:trHeight w:val="2585"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55" w:right="65"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43" w:right="50" w:hanging="92"/>
              <w:jc w:val="left"/>
              <w:rPr>
                <w:rFonts w:ascii="宋体" w:hAnsi="宋体" w:cs="宋体" w:eastAsia="宋体" w:hint="default"/>
                <w:sz w:val="18"/>
                <w:szCs w:val="18"/>
              </w:rPr>
            </w:pPr>
            <w:r>
              <w:rPr>
                <w:rFonts w:ascii="宋体" w:hAnsi="宋体" w:cs="宋体" w:eastAsia="宋体" w:hint="default"/>
                <w:sz w:val="18"/>
                <w:szCs w:val="18"/>
              </w:rPr>
              <w:t>注册 地</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79" w:right="81"/>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9" w:right="77"/>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3"/>
              <w:ind w:left="98"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55" w:right="50"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8" w:right="26"/>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4"/>
              <w:jc w:val="center"/>
              <w:rPr>
                <w:rFonts w:ascii="宋体" w:hAnsi="宋体" w:cs="宋体" w:eastAsia="宋体" w:hint="default"/>
                <w:sz w:val="18"/>
                <w:szCs w:val="18"/>
              </w:rPr>
            </w:pPr>
            <w:r>
              <w:rPr>
                <w:rFonts w:ascii="宋体" w:hAnsi="宋体" w:cs="宋体" w:eastAsia="宋体" w:hint="default"/>
                <w:sz w:val="18"/>
                <w:szCs w:val="18"/>
              </w:rPr>
              <w:t>从母公司所有者 权益冲减子公司 少数股东分担的 本期亏损超过少 数股东在该子公 司年初所有者权 益中所享有份额 后的余额</w:t>
            </w:r>
          </w:p>
        </w:tc>
      </w:tr>
      <w:tr>
        <w:trPr>
          <w:trHeight w:val="1291"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长春丰东热处理有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长春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17"/>
                <w:sz w:val="18"/>
                <w:szCs w:val="18"/>
              </w:rPr>
              <w:t>生产、加</w:t>
            </w:r>
            <w:r>
              <w:rPr>
                <w:rFonts w:ascii="宋体" w:hAnsi="宋体" w:cs="宋体" w:eastAsia="宋体" w:hint="default"/>
                <w:sz w:val="18"/>
                <w:szCs w:val="18"/>
              </w:rPr>
              <w:t> 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82"/>
              <w:jc w:val="both"/>
              <w:rPr>
                <w:rFonts w:ascii="宋体" w:hAnsi="宋体" w:cs="宋体" w:eastAsia="宋体" w:hint="default"/>
                <w:sz w:val="18"/>
                <w:szCs w:val="18"/>
              </w:rPr>
            </w:pPr>
            <w:r>
              <w:rPr>
                <w:rFonts w:ascii="宋体" w:hAnsi="宋体" w:cs="宋体" w:eastAsia="宋体" w:hint="default"/>
                <w:sz w:val="18"/>
                <w:szCs w:val="18"/>
              </w:rPr>
              <w:t>推杆式连续 炉和转底炉 为主的成套 热处理设备 的研制</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45" w:right="0"/>
              <w:jc w:val="left"/>
              <w:rPr>
                <w:rFonts w:ascii="Times New Roman" w:hAnsi="Times New Roman" w:cs="Times New Roman" w:eastAsia="Times New Roman" w:hint="default"/>
                <w:sz w:val="18"/>
                <w:szCs w:val="18"/>
              </w:rPr>
            </w:pPr>
            <w:r>
              <w:rPr>
                <w:rFonts w:ascii="Times New Roman"/>
                <w:sz w:val="18"/>
              </w:rPr>
              <w:t>5,923,73</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0.63</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65%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65%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92" w:right="0"/>
              <w:jc w:val="center"/>
              <w:rPr>
                <w:rFonts w:ascii="Times New Roman" w:hAnsi="Times New Roman" w:cs="Times New Roman" w:eastAsia="Times New Roman" w:hint="default"/>
                <w:sz w:val="18"/>
                <w:szCs w:val="18"/>
              </w:rPr>
            </w:pPr>
            <w:r>
              <w:rPr>
                <w:rFonts w:ascii="Times New Roman"/>
                <w:sz w:val="18"/>
              </w:rPr>
              <w:t>3,301,0</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68.82</w:t>
            </w:r>
          </w:p>
        </w:tc>
        <w:tc>
          <w:tcPr>
            <w:tcW w:w="68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青岛丰东热处理有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青岛</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23" w:right="182"/>
              <w:jc w:val="left"/>
              <w:rPr>
                <w:rFonts w:ascii="宋体" w:hAnsi="宋体" w:cs="宋体" w:eastAsia="宋体" w:hint="default"/>
                <w:sz w:val="18"/>
                <w:szCs w:val="18"/>
              </w:rPr>
            </w:pPr>
            <w:r>
              <w:rPr>
                <w:rFonts w:ascii="宋体" w:hAnsi="宋体" w:cs="宋体" w:eastAsia="宋体" w:hint="default"/>
                <w:sz w:val="18"/>
                <w:szCs w:val="18"/>
              </w:rPr>
              <w:t>热处理及表 面处理加工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8,141,61</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9.76</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1291"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23" w:right="94"/>
              <w:jc w:val="both"/>
              <w:rPr>
                <w:rFonts w:ascii="宋体" w:hAnsi="宋体" w:cs="宋体" w:eastAsia="宋体" w:hint="default"/>
                <w:sz w:val="18"/>
                <w:szCs w:val="18"/>
              </w:rPr>
            </w:pPr>
            <w:r>
              <w:rPr>
                <w:rFonts w:ascii="宋体" w:hAnsi="宋体" w:cs="宋体" w:eastAsia="宋体" w:hint="default"/>
                <w:sz w:val="18"/>
                <w:szCs w:val="18"/>
              </w:rPr>
              <w:t>江苏丰东热处理及 表面改性工程技术 研究有限公司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大丰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7"/>
              <w:jc w:val="left"/>
              <w:rPr>
                <w:rFonts w:ascii="宋体" w:hAnsi="宋体" w:cs="宋体" w:eastAsia="宋体" w:hint="default"/>
                <w:sz w:val="18"/>
                <w:szCs w:val="18"/>
              </w:rPr>
            </w:pPr>
            <w:r>
              <w:rPr>
                <w:rFonts w:ascii="宋体" w:hAnsi="宋体" w:cs="宋体" w:eastAsia="宋体" w:hint="default"/>
                <w:sz w:val="18"/>
                <w:szCs w:val="18"/>
              </w:rPr>
              <w:t>热处理设备 的研制及热 处理工艺研 </w:t>
            </w:r>
            <w:r>
              <w:rPr>
                <w:rFonts w:ascii="宋体" w:hAnsi="宋体" w:cs="宋体" w:eastAsia="宋体" w:hint="default"/>
                <w:spacing w:val="-3"/>
                <w:sz w:val="18"/>
                <w:szCs w:val="18"/>
              </w:rPr>
              <w:t>究、试验、验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证及推广</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45" w:right="0"/>
              <w:jc w:val="left"/>
              <w:rPr>
                <w:rFonts w:ascii="Times New Roman" w:hAnsi="Times New Roman" w:cs="Times New Roman" w:eastAsia="Times New Roman" w:hint="default"/>
                <w:sz w:val="18"/>
                <w:szCs w:val="18"/>
              </w:rPr>
            </w:pPr>
            <w:r>
              <w:rPr>
                <w:rFonts w:ascii="Times New Roman"/>
                <w:sz w:val="18"/>
              </w:rPr>
              <w:t>1,899,35</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3.40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70%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70%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92" w:right="0"/>
              <w:jc w:val="center"/>
              <w:rPr>
                <w:rFonts w:ascii="Times New Roman" w:hAnsi="Times New Roman" w:cs="Times New Roman" w:eastAsia="Times New Roman" w:hint="default"/>
                <w:sz w:val="18"/>
                <w:szCs w:val="18"/>
              </w:rPr>
            </w:pPr>
            <w:r>
              <w:rPr>
                <w:rFonts w:ascii="Times New Roman"/>
                <w:sz w:val="18"/>
              </w:rPr>
              <w:t>1,413,5</w:t>
            </w:r>
          </w:p>
          <w:p>
            <w:pPr>
              <w:pStyle w:val="TableParagraph"/>
              <w:spacing w:line="240" w:lineRule="auto" w:before="105"/>
              <w:ind w:left="234" w:right="0"/>
              <w:jc w:val="center"/>
              <w:rPr>
                <w:rFonts w:ascii="Times New Roman" w:hAnsi="Times New Roman" w:cs="Times New Roman" w:eastAsia="Times New Roman" w:hint="default"/>
                <w:sz w:val="18"/>
                <w:szCs w:val="18"/>
              </w:rPr>
            </w:pPr>
            <w:r>
              <w:rPr>
                <w:rFonts w:ascii="Times New Roman"/>
                <w:sz w:val="18"/>
              </w:rPr>
              <w:t>59.11</w:t>
            </w:r>
          </w:p>
        </w:tc>
        <w:tc>
          <w:tcPr>
            <w:tcW w:w="68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7"/>
              <w:ind w:left="23" w:right="94"/>
              <w:jc w:val="left"/>
              <w:rPr>
                <w:rFonts w:ascii="宋体" w:hAnsi="宋体" w:cs="宋体" w:eastAsia="宋体" w:hint="default"/>
                <w:sz w:val="18"/>
                <w:szCs w:val="18"/>
              </w:rPr>
            </w:pPr>
            <w:r>
              <w:rPr>
                <w:rFonts w:ascii="宋体" w:hAnsi="宋体" w:cs="宋体" w:eastAsia="宋体" w:hint="default"/>
                <w:sz w:val="18"/>
                <w:szCs w:val="18"/>
              </w:rPr>
              <w:t>盐城丰东特种炉业 有限公司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7"/>
              <w:ind w:left="23" w:right="108"/>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大丰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3" w:right="0"/>
              <w:jc w:val="left"/>
              <w:rPr>
                <w:rFonts w:ascii="Times New Roman" w:hAnsi="Times New Roman" w:cs="Times New Roman" w:eastAsia="Times New Roman" w:hint="default"/>
                <w:sz w:val="18"/>
                <w:szCs w:val="18"/>
              </w:rPr>
            </w:pPr>
            <w:r>
              <w:rPr>
                <w:rFonts w:ascii="Times New Roman"/>
                <w:sz w:val="18"/>
              </w:rPr>
              <w:t>804170</w:t>
            </w:r>
          </w:p>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82"/>
              <w:jc w:val="both"/>
              <w:rPr>
                <w:rFonts w:ascii="宋体" w:hAnsi="宋体" w:cs="宋体" w:eastAsia="宋体" w:hint="default"/>
                <w:sz w:val="18"/>
                <w:szCs w:val="18"/>
              </w:rPr>
            </w:pPr>
            <w:r>
              <w:rPr>
                <w:rFonts w:ascii="宋体" w:hAnsi="宋体" w:cs="宋体" w:eastAsia="宋体" w:hint="default"/>
                <w:sz w:val="18"/>
                <w:szCs w:val="18"/>
              </w:rPr>
              <w:t>生产热处理 设备及零部 件</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5" w:right="0"/>
              <w:jc w:val="left"/>
              <w:rPr>
                <w:rFonts w:ascii="Times New Roman" w:hAnsi="Times New Roman" w:cs="Times New Roman" w:eastAsia="Times New Roman" w:hint="default"/>
                <w:sz w:val="18"/>
                <w:szCs w:val="18"/>
              </w:rPr>
            </w:pPr>
            <w:r>
              <w:rPr>
                <w:rFonts w:ascii="Times New Roman"/>
                <w:sz w:val="18"/>
              </w:rPr>
              <w:t>2,805,50</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5.10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51%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51%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2" w:right="0"/>
              <w:jc w:val="center"/>
              <w:rPr>
                <w:rFonts w:ascii="Times New Roman" w:hAnsi="Times New Roman" w:cs="Times New Roman" w:eastAsia="Times New Roman" w:hint="default"/>
                <w:sz w:val="18"/>
                <w:szCs w:val="18"/>
              </w:rPr>
            </w:pPr>
            <w:r>
              <w:rPr>
                <w:rFonts w:ascii="Times New Roman"/>
                <w:sz w:val="18"/>
              </w:rPr>
              <w:t>2,589,1</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75.39</w:t>
            </w:r>
          </w:p>
        </w:tc>
        <w:tc>
          <w:tcPr>
            <w:tcW w:w="68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7"/>
              <w:ind w:left="23" w:right="95"/>
              <w:jc w:val="left"/>
              <w:rPr>
                <w:rFonts w:ascii="宋体" w:hAnsi="宋体" w:cs="宋体" w:eastAsia="宋体" w:hint="default"/>
                <w:sz w:val="18"/>
                <w:szCs w:val="18"/>
              </w:rPr>
            </w:pPr>
            <w:r>
              <w:rPr>
                <w:rFonts w:ascii="宋体" w:hAnsi="宋体" w:cs="宋体" w:eastAsia="宋体" w:hint="default"/>
                <w:sz w:val="18"/>
                <w:szCs w:val="18"/>
              </w:rPr>
              <w:t>重庆丰东神五热处 理工程有限公司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7"/>
              <w:ind w:left="23" w:right="108"/>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重庆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42420300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82"/>
              <w:jc w:val="both"/>
              <w:rPr>
                <w:rFonts w:ascii="宋体" w:hAnsi="宋体" w:cs="宋体" w:eastAsia="宋体" w:hint="default"/>
                <w:sz w:val="18"/>
                <w:szCs w:val="18"/>
              </w:rPr>
            </w:pPr>
            <w:r>
              <w:rPr>
                <w:rFonts w:ascii="宋体" w:hAnsi="宋体" w:cs="宋体" w:eastAsia="宋体" w:hint="default"/>
                <w:sz w:val="18"/>
                <w:szCs w:val="18"/>
              </w:rPr>
              <w:t>金属零部件 的热处理及 表面加工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5" w:right="0"/>
              <w:jc w:val="left"/>
              <w:rPr>
                <w:rFonts w:ascii="Times New Roman" w:hAnsi="Times New Roman" w:cs="Times New Roman" w:eastAsia="Times New Roman" w:hint="default"/>
                <w:sz w:val="18"/>
                <w:szCs w:val="18"/>
              </w:rPr>
            </w:pPr>
            <w:r>
              <w:rPr>
                <w:rFonts w:ascii="Times New Roman"/>
                <w:sz w:val="18"/>
              </w:rPr>
              <w:t>43,878,7</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43.69</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8"/>
              <w:jc w:val="right"/>
              <w:rPr>
                <w:rFonts w:ascii="Times New Roman" w:hAnsi="Times New Roman" w:cs="Times New Roman" w:eastAsia="Times New Roman" w:hint="default"/>
                <w:sz w:val="18"/>
                <w:szCs w:val="18"/>
              </w:rPr>
            </w:pPr>
            <w:r>
              <w:rPr>
                <w:rFonts w:ascii="Times New Roman"/>
                <w:spacing w:val="-1"/>
                <w:sz w:val="18"/>
              </w:rPr>
              <w:t>95.285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8"/>
              <w:jc w:val="right"/>
              <w:rPr>
                <w:rFonts w:ascii="Times New Roman" w:hAnsi="Times New Roman" w:cs="Times New Roman" w:eastAsia="Times New Roman" w:hint="default"/>
                <w:sz w:val="18"/>
                <w:szCs w:val="18"/>
              </w:rPr>
            </w:pPr>
            <w:r>
              <w:rPr>
                <w:rFonts w:ascii="Times New Roman"/>
                <w:spacing w:val="-1"/>
                <w:sz w:val="18"/>
              </w:rPr>
              <w:t>95.285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2" w:right="0"/>
              <w:jc w:val="center"/>
              <w:rPr>
                <w:rFonts w:ascii="Times New Roman" w:hAnsi="Times New Roman" w:cs="Times New Roman" w:eastAsia="Times New Roman" w:hint="default"/>
                <w:sz w:val="18"/>
                <w:szCs w:val="18"/>
              </w:rPr>
            </w:pPr>
            <w:r>
              <w:rPr>
                <w:rFonts w:ascii="Times New Roman"/>
                <w:sz w:val="18"/>
              </w:rPr>
              <w:t>2,210,4</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36.98</w:t>
            </w:r>
          </w:p>
        </w:tc>
        <w:tc>
          <w:tcPr>
            <w:tcW w:w="68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7"/>
              <w:ind w:left="23" w:right="94"/>
              <w:jc w:val="left"/>
              <w:rPr>
                <w:rFonts w:ascii="宋体" w:hAnsi="宋体" w:cs="宋体" w:eastAsia="宋体" w:hint="default"/>
                <w:sz w:val="18"/>
                <w:szCs w:val="18"/>
              </w:rPr>
            </w:pPr>
            <w:r>
              <w:rPr>
                <w:rFonts w:ascii="宋体" w:hAnsi="宋体" w:cs="宋体" w:eastAsia="宋体" w:hint="default"/>
                <w:sz w:val="18"/>
                <w:szCs w:val="18"/>
              </w:rPr>
              <w:t>南京丰东热处理工 程有限公司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7"/>
              <w:ind w:left="23" w:right="108"/>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南京</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27522500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82"/>
              <w:jc w:val="both"/>
              <w:rPr>
                <w:rFonts w:ascii="宋体" w:hAnsi="宋体" w:cs="宋体" w:eastAsia="宋体" w:hint="default"/>
                <w:sz w:val="18"/>
                <w:szCs w:val="18"/>
              </w:rPr>
            </w:pPr>
            <w:r>
              <w:rPr>
                <w:rFonts w:ascii="宋体" w:hAnsi="宋体" w:cs="宋体" w:eastAsia="宋体" w:hint="default"/>
                <w:sz w:val="18"/>
                <w:szCs w:val="18"/>
              </w:rPr>
              <w:t>机械配件专 业热处理加 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5" w:right="0"/>
              <w:jc w:val="left"/>
              <w:rPr>
                <w:rFonts w:ascii="Times New Roman" w:hAnsi="Times New Roman" w:cs="Times New Roman" w:eastAsia="Times New Roman" w:hint="default"/>
                <w:sz w:val="18"/>
                <w:szCs w:val="18"/>
              </w:rPr>
            </w:pPr>
            <w:r>
              <w:rPr>
                <w:rFonts w:ascii="Times New Roman"/>
                <w:sz w:val="18"/>
              </w:rPr>
              <w:t>50,800,0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8"/>
              <w:jc w:val="right"/>
              <w:rPr>
                <w:rFonts w:ascii="Times New Roman" w:hAnsi="Times New Roman" w:cs="Times New Roman" w:eastAsia="Times New Roman" w:hint="default"/>
                <w:sz w:val="18"/>
                <w:szCs w:val="18"/>
              </w:rPr>
            </w:pPr>
            <w:r>
              <w:rPr>
                <w:rFonts w:ascii="Times New Roman"/>
                <w:sz w:val="18"/>
              </w:rPr>
              <w:t>96.37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8"/>
              <w:jc w:val="right"/>
              <w:rPr>
                <w:rFonts w:ascii="Times New Roman" w:hAnsi="Times New Roman" w:cs="Times New Roman" w:eastAsia="Times New Roman" w:hint="default"/>
                <w:sz w:val="18"/>
                <w:szCs w:val="18"/>
              </w:rPr>
            </w:pPr>
            <w:r>
              <w:rPr>
                <w:rFonts w:ascii="Times New Roman"/>
                <w:sz w:val="18"/>
              </w:rPr>
              <w:t>96.37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2" w:right="0"/>
              <w:jc w:val="center"/>
              <w:rPr>
                <w:rFonts w:ascii="Times New Roman" w:hAnsi="Times New Roman" w:cs="Times New Roman" w:eastAsia="Times New Roman" w:hint="default"/>
                <w:sz w:val="18"/>
                <w:szCs w:val="18"/>
              </w:rPr>
            </w:pPr>
            <w:r>
              <w:rPr>
                <w:rFonts w:ascii="Times New Roman"/>
                <w:sz w:val="18"/>
              </w:rPr>
              <w:t>1,662,3</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99.08</w:t>
            </w:r>
          </w:p>
        </w:tc>
        <w:tc>
          <w:tcPr>
            <w:tcW w:w="68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7"/>
              <w:ind w:left="23" w:right="94"/>
              <w:jc w:val="left"/>
              <w:rPr>
                <w:rFonts w:ascii="宋体" w:hAnsi="宋体" w:cs="宋体" w:eastAsia="宋体" w:hint="default"/>
                <w:sz w:val="18"/>
                <w:szCs w:val="18"/>
              </w:rPr>
            </w:pPr>
            <w:r>
              <w:rPr>
                <w:rFonts w:ascii="宋体" w:hAnsi="宋体" w:cs="宋体" w:eastAsia="宋体" w:hint="default"/>
                <w:sz w:val="18"/>
                <w:szCs w:val="18"/>
              </w:rPr>
              <w:t>天津丰东热处理有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7"/>
              <w:ind w:left="23" w:right="108"/>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天津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7"/>
              <w:ind w:left="23" w:right="20"/>
              <w:jc w:val="left"/>
              <w:rPr>
                <w:rFonts w:ascii="宋体" w:hAnsi="宋体" w:cs="宋体" w:eastAsia="宋体" w:hint="default"/>
                <w:sz w:val="18"/>
                <w:szCs w:val="18"/>
              </w:rPr>
            </w:pPr>
            <w:r>
              <w:rPr>
                <w:rFonts w:ascii="宋体" w:hAnsi="宋体" w:cs="宋体" w:eastAsia="宋体" w:hint="default"/>
                <w:spacing w:val="-17"/>
                <w:sz w:val="18"/>
                <w:szCs w:val="18"/>
              </w:rPr>
              <w:t>生产、加</w:t>
            </w:r>
            <w:r>
              <w:rPr>
                <w:rFonts w:ascii="宋体" w:hAnsi="宋体" w:cs="宋体" w:eastAsia="宋体" w:hint="default"/>
                <w:sz w:val="18"/>
                <w:szCs w:val="18"/>
              </w:rPr>
              <w:t> 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3"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9"/>
              <w:jc w:val="left"/>
              <w:rPr>
                <w:rFonts w:ascii="宋体" w:hAnsi="宋体" w:cs="宋体" w:eastAsia="宋体" w:hint="default"/>
                <w:sz w:val="18"/>
                <w:szCs w:val="18"/>
              </w:rPr>
            </w:pPr>
            <w:r>
              <w:rPr>
                <w:rFonts w:ascii="宋体" w:hAnsi="宋体" w:cs="宋体" w:eastAsia="宋体" w:hint="default"/>
                <w:sz w:val="18"/>
                <w:szCs w:val="18"/>
              </w:rPr>
              <w:t>金属制品加 </w:t>
            </w:r>
            <w:r>
              <w:rPr>
                <w:rFonts w:ascii="宋体" w:hAnsi="宋体" w:cs="宋体" w:eastAsia="宋体" w:hint="default"/>
                <w:spacing w:val="-3"/>
                <w:sz w:val="18"/>
                <w:szCs w:val="18"/>
              </w:rPr>
              <w:t>工、科技信息</w:t>
            </w:r>
            <w:r>
              <w:rPr>
                <w:rFonts w:ascii="宋体" w:hAnsi="宋体" w:cs="宋体" w:eastAsia="宋体" w:hint="default"/>
                <w:sz w:val="18"/>
                <w:szCs w:val="18"/>
              </w:rPr>
              <w:t> 咨询服务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5" w:right="0"/>
              <w:jc w:val="left"/>
              <w:rPr>
                <w:rFonts w:ascii="Times New Roman" w:hAnsi="Times New Roman" w:cs="Times New Roman" w:eastAsia="Times New Roman" w:hint="default"/>
                <w:sz w:val="18"/>
                <w:szCs w:val="18"/>
              </w:rPr>
            </w:pPr>
            <w:r>
              <w:rPr>
                <w:rFonts w:ascii="Times New Roman"/>
                <w:sz w:val="18"/>
              </w:rPr>
              <w:t>18,272,8</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65%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65%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13" w:right="0"/>
              <w:jc w:val="left"/>
              <w:rPr>
                <w:rFonts w:ascii="Times New Roman" w:hAnsi="Times New Roman" w:cs="Times New Roman" w:eastAsia="Times New Roman" w:hint="default"/>
                <w:sz w:val="18"/>
                <w:szCs w:val="18"/>
              </w:rPr>
            </w:pPr>
            <w:r>
              <w:rPr>
                <w:rFonts w:ascii="Times New Roman"/>
                <w:sz w:val="18"/>
              </w:rPr>
              <w:t>13,881,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698.53</w:t>
            </w:r>
          </w:p>
        </w:tc>
        <w:tc>
          <w:tcPr>
            <w:tcW w:w="68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7"/>
              <w:ind w:left="23" w:right="94"/>
              <w:jc w:val="left"/>
              <w:rPr>
                <w:rFonts w:ascii="宋体" w:hAnsi="宋体" w:cs="宋体" w:eastAsia="宋体" w:hint="default"/>
                <w:sz w:val="18"/>
                <w:szCs w:val="18"/>
              </w:rPr>
            </w:pPr>
            <w:r>
              <w:rPr>
                <w:rFonts w:ascii="宋体" w:hAnsi="宋体" w:cs="宋体" w:eastAsia="宋体" w:hint="default"/>
                <w:sz w:val="18"/>
                <w:szCs w:val="18"/>
              </w:rPr>
              <w:t>上海昂先实业有限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7"/>
              <w:ind w:left="23" w:right="108"/>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上海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58800000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
              <w:jc w:val="left"/>
              <w:rPr>
                <w:rFonts w:ascii="宋体" w:hAnsi="宋体" w:cs="宋体" w:eastAsia="宋体" w:hint="default"/>
                <w:sz w:val="18"/>
                <w:szCs w:val="18"/>
              </w:rPr>
            </w:pPr>
            <w:r>
              <w:rPr>
                <w:rFonts w:ascii="宋体" w:hAnsi="宋体" w:cs="宋体" w:eastAsia="宋体" w:hint="default"/>
                <w:sz w:val="18"/>
                <w:szCs w:val="18"/>
              </w:rPr>
              <w:t>热处理加工 及技术开发、 咨询</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5" w:right="0"/>
              <w:jc w:val="left"/>
              <w:rPr>
                <w:rFonts w:ascii="Times New Roman" w:hAnsi="Times New Roman" w:cs="Times New Roman" w:eastAsia="Times New Roman" w:hint="default"/>
                <w:sz w:val="18"/>
                <w:szCs w:val="18"/>
              </w:rPr>
            </w:pPr>
            <w:r>
              <w:rPr>
                <w:rFonts w:ascii="Times New Roman"/>
                <w:sz w:val="18"/>
              </w:rPr>
              <w:t>61,880,0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r>
    </w:tbl>
    <w:p>
      <w:pPr>
        <w:spacing w:before="49"/>
        <w:ind w:left="832" w:right="0"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w:t>
      </w:r>
    </w:p>
    <w:p>
      <w:pPr>
        <w:spacing w:after="0"/>
        <w:jc w:val="left"/>
        <w:rPr>
          <w:rFonts w:ascii="宋体" w:hAnsi="宋体" w:cs="宋体" w:eastAsia="宋体" w:hint="default"/>
          <w:sz w:val="18"/>
          <w:szCs w:val="18"/>
        </w:rPr>
        <w:sectPr>
          <w:pgSz w:w="11910" w:h="16840"/>
          <w:pgMar w:header="706" w:footer="1251" w:top="1060" w:bottom="1440" w:left="30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子公司天津丰东晨旭金属科技有限公司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日更名为天津丰东热处理有限公司。</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1469"/>
      </w:tblGrid>
      <w:tr>
        <w:trPr>
          <w:trHeight w:val="2588"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5" w:hanging="1"/>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2"/>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6"/>
              <w:jc w:val="center"/>
              <w:rPr>
                <w:rFonts w:ascii="宋体" w:hAnsi="宋体" w:cs="宋体" w:eastAsia="宋体" w:hint="default"/>
                <w:sz w:val="18"/>
                <w:szCs w:val="18"/>
              </w:rPr>
            </w:pPr>
            <w:r>
              <w:rPr>
                <w:rFonts w:ascii="宋体" w:hAnsi="宋体" w:cs="宋体" w:eastAsia="宋体" w:hint="default"/>
                <w:sz w:val="18"/>
                <w:szCs w:val="18"/>
              </w:rPr>
              <w:t>从母公司所有者 权益冲减子公司 少数股东分担的 本期亏损超过少 数股东在该子公 司年初所有者权 益中所享有份额 后的余额</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通过同一控制下企业合并取得的子公司的其他说明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1469"/>
      </w:tblGrid>
      <w:tr>
        <w:trPr>
          <w:trHeight w:val="258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2"/>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6"/>
              <w:jc w:val="center"/>
              <w:rPr>
                <w:rFonts w:ascii="宋体" w:hAnsi="宋体" w:cs="宋体" w:eastAsia="宋体" w:hint="default"/>
                <w:sz w:val="18"/>
                <w:szCs w:val="18"/>
              </w:rPr>
            </w:pPr>
            <w:r>
              <w:rPr>
                <w:rFonts w:ascii="宋体" w:hAnsi="宋体" w:cs="宋体" w:eastAsia="宋体" w:hint="default"/>
                <w:sz w:val="18"/>
                <w:szCs w:val="18"/>
              </w:rPr>
              <w:t>从母公司所有者 权益冲减子公司 少数股东分担的 本期亏损超过少 数股东在该子公 司年初所有者权 益中所享有份额 后的余额</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488"/>
        <w:gridCol w:w="2382"/>
        <w:gridCol w:w="4688"/>
      </w:tblGrid>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特殊目的主体或通过受托经营或承租等方式形成控制权的经营实体的其他说明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4"/>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w:t>
      </w:r>
    </w:p>
    <w:p>
      <w:pPr>
        <w:spacing w:line="338" w:lineRule="auto" w:before="117"/>
        <w:ind w:left="172"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与上年相比本年（期）减少合并单位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家，原因为</w:t>
      </w:r>
    </w:p>
    <w:p>
      <w:pPr>
        <w:pStyle w:val="BodyText"/>
        <w:spacing w:line="256" w:lineRule="auto" w:before="1"/>
        <w:ind w:right="0" w:firstLine="42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月底，孙公司上海丰东热处理工程有限公司（上海昂先实业有限公司原子公司）完成全部注</w:t>
      </w:r>
      <w:r>
        <w:rPr>
          <w:w w:val="100"/>
        </w:rPr>
        <w:t> </w:t>
      </w:r>
      <w:r>
        <w:rPr/>
        <w:t>销手续，不再纳入合并报表范围。</w:t>
      </w:r>
    </w:p>
    <w:p>
      <w:pPr>
        <w:spacing w:after="0" w:line="256" w:lineRule="auto"/>
        <w:jc w:val="left"/>
        <w:sectPr>
          <w:pgSz w:w="11910" w:h="16840"/>
          <w:pgMar w:header="706" w:footer="1251" w:top="1060" w:bottom="1440" w:left="96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12"/>
        <w:rPr>
          <w:rFonts w:ascii="宋体" w:hAnsi="宋体" w:cs="宋体" w:eastAsia="宋体" w:hint="default"/>
          <w:b/>
          <w:bCs/>
          <w:sz w:val="22"/>
          <w:szCs w:val="22"/>
        </w:rPr>
      </w:pP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本期新纳入合并范围的子公司、特殊目的主体、通过受托经营或承租等方式形成控制权的经营实体</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4073"/>
        <w:gridCol w:w="2852"/>
        <w:gridCol w:w="2634"/>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bl>
    <w:p>
      <w:pPr>
        <w:spacing w:before="50"/>
        <w:ind w:left="172" w:right="0" w:firstLine="0"/>
        <w:jc w:val="left"/>
        <w:rPr>
          <w:rFonts w:ascii="宋体" w:hAnsi="宋体" w:cs="宋体" w:eastAsia="宋体" w:hint="default"/>
          <w:sz w:val="18"/>
          <w:szCs w:val="18"/>
        </w:rPr>
      </w:pPr>
      <w:r>
        <w:rPr>
          <w:rFonts w:ascii="宋体" w:hAnsi="宋体" w:cs="宋体" w:eastAsia="宋体" w:hint="default"/>
          <w:sz w:val="18"/>
          <w:szCs w:val="18"/>
        </w:rPr>
        <w:t>本期不再纳入合并范围的子公司、特殊目的主体、通过受托经营或承租等方式形成控制权的经营实体</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4074"/>
        <w:gridCol w:w="2852"/>
        <w:gridCol w:w="2645"/>
      </w:tblGrid>
      <w:tr>
        <w:trPr>
          <w:trHeight w:val="401"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处置日净资产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上海丰东热处理工程有有限公司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新纳入合并范围的主体和不再纳入合并范围的主体的其他说明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794"/>
        <w:gridCol w:w="1556"/>
        <w:gridCol w:w="1553"/>
        <w:gridCol w:w="1556"/>
        <w:gridCol w:w="1557"/>
        <w:gridCol w:w="1543"/>
      </w:tblGrid>
      <w:tr>
        <w:trPr>
          <w:trHeight w:val="713"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4"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2" w:right="52"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1" w:right="41"/>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同一控制下企业合并的其他说明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676"/>
        <w:gridCol w:w="3032"/>
        <w:gridCol w:w="3850"/>
      </w:tblGrid>
      <w:tr>
        <w:trPr>
          <w:trHeight w:val="404" w:hRule="exact"/>
        </w:trPr>
        <w:tc>
          <w:tcPr>
            <w:tcW w:w="2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非同一控制下企业合并的其他说明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9"/>
        <w:rPr>
          <w:rFonts w:ascii="宋体" w:hAnsi="宋体" w:cs="宋体" w:eastAsia="宋体" w:hint="default"/>
          <w:b/>
          <w:bCs/>
          <w:sz w:val="25"/>
          <w:szCs w:val="25"/>
        </w:rPr>
      </w:pPr>
    </w:p>
    <w:tbl>
      <w:tblPr>
        <w:tblW w:w="0" w:type="auto"/>
        <w:jc w:val="left"/>
        <w:tblInd w:w="169" w:type="dxa"/>
        <w:tblLayout w:type="fixed"/>
        <w:tblCellMar>
          <w:top w:w="0" w:type="dxa"/>
          <w:left w:w="0" w:type="dxa"/>
          <w:bottom w:w="0" w:type="dxa"/>
          <w:right w:w="0" w:type="dxa"/>
        </w:tblCellMar>
        <w:tblLook w:val="01E0"/>
      </w:tblPr>
      <w:tblGrid>
        <w:gridCol w:w="3984"/>
        <w:gridCol w:w="2489"/>
        <w:gridCol w:w="3085"/>
      </w:tblGrid>
      <w:tr>
        <w:trPr>
          <w:trHeight w:val="402"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spacing w:before="50"/>
        <w:ind w:left="172" w:right="0" w:firstLine="0"/>
        <w:jc w:val="left"/>
        <w:rPr>
          <w:rFonts w:ascii="宋体" w:hAnsi="宋体" w:cs="宋体" w:eastAsia="宋体" w:hint="default"/>
          <w:sz w:val="18"/>
          <w:szCs w:val="18"/>
        </w:rPr>
      </w:pPr>
      <w:r>
        <w:rPr>
          <w:rFonts w:ascii="宋体" w:hAnsi="宋体" w:cs="宋体" w:eastAsia="宋体" w:hint="default"/>
          <w:sz w:val="18"/>
          <w:szCs w:val="18"/>
        </w:rPr>
        <w:t>出售丧失控制权的股权而减少的子公司的其他说明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8</w:t>
      </w:r>
      <w:r>
        <w:rPr/>
        <w:t>、本报告期发生的吸收合并</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641"/>
        <w:gridCol w:w="1481"/>
        <w:gridCol w:w="1484"/>
        <w:gridCol w:w="1481"/>
        <w:gridCol w:w="1483"/>
      </w:tblGrid>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3"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吸收合并的其他说明</w:t>
      </w:r>
    </w:p>
    <w:p>
      <w:pPr>
        <w:spacing w:after="0"/>
        <w:jc w:val="left"/>
        <w:rPr>
          <w:rFonts w:ascii="宋体" w:hAnsi="宋体" w:cs="宋体" w:eastAsia="宋体" w:hint="default"/>
          <w:sz w:val="18"/>
          <w:szCs w:val="18"/>
        </w:rPr>
        <w:sectPr>
          <w:pgSz w:w="11910" w:h="16840"/>
          <w:pgMar w:header="706" w:footer="1251" w:top="1060" w:bottom="1440" w:left="96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七、合并财务报表主要项目注释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000"/>
        <w:gridCol w:w="1328"/>
        <w:gridCol w:w="929"/>
        <w:gridCol w:w="1462"/>
        <w:gridCol w:w="1330"/>
        <w:gridCol w:w="929"/>
        <w:gridCol w:w="1594"/>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165,085.55</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155,468.08</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165,085.55</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155,468.08</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235,045,083.68</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283,403,592.71</w:t>
            </w:r>
          </w:p>
        </w:tc>
      </w:tr>
      <w:tr>
        <w:trPr>
          <w:trHeight w:val="40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234,985,172.61</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283,403,273.95</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0.07</w:t>
            </w:r>
          </w:p>
        </w:tc>
        <w:tc>
          <w:tcPr>
            <w:tcW w:w="1330"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5.66</w:t>
            </w:r>
          </w:p>
        </w:tc>
        <w:tc>
          <w:tcPr>
            <w:tcW w:w="1330"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9,530.72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59,905.34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2" w:right="0"/>
              <w:jc w:val="left"/>
              <w:rPr>
                <w:rFonts w:ascii="Times New Roman" w:hAnsi="Times New Roman" w:cs="Times New Roman" w:eastAsia="Times New Roman" w:hint="default"/>
                <w:sz w:val="18"/>
                <w:szCs w:val="18"/>
              </w:rPr>
            </w:pPr>
            <w:r>
              <w:rPr>
                <w:rFonts w:ascii="Times New Roman"/>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318.76</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2,815,000.00</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1,822,620.00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2,815,000.00</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1,822,620.00</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238,025,169.23</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285,381,680.79</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4255"/>
        <w:gridCol w:w="2657"/>
        <w:gridCol w:w="2645"/>
      </w:tblGrid>
      <w:tr>
        <w:trPr>
          <w:trHeight w:val="403"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540"/>
        <w:gridCol w:w="3852"/>
        <w:gridCol w:w="2165"/>
      </w:tblGrid>
      <w:tr>
        <w:trPr>
          <w:trHeight w:val="403" w:hRule="exact"/>
        </w:trPr>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2" w:right="0"/>
              <w:jc w:val="left"/>
              <w:rPr>
                <w:rFonts w:ascii="宋体" w:hAnsi="宋体" w:cs="宋体" w:eastAsia="宋体" w:hint="default"/>
                <w:sz w:val="18"/>
                <w:szCs w:val="18"/>
              </w:rPr>
            </w:pPr>
            <w:r>
              <w:rPr>
                <w:rFonts w:ascii="宋体" w:hAnsi="宋体" w:cs="宋体" w:eastAsia="宋体" w:hint="default"/>
                <w:sz w:val="18"/>
                <w:szCs w:val="18"/>
              </w:rPr>
              <w:t>期末金额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989"/>
        <w:gridCol w:w="2657"/>
        <w:gridCol w:w="2910"/>
      </w:tblGrid>
      <w:tr>
        <w:trPr>
          <w:trHeight w:val="403" w:hRule="exact"/>
        </w:trPr>
        <w:tc>
          <w:tcPr>
            <w:tcW w:w="3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06" w:footer="1251" w:top="1060" w:bottom="1440" w:left="960" w:right="0"/>
        </w:sectPr>
      </w:pPr>
    </w:p>
    <w:p>
      <w:pPr>
        <w:spacing w:line="240" w:lineRule="auto" w:before="6"/>
        <w:rPr>
          <w:rFonts w:ascii="宋体" w:hAnsi="宋体" w:cs="宋体" w:eastAsia="宋体" w:hint="default"/>
          <w:sz w:val="28"/>
          <w:szCs w:val="28"/>
        </w:rPr>
      </w:pPr>
    </w:p>
    <w:tbl>
      <w:tblPr>
        <w:tblW w:w="0" w:type="auto"/>
        <w:jc w:val="left"/>
        <w:tblInd w:w="167" w:type="dxa"/>
        <w:tblLayout w:type="fixed"/>
        <w:tblCellMar>
          <w:top w:w="0" w:type="dxa"/>
          <w:left w:w="0" w:type="dxa"/>
          <w:bottom w:w="0" w:type="dxa"/>
          <w:right w:w="0" w:type="dxa"/>
        </w:tblCellMar>
        <w:tblLook w:val="01E0"/>
      </w:tblPr>
      <w:tblGrid>
        <w:gridCol w:w="3990"/>
        <w:gridCol w:w="2657"/>
        <w:gridCol w:w="2921"/>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17,326,333.73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8,935,405.84</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17,626,333.73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9,035,405.84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4"/>
        <w:spacing w:line="256" w:lineRule="auto" w:before="36"/>
        <w:ind w:right="1124"/>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65"/>
        </w:rPr>
        <w:t> </w:t>
      </w:r>
      <w:r>
        <w:rPr>
          <w:spacing w:val="-65"/>
        </w:rPr>
      </w:r>
      <w:r>
        <w:rPr/>
        <w:t>情况</w:t>
      </w:r>
      <w:r>
        <w:rPr>
          <w:b w:val="0"/>
          <w:bCs w:val="0"/>
        </w:rPr>
      </w:r>
    </w:p>
    <w:p>
      <w:pPr>
        <w:spacing w:line="240" w:lineRule="auto" w:before="1"/>
        <w:rPr>
          <w:rFonts w:ascii="宋体" w:hAnsi="宋体" w:cs="宋体" w:eastAsia="宋体" w:hint="default"/>
          <w:b/>
          <w:bCs/>
          <w:sz w:val="23"/>
          <w:szCs w:val="23"/>
        </w:rPr>
      </w:pP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因出票人无力履约而将票据转为应收账款的票据</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06" w:footer="1251" w:top="1060" w:bottom="1440" w:left="960" w:right="0"/>
        </w:sectPr>
      </w:pPr>
    </w:p>
    <w:p>
      <w:pPr>
        <w:spacing w:line="357" w:lineRule="auto" w:before="50"/>
        <w:ind w:left="172" w:right="-20" w:firstLine="0"/>
        <w:jc w:val="left"/>
        <w:rPr>
          <w:rFonts w:ascii="宋体" w:hAnsi="宋体" w:cs="宋体" w:eastAsia="宋体" w:hint="default"/>
          <w:sz w:val="18"/>
          <w:szCs w:val="18"/>
        </w:rPr>
      </w:pPr>
      <w:r>
        <w:rPr>
          <w:rFonts w:ascii="宋体" w:hAnsi="宋体" w:cs="宋体" w:eastAsia="宋体" w:hint="default"/>
          <w:sz w:val="18"/>
          <w:szCs w:val="18"/>
        </w:rPr>
        <w:t>说明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0" w:bottom="280" w:left="960" w:right="0"/>
          <w:cols w:num="2" w:equalWidth="0">
            <w:col w:w="3413" w:space="5416"/>
            <w:col w:w="2121"/>
          </w:cols>
        </w:sectPr>
      </w:pP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357" w:lineRule="auto" w:before="49"/>
        <w:ind w:left="172" w:right="7874" w:firstLine="0"/>
        <w:jc w:val="left"/>
        <w:rPr>
          <w:rFonts w:ascii="宋体" w:hAnsi="宋体" w:cs="宋体" w:eastAsia="宋体" w:hint="default"/>
          <w:sz w:val="18"/>
          <w:szCs w:val="18"/>
        </w:rPr>
      </w:pPr>
      <w:r>
        <w:rPr>
          <w:rFonts w:ascii="宋体" w:hAnsi="宋体" w:cs="宋体" w:eastAsia="宋体" w:hint="default"/>
          <w:sz w:val="18"/>
          <w:szCs w:val="18"/>
        </w:rPr>
        <w:t>说明 已贴现或质押的商业承兑票据的说明</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439"/>
        <w:gridCol w:w="1340"/>
        <w:gridCol w:w="1339"/>
        <w:gridCol w:w="1433"/>
        <w:gridCol w:w="1339"/>
        <w:gridCol w:w="1337"/>
        <w:gridCol w:w="1339"/>
      </w:tblGrid>
      <w:tr>
        <w:trPr>
          <w:trHeight w:val="71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93" w:right="35"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40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862"/>
        <w:gridCol w:w="1861"/>
        <w:gridCol w:w="1863"/>
        <w:gridCol w:w="1860"/>
        <w:gridCol w:w="2115"/>
      </w:tblGrid>
      <w:tr>
        <w:trPr>
          <w:trHeight w:val="401"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center"/>
        <w:rPr>
          <w:rFonts w:ascii="宋体" w:hAnsi="宋体" w:cs="宋体" w:eastAsia="宋体" w:hint="default"/>
          <w:sz w:val="18"/>
          <w:szCs w:val="18"/>
        </w:rPr>
        <w:sectPr>
          <w:type w:val="continuous"/>
          <w:pgSz w:w="11910" w:h="16840"/>
          <w:pgMar w:top="0" w:bottom="280" w:left="96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006"/>
        <w:gridCol w:w="1115"/>
        <w:gridCol w:w="739"/>
        <w:gridCol w:w="1104"/>
        <w:gridCol w:w="755"/>
        <w:gridCol w:w="1228"/>
        <w:gridCol w:w="710"/>
        <w:gridCol w:w="1133"/>
        <w:gridCol w:w="782"/>
      </w:tblGrid>
      <w:tr>
        <w:trPr>
          <w:trHeight w:val="404" w:hRule="exact"/>
        </w:trPr>
        <w:tc>
          <w:tcPr>
            <w:tcW w:w="2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2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8" w:hRule="exact"/>
        </w:trPr>
        <w:tc>
          <w:tcPr>
            <w:tcW w:w="2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713"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71"/>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115" w:type="dxa"/>
            <w:tcBorders>
              <w:top w:val="single" w:sz="4" w:space="0" w:color="000000"/>
              <w:left w:val="single" w:sz="10" w:space="0" w:color="D2D2D2"/>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1,115,100.00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150,755.00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13.52%</w:t>
            </w:r>
          </w:p>
        </w:tc>
      </w:tr>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1"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83,453,540.19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92.05%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2,797,622.45</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73,900,047.56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1,670,062.04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w:t>
            </w:r>
          </w:p>
        </w:tc>
      </w:tr>
      <w:tr>
        <w:trPr>
          <w:trHeight w:val="403"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3,996,530.10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w:t>
            </w:r>
          </w:p>
        </w:tc>
        <w:tc>
          <w:tcPr>
            <w:tcW w:w="110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384,491.14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0.48%</w:t>
            </w:r>
          </w:p>
        </w:tc>
        <w:tc>
          <w:tcPr>
            <w:tcW w:w="113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87,450,070.29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96.46%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2,797,622.45</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74,284,538.70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93.68%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1,670,062.04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w:t>
            </w:r>
          </w:p>
        </w:tc>
      </w:tr>
      <w:tr>
        <w:trPr>
          <w:trHeight w:val="1028"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1"/>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3,207,791.39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2,489,354.16</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77.6%</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3,893,654.37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3,251,054.37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83.5%</w:t>
            </w:r>
          </w:p>
        </w:tc>
      </w:tr>
      <w:tr>
        <w:trPr>
          <w:trHeight w:val="401"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90,657,861.68</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5,286,976.61</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2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79,293,293.07</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5,071,871.41</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06" w:footer="1251" w:top="1060" w:bottom="1440" w:left="960" w:right="0"/>
        </w:sectPr>
      </w:pPr>
    </w:p>
    <w:p>
      <w:pPr>
        <w:spacing w:line="360" w:lineRule="auto" w:before="49"/>
        <w:ind w:left="172" w:right="23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无</w:t>
      </w:r>
    </w:p>
    <w:p>
      <w:pPr>
        <w:spacing w:before="27"/>
        <w:ind w:left="17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7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9"/>
        <w:ind w:left="172" w:right="23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0" w:bottom="280" w:left="960" w:right="0"/>
          <w:cols w:num="2" w:equalWidth="0">
            <w:col w:w="4133" w:space="4696"/>
            <w:col w:w="2121"/>
          </w:cols>
        </w:sectPr>
      </w:pP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467"/>
        <w:gridCol w:w="1594"/>
        <w:gridCol w:w="923"/>
        <w:gridCol w:w="1740"/>
        <w:gridCol w:w="1454"/>
        <w:gridCol w:w="925"/>
        <w:gridCol w:w="1454"/>
      </w:tblGrid>
      <w:tr>
        <w:trPr>
          <w:trHeight w:val="401" w:hRule="exact"/>
        </w:trPr>
        <w:tc>
          <w:tcPr>
            <w:tcW w:w="1467"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3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14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467" w:type="dxa"/>
            <w:vMerge/>
            <w:tcBorders>
              <w:left w:val="single" w:sz="4" w:space="0" w:color="000000"/>
              <w:bottom w:val="nil" w:sz="6" w:space="0" w:color="auto"/>
              <w:right w:val="single" w:sz="4" w:space="0" w:color="000000"/>
            </w:tcBorders>
            <w:shd w:val="clear" w:color="auto" w:fill="D2D2D2"/>
          </w:tcPr>
          <w:p>
            <w:pPr/>
          </w:p>
        </w:tc>
        <w:tc>
          <w:tcPr>
            <w:tcW w:w="2517" w:type="dxa"/>
            <w:gridSpan w:val="2"/>
            <w:vMerge/>
            <w:tcBorders>
              <w:left w:val="single" w:sz="4" w:space="0" w:color="000000"/>
              <w:bottom w:val="single" w:sz="4" w:space="0" w:color="000000"/>
              <w:right w:val="single" w:sz="4" w:space="0" w:color="000000"/>
            </w:tcBorders>
            <w:shd w:val="clear" w:color="auto" w:fill="D2D2D2"/>
          </w:tcPr>
          <w:p>
            <w:pPr/>
          </w:p>
        </w:tc>
        <w:tc>
          <w:tcPr>
            <w:tcW w:w="17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79" w:type="dxa"/>
            <w:gridSpan w:val="2"/>
            <w:vMerge/>
            <w:tcBorders>
              <w:left w:val="single" w:sz="4" w:space="0" w:color="000000"/>
              <w:bottom w:val="single" w:sz="4" w:space="0" w:color="000000"/>
              <w:right w:val="single" w:sz="4" w:space="0" w:color="000000"/>
            </w:tcBorders>
            <w:shd w:val="clear" w:color="auto" w:fill="D2D2D2"/>
          </w:tcPr>
          <w:p>
            <w:pPr/>
          </w:p>
        </w:tc>
        <w:tc>
          <w:tcPr>
            <w:tcW w:w="14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467" w:type="dxa"/>
            <w:vMerge w:val="restart"/>
            <w:tcBorders>
              <w:top w:val="nil" w:sz="6" w:space="0" w:color="auto"/>
              <w:left w:val="single" w:sz="4" w:space="0" w:color="000000"/>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40" w:type="dxa"/>
            <w:vMerge/>
            <w:tcBorders>
              <w:left w:val="single" w:sz="4" w:space="0" w:color="000000"/>
              <w:bottom w:val="nil" w:sz="6" w:space="0" w:color="auto"/>
              <w:right w:val="single" w:sz="4" w:space="0" w:color="000000"/>
            </w:tcBorders>
            <w:shd w:val="clear" w:color="auto" w:fill="D2D2D2"/>
          </w:tcPr>
          <w:p>
            <w:pPr/>
          </w:p>
        </w:tc>
        <w:tc>
          <w:tcPr>
            <w:tcW w:w="14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4" w:type="dxa"/>
            <w:vMerge/>
            <w:tcBorders>
              <w:left w:val="single" w:sz="4" w:space="0" w:color="000000"/>
              <w:bottom w:val="nil" w:sz="6" w:space="0" w:color="auto"/>
              <w:right w:val="single" w:sz="4" w:space="0" w:color="000000"/>
            </w:tcBorders>
            <w:shd w:val="clear" w:color="auto" w:fill="D2D2D2"/>
          </w:tcPr>
          <w:p>
            <w:pPr/>
          </w:p>
        </w:tc>
      </w:tr>
      <w:tr>
        <w:trPr>
          <w:trHeight w:val="211" w:hRule="exact"/>
        </w:trPr>
        <w:tc>
          <w:tcPr>
            <w:tcW w:w="146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45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5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z w:val="18"/>
              </w:rPr>
              <w:t>--</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02" w:right="0"/>
              <w:jc w:val="left"/>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670"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16" w:right="0"/>
              <w:jc w:val="left"/>
              <w:rPr>
                <w:rFonts w:ascii="Times New Roman" w:hAnsi="Times New Roman" w:cs="Times New Roman" w:eastAsia="Times New Roman" w:hint="default"/>
                <w:sz w:val="18"/>
                <w:szCs w:val="18"/>
              </w:rPr>
            </w:pPr>
            <w:r>
              <w:rPr>
                <w:rFonts w:ascii="Times New Roman"/>
                <w:sz w:val="18"/>
              </w:rPr>
              <w:t>56,179,177.13</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67.32%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8" w:right="0"/>
              <w:jc w:val="left"/>
              <w:rPr>
                <w:rFonts w:ascii="Times New Roman" w:hAnsi="Times New Roman" w:cs="Times New Roman" w:eastAsia="Times New Roman" w:hint="default"/>
                <w:sz w:val="18"/>
                <w:szCs w:val="18"/>
              </w:rPr>
            </w:pPr>
            <w:r>
              <w:rPr>
                <w:rFonts w:ascii="Times New Roman"/>
                <w:sz w:val="18"/>
              </w:rPr>
              <w:t>280,895.89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7" w:right="0"/>
              <w:jc w:val="left"/>
              <w:rPr>
                <w:rFonts w:ascii="Times New Roman" w:hAnsi="Times New Roman" w:cs="Times New Roman" w:eastAsia="Times New Roman" w:hint="default"/>
                <w:sz w:val="18"/>
                <w:szCs w:val="18"/>
              </w:rPr>
            </w:pPr>
            <w:r>
              <w:rPr>
                <w:rFonts w:ascii="Times New Roman"/>
                <w:sz w:val="18"/>
              </w:rPr>
              <w:t>56,741,738.26</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4" w:right="0"/>
              <w:jc w:val="left"/>
              <w:rPr>
                <w:rFonts w:ascii="Times New Roman" w:hAnsi="Times New Roman" w:cs="Times New Roman" w:eastAsia="Times New Roman" w:hint="default"/>
                <w:sz w:val="18"/>
                <w:szCs w:val="18"/>
              </w:rPr>
            </w:pPr>
            <w:r>
              <w:rPr>
                <w:rFonts w:ascii="Times New Roman"/>
                <w:sz w:val="18"/>
              </w:rPr>
              <w:t>76.78%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283,477.38</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0" w:bottom="280" w:left="960" w:right="0"/>
        </w:sectPr>
      </w:pPr>
    </w:p>
    <w:p>
      <w:pPr>
        <w:spacing w:line="240" w:lineRule="auto" w:before="6"/>
        <w:rPr>
          <w:rFonts w:ascii="宋体" w:hAnsi="宋体" w:cs="宋体" w:eastAsia="宋体" w:hint="default"/>
          <w:sz w:val="28"/>
          <w:szCs w:val="28"/>
        </w:rPr>
      </w:pPr>
    </w:p>
    <w:tbl>
      <w:tblPr>
        <w:tblW w:w="0" w:type="auto"/>
        <w:jc w:val="left"/>
        <w:tblInd w:w="169" w:type="dxa"/>
        <w:tblLayout w:type="fixed"/>
        <w:tblCellMar>
          <w:top w:w="0" w:type="dxa"/>
          <w:left w:w="0" w:type="dxa"/>
          <w:bottom w:w="0" w:type="dxa"/>
          <w:right w:w="0" w:type="dxa"/>
        </w:tblCellMar>
        <w:tblLook w:val="01E0"/>
      </w:tblPr>
      <w:tblGrid>
        <w:gridCol w:w="1466"/>
        <w:gridCol w:w="1594"/>
        <w:gridCol w:w="929"/>
        <w:gridCol w:w="1728"/>
        <w:gridCol w:w="1459"/>
        <w:gridCol w:w="932"/>
        <w:gridCol w:w="1459"/>
      </w:tblGrid>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19,448,830.35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972,441.52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12,657,889.71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17.13%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632,894.48</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6,495,474.73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7.78%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649,547.47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3,819,434.46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381,943.45</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585,291.50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175,587.45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412,835.50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123,850.65</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51,232.73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25,616.37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40,507.11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20,253.56</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693,533.75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693,533.75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227,642.52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227,642.52</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83,453,540.19</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2,797,622.45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73,900,047.56</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1,670,062.04</w:t>
            </w:r>
          </w:p>
        </w:tc>
      </w:tr>
    </w:tbl>
    <w:p>
      <w:pPr>
        <w:spacing w:after="0" w:line="240" w:lineRule="auto"/>
        <w:jc w:val="right"/>
        <w:rPr>
          <w:rFonts w:ascii="Times New Roman" w:hAnsi="Times New Roman" w:cs="Times New Roman" w:eastAsia="Times New Roman" w:hint="default"/>
          <w:sz w:val="18"/>
          <w:szCs w:val="18"/>
        </w:rPr>
        <w:sectPr>
          <w:pgSz w:w="11910" w:h="16840"/>
          <w:pgMar w:header="706" w:footer="1251" w:top="1060" w:bottom="1440" w:left="960" w:right="0"/>
        </w:sectPr>
      </w:pPr>
    </w:p>
    <w:p>
      <w:pPr>
        <w:spacing w:before="49"/>
        <w:ind w:left="172"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172" w:right="3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before="41"/>
        <w:ind w:left="17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0" w:bottom="280" w:left="960" w:right="0"/>
          <w:cols w:num="2" w:equalWidth="0">
            <w:col w:w="4313" w:space="4516"/>
            <w:col w:w="2121"/>
          </w:cols>
        </w:sectPr>
      </w:pP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121"/>
        <w:gridCol w:w="3195"/>
        <w:gridCol w:w="3255"/>
      </w:tblGrid>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经减值测试后不需计提坏账准备的组合</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3,996,530.10</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3,996,530.10</w:t>
            </w:r>
          </w:p>
        </w:tc>
        <w:tc>
          <w:tcPr>
            <w:tcW w:w="325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0" w:bottom="280" w:left="960" w:right="0"/>
        </w:sectPr>
      </w:pPr>
    </w:p>
    <w:p>
      <w:pPr>
        <w:spacing w:before="49"/>
        <w:ind w:left="172" w:right="-20" w:firstLine="0"/>
        <w:jc w:val="left"/>
        <w:rPr>
          <w:rFonts w:ascii="宋体" w:hAnsi="宋体" w:cs="宋体" w:eastAsia="宋体" w:hint="default"/>
          <w:sz w:val="18"/>
          <w:szCs w:val="18"/>
        </w:rPr>
      </w:pPr>
      <w:r>
        <w:rPr>
          <w:rFonts w:ascii="宋体" w:hAnsi="宋体" w:cs="宋体" w:eastAsia="宋体" w:hint="default"/>
          <w:sz w:val="18"/>
          <w:szCs w:val="18"/>
        </w:rPr>
        <w:t>期末单项金额虽不重大但单项计提坏账准备的应收账款</w:t>
      </w:r>
    </w:p>
    <w:p>
      <w:pPr>
        <w:spacing w:before="115"/>
        <w:ind w:left="17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0" w:bottom="280" w:left="960" w:right="0"/>
          <w:cols w:num="2" w:equalWidth="0">
            <w:col w:w="4493" w:space="4336"/>
            <w:col w:w="2121"/>
          </w:cols>
        </w:sectPr>
      </w:pPr>
    </w:p>
    <w:p>
      <w:pPr>
        <w:spacing w:line="240" w:lineRule="auto" w:before="3"/>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916"/>
        <w:gridCol w:w="1913"/>
        <w:gridCol w:w="1916"/>
        <w:gridCol w:w="1488"/>
        <w:gridCol w:w="2341"/>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账龄虽未达到</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年以上，但经</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多次催讨未果，因此按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计提坏账准备。</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214,000.00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214,000.00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z w:val="18"/>
              </w:rPr>
              <w:t>100%</w:t>
            </w:r>
          </w:p>
        </w:tc>
        <w:tc>
          <w:tcPr>
            <w:tcW w:w="2341" w:type="dxa"/>
            <w:vMerge/>
            <w:tcBorders>
              <w:left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2341" w:type="dxa"/>
            <w:vMerge/>
            <w:tcBorders>
              <w:left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2341" w:type="dxa"/>
            <w:vMerge/>
            <w:tcBorders>
              <w:left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205,500.00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2341" w:type="dxa"/>
            <w:vMerge/>
            <w:tcBorders>
              <w:left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393,903.30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393,903.30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2341" w:type="dxa"/>
            <w:vMerge/>
            <w:tcBorders>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398,160.00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320,260.00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80.44%</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309" w:lineRule="auto"/>
              <w:ind w:left="23" w:right="17"/>
              <w:jc w:val="both"/>
              <w:rPr>
                <w:rFonts w:ascii="宋体" w:hAnsi="宋体" w:cs="宋体" w:eastAsia="宋体" w:hint="default"/>
                <w:sz w:val="18"/>
                <w:szCs w:val="18"/>
              </w:rPr>
            </w:pPr>
            <w:r>
              <w:rPr>
                <w:rFonts w:ascii="宋体" w:hAnsi="宋体" w:cs="宋体" w:eastAsia="宋体" w:hint="default"/>
                <w:sz w:val="18"/>
                <w:szCs w:val="18"/>
              </w:rPr>
              <w:t>账龄虽未达到</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年，但经多次</w:t>
            </w:r>
            <w:r>
              <w:rPr>
                <w:rFonts w:ascii="宋体" w:hAnsi="宋体" w:cs="宋体" w:eastAsia="宋体" w:hint="default"/>
                <w:sz w:val="18"/>
                <w:szCs w:val="18"/>
              </w:rPr>
              <w:t> </w:t>
            </w:r>
            <w:r>
              <w:rPr>
                <w:rFonts w:ascii="宋体" w:hAnsi="宋体" w:cs="宋体" w:eastAsia="宋体" w:hint="default"/>
                <w:spacing w:val="-5"/>
                <w:sz w:val="18"/>
                <w:szCs w:val="18"/>
              </w:rPr>
              <w:t>催讨未果，因此加大坏账计提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比例</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945,982.00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42.28%</w:t>
            </w:r>
          </w:p>
        </w:tc>
        <w:tc>
          <w:tcPr>
            <w:tcW w:w="2341" w:type="dxa"/>
            <w:vMerge/>
            <w:tcBorders>
              <w:left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109,900.58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91,781.06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83.51%</w:t>
            </w:r>
          </w:p>
        </w:tc>
        <w:tc>
          <w:tcPr>
            <w:tcW w:w="2341" w:type="dxa"/>
            <w:vMerge/>
            <w:tcBorders>
              <w:left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100,258.00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80.46%</w:t>
            </w:r>
          </w:p>
        </w:tc>
        <w:tc>
          <w:tcPr>
            <w:tcW w:w="2341" w:type="dxa"/>
            <w:vMerge/>
            <w:tcBorders>
              <w:left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235,745.51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183,651.80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77.9%</w:t>
            </w:r>
          </w:p>
        </w:tc>
        <w:tc>
          <w:tcPr>
            <w:tcW w:w="2341" w:type="dxa"/>
            <w:vMerge/>
            <w:tcBorders>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3,207,791.39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2,489,354.16</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4"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after="0" w:line="240" w:lineRule="auto"/>
        <w:jc w:val="left"/>
        <w:rPr>
          <w:rFonts w:ascii="宋体" w:hAnsi="宋体" w:cs="宋体" w:eastAsia="宋体" w:hint="default"/>
          <w:sz w:val="18"/>
          <w:szCs w:val="18"/>
        </w:rPr>
        <w:sectPr>
          <w:type w:val="continuous"/>
          <w:pgSz w:w="11910" w:h="16840"/>
          <w:pgMar w:top="0" w:bottom="280" w:left="960" w:right="0"/>
        </w:sectPr>
      </w:pPr>
    </w:p>
    <w:p>
      <w:pPr>
        <w:spacing w:line="240" w:lineRule="auto" w:before="9"/>
        <w:rPr>
          <w:rFonts w:ascii="宋体" w:hAnsi="宋体" w:cs="宋体" w:eastAsia="宋体" w:hint="default"/>
          <w:sz w:val="25"/>
          <w:szCs w:val="25"/>
        </w:rPr>
      </w:pPr>
      <w:r>
        <w:rPr/>
        <w:pict>
          <v:group style="position:absolute;margin-left:460.320007pt;margin-top:764.919983pt;width:135pt;height:77pt;mso-position-horizontal-relative:page;mso-position-vertical-relative:page;z-index:-858880" coordorigin="9206,15298" coordsize="2700,1540">
            <v:shape style="position:absolute;left:9206;top:15298;width:2700;height:1540" type="#_x0000_t75" stroked="false">
              <v:imagedata r:id="rId26"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99</w:t>
                    </w:r>
                  </w:p>
                </w:txbxContent>
              </v:textbox>
              <w10:wrap type="none"/>
            </v:shape>
            <w10:wrap type="none"/>
          </v:group>
        </w:pict>
      </w: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195,080.00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145,299.15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其他客户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409,754.98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1,583,034.13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72" w:right="9314" w:firstLine="0"/>
        <w:jc w:val="left"/>
        <w:rPr>
          <w:rFonts w:ascii="宋体" w:hAnsi="宋体" w:cs="宋体" w:eastAsia="宋体" w:hint="default"/>
          <w:sz w:val="18"/>
          <w:szCs w:val="18"/>
        </w:rPr>
      </w:pPr>
      <w:r>
        <w:rPr>
          <w:rFonts w:ascii="宋体" w:hAnsi="宋体" w:cs="宋体" w:eastAsia="宋体" w:hint="default"/>
          <w:sz w:val="18"/>
          <w:szCs w:val="18"/>
        </w:rPr>
        <w:t>应收账款核销说明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659"/>
        <w:gridCol w:w="1728"/>
        <w:gridCol w:w="1594"/>
        <w:gridCol w:w="1861"/>
        <w:gridCol w:w="1726"/>
      </w:tblGrid>
      <w:tr>
        <w:trPr>
          <w:trHeight w:val="403"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268"/>
        <w:gridCol w:w="1561"/>
        <w:gridCol w:w="1916"/>
        <w:gridCol w:w="1488"/>
        <w:gridCol w:w="2341"/>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5,431,716.00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5.99%</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合营公司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3,838,730.10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2,901,000.00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2,893,270.00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2,813,861.11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17,878,577.21</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19.71%</w:t>
            </w:r>
          </w:p>
        </w:tc>
      </w:tr>
    </w:tbl>
    <w:p>
      <w:pPr>
        <w:spacing w:after="0" w:line="240" w:lineRule="auto"/>
        <w:jc w:val="right"/>
        <w:rPr>
          <w:rFonts w:ascii="Times New Roman" w:hAnsi="Times New Roman" w:cs="Times New Roman" w:eastAsia="Times New Roman" w:hint="default"/>
          <w:sz w:val="18"/>
          <w:szCs w:val="18"/>
        </w:rPr>
        <w:sectPr>
          <w:headerReference w:type="default" r:id="rId50"/>
          <w:footerReference w:type="default" r:id="rId51"/>
          <w:pgSz w:w="11910" w:h="16840"/>
          <w:pgMar w:header="706" w:footer="0" w:top="1060" w:bottom="0" w:left="96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合营公司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3,838,730.10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日本国和华株式会社</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129,481.30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4,126,011.40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990"/>
        <w:gridCol w:w="2991"/>
        <w:gridCol w:w="3577"/>
      </w:tblGrid>
      <w:tr>
        <w:trPr>
          <w:trHeight w:val="403"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1226" w:lineRule="exact"/>
        <w:ind w:left="16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846;top:14;width:2;height:392" coordorigin="3846,14" coordsize="2,392">
              <v:shape style="position:absolute;left:3846;top:14;width:2;height:392" coordorigin="3846,14" coordsize="0,392" path="m3846,14l3846,406e" filled="false" stroked="true" strokeweight="1.2pt" strokecolor="#d2d2d2">
                <v:path arrowok="t"/>
              </v:shape>
            </v:group>
            <v:group style="position:absolute;left:34;top:14;width:3801;height:392" coordorigin="34,14" coordsize="3801,392">
              <v:shape style="position:absolute;left:34;top:14;width:3801;height:392" coordorigin="34,14" coordsize="3801,392" path="m34,406l3834,406,3834,14,34,14,34,406xe" filled="true" fillcolor="#d2d2d2" stroked="false">
                <v:path arrowok="t"/>
                <v:fill type="solid"/>
              </v:shape>
            </v:group>
            <v:group style="position:absolute;left:3879;top:14;width:2;height:392" coordorigin="3879,14" coordsize="2,392">
              <v:shape style="position:absolute;left:3879;top:14;width:2;height:392" coordorigin="3879,14" coordsize="0,392" path="m3879,14l3879,406e" filled="false" stroked="true" strokeweight="1.2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3891;top:14;width:5656;height:392" coordorigin="3891,14" coordsize="5656,392">
              <v:shape style="position:absolute;left:3891;top:14;width:5656;height:392" coordorigin="3891,14" coordsize="5656,392" path="m3891,406l9547,406,9547,14,3891,14,3891,406xe" filled="true" fillcolor="#d2d2d2" stroked="false">
                <v:path arrowok="t"/>
                <v:fill type="solid"/>
              </v:shape>
            </v:group>
            <v:group style="position:absolute;left:10;top:10;width:3849;height:2" coordorigin="10,10" coordsize="3849,2">
              <v:shape style="position:absolute;left:10;top:10;width:3849;height:2" coordorigin="10,10" coordsize="3849,0" path="m10,10l3858,10e" filled="false" stroked="true" strokeweight=".48pt" strokecolor="#000000">
                <v:path arrowok="t"/>
              </v:shape>
            </v:group>
            <v:group style="position:absolute;left:3867;top:10;width:5704;height:2" coordorigin="3867,10" coordsize="5704,2">
              <v:shape style="position:absolute;left:3867;top:10;width:5704;height:2" coordorigin="3867,10" coordsize="5704,0" path="m3867,10l9571,10e" filled="false" stroked="true" strokeweight=".48pt" strokecolor="#000000">
                <v:path arrowok="t"/>
              </v:shape>
            </v:group>
            <v:group style="position:absolute;left:3863;top:5;width:2;height:411" coordorigin="3863,5" coordsize="2,411">
              <v:shape style="position:absolute;left:3863;top:5;width:2;height:411" coordorigin="3863,5" coordsize="0,411" path="m3863,5l3863,415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0;width:3849;height:2" coordorigin="10,410" coordsize="3849,2">
              <v:shape style="position:absolute;left:10;top:410;width:3849;height:2" coordorigin="10,410" coordsize="3849,0" path="m10,410l3858,410e" filled="false" stroked="true" strokeweight=".48pt" strokecolor="#000000">
                <v:path arrowok="t"/>
              </v:shape>
            </v:group>
            <v:group style="position:absolute;left:3867;top:410;width:5704;height:2" coordorigin="3867,410" coordsize="5704,2">
              <v:shape style="position:absolute;left:3867;top:410;width:5704;height:2" coordorigin="3867,410" coordsize="5704,0" path="m3867,410l9571,410e" filled="false" stroked="true" strokeweight=".48pt" strokecolor="#000000">
                <v:path arrowok="t"/>
              </v:shape>
            </v:group>
            <v:group style="position:absolute;left:23;top:818;width:2;height:392" coordorigin="23,818" coordsize="2,392">
              <v:shape style="position:absolute;left:23;top:818;width:2;height:392" coordorigin="23,818" coordsize="0,392" path="m23,818l23,1210e" filled="false" stroked="true" strokeweight="1.08pt" strokecolor="#d2d2d2">
                <v:path arrowok="t"/>
              </v:shape>
            </v:group>
            <v:group style="position:absolute;left:9559;top:818;width:2;height:392" coordorigin="9559,818" coordsize="2,392">
              <v:shape style="position:absolute;left:9559;top:818;width:2;height:392" coordorigin="9559,818" coordsize="0,392" path="m9559,818l9559,1210e" filled="false" stroked="true" strokeweight="1.2pt" strokecolor="#d2d2d2">
                <v:path arrowok="t"/>
              </v:shape>
            </v:group>
            <v:group style="position:absolute;left:34;top:818;width:9514;height:392" coordorigin="34,818" coordsize="9514,392">
              <v:shape style="position:absolute;left:34;top:818;width:9514;height:392" coordorigin="34,818" coordsize="9514,392" path="m34,1210l9547,1210,9547,818,34,818,34,1210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7" coordorigin="5,5" coordsize="2,1217">
              <v:shape style="position:absolute;left:5;top:5;width:2;height:1217" coordorigin="5,5" coordsize="0,1217"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8pt" strokecolor="#000000">
                <v:path arrowok="t"/>
              </v:shape>
            </v:group>
            <v:group style="position:absolute;left:9576;top:5;width:2;height:1217" coordorigin="9576,5" coordsize="2,1217">
              <v:shape style="position:absolute;left:9576;top:5;width:2;height:1217" coordorigin="9576,5" coordsize="0,1217" path="m9576,5l9576,1222e" filled="false" stroked="true" strokeweight=".48pt" strokecolor="#000000">
                <v:path arrowok="t"/>
              </v:shape>
              <v:shape style="position:absolute;left:175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0;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2"/>
        <w:rPr>
          <w:rFonts w:ascii="宋体" w:hAnsi="宋体" w:cs="宋体" w:eastAsia="宋体" w:hint="default"/>
          <w:sz w:val="18"/>
          <w:szCs w:val="18"/>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2"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4"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524,030.83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14.23%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7" w:right="0"/>
              <w:jc w:val="left"/>
              <w:rPr>
                <w:rFonts w:ascii="Times New Roman" w:hAnsi="Times New Roman" w:cs="Times New Roman" w:eastAsia="Times New Roman" w:hint="default"/>
                <w:sz w:val="18"/>
                <w:szCs w:val="18"/>
              </w:rPr>
            </w:pPr>
            <w:r>
              <w:rPr>
                <w:rFonts w:ascii="Times New Roman"/>
                <w:sz w:val="18"/>
              </w:rPr>
              <w:t>56,268.21</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10.74%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250,846.57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5.97%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5,129.57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2.04%</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3,116,867.08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84.64%</w:t>
            </w:r>
          </w:p>
        </w:tc>
        <w:tc>
          <w:tcPr>
            <w:tcW w:w="105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3,911,749.35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93.11%</w:t>
            </w:r>
          </w:p>
        </w:tc>
        <w:tc>
          <w:tcPr>
            <w:tcW w:w="119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3,640,897.91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98.87%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7" w:right="0"/>
              <w:jc w:val="left"/>
              <w:rPr>
                <w:rFonts w:ascii="Times New Roman" w:hAnsi="Times New Roman" w:cs="Times New Roman" w:eastAsia="Times New Roman" w:hint="default"/>
                <w:sz w:val="18"/>
                <w:szCs w:val="18"/>
              </w:rPr>
            </w:pPr>
            <w:r>
              <w:rPr>
                <w:rFonts w:ascii="Times New Roman"/>
                <w:sz w:val="18"/>
              </w:rPr>
              <w:t>56,268.21</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4,162,595.92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99.08%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5,129.57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0.12%</w:t>
            </w:r>
          </w:p>
        </w:tc>
      </w:tr>
      <w:tr>
        <w:trPr>
          <w:trHeight w:val="1025"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41,687.10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41,687.10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38,629.60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0.92%</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38,629.60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3,682,585.01</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left="307" w:right="0"/>
              <w:jc w:val="left"/>
              <w:rPr>
                <w:rFonts w:ascii="Times New Roman" w:hAnsi="Times New Roman" w:cs="Times New Roman" w:eastAsia="Times New Roman" w:hint="default"/>
                <w:sz w:val="18"/>
                <w:szCs w:val="18"/>
              </w:rPr>
            </w:pPr>
            <w:r>
              <w:rPr>
                <w:rFonts w:ascii="Times New Roman"/>
                <w:sz w:val="18"/>
              </w:rPr>
              <w:t>97,955.31</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4,201,225.52</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43,759.17</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72" w:right="8954" w:firstLine="0"/>
        <w:jc w:val="left"/>
        <w:rPr>
          <w:rFonts w:ascii="宋体" w:hAnsi="宋体" w:cs="宋体" w:eastAsia="宋体" w:hint="default"/>
          <w:sz w:val="18"/>
          <w:szCs w:val="18"/>
        </w:rPr>
      </w:pPr>
      <w:r>
        <w:rPr/>
        <w:pict>
          <v:group style="position:absolute;margin-left:460.320007pt;margin-top:29.105717pt;width:135pt;height:77pt;mso-position-horizontal-relative:page;mso-position-vertical-relative:paragraph;z-index:2320" coordorigin="9206,582" coordsize="2700,1540">
            <v:shape style="position:absolute;left:9206;top:582;width:2700;height:1540" type="#_x0000_t75" stroked="false">
              <v:imagedata r:id="rId26" o:title=""/>
            </v:shape>
            <v:shape style="position:absolute;left:10502;top:942;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10:wrap type="none"/>
          </v:group>
        </w:pict>
      </w:r>
      <w:r>
        <w:rPr>
          <w:rFonts w:ascii="宋体" w:hAnsi="宋体" w:cs="宋体" w:eastAsia="宋体" w:hint="default"/>
          <w:sz w:val="18"/>
          <w:szCs w:val="18"/>
        </w:rPr>
        <w:t>其他应收款种类的说明 无</w:t>
      </w:r>
    </w:p>
    <w:p>
      <w:pPr>
        <w:spacing w:after="0" w:line="357" w:lineRule="auto"/>
        <w:jc w:val="left"/>
        <w:rPr>
          <w:rFonts w:ascii="宋体" w:hAnsi="宋体" w:cs="宋体" w:eastAsia="宋体" w:hint="default"/>
          <w:sz w:val="18"/>
          <w:szCs w:val="18"/>
        </w:rPr>
        <w:sectPr>
          <w:headerReference w:type="default" r:id="rId52"/>
          <w:footerReference w:type="default" r:id="rId53"/>
          <w:pgSz w:w="11910" w:h="16840"/>
          <w:pgMar w:header="706" w:footer="0" w:top="1060" w:bottom="0" w:left="96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54"/>
          <w:footerReference w:type="default" r:id="rId55"/>
          <w:pgSz w:w="11910" w:h="16840"/>
          <w:pgMar w:header="706" w:footer="0" w:top="1060" w:bottom="0" w:left="960" w:right="0"/>
        </w:sectPr>
      </w:pPr>
    </w:p>
    <w:p>
      <w:pPr>
        <w:spacing w:before="44"/>
        <w:ind w:left="17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7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43"/>
        <w:ind w:left="17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0" w:bottom="280" w:left="960" w:right="0"/>
          <w:cols w:num="2" w:equalWidth="0">
            <w:col w:w="4313" w:space="4516"/>
            <w:col w:w="2121"/>
          </w:cols>
        </w:sectPr>
      </w:pPr>
    </w:p>
    <w:p>
      <w:pPr>
        <w:spacing w:line="240" w:lineRule="auto" w:before="2"/>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1836"/>
        <w:gridCol w:w="1415"/>
        <w:gridCol w:w="1085"/>
        <w:gridCol w:w="1448"/>
        <w:gridCol w:w="1010"/>
        <w:gridCol w:w="1097"/>
        <w:gridCol w:w="1668"/>
      </w:tblGrid>
      <w:tr>
        <w:trPr>
          <w:trHeight w:val="403" w:hRule="exact"/>
        </w:trPr>
        <w:tc>
          <w:tcPr>
            <w:tcW w:w="1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18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25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836" w:type="dxa"/>
            <w:vMerge/>
            <w:tcBorders>
              <w:left w:val="single" w:sz="4" w:space="0" w:color="000000"/>
              <w:bottom w:val="nil" w:sz="6" w:space="0" w:color="auto"/>
              <w:right w:val="single" w:sz="4" w:space="0" w:color="000000"/>
            </w:tcBorders>
            <w:shd w:val="clear" w:color="auto" w:fill="D2D2D2"/>
          </w:tcPr>
          <w:p>
            <w:pPr/>
          </w:p>
        </w:tc>
        <w:tc>
          <w:tcPr>
            <w:tcW w:w="2500" w:type="dxa"/>
            <w:gridSpan w:val="2"/>
            <w:vMerge/>
            <w:tcBorders>
              <w:left w:val="single" w:sz="4" w:space="0" w:color="000000"/>
              <w:bottom w:val="single" w:sz="4" w:space="0" w:color="000000"/>
              <w:right w:val="single" w:sz="4" w:space="0" w:color="000000"/>
            </w:tcBorders>
            <w:shd w:val="clear" w:color="auto" w:fill="D2D2D2"/>
          </w:tcPr>
          <w:p>
            <w:pPr/>
          </w:p>
        </w:tc>
        <w:tc>
          <w:tcPr>
            <w:tcW w:w="14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7" w:type="dxa"/>
            <w:gridSpan w:val="2"/>
            <w:vMerge/>
            <w:tcBorders>
              <w:left w:val="single" w:sz="4" w:space="0" w:color="000000"/>
              <w:bottom w:val="single" w:sz="4" w:space="0" w:color="000000"/>
              <w:right w:val="single" w:sz="4" w:space="0" w:color="000000"/>
            </w:tcBorders>
            <w:shd w:val="clear" w:color="auto" w:fill="D2D2D2"/>
          </w:tcPr>
          <w:p>
            <w:pPr/>
          </w:p>
        </w:tc>
        <w:tc>
          <w:tcPr>
            <w:tcW w:w="16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9" w:hRule="exact"/>
        </w:trPr>
        <w:tc>
          <w:tcPr>
            <w:tcW w:w="1836" w:type="dxa"/>
            <w:vMerge w:val="restart"/>
            <w:tcBorders>
              <w:top w:val="nil" w:sz="6" w:space="0" w:color="auto"/>
              <w:left w:val="single" w:sz="4" w:space="0" w:color="000000"/>
              <w:right w:val="single" w:sz="4" w:space="0" w:color="000000"/>
            </w:tcBorders>
            <w:shd w:val="clear" w:color="auto" w:fill="D2D2D2"/>
          </w:tcPr>
          <w:p>
            <w:pPr/>
          </w:p>
        </w:tc>
        <w:tc>
          <w:tcPr>
            <w:tcW w:w="14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48" w:type="dxa"/>
            <w:vMerge/>
            <w:tcBorders>
              <w:left w:val="single" w:sz="4" w:space="0" w:color="000000"/>
              <w:bottom w:val="nil" w:sz="6" w:space="0" w:color="auto"/>
              <w:right w:val="single" w:sz="4" w:space="0" w:color="000000"/>
            </w:tcBorders>
            <w:shd w:val="clear" w:color="auto" w:fill="D2D2D2"/>
          </w:tcPr>
          <w:p>
            <w:pP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668" w:type="dxa"/>
            <w:vMerge/>
            <w:tcBorders>
              <w:left w:val="single" w:sz="4" w:space="0" w:color="000000"/>
              <w:bottom w:val="nil" w:sz="6" w:space="0" w:color="auto"/>
              <w:right w:val="single" w:sz="4" w:space="0" w:color="000000"/>
            </w:tcBorders>
            <w:shd w:val="clear" w:color="auto" w:fill="D2D2D2"/>
          </w:tcPr>
          <w:p>
            <w:pPr/>
          </w:p>
        </w:tc>
      </w:tr>
      <w:tr>
        <w:trPr>
          <w:trHeight w:val="211" w:hRule="exact"/>
        </w:trPr>
        <w:tc>
          <w:tcPr>
            <w:tcW w:w="1836" w:type="dxa"/>
            <w:vMerge/>
            <w:tcBorders>
              <w:left w:val="single" w:sz="4" w:space="0" w:color="000000"/>
              <w:bottom w:val="single" w:sz="4" w:space="0" w:color="000000"/>
              <w:right w:val="single" w:sz="4" w:space="0" w:color="000000"/>
            </w:tcBorders>
            <w:shd w:val="clear" w:color="auto" w:fill="D2D2D2"/>
          </w:tcPr>
          <w:p>
            <w:pPr/>
          </w:p>
        </w:tc>
        <w:tc>
          <w:tcPr>
            <w:tcW w:w="1415" w:type="dxa"/>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14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6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1"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8"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4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236,757.88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45.18%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1,183.79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168,124.98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840.62</w:t>
            </w: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37,850.59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1,892.53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79,664.09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3,983.20</w:t>
            </w: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204,314.10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38.99%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20,431.41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3,057.50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305.75</w:t>
            </w: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11,468.26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3,440.48</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8,640.00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4,320.00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4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524,030.83</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56,268.21</w:t>
            </w:r>
          </w:p>
        </w:tc>
        <w:tc>
          <w:tcPr>
            <w:tcW w:w="101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250,846.57</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5,129.57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0" w:bottom="280" w:left="960" w:right="0"/>
        </w:sectPr>
      </w:pPr>
    </w:p>
    <w:p>
      <w:pPr>
        <w:spacing w:before="49"/>
        <w:ind w:left="172"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72" w:right="3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3"/>
        <w:ind w:left="17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0" w:bottom="280" w:left="960" w:right="0"/>
          <w:cols w:num="2" w:equalWidth="0">
            <w:col w:w="4493" w:space="4336"/>
            <w:col w:w="2121"/>
          </w:cols>
        </w:sectPr>
      </w:pPr>
    </w:p>
    <w:p>
      <w:pPr>
        <w:spacing w:line="240" w:lineRule="auto" w:before="3"/>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961"/>
        <w:gridCol w:w="2856"/>
        <w:gridCol w:w="2753"/>
      </w:tblGrid>
      <w:tr>
        <w:trPr>
          <w:trHeight w:val="402" w:hRule="exact"/>
        </w:trPr>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经减值测试不需计提坏账准备的组合</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3,116,867.08</w:t>
            </w:r>
          </w:p>
        </w:tc>
        <w:tc>
          <w:tcPr>
            <w:tcW w:w="27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3,116,867.08</w:t>
            </w:r>
          </w:p>
        </w:tc>
        <w:tc>
          <w:tcPr>
            <w:tcW w:w="27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0" w:bottom="280" w:left="960" w:right="0"/>
        </w:sectPr>
      </w:pPr>
    </w:p>
    <w:p>
      <w:pPr>
        <w:spacing w:before="49"/>
        <w:ind w:left="172" w:right="-20" w:firstLine="0"/>
        <w:jc w:val="left"/>
        <w:rPr>
          <w:rFonts w:ascii="宋体" w:hAnsi="宋体" w:cs="宋体" w:eastAsia="宋体" w:hint="default"/>
          <w:sz w:val="18"/>
          <w:szCs w:val="18"/>
        </w:rPr>
      </w:pPr>
      <w:r>
        <w:rPr>
          <w:rFonts w:ascii="宋体" w:hAnsi="宋体" w:cs="宋体" w:eastAsia="宋体" w:hint="default"/>
          <w:sz w:val="18"/>
          <w:szCs w:val="18"/>
        </w:rPr>
        <w:t>期末单项金额虽不重大但单项计提坏账准备的其他应收款</w:t>
      </w:r>
    </w:p>
    <w:p>
      <w:pPr>
        <w:spacing w:before="115"/>
        <w:ind w:left="17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0" w:bottom="280" w:left="960" w:right="0"/>
          <w:cols w:num="2" w:equalWidth="0">
            <w:col w:w="4673" w:space="4156"/>
            <w:col w:w="2121"/>
          </w:cols>
        </w:sectPr>
      </w:pP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41,687.10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41,687.10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41,687.10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41,687.10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460.320007pt;margin-top:52.851719pt;width:135pt;height:77pt;mso-position-horizontal-relative:page;mso-position-vertical-relative:paragraph;z-index:-858664" coordorigin="9206,1057" coordsize="2700,1540">
            <v:shape style="position:absolute;left:9206;top:1057;width:2700;height:1540" type="#_x0000_t75" stroked="false">
              <v:imagedata r:id="rId26" o:title=""/>
            </v:shape>
            <v:shape style="position:absolute;left:10502;top:1417;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190"/>
        <w:gridCol w:w="1712"/>
        <w:gridCol w:w="1865"/>
        <w:gridCol w:w="1918"/>
        <w:gridCol w:w="1884"/>
      </w:tblGrid>
      <w:tr>
        <w:trPr>
          <w:trHeight w:val="713" w:hRule="exact"/>
        </w:trPr>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after="0" w:line="240" w:lineRule="auto"/>
        <w:jc w:val="left"/>
        <w:rPr>
          <w:rFonts w:ascii="宋体" w:hAnsi="宋体" w:cs="宋体" w:eastAsia="宋体" w:hint="default"/>
          <w:sz w:val="18"/>
          <w:szCs w:val="18"/>
        </w:rPr>
        <w:sectPr>
          <w:type w:val="continuous"/>
          <w:pgSz w:w="11910" w:h="16840"/>
          <w:pgMar w:top="0" w:bottom="280" w:left="960" w:right="0"/>
        </w:sectPr>
      </w:pPr>
    </w:p>
    <w:p>
      <w:pPr>
        <w:spacing w:line="240" w:lineRule="auto" w:before="6"/>
        <w:rPr>
          <w:rFonts w:ascii="宋体" w:hAnsi="宋体" w:cs="宋体" w:eastAsia="宋体" w:hint="default"/>
          <w:sz w:val="28"/>
          <w:szCs w:val="28"/>
        </w:rPr>
      </w:pPr>
    </w:p>
    <w:tbl>
      <w:tblPr>
        <w:tblW w:w="0" w:type="auto"/>
        <w:jc w:val="left"/>
        <w:tblInd w:w="167" w:type="dxa"/>
        <w:tblLayout w:type="fixed"/>
        <w:tblCellMar>
          <w:top w:w="0" w:type="dxa"/>
          <w:left w:w="0" w:type="dxa"/>
          <w:bottom w:w="0" w:type="dxa"/>
          <w:right w:w="0" w:type="dxa"/>
        </w:tblCellMar>
        <w:tblLook w:val="01E0"/>
      </w:tblPr>
      <w:tblGrid>
        <w:gridCol w:w="2192"/>
        <w:gridCol w:w="1712"/>
        <w:gridCol w:w="1865"/>
        <w:gridCol w:w="1918"/>
        <w:gridCol w:w="1884"/>
      </w:tblGrid>
      <w:tr>
        <w:trPr>
          <w:trHeight w:val="404"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12"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851"/>
        <w:gridCol w:w="1954"/>
        <w:gridCol w:w="1956"/>
        <w:gridCol w:w="1954"/>
        <w:gridCol w:w="1853"/>
      </w:tblGrid>
      <w:tr>
        <w:trPr>
          <w:trHeight w:val="401" w:hRule="exact"/>
        </w:trPr>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54"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72" w:right="4454"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596"/>
        <w:gridCol w:w="1597"/>
        <w:gridCol w:w="1591"/>
        <w:gridCol w:w="1464"/>
        <w:gridCol w:w="1517"/>
        <w:gridCol w:w="1802"/>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72" w:right="9134" w:firstLine="0"/>
        <w:jc w:val="left"/>
        <w:rPr>
          <w:rFonts w:ascii="宋体" w:hAnsi="宋体" w:cs="宋体" w:eastAsia="宋体" w:hint="default"/>
          <w:sz w:val="18"/>
          <w:szCs w:val="18"/>
        </w:rPr>
      </w:pPr>
      <w:r>
        <w:rPr>
          <w:rFonts w:ascii="宋体" w:hAnsi="宋体" w:cs="宋体" w:eastAsia="宋体" w:hint="default"/>
          <w:sz w:val="18"/>
          <w:szCs w:val="18"/>
        </w:rPr>
        <w:t>其他应收款核销说明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791"/>
        <w:gridCol w:w="1728"/>
        <w:gridCol w:w="1594"/>
        <w:gridCol w:w="1861"/>
        <w:gridCol w:w="1594"/>
      </w:tblGrid>
      <w:tr>
        <w:trPr>
          <w:trHeight w:val="403"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393"/>
        <w:gridCol w:w="2391"/>
        <w:gridCol w:w="1916"/>
        <w:gridCol w:w="2871"/>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340,353.00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w:t>
            </w:r>
          </w:p>
        </w:tc>
      </w:tr>
    </w:tbl>
    <w:p>
      <w:pPr>
        <w:spacing w:after="0" w:line="240" w:lineRule="auto"/>
        <w:jc w:val="right"/>
        <w:rPr>
          <w:rFonts w:ascii="Times New Roman" w:hAnsi="Times New Roman" w:cs="Times New Roman" w:eastAsia="Times New Roman" w:hint="default"/>
          <w:sz w:val="18"/>
          <w:szCs w:val="18"/>
        </w:rPr>
        <w:sectPr>
          <w:footerReference w:type="default" r:id="rId56"/>
          <w:pgSz w:w="11910" w:h="16840"/>
          <w:pgMar w:footer="1340" w:header="706" w:top="1060" w:bottom="1540" w:left="960" w:right="0"/>
          <w:pgNumType w:start="102"/>
        </w:sectPr>
      </w:pPr>
    </w:p>
    <w:p>
      <w:pPr>
        <w:spacing w:line="240" w:lineRule="auto" w:before="6"/>
        <w:rPr>
          <w:rFonts w:ascii="宋体" w:hAnsi="宋体" w:cs="宋体" w:eastAsia="宋体" w:hint="default"/>
          <w:sz w:val="28"/>
          <w:szCs w:val="28"/>
        </w:rPr>
      </w:pPr>
    </w:p>
    <w:tbl>
      <w:tblPr>
        <w:tblW w:w="0" w:type="auto"/>
        <w:jc w:val="left"/>
        <w:tblInd w:w="167"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1,474,803.00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40.05%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c>
          <w:tcPr>
            <w:tcW w:w="2432"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989"/>
        <w:gridCol w:w="2993"/>
        <w:gridCol w:w="3589"/>
      </w:tblGrid>
      <w:tr>
        <w:trPr>
          <w:trHeight w:val="401" w:hRule="exact"/>
        </w:trPr>
        <w:tc>
          <w:tcPr>
            <w:tcW w:w="2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2"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40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993" w:type="dxa"/>
            <w:tcBorders>
              <w:top w:val="single" w:sz="4" w:space="0" w:color="000000"/>
              <w:left w:val="single" w:sz="4" w:space="0" w:color="000000"/>
              <w:bottom w:val="single" w:sz="4" w:space="0" w:color="000000"/>
              <w:right w:val="single" w:sz="4" w:space="0" w:color="000000"/>
            </w:tcBorders>
          </w:tcPr>
          <w:p>
            <w:pPr/>
          </w:p>
        </w:tc>
        <w:tc>
          <w:tcPr>
            <w:tcW w:w="35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723"/>
        <w:gridCol w:w="5847"/>
      </w:tblGrid>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8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8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1180"/>
        <w:gridCol w:w="3199"/>
        <w:gridCol w:w="1064"/>
        <w:gridCol w:w="3053"/>
        <w:gridCol w:w="1063"/>
      </w:tblGrid>
      <w:tr>
        <w:trPr>
          <w:trHeight w:val="204" w:hRule="exact"/>
        </w:trPr>
        <w:tc>
          <w:tcPr>
            <w:tcW w:w="1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1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180"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9,665,254.85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84.84%</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12,813,521.83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93.04%</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1,521,471.78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13.36%</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914,066.35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205,562.00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45,108.26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11,392,288.63</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13,772,696.44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72" w:right="9134" w:firstLine="0"/>
        <w:jc w:val="left"/>
        <w:rPr>
          <w:rFonts w:ascii="宋体" w:hAnsi="宋体" w:cs="宋体" w:eastAsia="宋体" w:hint="default"/>
          <w:sz w:val="18"/>
          <w:szCs w:val="18"/>
        </w:rPr>
      </w:pPr>
      <w:r>
        <w:rPr>
          <w:rFonts w:ascii="宋体" w:hAnsi="宋体" w:cs="宋体" w:eastAsia="宋体" w:hint="default"/>
          <w:sz w:val="18"/>
          <w:szCs w:val="18"/>
        </w:rPr>
        <w:t>预付款项账龄的说明 无</w:t>
      </w:r>
    </w:p>
    <w:p>
      <w:pPr>
        <w:spacing w:after="0" w:line="357" w:lineRule="auto"/>
        <w:jc w:val="left"/>
        <w:rPr>
          <w:rFonts w:ascii="宋体" w:hAnsi="宋体" w:cs="宋体" w:eastAsia="宋体" w:hint="default"/>
          <w:sz w:val="18"/>
          <w:szCs w:val="18"/>
        </w:rPr>
        <w:sectPr>
          <w:pgSz w:w="11910" w:h="16840"/>
          <w:pgMar w:header="706" w:footer="1340" w:top="1060" w:bottom="1540" w:left="960" w:right="0"/>
        </w:sectPr>
      </w:pPr>
    </w:p>
    <w:p>
      <w:pPr>
        <w:spacing w:line="240" w:lineRule="auto" w:before="10"/>
        <w:rPr>
          <w:rFonts w:ascii="宋体" w:hAnsi="宋体" w:cs="宋体" w:eastAsia="宋体" w:hint="default"/>
          <w:sz w:val="24"/>
          <w:szCs w:val="24"/>
        </w:rPr>
      </w:pPr>
    </w:p>
    <w:p>
      <w:pPr>
        <w:pStyle w:val="Heading4"/>
        <w:spacing w:line="240" w:lineRule="auto" w:before="36"/>
        <w:ind w:left="252"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057"/>
        <w:gridCol w:w="1913"/>
        <w:gridCol w:w="1560"/>
        <w:gridCol w:w="1843"/>
        <w:gridCol w:w="2341"/>
      </w:tblGrid>
      <w:tr>
        <w:trPr>
          <w:trHeight w:val="403" w:hRule="exact"/>
        </w:trPr>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1"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合营公司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2,252,751.20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项目正在进行，尚未完成</w:t>
            </w:r>
          </w:p>
        </w:tc>
      </w:tr>
      <w:tr>
        <w:trPr>
          <w:trHeight w:val="403"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1,885,000.00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项目正在进行，尚未完成</w:t>
            </w:r>
          </w:p>
        </w:tc>
      </w:tr>
      <w:tr>
        <w:trPr>
          <w:trHeight w:val="401"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884,768.70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项目正在进行，尚未完成</w:t>
            </w:r>
          </w:p>
        </w:tc>
      </w:tr>
      <w:tr>
        <w:trPr>
          <w:trHeight w:val="403"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445,253.78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预缴电费</w:t>
            </w:r>
          </w:p>
        </w:tc>
      </w:tr>
      <w:tr>
        <w:trPr>
          <w:trHeight w:val="401"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393,600.00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预缴电费</w:t>
            </w:r>
          </w:p>
        </w:tc>
      </w:tr>
      <w:tr>
        <w:trPr>
          <w:trHeight w:val="403" w:hRule="exact"/>
        </w:trPr>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5,861,373.68</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252" w:right="8774"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 无</w:t>
      </w:r>
    </w:p>
    <w:p>
      <w:pPr>
        <w:spacing w:line="240" w:lineRule="auto" w:before="6"/>
        <w:rPr>
          <w:rFonts w:ascii="宋体" w:hAnsi="宋体" w:cs="宋体" w:eastAsia="宋体" w:hint="default"/>
          <w:sz w:val="20"/>
          <w:szCs w:val="20"/>
        </w:rPr>
      </w:pPr>
    </w:p>
    <w:p>
      <w:pPr>
        <w:pStyle w:val="Heading4"/>
        <w:spacing w:line="240" w:lineRule="auto"/>
        <w:ind w:left="252"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2791"/>
        <w:gridCol w:w="1728"/>
        <w:gridCol w:w="1594"/>
        <w:gridCol w:w="1729"/>
        <w:gridCol w:w="1726"/>
      </w:tblGrid>
      <w:tr>
        <w:trPr>
          <w:trHeight w:val="402"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252" w:right="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4"/>
        <w:rPr>
          <w:rFonts w:ascii="宋体" w:hAnsi="宋体" w:cs="宋体" w:eastAsia="宋体" w:hint="default"/>
          <w:b/>
          <w:bCs/>
          <w:sz w:val="26"/>
          <w:szCs w:val="26"/>
        </w:rPr>
      </w:pPr>
    </w:p>
    <w:p>
      <w:pPr>
        <w:spacing w:before="0"/>
        <w:ind w:left="2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left="252"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252"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260" w:type="dxa"/>
        <w:tblLayout w:type="fixed"/>
        <w:tblCellMar>
          <w:top w:w="0" w:type="dxa"/>
          <w:left w:w="0" w:type="dxa"/>
          <w:bottom w:w="0" w:type="dxa"/>
          <w:right w:w="0" w:type="dxa"/>
        </w:tblCellMar>
        <w:tblLook w:val="01E0"/>
      </w:tblPr>
      <w:tblGrid>
        <w:gridCol w:w="1576"/>
        <w:gridCol w:w="1473"/>
        <w:gridCol w:w="1193"/>
        <w:gridCol w:w="1330"/>
        <w:gridCol w:w="1327"/>
        <w:gridCol w:w="1330"/>
        <w:gridCol w:w="1327"/>
      </w:tblGrid>
      <w:tr>
        <w:trPr>
          <w:trHeight w:val="206" w:hRule="exact"/>
        </w:trPr>
        <w:tc>
          <w:tcPr>
            <w:tcW w:w="1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76" w:type="dxa"/>
            <w:vMerge/>
            <w:tcBorders>
              <w:left w:val="single" w:sz="4" w:space="0" w:color="000000"/>
              <w:bottom w:val="nil" w:sz="6" w:space="0" w:color="auto"/>
              <w:right w:val="single" w:sz="4" w:space="0" w:color="000000"/>
            </w:tcBorders>
            <w:shd w:val="clear" w:color="auto" w:fill="D2D2D2"/>
          </w:tcPr>
          <w:p>
            <w:pPr/>
          </w:p>
        </w:tc>
        <w:tc>
          <w:tcPr>
            <w:tcW w:w="14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38,416,328.05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38,416,328.05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42,725,921.67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42,725,921.67</w:t>
            </w: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65,515,469.95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65,515,469.95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75,181,626.19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75,181,626.19</w:t>
            </w: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59,172,357.46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59,172,357.46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49,211,308.93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49,211,308.93</w:t>
            </w: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660,030.08</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660,030.08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574,742.38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574,742.38</w:t>
            </w: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163,764,185.54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163,764,185.54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167,693,599.17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167,693,599.17</w:t>
            </w:r>
          </w:p>
        </w:tc>
      </w:tr>
    </w:tbl>
    <w:p>
      <w:pPr>
        <w:spacing w:after="0" w:line="240" w:lineRule="auto"/>
        <w:jc w:val="right"/>
        <w:rPr>
          <w:rFonts w:ascii="Times New Roman" w:hAnsi="Times New Roman" w:cs="Times New Roman" w:eastAsia="Times New Roman" w:hint="default"/>
          <w:sz w:val="18"/>
          <w:szCs w:val="18"/>
        </w:rPr>
        <w:sectPr>
          <w:pgSz w:w="11910" w:h="16840"/>
          <w:pgMar w:header="706" w:footer="1340" w:top="1060" w:bottom="1540" w:left="8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737"/>
        <w:gridCol w:w="1616"/>
        <w:gridCol w:w="1615"/>
        <w:gridCol w:w="1414"/>
        <w:gridCol w:w="1431"/>
        <w:gridCol w:w="1757"/>
      </w:tblGrid>
      <w:tr>
        <w:trPr>
          <w:trHeight w:val="403" w:hRule="exact"/>
        </w:trPr>
        <w:tc>
          <w:tcPr>
            <w:tcW w:w="1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1737"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c>
          <w:tcPr>
            <w:tcW w:w="1615" w:type="dxa"/>
            <w:vMerge/>
            <w:tcBorders>
              <w:left w:val="single" w:sz="4" w:space="0" w:color="000000"/>
              <w:bottom w:val="single" w:sz="4" w:space="0" w:color="000000"/>
              <w:right w:val="single" w:sz="4" w:space="0" w:color="000000"/>
            </w:tcBorders>
            <w:shd w:val="clear" w:color="auto" w:fill="D2D2D2"/>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9" w:type="dxa"/>
        <w:tblLayout w:type="fixed"/>
        <w:tblCellMar>
          <w:top w:w="0" w:type="dxa"/>
          <w:left w:w="0" w:type="dxa"/>
          <w:bottom w:w="0" w:type="dxa"/>
          <w:right w:w="0" w:type="dxa"/>
        </w:tblCellMar>
        <w:tblLook w:val="01E0"/>
      </w:tblPr>
      <w:tblGrid>
        <w:gridCol w:w="2392"/>
        <w:gridCol w:w="2391"/>
        <w:gridCol w:w="2393"/>
        <w:gridCol w:w="2381"/>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6" w:right="9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357" w:lineRule="auto" w:before="50"/>
        <w:ind w:left="172" w:right="9854" w:firstLine="0"/>
        <w:jc w:val="left"/>
        <w:rPr>
          <w:rFonts w:ascii="宋体" w:hAnsi="宋体" w:cs="宋体" w:eastAsia="宋体" w:hint="default"/>
          <w:sz w:val="18"/>
          <w:szCs w:val="18"/>
        </w:rPr>
      </w:pPr>
      <w:r>
        <w:rPr>
          <w:rFonts w:ascii="宋体" w:hAnsi="宋体" w:cs="宋体" w:eastAsia="宋体" w:hint="default"/>
          <w:sz w:val="18"/>
          <w:szCs w:val="18"/>
        </w:rPr>
        <w:t>存货的说明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457"/>
        <w:gridCol w:w="2924"/>
        <w:gridCol w:w="3190"/>
      </w:tblGrid>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增值税进项留抵税额</w:t>
            </w:r>
          </w:p>
        </w:tc>
        <w:tc>
          <w:tcPr>
            <w:tcW w:w="292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4,835,969.70</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4,835,969.70</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其他流动资产说明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4389"/>
        <w:gridCol w:w="2523"/>
        <w:gridCol w:w="2645"/>
      </w:tblGrid>
      <w:tr>
        <w:trPr>
          <w:trHeight w:val="403"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line="357" w:lineRule="auto" w:before="49"/>
        <w:ind w:left="172" w:right="0" w:firstLine="0"/>
        <w:jc w:val="left"/>
        <w:rPr>
          <w:rFonts w:ascii="宋体" w:hAnsi="宋体" w:cs="宋体" w:eastAsia="宋体" w:hint="default"/>
          <w:sz w:val="18"/>
          <w:szCs w:val="18"/>
        </w:rPr>
      </w:pPr>
      <w:r>
        <w:rPr>
          <w:rFonts w:ascii="宋体" w:hAnsi="宋体" w:cs="宋体" w:eastAsia="宋体" w:hint="default"/>
          <w:spacing w:val="-4"/>
          <w:sz w:val="18"/>
          <w:szCs w:val="18"/>
        </w:rPr>
        <w:t>本期将持有至到期投资重分类为可供出售金融资产的，本期重分类的金额元，该金额占重分类前持有至到期投资总额的比例。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可供出售金融资产的说明</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062"/>
        <w:gridCol w:w="1063"/>
        <w:gridCol w:w="1066"/>
        <w:gridCol w:w="1061"/>
        <w:gridCol w:w="1064"/>
        <w:gridCol w:w="1063"/>
        <w:gridCol w:w="1063"/>
        <w:gridCol w:w="1064"/>
        <w:gridCol w:w="1063"/>
      </w:tblGrid>
      <w:tr>
        <w:trPr>
          <w:trHeight w:val="714"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2"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65" w:right="75" w:hanging="89"/>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可供出售金融资产的长期债权投资的说明</w:t>
      </w:r>
    </w:p>
    <w:p>
      <w:pPr>
        <w:spacing w:after="0"/>
        <w:jc w:val="left"/>
        <w:rPr>
          <w:rFonts w:ascii="宋体" w:hAnsi="宋体" w:cs="宋体" w:eastAsia="宋体" w:hint="default"/>
          <w:sz w:val="18"/>
          <w:szCs w:val="18"/>
        </w:rPr>
        <w:sectPr>
          <w:pgSz w:w="11910" w:h="16840"/>
          <w:pgMar w:header="706" w:footer="1340" w:top="1060" w:bottom="1540" w:left="96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326"/>
        <w:gridCol w:w="3053"/>
        <w:gridCol w:w="3178"/>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持有至到期投资的说明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796"/>
        <w:gridCol w:w="2792"/>
        <w:gridCol w:w="3970"/>
      </w:tblGrid>
      <w:tr>
        <w:trPr>
          <w:trHeight w:val="404"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本报告期内出售但尚未到期的持有至到期投资情况说明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791"/>
        <w:gridCol w:w="3324"/>
        <w:gridCol w:w="3442"/>
      </w:tblGrid>
      <w:tr>
        <w:trPr>
          <w:trHeight w:val="401"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198"/>
        <w:gridCol w:w="1195"/>
        <w:gridCol w:w="1196"/>
        <w:gridCol w:w="1195"/>
        <w:gridCol w:w="1198"/>
        <w:gridCol w:w="1193"/>
        <w:gridCol w:w="1198"/>
        <w:gridCol w:w="1198"/>
      </w:tblGrid>
      <w:tr>
        <w:trPr>
          <w:trHeight w:val="102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4"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盐城高周波热 炼有限公司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175,201,267.48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57,102,261.13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118,099,006.35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92,301,542.08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15,910,178.95</w:t>
            </w:r>
          </w:p>
        </w:tc>
      </w:tr>
      <w:tr>
        <w:trPr>
          <w:trHeight w:val="40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广州丰东热炼 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36,195,709.11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8,076,260.73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28,119,448.38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14,851,681.45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3,638,053.06</w:t>
            </w:r>
          </w:p>
        </w:tc>
      </w:tr>
    </w:tbl>
    <w:p>
      <w:pPr>
        <w:spacing w:line="360" w:lineRule="auto" w:before="49"/>
        <w:ind w:left="172" w:right="3014" w:firstLine="0"/>
        <w:jc w:val="left"/>
        <w:rPr>
          <w:rFonts w:ascii="宋体" w:hAnsi="宋体" w:cs="宋体" w:eastAsia="宋体" w:hint="default"/>
          <w:sz w:val="18"/>
          <w:szCs w:val="18"/>
        </w:rPr>
      </w:pPr>
      <w:r>
        <w:rPr>
          <w:rFonts w:ascii="宋体" w:hAnsi="宋体" w:cs="宋体" w:eastAsia="宋体" w:hint="default"/>
          <w:sz w:val="18"/>
          <w:szCs w:val="18"/>
        </w:rPr>
        <w:t>合营企业、联营企业的重要会计政策、会计估计与公司的会计政策、会计估计存在重大差异的说明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460.320007pt;margin-top:53.931721pt;width:135pt;height:77pt;mso-position-horizontal-relative:page;mso-position-vertical-relative:paragraph;z-index:-858616" coordorigin="9206,1079" coordsize="2700,1540">
            <v:shape style="position:absolute;left:9206;top:1079;width:2700;height:1540" type="#_x0000_t75" stroked="false">
              <v:imagedata r:id="rId26" o:title=""/>
            </v:shape>
            <v:shape style="position:absolute;left:10502;top:143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106</w:t>
                    </w:r>
                  </w:p>
                </w:txbxContent>
              </v:textbox>
              <w10:wrap type="none"/>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8"/>
        <w:gridCol w:w="1276"/>
        <w:gridCol w:w="425"/>
        <w:gridCol w:w="694"/>
        <w:gridCol w:w="1006"/>
      </w:tblGrid>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1"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33" w:right="34"/>
              <w:jc w:val="left"/>
              <w:rPr>
                <w:rFonts w:ascii="宋体" w:hAnsi="宋体" w:cs="宋体" w:eastAsia="宋体" w:hint="default"/>
                <w:sz w:val="18"/>
                <w:szCs w:val="18"/>
              </w:rPr>
            </w:pPr>
            <w:r>
              <w:rPr>
                <w:rFonts w:ascii="宋体" w:hAnsi="宋体" w:cs="宋体" w:eastAsia="宋体" w:hint="default"/>
                <w:sz w:val="18"/>
                <w:szCs w:val="18"/>
              </w:rPr>
              <w:t>在被投资 单位持股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33" w:right="32"/>
              <w:jc w:val="left"/>
              <w:rPr>
                <w:rFonts w:ascii="宋体" w:hAnsi="宋体" w:cs="宋体" w:eastAsia="宋体" w:hint="default"/>
                <w:sz w:val="18"/>
                <w:szCs w:val="18"/>
              </w:rPr>
            </w:pPr>
            <w:r>
              <w:rPr>
                <w:rFonts w:ascii="宋体" w:hAnsi="宋体" w:cs="宋体" w:eastAsia="宋体" w:hint="default"/>
                <w:sz w:val="18"/>
                <w:szCs w:val="18"/>
              </w:rPr>
              <w:t>在被投资 单位表决</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92" w:right="91"/>
              <w:jc w:val="left"/>
              <w:rPr>
                <w:rFonts w:ascii="宋体" w:hAnsi="宋体" w:cs="宋体" w:eastAsia="宋体" w:hint="default"/>
                <w:sz w:val="18"/>
                <w:szCs w:val="18"/>
              </w:rPr>
            </w:pPr>
            <w:r>
              <w:rPr>
                <w:rFonts w:ascii="宋体" w:hAnsi="宋体" w:cs="宋体" w:eastAsia="宋体" w:hint="default"/>
                <w:sz w:val="18"/>
                <w:szCs w:val="18"/>
              </w:rPr>
              <w:t>在被投资单位 持股比例与表</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9" w:right="24"/>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71" w:right="71"/>
              <w:jc w:val="left"/>
              <w:rPr>
                <w:rFonts w:ascii="宋体" w:hAnsi="宋体" w:cs="宋体" w:eastAsia="宋体" w:hint="default"/>
                <w:sz w:val="18"/>
                <w:szCs w:val="18"/>
              </w:rPr>
            </w:pPr>
            <w:r>
              <w:rPr>
                <w:rFonts w:ascii="宋体" w:hAnsi="宋体" w:cs="宋体" w:eastAsia="宋体" w:hint="default"/>
                <w:sz w:val="18"/>
                <w:szCs w:val="18"/>
              </w:rPr>
              <w:t>本期计 提减值</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07" w:right="47" w:hanging="360"/>
              <w:jc w:val="left"/>
              <w:rPr>
                <w:rFonts w:ascii="宋体" w:hAnsi="宋体" w:cs="宋体" w:eastAsia="宋体" w:hint="default"/>
                <w:sz w:val="18"/>
                <w:szCs w:val="18"/>
              </w:rPr>
            </w:pPr>
            <w:r>
              <w:rPr>
                <w:rFonts w:ascii="宋体" w:hAnsi="宋体" w:cs="宋体" w:eastAsia="宋体" w:hint="default"/>
                <w:sz w:val="18"/>
                <w:szCs w:val="18"/>
              </w:rPr>
              <w:t>本期现金红 利</w:t>
            </w:r>
          </w:p>
        </w:tc>
      </w:tr>
    </w:tbl>
    <w:p>
      <w:pPr>
        <w:spacing w:after="0" w:line="314" w:lineRule="auto"/>
        <w:jc w:val="left"/>
        <w:rPr>
          <w:rFonts w:ascii="宋体" w:hAnsi="宋体" w:cs="宋体" w:eastAsia="宋体" w:hint="default"/>
          <w:sz w:val="18"/>
          <w:szCs w:val="18"/>
        </w:rPr>
        <w:sectPr>
          <w:headerReference w:type="default" r:id="rId57"/>
          <w:footerReference w:type="default" r:id="rId58"/>
          <w:pgSz w:w="11910" w:h="16840"/>
          <w:pgMar w:header="706" w:footer="0" w:top="1060" w:bottom="0" w:left="960" w:right="0"/>
        </w:sectPr>
      </w:pPr>
    </w:p>
    <w:p>
      <w:pPr>
        <w:spacing w:line="240" w:lineRule="auto" w:before="6"/>
        <w:rPr>
          <w:rFonts w:ascii="宋体" w:hAnsi="宋体" w:cs="宋体" w:eastAsia="宋体" w:hint="default"/>
          <w:sz w:val="28"/>
          <w:szCs w:val="28"/>
        </w:rPr>
      </w:pPr>
    </w:p>
    <w:tbl>
      <w:tblPr>
        <w:tblW w:w="0" w:type="auto"/>
        <w:jc w:val="left"/>
        <w:tblInd w:w="167"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1277"/>
        <w:gridCol w:w="425"/>
        <w:gridCol w:w="694"/>
        <w:gridCol w:w="1006"/>
      </w:tblGrid>
      <w:tr>
        <w:trPr>
          <w:trHeight w:val="67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权比例</w:t>
            </w: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73" w:right="91" w:hanging="180"/>
              <w:jc w:val="left"/>
              <w:rPr>
                <w:rFonts w:ascii="宋体" w:hAnsi="宋体" w:cs="宋体" w:eastAsia="宋体" w:hint="default"/>
                <w:sz w:val="18"/>
                <w:szCs w:val="18"/>
              </w:rPr>
            </w:pPr>
            <w:r>
              <w:rPr>
                <w:rFonts w:ascii="宋体" w:hAnsi="宋体" w:cs="宋体" w:eastAsia="宋体" w:hint="default"/>
                <w:sz w:val="18"/>
                <w:szCs w:val="18"/>
              </w:rPr>
              <w:t>决权比例不一 致的说明</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盐城高周 波热炼有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34,956,42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25,212,16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4.90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33,365,14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58,577,30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广州丰东 热炼有限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10,031,42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9,792,558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1,455,221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11,247,77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9.35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江苏大丰 农村商业 银行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595,459.50</w:t>
            </w:r>
          </w:p>
        </w:tc>
      </w:tr>
      <w:tr>
        <w:trPr>
          <w:trHeight w:val="716"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47,997,84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38,014,72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34,820,36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72,835,08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4.75</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3,595,459.50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189"/>
        <w:gridCol w:w="3190"/>
        <w:gridCol w:w="3190"/>
      </w:tblGrid>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9" w:right="60" w:hanging="901"/>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spacing w:line="357" w:lineRule="auto" w:before="49"/>
        <w:ind w:left="172" w:right="8994" w:firstLine="0"/>
        <w:jc w:val="left"/>
        <w:rPr>
          <w:rFonts w:ascii="宋体" w:hAnsi="宋体" w:cs="宋体" w:eastAsia="宋体" w:hint="default"/>
          <w:sz w:val="18"/>
          <w:szCs w:val="18"/>
        </w:rPr>
      </w:pPr>
      <w:r>
        <w:rPr>
          <w:rFonts w:ascii="宋体" w:hAnsi="宋体" w:cs="宋体" w:eastAsia="宋体" w:hint="default"/>
          <w:sz w:val="18"/>
          <w:szCs w:val="18"/>
        </w:rPr>
        <w:t>长期股权投资的说明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730"/>
        <w:gridCol w:w="1993"/>
        <w:gridCol w:w="1863"/>
        <w:gridCol w:w="1860"/>
        <w:gridCol w:w="2115"/>
      </w:tblGrid>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before="5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6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5350;top:14;width:2;height:392" coordorigin="5350,14" coordsize="2,392">
              <v:shape style="position:absolute;left:5350;top:14;width:2;height:392" coordorigin="5350,14" coordsize="0,392" path="m5350,14l5350,406e" filled="false" stroked="true" strokeweight="1.08pt" strokecolor="#d2d2d2">
                <v:path arrowok="t"/>
              </v:shape>
            </v:group>
            <v:group style="position:absolute;left:34;top:14;width:5306;height:392" coordorigin="34,14" coordsize="5306,392">
              <v:shape style="position:absolute;left:34;top:14;width:5306;height:392" coordorigin="34,14" coordsize="5306,392" path="m34,406l5339,406,5339,14,34,14,34,406xe" filled="true" fillcolor="#d2d2d2" stroked="false">
                <v:path arrowok="t"/>
                <v:fill type="solid"/>
              </v:shape>
            </v:group>
            <v:group style="position:absolute;left:5382;top:14;width:2;height:392" coordorigin="5382,14" coordsize="2,392">
              <v:shape style="position:absolute;left:5382;top:14;width:2;height:392" coordorigin="5382,14" coordsize="0,392" path="m5382,14l5382,406e" filled="false" stroked="true" strokeweight="1.2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5394;top:14;width:4153;height:392" coordorigin="5394,14" coordsize="4153,392">
              <v:shape style="position:absolute;left:5394;top:14;width:4153;height:392" coordorigin="5394,14" coordsize="4153,392" path="m5394,406l9547,406,9547,14,5394,14,5394,406xe" filled="true" fillcolor="#d2d2d2" stroked="false">
                <v:path arrowok="t"/>
                <v:fill type="solid"/>
              </v:shape>
            </v:group>
            <v:group style="position:absolute;left:10;top:10;width:5351;height:2" coordorigin="10,10" coordsize="5351,2">
              <v:shape style="position:absolute;left:10;top:10;width:5351;height:2" coordorigin="10,10" coordsize="5351,0" path="m10,10l5361,10e" filled="false" stroked="true" strokeweight=".48pt" strokecolor="#000000">
                <v:path arrowok="t"/>
              </v:shape>
            </v:group>
            <v:group style="position:absolute;left:5370;top:10;width:4201;height:2" coordorigin="5370,10" coordsize="4201,2">
              <v:shape style="position:absolute;left:5370;top:10;width:4201;height:2" coordorigin="5370,10" coordsize="4201,0" path="m5370,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5351;height:2" coordorigin="10,413" coordsize="5351,2">
              <v:shape style="position:absolute;left:10;top:413;width:5351;height:2" coordorigin="10,413" coordsize="5351,0" path="m10,413l5361,413e" filled="false" stroked="true" strokeweight=".48pt" strokecolor="#000000">
                <v:path arrowok="t"/>
              </v:shape>
            </v:group>
            <v:group style="position:absolute;left:5365;top:5;width:2;height:413" coordorigin="5365,5" coordsize="2,413">
              <v:shape style="position:absolute;left:5365;top:5;width:2;height:413" coordorigin="5365,5" coordsize="0,413" path="m5365,5l5365,418e" filled="false" stroked="true" strokeweight=".48pt" strokecolor="#000000">
                <v:path arrowok="t"/>
              </v:shape>
            </v:group>
            <v:group style="position:absolute;left:5370;top:413;width:4201;height:2" coordorigin="5370,413" coordsize="4201,2">
              <v:shape style="position:absolute;left:5370;top:413;width:4201;height:2" coordorigin="5370,413" coordsize="4201,0" path="m5370,413l9571,413e" filled="false" stroked="true" strokeweight=".4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8pt" strokecolor="#000000">
                <v:path arrowok="t"/>
              </v:shape>
              <v:shape style="position:absolute;left:7290;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543"/>
        <w:gridCol w:w="1011"/>
        <w:gridCol w:w="1010"/>
        <w:gridCol w:w="1011"/>
        <w:gridCol w:w="1010"/>
        <w:gridCol w:w="1010"/>
        <w:gridCol w:w="1018"/>
        <w:gridCol w:w="955"/>
      </w:tblGrid>
      <w:tr>
        <w:trPr>
          <w:trHeight w:val="401" w:hRule="exact"/>
        </w:trPr>
        <w:tc>
          <w:tcPr>
            <w:tcW w:w="2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413" w:right="46" w:hanging="361"/>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715" w:hRule="exact"/>
        </w:trPr>
        <w:tc>
          <w:tcPr>
            <w:tcW w:w="254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bottom w:val="single" w:sz="4" w:space="0" w:color="000000"/>
              <w:right w:val="single" w:sz="4" w:space="0" w:color="000000"/>
            </w:tcBorders>
            <w:shd w:val="clear" w:color="auto" w:fill="D2D2D2"/>
          </w:tcPr>
          <w:p>
            <w:pPr/>
          </w:p>
        </w:tc>
      </w:tr>
    </w:tbl>
    <w:p>
      <w:pPr>
        <w:spacing w:line="316" w:lineRule="auto" w:before="49"/>
        <w:ind w:left="172" w:right="1124" w:firstLine="0"/>
        <w:jc w:val="left"/>
        <w:rPr>
          <w:rFonts w:ascii="宋体" w:hAnsi="宋体" w:cs="宋体" w:eastAsia="宋体" w:hint="default"/>
          <w:sz w:val="18"/>
          <w:szCs w:val="18"/>
        </w:rPr>
      </w:pPr>
      <w:r>
        <w:rPr>
          <w:rFonts w:ascii="宋体" w:hAnsi="宋体" w:cs="宋体" w:eastAsia="宋体" w:hint="default"/>
          <w:spacing w:val="-2"/>
          <w:sz w:val="18"/>
          <w:szCs w:val="18"/>
        </w:rPr>
        <w:t>说明报告期内改变计量模式的投资性房地产和未办妥产权证书的投资性房地产有关情况，说明未办妥产权证书的原因和预计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办结时间</w:t>
      </w:r>
    </w:p>
    <w:p>
      <w:pPr>
        <w:spacing w:after="0" w:line="316" w:lineRule="auto"/>
        <w:jc w:val="left"/>
        <w:rPr>
          <w:rFonts w:ascii="宋体" w:hAnsi="宋体" w:cs="宋体" w:eastAsia="宋体" w:hint="default"/>
          <w:sz w:val="18"/>
          <w:szCs w:val="18"/>
        </w:rPr>
        <w:sectPr>
          <w:footerReference w:type="default" r:id="rId59"/>
          <w:pgSz w:w="11910" w:h="16840"/>
          <w:pgMar w:footer="1336" w:header="706" w:top="1060" w:bottom="1520" w:left="960" w:right="0"/>
          <w:pgNumType w:start="107"/>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129"/>
        <w:gridCol w:w="1474"/>
        <w:gridCol w:w="1315"/>
        <w:gridCol w:w="1594"/>
        <w:gridCol w:w="1597"/>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221,208,783.63</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3" w:right="0"/>
              <w:jc w:val="left"/>
              <w:rPr>
                <w:rFonts w:ascii="Times New Roman" w:hAnsi="Times New Roman" w:cs="Times New Roman" w:eastAsia="Times New Roman" w:hint="default"/>
                <w:sz w:val="18"/>
                <w:szCs w:val="18"/>
              </w:rPr>
            </w:pPr>
            <w:r>
              <w:rPr>
                <w:rFonts w:ascii="Times New Roman"/>
                <w:sz w:val="18"/>
              </w:rPr>
              <w:t>19,609,549.95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1,481,861.74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239,336,471.84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126,545,197.18</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168,638.75</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126,713,835.93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75,756,417.65</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3" w:right="0"/>
              <w:jc w:val="left"/>
              <w:rPr>
                <w:rFonts w:ascii="Times New Roman" w:hAnsi="Times New Roman" w:cs="Times New Roman" w:eastAsia="Times New Roman" w:hint="default"/>
                <w:sz w:val="18"/>
                <w:szCs w:val="18"/>
              </w:rPr>
            </w:pPr>
            <w:r>
              <w:rPr>
                <w:rFonts w:ascii="Times New Roman"/>
                <w:sz w:val="18"/>
              </w:rPr>
              <w:t>16,255,717.76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179,606.58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91,832,528.83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8,585,635.43</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2" w:right="0"/>
              <w:jc w:val="left"/>
              <w:rPr>
                <w:rFonts w:ascii="Times New Roman" w:hAnsi="Times New Roman" w:cs="Times New Roman" w:eastAsia="Times New Roman" w:hint="default"/>
                <w:sz w:val="18"/>
                <w:szCs w:val="18"/>
              </w:rPr>
            </w:pPr>
            <w:r>
              <w:rPr>
                <w:rFonts w:ascii="Times New Roman"/>
                <w:sz w:val="18"/>
              </w:rPr>
              <w:t>1,173,595.10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1,238,559.00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8,520,671.53</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10,321,533.37</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2,011,598.34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63,696.16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12,269,435.55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43,696,289.04</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16,442,879.03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1,050,345.41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59,088,822.66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16,552,797.00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5,739,195.05</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22,291,992.05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18,615,978.79</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7,476,354.83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160,768.36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25,931,565.26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3,351,273.33</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1,623,357.29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835,077.46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4,139,553.16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5,176,239.92</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1,603,971.86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54,499.59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6,725,712.19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177,512,494.59</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180,247,649.18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109,992,400.18</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104,421,843.88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57,140,438.86</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65,900,963.57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5,234,362.10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4,381,118.37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5,145,293.45</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5,543,723.36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1,440,000.00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1,030,000.00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1,030,000.00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176,072,494.59</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178,807,649.18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109,692,400.18</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104,121,843.88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56,110,438.86</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64,870,963.57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5,124,362.10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4,271,118.37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5,145,293.45</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5,543,723.36</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16,442,879.03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元；本期由在建工程转入固定资产原价为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7,399,301.34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06" w:footer="1336" w:top="1060" w:bottom="1540" w:left="96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223"/>
        <w:gridCol w:w="1721"/>
        <w:gridCol w:w="1875"/>
        <w:gridCol w:w="1875"/>
        <w:gridCol w:w="1874"/>
      </w:tblGrid>
      <w:tr>
        <w:trPr>
          <w:trHeight w:val="401" w:hRule="exact"/>
        </w:trPr>
        <w:tc>
          <w:tcPr>
            <w:tcW w:w="2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1"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7"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固定资产说明</w:t>
      </w:r>
    </w:p>
    <w:p>
      <w:pPr>
        <w:pStyle w:val="BodyText"/>
        <w:spacing w:line="256" w:lineRule="auto" w:before="94"/>
        <w:ind w:right="0" w:firstLine="420"/>
        <w:jc w:val="left"/>
      </w:pP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日止，固定资产中净值为</w:t>
      </w:r>
      <w:r>
        <w:rPr>
          <w:rFonts w:ascii="Times New Roman" w:hAnsi="Times New Roman" w:cs="Times New Roman" w:eastAsia="Times New Roman" w:hint="default"/>
          <w:spacing w:val="-2"/>
        </w:rPr>
        <w:t>4,371,985.98</w:t>
      </w:r>
      <w:r>
        <w:rPr>
          <w:spacing w:val="-2"/>
        </w:rPr>
        <w:t>元</w:t>
      </w:r>
      <w:r>
        <w:rPr>
          <w:rFonts w:ascii="Times New Roman" w:hAnsi="Times New Roman" w:cs="Times New Roman" w:eastAsia="Times New Roman" w:hint="default"/>
          <w:spacing w:val="-2"/>
        </w:rPr>
        <w:t>(</w:t>
      </w:r>
      <w:r>
        <w:rPr>
          <w:spacing w:val="-2"/>
        </w:rPr>
        <w:t>原值</w:t>
      </w:r>
      <w:r>
        <w:rPr>
          <w:rFonts w:ascii="Times New Roman" w:hAnsi="Times New Roman" w:cs="Times New Roman" w:eastAsia="Times New Roman" w:hint="default"/>
          <w:spacing w:val="-2"/>
        </w:rPr>
        <w:t>6,055,709.84</w:t>
      </w:r>
      <w:r>
        <w:rPr>
          <w:spacing w:val="-2"/>
        </w:rPr>
        <w:t>元</w:t>
      </w:r>
      <w:r>
        <w:rPr>
          <w:rFonts w:ascii="Times New Roman" w:hAnsi="Times New Roman" w:cs="Times New Roman" w:eastAsia="Times New Roman" w:hint="default"/>
          <w:spacing w:val="-2"/>
        </w:rPr>
        <w:t>)</w:t>
      </w:r>
      <w:r>
        <w:rPr>
          <w:spacing w:val="-2"/>
        </w:rPr>
        <w:t>的房屋、建筑物及设备</w:t>
      </w:r>
      <w:r>
        <w:rPr>
          <w:w w:val="100"/>
        </w:rPr>
        <w:t> </w:t>
      </w:r>
      <w:r>
        <w:rPr/>
        <w:t>分别作为</w:t>
      </w:r>
      <w:r>
        <w:rPr>
          <w:rFonts w:ascii="Times New Roman" w:hAnsi="Times New Roman" w:cs="Times New Roman" w:eastAsia="Times New Roman" w:hint="default"/>
        </w:rPr>
        <w:t>7,000,000.00</w:t>
      </w:r>
      <w:r>
        <w:rPr/>
        <w:t>元的短期借款的抵押物。</w:t>
      </w:r>
    </w:p>
    <w:p>
      <w:pPr>
        <w:spacing w:line="240" w:lineRule="auto" w:before="4"/>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1"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办公楼及厂房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21,679,612.66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21,679,612.66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3,165,499.20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3,165,499.20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纳米炉项目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811,429.98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811,429.98</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设备安装工程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5,174,272.43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5,174,272.43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3,450,846.91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3,450,846.91</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离子氮化炉项目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210,713.61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210,713.61</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06" w:footer="1336" w:top="1060" w:bottom="1520" w:left="960" w:right="0"/>
        </w:sectPr>
      </w:pPr>
    </w:p>
    <w:p>
      <w:pPr>
        <w:spacing w:line="240" w:lineRule="auto" w:before="6"/>
        <w:rPr>
          <w:rFonts w:ascii="宋体" w:hAnsi="宋体" w:cs="宋体" w:eastAsia="宋体" w:hint="default"/>
          <w:sz w:val="28"/>
          <w:szCs w:val="28"/>
        </w:rPr>
      </w:pPr>
    </w:p>
    <w:tbl>
      <w:tblPr>
        <w:tblW w:w="0" w:type="auto"/>
        <w:jc w:val="left"/>
        <w:tblInd w:w="167"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36,775.00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36,775.00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27,064,598.70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27,064,598.70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7,464,551.09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7,464,551.09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1338"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71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办公楼 及厂房</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3,165,49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9.20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18,665,0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16.28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150,902.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21,679,6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12.66</w:t>
            </w: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纳米炉 项目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811,429.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811,429.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设备安 装工程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3,450,84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6.91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8,123,61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6,400,19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3.54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自筹及 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5,174,27</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2.43</w:t>
            </w:r>
          </w:p>
        </w:tc>
      </w:tr>
      <w:tr>
        <w:trPr>
          <w:trHeight w:val="1027"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离子氮 化炉项 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838,101.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627,387.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210,713.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61</w:t>
            </w:r>
          </w:p>
        </w:tc>
      </w:tr>
      <w:tr>
        <w:trPr>
          <w:trHeight w:val="71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零星工 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7,464,55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1.09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27,626,7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36.89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7,399,30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627,387.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94</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27,064,5</w:t>
            </w:r>
          </w:p>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98.70</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在建工程项目变动情况的说明</w:t>
      </w:r>
    </w:p>
    <w:p>
      <w:pPr>
        <w:pStyle w:val="BodyText"/>
        <w:spacing w:line="240" w:lineRule="auto" w:before="94"/>
        <w:ind w:left="593" w:right="0"/>
        <w:jc w:val="left"/>
      </w:pPr>
      <w:r>
        <w:rPr>
          <w:w w:val="100"/>
        </w:rPr>
        <w:t>在建</w:t>
      </w:r>
      <w:r>
        <w:rPr>
          <w:spacing w:val="-3"/>
          <w:w w:val="100"/>
        </w:rPr>
        <w:t>工</w:t>
      </w:r>
      <w:r>
        <w:rPr>
          <w:w w:val="100"/>
        </w:rPr>
        <w:t>程</w:t>
      </w:r>
      <w:r>
        <w:rPr>
          <w:spacing w:val="-3"/>
          <w:w w:val="100"/>
        </w:rPr>
        <w:t>年</w:t>
      </w:r>
      <w:r>
        <w:rPr>
          <w:w w:val="100"/>
        </w:rPr>
        <w:t>末</w:t>
      </w:r>
      <w:r>
        <w:rPr>
          <w:spacing w:val="-3"/>
          <w:w w:val="100"/>
        </w:rPr>
        <w:t>数</w:t>
      </w:r>
      <w:r>
        <w:rPr>
          <w:w w:val="100"/>
        </w:rPr>
        <w:t>比</w:t>
      </w:r>
      <w:r>
        <w:rPr>
          <w:spacing w:val="-3"/>
          <w:w w:val="100"/>
        </w:rPr>
        <w:t>年</w:t>
      </w:r>
      <w:r>
        <w:rPr>
          <w:w w:val="100"/>
        </w:rPr>
        <w:t>初</w:t>
      </w:r>
      <w:r>
        <w:rPr>
          <w:spacing w:val="-3"/>
          <w:w w:val="100"/>
        </w:rPr>
        <w:t>数</w:t>
      </w:r>
      <w:r>
        <w:rPr>
          <w:w w:val="100"/>
        </w:rPr>
        <w:t>增加</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,600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047</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w:t>
      </w:r>
      <w:r>
        <w:rPr>
          <w:rFonts w:ascii="Times New Roman" w:hAnsi="Times New Roman" w:cs="Times New Roman" w:eastAsia="Times New Roman" w:hint="default"/>
          <w:spacing w:val="-1"/>
          <w:w w:val="100"/>
        </w:rPr>
        <w:t>1</w:t>
      </w:r>
      <w:r>
        <w:rPr>
          <w:spacing w:val="-3"/>
          <w:w w:val="100"/>
        </w:rPr>
        <w:t>元</w:t>
      </w:r>
      <w:r>
        <w:rPr>
          <w:spacing w:val="-99"/>
          <w:w w:val="100"/>
        </w:rPr>
        <w:t>，</w:t>
      </w:r>
      <w:r>
        <w:rPr>
          <w:spacing w:val="-3"/>
          <w:w w:val="100"/>
        </w:rPr>
        <w:t>增加</w:t>
      </w:r>
      <w:r>
        <w:rPr>
          <w:w w:val="100"/>
        </w:rPr>
        <w:t>比例</w:t>
      </w:r>
      <w:r>
        <w:rPr>
          <w:spacing w:val="-3"/>
          <w:w w:val="100"/>
        </w:rPr>
        <w:t>为</w:t>
      </w:r>
      <w:r>
        <w:rPr>
          <w:rFonts w:ascii="Times New Roman" w:hAnsi="Times New Roman" w:cs="Times New Roman" w:eastAsia="Times New Roman" w:hint="default"/>
          <w:w w:val="100"/>
        </w:rPr>
        <w:t>262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58</w:t>
      </w:r>
      <w:r>
        <w:rPr>
          <w:rFonts w:ascii="Times New Roman" w:hAnsi="Times New Roman" w:cs="Times New Roman" w:eastAsia="Times New Roman" w:hint="default"/>
          <w:spacing w:val="-1"/>
          <w:w w:val="100"/>
        </w:rPr>
        <w:t>%</w:t>
      </w:r>
      <w:r>
        <w:rPr>
          <w:spacing w:val="-101"/>
          <w:w w:val="100"/>
        </w:rPr>
        <w:t>，</w:t>
      </w:r>
      <w:r>
        <w:rPr>
          <w:w w:val="100"/>
        </w:rPr>
        <w:t>主</w:t>
      </w:r>
      <w:r>
        <w:rPr>
          <w:spacing w:val="-3"/>
          <w:w w:val="100"/>
        </w:rPr>
        <w:t>要</w:t>
      </w:r>
      <w:r>
        <w:rPr>
          <w:w w:val="100"/>
        </w:rPr>
        <w:t>系</w:t>
      </w:r>
      <w:r>
        <w:rPr>
          <w:spacing w:val="-3"/>
          <w:w w:val="100"/>
        </w:rPr>
        <w:t>本</w:t>
      </w:r>
      <w:r>
        <w:rPr>
          <w:w w:val="100"/>
        </w:rPr>
        <w:t>公司</w:t>
      </w:r>
      <w:r>
        <w:rPr>
          <w:spacing w:val="-3"/>
          <w:w w:val="100"/>
        </w:rPr>
        <w:t>研</w:t>
      </w:r>
      <w:r>
        <w:rPr>
          <w:w w:val="100"/>
        </w:rPr>
        <w:t>发</w:t>
      </w:r>
      <w:r>
        <w:rPr>
          <w:spacing w:val="-3"/>
          <w:w w:val="100"/>
        </w:rPr>
        <w:t>大</w:t>
      </w:r>
      <w:r>
        <w:rPr>
          <w:w w:val="100"/>
        </w:rPr>
        <w:t>楼</w:t>
      </w:r>
      <w:r>
        <w:rPr>
          <w:spacing w:val="-3"/>
          <w:w w:val="100"/>
        </w:rPr>
        <w:t>项</w:t>
      </w:r>
      <w:r>
        <w:rPr>
          <w:w w:val="100"/>
        </w:rPr>
        <w:t>目</w:t>
      </w:r>
      <w:r>
        <w:rPr>
          <w:spacing w:val="-3"/>
          <w:w w:val="100"/>
        </w:rPr>
        <w:t>投入</w:t>
      </w:r>
      <w:r>
        <w:rPr>
          <w:w w:val="100"/>
        </w:rPr>
        <w:t>。</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596"/>
        <w:gridCol w:w="1597"/>
        <w:gridCol w:w="1594"/>
        <w:gridCol w:w="1594"/>
        <w:gridCol w:w="1597"/>
        <w:gridCol w:w="1591"/>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2"/>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footerReference w:type="default" r:id="rId60"/>
          <w:pgSz w:w="11910" w:h="16840"/>
          <w:pgMar w:footer="1336" w:header="706" w:top="1060" w:bottom="1520" w:left="960" w:right="0"/>
          <w:pgNumType w:start="11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060"/>
        <w:gridCol w:w="1594"/>
        <w:gridCol w:w="1462"/>
        <w:gridCol w:w="1594"/>
        <w:gridCol w:w="1860"/>
      </w:tblGrid>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工程物资的说明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928"/>
        <w:gridCol w:w="1992"/>
        <w:gridCol w:w="2127"/>
        <w:gridCol w:w="2512"/>
      </w:tblGrid>
      <w:tr>
        <w:trPr>
          <w:trHeight w:val="401"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说明转入固定资产清理起始时间已超过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年的固定资产清理进展情况</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）以成本计量</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生产性生物资产的说明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073"/>
        <w:gridCol w:w="1709"/>
        <w:gridCol w:w="1841"/>
        <w:gridCol w:w="2106"/>
        <w:gridCol w:w="1829"/>
      </w:tblGrid>
      <w:tr>
        <w:trPr>
          <w:trHeight w:val="403" w:hRule="exact"/>
        </w:trPr>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油气资产的说明</w:t>
      </w:r>
    </w:p>
    <w:p>
      <w:pPr>
        <w:spacing w:after="0"/>
        <w:jc w:val="left"/>
        <w:rPr>
          <w:rFonts w:ascii="宋体" w:hAnsi="宋体" w:cs="宋体" w:eastAsia="宋体" w:hint="default"/>
          <w:sz w:val="18"/>
          <w:szCs w:val="18"/>
        </w:rPr>
        <w:sectPr>
          <w:pgSz w:w="11910" w:h="16840"/>
          <w:pgMar w:header="706" w:footer="1336" w:top="1060" w:bottom="1520" w:left="96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36,245,052.59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170,085.47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36,415,138.06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22,012,922.88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22,012,922.88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1,979,854.00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1,979,854.00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1,693,463.90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1,693,463.90</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3,368,800.00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3,368,800.00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5,610,147.19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5,610,147.19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技术使用费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998,935.00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998,935.00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580,929.62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170,085.47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751,015.09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3,424,211.72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858,268.21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4,282,479.93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1,826,407.42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442,848.60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2,269,256.02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204,596.59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244,196.59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274,233.66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33,925.80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308,159.46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266,106.94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67,942.20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334,049.14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410,873.74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118,614.60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529,488.34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技术使用费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295,552.79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93,393.60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388,946.39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146,440.58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61,943.41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208,383.99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32,820,840.87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-688,182.74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32,132,658.13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20,186,515.46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-442,848.60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19,743,666.86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1,775,257.41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1,735,657.41</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1,419,230.24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-33,925.80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1,385,304.44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3,102,693.06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-67,942.20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3,034,750.86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5,199,273.45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-118,614.60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5,080,658.85</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技术使用费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703,382.21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-93,393.60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609,988.61</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434,489.04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108,142.06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542,631.10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06" w:footer="1336" w:top="1060" w:bottom="1520" w:left="960" w:right="0"/>
        </w:sectPr>
      </w:pPr>
    </w:p>
    <w:p>
      <w:pPr>
        <w:spacing w:line="240" w:lineRule="auto" w:before="6"/>
        <w:rPr>
          <w:rFonts w:ascii="宋体" w:hAnsi="宋体" w:cs="宋体" w:eastAsia="宋体" w:hint="default"/>
          <w:sz w:val="28"/>
          <w:szCs w:val="28"/>
        </w:rPr>
      </w:pPr>
    </w:p>
    <w:tbl>
      <w:tblPr>
        <w:tblW w:w="0" w:type="auto"/>
        <w:jc w:val="left"/>
        <w:tblInd w:w="167"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技术使用费</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32,820,840.87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-688,182.74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32,132,658.13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20,186,515.46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-442,848.60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19,743,666.86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1,775,257.41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1,735,657.41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1,419,230.24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-33,925.80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1,385,304.44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3,102,693.06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-67,942.20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3,034,750.86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5,199,273.45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-118,614.60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5,080,658.85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技术使用费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703,382.21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-93,393.60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609,988.61</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434,489.04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108,142.06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542,631.10</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858,268.21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598"/>
        <w:gridCol w:w="1597"/>
        <w:gridCol w:w="1594"/>
        <w:gridCol w:w="1592"/>
        <w:gridCol w:w="1594"/>
        <w:gridCol w:w="1594"/>
      </w:tblGrid>
      <w:tr>
        <w:trPr>
          <w:trHeight w:val="403"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bl>
    <w:p>
      <w:pPr>
        <w:spacing w:line="360" w:lineRule="auto" w:before="49"/>
        <w:ind w:left="172" w:right="5354"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 通过公司内部研发形成的无形资产占无形资产期末账面价值的比例。</w:t>
      </w:r>
    </w:p>
    <w:p>
      <w:pPr>
        <w:spacing w:before="25"/>
        <w:ind w:left="172" w:right="0" w:firstLine="0"/>
        <w:jc w:val="left"/>
        <w:rPr>
          <w:rFonts w:ascii="宋体" w:hAnsi="宋体" w:cs="宋体" w:eastAsia="宋体" w:hint="default"/>
          <w:sz w:val="18"/>
          <w:szCs w:val="18"/>
        </w:rPr>
      </w:pPr>
      <w:r>
        <w:rPr>
          <w:rFonts w:ascii="宋体" w:hAnsi="宋体" w:cs="宋体" w:eastAsia="宋体" w:hint="default"/>
          <w:spacing w:val="-2"/>
          <w:sz w:val="18"/>
          <w:szCs w:val="18"/>
        </w:rPr>
        <w:t>公司开发项目的说明，包括本期发生的单项价值在</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24"/>
          <w:sz w:val="18"/>
          <w:szCs w:val="18"/>
        </w:rPr>
        <w:t> </w:t>
      </w:r>
      <w:r>
        <w:rPr>
          <w:rFonts w:ascii="宋体" w:hAnsi="宋体" w:cs="宋体" w:eastAsia="宋体" w:hint="default"/>
          <w:spacing w:val="-2"/>
          <w:sz w:val="18"/>
          <w:szCs w:val="18"/>
        </w:rPr>
        <w:t>万元以上且以评估值为入账依据的，应披露评估机构名称、评估方法</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南京丰东</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4,833,418.62</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4,833,418.62</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天津丰东</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15,475.33</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15,475.33</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特种炉业</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216,477.98</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216,477.98</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上海昂先</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853,922.04</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853,922.04</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5,919,293.97</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5,919,293.97</w:t>
            </w: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72" w:right="7154" w:firstLine="0"/>
        <w:jc w:val="left"/>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460.320007pt;margin-top:37.971722pt;width:135pt;height:77pt;mso-position-horizontal-relative:page;mso-position-vertical-relative:paragraph;z-index:-858520" coordorigin="9206,759" coordsize="2700,1540">
            <v:shape style="position:absolute;left:9206;top:759;width:2700;height:1540" type="#_x0000_t75" stroked="false">
              <v:imagedata r:id="rId26" o:title=""/>
            </v:shape>
            <v:shape style="position:absolute;left:10509;top:1120;width:2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113</w:t>
                    </w:r>
                  </w:p>
                </w:txbxContent>
              </v:textbox>
              <w10:wrap type="none"/>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bl>
    <w:p>
      <w:pPr>
        <w:spacing w:after="0" w:line="240" w:lineRule="auto"/>
        <w:jc w:val="left"/>
        <w:rPr>
          <w:rFonts w:ascii="宋体" w:hAnsi="宋体" w:cs="宋体" w:eastAsia="宋体" w:hint="default"/>
          <w:sz w:val="18"/>
          <w:szCs w:val="18"/>
        </w:rPr>
        <w:sectPr>
          <w:headerReference w:type="default" r:id="rId61"/>
          <w:footerReference w:type="default" r:id="rId62"/>
          <w:pgSz w:w="11910" w:h="16840"/>
          <w:pgMar w:header="706" w:footer="0" w:top="1060" w:bottom="0" w:left="960" w:right="0"/>
        </w:sectPr>
      </w:pPr>
    </w:p>
    <w:p>
      <w:pPr>
        <w:spacing w:line="240" w:lineRule="auto" w:before="6"/>
        <w:rPr>
          <w:rFonts w:ascii="宋体" w:hAnsi="宋体" w:cs="宋体" w:eastAsia="宋体" w:hint="default"/>
          <w:sz w:val="28"/>
          <w:szCs w:val="28"/>
        </w:rPr>
      </w:pPr>
    </w:p>
    <w:tbl>
      <w:tblPr>
        <w:tblW w:w="0" w:type="auto"/>
        <w:jc w:val="left"/>
        <w:tblInd w:w="167"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租入固定资产改 良支出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218,181.84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14,545.44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203,636.40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厂房装修支出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62,736.39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1,156,511.10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89,442.03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1,129,805.46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208,747.82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101,378.85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115,368.97</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489,666.05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1,164,511.10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205,366.32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1,448,810.83</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72" w:right="9134" w:firstLine="0"/>
        <w:jc w:val="left"/>
        <w:rPr>
          <w:rFonts w:ascii="宋体" w:hAnsi="宋体" w:cs="宋体" w:eastAsia="宋体" w:hint="default"/>
          <w:sz w:val="18"/>
          <w:szCs w:val="18"/>
        </w:rPr>
      </w:pPr>
      <w:r>
        <w:rPr>
          <w:rFonts w:ascii="宋体" w:hAnsi="宋体" w:cs="宋体" w:eastAsia="宋体" w:hint="default"/>
          <w:sz w:val="18"/>
          <w:szCs w:val="18"/>
        </w:rPr>
        <w:t>长期待摊费用的说明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3"/>
        <w:rPr>
          <w:rFonts w:ascii="宋体" w:hAnsi="宋体" w:cs="宋体" w:eastAsia="宋体" w:hint="default"/>
          <w:b/>
          <w:bCs/>
          <w:sz w:val="22"/>
          <w:szCs w:val="22"/>
        </w:rPr>
      </w:pP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724"/>
        <w:gridCol w:w="2924"/>
        <w:gridCol w:w="2921"/>
      </w:tblGrid>
      <w:tr>
        <w:trPr>
          <w:trHeight w:val="408"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1,088,173.96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1,055,392.87</w:t>
            </w: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369,857.77</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计提的技术使用费和佣金</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129,377.77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114,140.45</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未实现的内部销售利润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2,283,160.58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1,864,493.98</w:t>
            </w: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3,870,570.08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3,034,027.30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土地使用权评估增值</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817,063.08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836,138.52</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817,063.08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836,138.52</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722"/>
        <w:gridCol w:w="2924"/>
        <w:gridCol w:w="2911"/>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996"/>
        <w:gridCol w:w="2259"/>
        <w:gridCol w:w="1995"/>
        <w:gridCol w:w="3309"/>
      </w:tblGrid>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854"/>
        <w:gridCol w:w="2926"/>
        <w:gridCol w:w="2787"/>
      </w:tblGrid>
      <w:tr>
        <w:trPr>
          <w:trHeight w:val="402" w:hRule="exact"/>
        </w:trPr>
        <w:tc>
          <w:tcPr>
            <w:tcW w:w="3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4"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6,824,931.92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0" w:right="0"/>
              <w:jc w:val="left"/>
              <w:rPr>
                <w:rFonts w:ascii="Times New Roman" w:hAnsi="Times New Roman" w:cs="Times New Roman" w:eastAsia="Times New Roman" w:hint="default"/>
                <w:sz w:val="18"/>
                <w:szCs w:val="18"/>
              </w:rPr>
            </w:pPr>
            <w:r>
              <w:rPr>
                <w:rFonts w:ascii="Times New Roman"/>
                <w:sz w:val="18"/>
              </w:rPr>
              <w:t>6,521,462.54</w:t>
            </w:r>
          </w:p>
        </w:tc>
      </w:tr>
    </w:tbl>
    <w:p>
      <w:pPr>
        <w:spacing w:after="0" w:line="240" w:lineRule="auto"/>
        <w:jc w:val="left"/>
        <w:rPr>
          <w:rFonts w:ascii="Times New Roman" w:hAnsi="Times New Roman" w:cs="Times New Roman" w:eastAsia="Times New Roman" w:hint="default"/>
          <w:sz w:val="18"/>
          <w:szCs w:val="18"/>
        </w:rPr>
        <w:sectPr>
          <w:footerReference w:type="default" r:id="rId63"/>
          <w:pgSz w:w="11910" w:h="16840"/>
          <w:pgMar w:footer="1340" w:header="706" w:top="1060" w:bottom="1540" w:left="960" w:right="0"/>
          <w:pgNumType w:start="114"/>
        </w:sectPr>
      </w:pPr>
    </w:p>
    <w:p>
      <w:pPr>
        <w:spacing w:line="240" w:lineRule="auto" w:before="6"/>
        <w:rPr>
          <w:rFonts w:ascii="宋体" w:hAnsi="宋体" w:cs="宋体" w:eastAsia="宋体" w:hint="default"/>
          <w:sz w:val="28"/>
          <w:szCs w:val="28"/>
        </w:rPr>
      </w:pPr>
    </w:p>
    <w:tbl>
      <w:tblPr>
        <w:tblW w:w="0" w:type="auto"/>
        <w:jc w:val="left"/>
        <w:tblInd w:w="167" w:type="dxa"/>
        <w:tblLayout w:type="fixed"/>
        <w:tblCellMar>
          <w:top w:w="0" w:type="dxa"/>
          <w:left w:w="0" w:type="dxa"/>
          <w:bottom w:w="0" w:type="dxa"/>
          <w:right w:w="0" w:type="dxa"/>
        </w:tblCellMar>
        <w:tblLook w:val="01E0"/>
      </w:tblPr>
      <w:tblGrid>
        <w:gridCol w:w="3855"/>
        <w:gridCol w:w="2926"/>
        <w:gridCol w:w="2787"/>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计提的技术使用费和佣金</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791,351.07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730,401.78</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可弥补亏损</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2,194,774.32</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未实现的内部销售利润</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15,221,070.56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12,429,959.88</w:t>
            </w:r>
          </w:p>
        </w:tc>
      </w:tr>
      <w:tr>
        <w:trPr>
          <w:trHeight w:val="408"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25,032,127.87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19,681,824.20</w:t>
            </w: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土地使用权评估增值</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3,268,252.67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3,344,554.31</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3,268,252.67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3,344,554.31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266"/>
        <w:gridCol w:w="1527"/>
        <w:gridCol w:w="1529"/>
        <w:gridCol w:w="1399"/>
        <w:gridCol w:w="1397"/>
        <w:gridCol w:w="1452"/>
      </w:tblGrid>
      <w:tr>
        <w:trPr>
          <w:trHeight w:val="206" w:hRule="exact"/>
        </w:trPr>
        <w:tc>
          <w:tcPr>
            <w:tcW w:w="2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66"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5,115,630.58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1,852,335.47</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1,583,034.13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5,384,931.92</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1,440,000.00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1,440,000.00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6,555,630.58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1,852,335.47</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1,583,034.13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6,824,931.92</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590"/>
        <w:gridCol w:w="2921"/>
        <w:gridCol w:w="304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10,300,000.00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607"/>
        <w:gridCol w:w="1282"/>
        <w:gridCol w:w="1279"/>
        <w:gridCol w:w="1654"/>
        <w:gridCol w:w="1752"/>
        <w:gridCol w:w="1983"/>
      </w:tblGrid>
      <w:tr>
        <w:trPr>
          <w:trHeight w:val="403"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spacing w:after="0" w:line="240" w:lineRule="auto"/>
        <w:jc w:val="left"/>
        <w:rPr>
          <w:rFonts w:ascii="宋体" w:hAnsi="宋体" w:cs="宋体" w:eastAsia="宋体" w:hint="default"/>
          <w:sz w:val="18"/>
          <w:szCs w:val="18"/>
        </w:rPr>
        <w:sectPr>
          <w:pgSz w:w="11910" w:h="16840"/>
          <w:pgMar w:header="706" w:footer="1340" w:top="1060" w:bottom="1540" w:left="960" w:right="0"/>
        </w:sectPr>
      </w:pPr>
    </w:p>
    <w:p>
      <w:pPr>
        <w:spacing w:line="240" w:lineRule="auto" w:before="10"/>
        <w:rPr>
          <w:rFonts w:ascii="宋体" w:hAnsi="宋体" w:cs="宋体" w:eastAsia="宋体" w:hint="default"/>
          <w:sz w:val="24"/>
          <w:szCs w:val="24"/>
        </w:rPr>
      </w:pPr>
      <w:r>
        <w:rPr/>
        <w:pict>
          <v:group style="position:absolute;margin-left:460.320007pt;margin-top:764.919983pt;width:135pt;height:77pt;mso-position-horizontal-relative:page;mso-position-vertical-relative:page;z-index:-858472" coordorigin="9206,15298" coordsize="2700,1540">
            <v:shape style="position:absolute;left:9206;top:15298;width:2700;height:1540" type="#_x0000_t75" stroked="false">
              <v:imagedata r:id="rId26" o:title=""/>
            </v:shape>
            <v:shape style="position:absolute;left:10509;top:15659;width:2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116</w:t>
                    </w:r>
                  </w:p>
                </w:txbxContent>
              </v:textbox>
              <w10:wrap type="none"/>
            </v:shape>
            <w10:wrap type="none"/>
          </v:group>
        </w:pict>
      </w:r>
    </w:p>
    <w:p>
      <w:pPr>
        <w:pStyle w:val="Heading4"/>
        <w:spacing w:line="240" w:lineRule="auto" w:before="36"/>
        <w:ind w:right="0"/>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593"/>
        <w:gridCol w:w="2921"/>
        <w:gridCol w:w="3043"/>
      </w:tblGrid>
      <w:tr>
        <w:trPr>
          <w:trHeight w:val="403" w:hRule="exact"/>
        </w:trPr>
        <w:tc>
          <w:tcPr>
            <w:tcW w:w="3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591"/>
        <w:gridCol w:w="2921"/>
        <w:gridCol w:w="3058"/>
      </w:tblGrid>
      <w:tr>
        <w:trPr>
          <w:trHeight w:val="402"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41,723,069.19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57,613,459.38</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5,526,601.29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3,955,682.51</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694,799.03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1,369,666.67</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504,492.57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195,991.99</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48,448,962.08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63,134,800.55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日本国东方工程株式会社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2,609,030.97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8,684,701.95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855"/>
        <w:gridCol w:w="2792"/>
        <w:gridCol w:w="2921"/>
      </w:tblGrid>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82,654,720.15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94,479,067.10</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12,930,175.64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17,212,145.73</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7,283,979.99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40,828.70</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13,020.00</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4"/>
          <w:footerReference w:type="default" r:id="rId65"/>
          <w:pgSz w:w="11910" w:h="16840"/>
          <w:pgMar w:header="706" w:footer="0" w:top="1060" w:bottom="0" w:left="960" w:right="0"/>
        </w:sectPr>
      </w:pPr>
    </w:p>
    <w:p>
      <w:pPr>
        <w:spacing w:line="240" w:lineRule="auto" w:before="6"/>
        <w:rPr>
          <w:rFonts w:ascii="宋体" w:hAnsi="宋体" w:cs="宋体" w:eastAsia="宋体" w:hint="default"/>
          <w:sz w:val="28"/>
          <w:szCs w:val="28"/>
        </w:rPr>
      </w:pPr>
    </w:p>
    <w:tbl>
      <w:tblPr>
        <w:tblW w:w="0" w:type="auto"/>
        <w:jc w:val="left"/>
        <w:tblInd w:w="169" w:type="dxa"/>
        <w:tblLayout w:type="fixed"/>
        <w:tblCellMar>
          <w:top w:w="0" w:type="dxa"/>
          <w:left w:w="0" w:type="dxa"/>
          <w:bottom w:w="0" w:type="dxa"/>
          <w:right w:w="0" w:type="dxa"/>
        </w:tblCellMar>
        <w:tblLook w:val="01E0"/>
      </w:tblPr>
      <w:tblGrid>
        <w:gridCol w:w="3843"/>
        <w:gridCol w:w="2802"/>
        <w:gridCol w:w="2921"/>
      </w:tblGrid>
      <w:tr>
        <w:trPr>
          <w:trHeight w:val="404" w:hRule="exact"/>
        </w:trPr>
        <w:tc>
          <w:tcPr>
            <w:tcW w:w="3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636" w:right="0"/>
              <w:jc w:val="left"/>
              <w:rPr>
                <w:rFonts w:ascii="Times New Roman" w:hAnsi="Times New Roman" w:cs="Times New Roman" w:eastAsia="Times New Roman" w:hint="default"/>
                <w:sz w:val="18"/>
                <w:szCs w:val="18"/>
              </w:rPr>
            </w:pPr>
            <w:r>
              <w:rPr>
                <w:rFonts w:ascii="Times New Roman"/>
                <w:sz w:val="18"/>
              </w:rPr>
              <w:t>102,881,895.78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8" w:right="0"/>
              <w:jc w:val="left"/>
              <w:rPr>
                <w:rFonts w:ascii="Times New Roman" w:hAnsi="Times New Roman" w:cs="Times New Roman" w:eastAsia="Times New Roman" w:hint="default"/>
                <w:sz w:val="18"/>
                <w:szCs w:val="18"/>
              </w:rPr>
            </w:pPr>
            <w:r>
              <w:rPr>
                <w:rFonts w:ascii="Times New Roman"/>
                <w:sz w:val="18"/>
              </w:rPr>
              <w:t>111,732,041.53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792"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72" w:type="dxa"/>
        <w:tblLayout w:type="fixed"/>
        <w:tblCellMar>
          <w:top w:w="0" w:type="dxa"/>
          <w:left w:w="0" w:type="dxa"/>
          <w:bottom w:w="0" w:type="dxa"/>
          <w:right w:w="0" w:type="dxa"/>
        </w:tblCellMar>
        <w:tblLook w:val="01E0"/>
      </w:tblPr>
      <w:tblGrid>
        <w:gridCol w:w="2669"/>
        <w:gridCol w:w="4146"/>
        <w:gridCol w:w="2285"/>
      </w:tblGrid>
      <w:tr>
        <w:trPr>
          <w:trHeight w:val="346" w:hRule="exact"/>
        </w:trPr>
        <w:tc>
          <w:tcPr>
            <w:tcW w:w="2669" w:type="dxa"/>
            <w:tcBorders>
              <w:top w:val="single" w:sz="6" w:space="0" w:color="000000"/>
              <w:left w:val="nil" w:sz="6" w:space="0" w:color="auto"/>
              <w:bottom w:val="single" w:sz="6" w:space="0" w:color="000000"/>
              <w:right w:val="nil" w:sz="6" w:space="0" w:color="auto"/>
            </w:tcBorders>
          </w:tcPr>
          <w:p>
            <w:pPr>
              <w:pStyle w:val="TableParagraph"/>
              <w:spacing w:line="272" w:lineRule="exact"/>
              <w:ind w:left="1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4146" w:type="dxa"/>
            <w:tcBorders>
              <w:top w:val="single" w:sz="6" w:space="0" w:color="000000"/>
              <w:left w:val="nil" w:sz="6" w:space="0" w:color="auto"/>
              <w:bottom w:val="single" w:sz="6" w:space="0" w:color="000000"/>
              <w:right w:val="nil" w:sz="6" w:space="0" w:color="auto"/>
            </w:tcBorders>
          </w:tcPr>
          <w:p>
            <w:pPr>
              <w:pStyle w:val="TableParagraph"/>
              <w:spacing w:line="272" w:lineRule="exact"/>
              <w:ind w:right="1224"/>
              <w:jc w:val="right"/>
              <w:rPr>
                <w:rFonts w:ascii="宋体" w:hAnsi="宋体" w:cs="宋体" w:eastAsia="宋体" w:hint="default"/>
                <w:sz w:val="21"/>
                <w:szCs w:val="21"/>
              </w:rPr>
            </w:pPr>
            <w:r>
              <w:rPr>
                <w:rFonts w:ascii="宋体" w:hAnsi="宋体" w:cs="宋体" w:eastAsia="宋体" w:hint="default"/>
                <w:sz w:val="21"/>
                <w:szCs w:val="21"/>
              </w:rPr>
              <w:t>金额</w:t>
            </w:r>
          </w:p>
        </w:tc>
        <w:tc>
          <w:tcPr>
            <w:tcW w:w="2285" w:type="dxa"/>
            <w:tcBorders>
              <w:top w:val="single" w:sz="6" w:space="0" w:color="000000"/>
              <w:left w:val="nil" w:sz="6" w:space="0" w:color="auto"/>
              <w:bottom w:val="single" w:sz="6" w:space="0" w:color="000000"/>
              <w:right w:val="nil" w:sz="6" w:space="0" w:color="auto"/>
            </w:tcBorders>
          </w:tcPr>
          <w:p>
            <w:pPr>
              <w:pStyle w:val="TableParagraph"/>
              <w:spacing w:line="272"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未结转原因</w:t>
            </w:r>
          </w:p>
        </w:tc>
      </w:tr>
      <w:tr>
        <w:trPr>
          <w:trHeight w:val="349" w:hRule="exact"/>
        </w:trPr>
        <w:tc>
          <w:tcPr>
            <w:tcW w:w="2669" w:type="dxa"/>
            <w:tcBorders>
              <w:top w:val="single" w:sz="6" w:space="0" w:color="000000"/>
              <w:left w:val="nil" w:sz="6" w:space="0" w:color="auto"/>
              <w:bottom w:val="single" w:sz="6" w:space="0" w:color="000000"/>
              <w:right w:val="nil" w:sz="6" w:space="0" w:color="auto"/>
            </w:tcBorders>
          </w:tcPr>
          <w:p>
            <w:pPr>
              <w:pStyle w:val="TableParagraph"/>
              <w:spacing w:line="240" w:lineRule="auto"/>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Times New Roman" w:hAnsi="Times New Roman" w:cs="Times New Roman" w:eastAsia="Times New Roman" w:hint="default"/>
                <w:sz w:val="21"/>
                <w:szCs w:val="21"/>
              </w:rPr>
              <w:t>1</w:t>
            </w:r>
          </w:p>
        </w:tc>
        <w:tc>
          <w:tcPr>
            <w:tcW w:w="4146" w:type="dxa"/>
            <w:tcBorders>
              <w:top w:val="single" w:sz="6" w:space="0" w:color="000000"/>
              <w:left w:val="nil" w:sz="6" w:space="0" w:color="auto"/>
              <w:bottom w:val="single" w:sz="6" w:space="0" w:color="000000"/>
              <w:right w:val="nil" w:sz="6" w:space="0" w:color="auto"/>
            </w:tcBorders>
          </w:tcPr>
          <w:p>
            <w:pPr>
              <w:pStyle w:val="TableParagraph"/>
              <w:spacing w:line="240" w:lineRule="auto" w:before="47"/>
              <w:ind w:right="1224"/>
              <w:jc w:val="right"/>
              <w:rPr>
                <w:rFonts w:ascii="Times New Roman" w:hAnsi="Times New Roman" w:cs="Times New Roman" w:eastAsia="Times New Roman" w:hint="default"/>
                <w:sz w:val="21"/>
                <w:szCs w:val="21"/>
              </w:rPr>
            </w:pPr>
            <w:r>
              <w:rPr>
                <w:rFonts w:ascii="Times New Roman"/>
                <w:spacing w:val="-1"/>
                <w:sz w:val="21"/>
              </w:rPr>
              <w:t>4,813,675.20</w:t>
            </w:r>
          </w:p>
        </w:tc>
        <w:tc>
          <w:tcPr>
            <w:tcW w:w="2285"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pacing w:val="-1"/>
                <w:sz w:val="21"/>
                <w:szCs w:val="21"/>
              </w:rPr>
              <w:t>尚未完成</w:t>
            </w:r>
          </w:p>
        </w:tc>
      </w:tr>
      <w:tr>
        <w:trPr>
          <w:trHeight w:val="346" w:hRule="exact"/>
        </w:trPr>
        <w:tc>
          <w:tcPr>
            <w:tcW w:w="2669" w:type="dxa"/>
            <w:tcBorders>
              <w:top w:val="single" w:sz="6" w:space="0" w:color="000000"/>
              <w:left w:val="nil" w:sz="6" w:space="0" w:color="auto"/>
              <w:bottom w:val="single" w:sz="6" w:space="0" w:color="000000"/>
              <w:right w:val="nil" w:sz="6" w:space="0" w:color="auto"/>
            </w:tcBorders>
          </w:tcPr>
          <w:p>
            <w:pPr>
              <w:pStyle w:val="TableParagraph"/>
              <w:spacing w:line="288"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Times New Roman" w:hAnsi="Times New Roman" w:cs="Times New Roman" w:eastAsia="Times New Roman" w:hint="default"/>
                <w:sz w:val="21"/>
                <w:szCs w:val="21"/>
              </w:rPr>
              <w:t>2</w:t>
            </w:r>
          </w:p>
        </w:tc>
        <w:tc>
          <w:tcPr>
            <w:tcW w:w="4146"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1224"/>
              <w:jc w:val="right"/>
              <w:rPr>
                <w:rFonts w:ascii="Times New Roman" w:hAnsi="Times New Roman" w:cs="Times New Roman" w:eastAsia="Times New Roman" w:hint="default"/>
                <w:sz w:val="21"/>
                <w:szCs w:val="21"/>
              </w:rPr>
            </w:pPr>
            <w:r>
              <w:rPr>
                <w:rFonts w:ascii="Times New Roman"/>
                <w:spacing w:val="-1"/>
                <w:sz w:val="21"/>
              </w:rPr>
              <w:t>3,955,897.44</w:t>
            </w:r>
          </w:p>
        </w:tc>
        <w:tc>
          <w:tcPr>
            <w:tcW w:w="2285" w:type="dxa"/>
            <w:tcBorders>
              <w:top w:val="single" w:sz="6" w:space="0" w:color="000000"/>
              <w:left w:val="nil" w:sz="6" w:space="0" w:color="auto"/>
              <w:bottom w:val="single" w:sz="6" w:space="0" w:color="000000"/>
              <w:right w:val="nil" w:sz="6" w:space="0" w:color="auto"/>
            </w:tcBorders>
          </w:tcPr>
          <w:p>
            <w:pPr>
              <w:pStyle w:val="TableParagraph"/>
              <w:spacing w:line="272"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尚未完成</w:t>
            </w:r>
          </w:p>
        </w:tc>
      </w:tr>
      <w:tr>
        <w:trPr>
          <w:trHeight w:val="348" w:hRule="exact"/>
        </w:trPr>
        <w:tc>
          <w:tcPr>
            <w:tcW w:w="2669" w:type="dxa"/>
            <w:tcBorders>
              <w:top w:val="single" w:sz="6" w:space="0" w:color="000000"/>
              <w:left w:val="nil" w:sz="6" w:space="0" w:color="auto"/>
              <w:bottom w:val="single" w:sz="6" w:space="0" w:color="000000"/>
              <w:right w:val="nil" w:sz="6" w:space="0" w:color="auto"/>
            </w:tcBorders>
          </w:tcPr>
          <w:p>
            <w:pPr>
              <w:pStyle w:val="TableParagraph"/>
              <w:spacing w:line="290"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Times New Roman" w:hAnsi="Times New Roman" w:cs="Times New Roman" w:eastAsia="Times New Roman" w:hint="default"/>
                <w:sz w:val="21"/>
                <w:szCs w:val="21"/>
              </w:rPr>
              <w:t>3</w:t>
            </w:r>
          </w:p>
        </w:tc>
        <w:tc>
          <w:tcPr>
            <w:tcW w:w="4146"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1224"/>
              <w:jc w:val="right"/>
              <w:rPr>
                <w:rFonts w:ascii="Times New Roman" w:hAnsi="Times New Roman" w:cs="Times New Roman" w:eastAsia="Times New Roman" w:hint="default"/>
                <w:sz w:val="21"/>
                <w:szCs w:val="21"/>
              </w:rPr>
            </w:pPr>
            <w:r>
              <w:rPr>
                <w:rFonts w:ascii="Times New Roman"/>
                <w:spacing w:val="-1"/>
                <w:sz w:val="21"/>
              </w:rPr>
              <w:t>2,241,462.00</w:t>
            </w:r>
          </w:p>
        </w:tc>
        <w:tc>
          <w:tcPr>
            <w:tcW w:w="2285" w:type="dxa"/>
            <w:tcBorders>
              <w:top w:val="single" w:sz="6" w:space="0" w:color="000000"/>
              <w:left w:val="nil" w:sz="6" w:space="0" w:color="auto"/>
              <w:bottom w:val="single" w:sz="6" w:space="0" w:color="000000"/>
              <w:right w:val="nil" w:sz="6" w:space="0" w:color="auto"/>
            </w:tcBorders>
          </w:tcPr>
          <w:p>
            <w:pPr>
              <w:pStyle w:val="TableParagraph"/>
              <w:spacing w:line="274"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尚未完成</w:t>
            </w:r>
          </w:p>
        </w:tc>
      </w:tr>
      <w:tr>
        <w:trPr>
          <w:trHeight w:val="346" w:hRule="exact"/>
        </w:trPr>
        <w:tc>
          <w:tcPr>
            <w:tcW w:w="2669" w:type="dxa"/>
            <w:tcBorders>
              <w:top w:val="single" w:sz="6" w:space="0" w:color="000000"/>
              <w:left w:val="nil" w:sz="6" w:space="0" w:color="auto"/>
              <w:bottom w:val="single" w:sz="6" w:space="0" w:color="000000"/>
              <w:right w:val="nil" w:sz="6" w:space="0" w:color="auto"/>
            </w:tcBorders>
          </w:tcPr>
          <w:p>
            <w:pPr>
              <w:pStyle w:val="TableParagraph"/>
              <w:spacing w:line="288"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Times New Roman" w:hAnsi="Times New Roman" w:cs="Times New Roman" w:eastAsia="Times New Roman" w:hint="default"/>
                <w:sz w:val="21"/>
                <w:szCs w:val="21"/>
              </w:rPr>
              <w:t>4</w:t>
            </w:r>
          </w:p>
        </w:tc>
        <w:tc>
          <w:tcPr>
            <w:tcW w:w="4146"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1224"/>
              <w:jc w:val="right"/>
              <w:rPr>
                <w:rFonts w:ascii="Times New Roman" w:hAnsi="Times New Roman" w:cs="Times New Roman" w:eastAsia="Times New Roman" w:hint="default"/>
                <w:sz w:val="21"/>
                <w:szCs w:val="21"/>
              </w:rPr>
            </w:pPr>
            <w:r>
              <w:rPr>
                <w:rFonts w:ascii="Times New Roman"/>
                <w:spacing w:val="-1"/>
                <w:sz w:val="21"/>
              </w:rPr>
              <w:t>1,320,000.00</w:t>
            </w:r>
          </w:p>
        </w:tc>
        <w:tc>
          <w:tcPr>
            <w:tcW w:w="2285" w:type="dxa"/>
            <w:tcBorders>
              <w:top w:val="single" w:sz="6" w:space="0" w:color="000000"/>
              <w:left w:val="nil" w:sz="6" w:space="0" w:color="auto"/>
              <w:bottom w:val="single" w:sz="6" w:space="0" w:color="000000"/>
              <w:right w:val="nil" w:sz="6" w:space="0" w:color="auto"/>
            </w:tcBorders>
          </w:tcPr>
          <w:p>
            <w:pPr>
              <w:pStyle w:val="TableParagraph"/>
              <w:spacing w:line="272"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尚未完成</w:t>
            </w:r>
          </w:p>
        </w:tc>
      </w:tr>
      <w:tr>
        <w:trPr>
          <w:trHeight w:val="293" w:hRule="exact"/>
        </w:trPr>
        <w:tc>
          <w:tcPr>
            <w:tcW w:w="2669" w:type="dxa"/>
            <w:tcBorders>
              <w:top w:val="single" w:sz="6" w:space="0" w:color="000000"/>
              <w:left w:val="nil" w:sz="6" w:space="0" w:color="auto"/>
              <w:bottom w:val="nil" w:sz="6" w:space="0" w:color="auto"/>
              <w:right w:val="nil" w:sz="6" w:space="0" w:color="auto"/>
            </w:tcBorders>
          </w:tcPr>
          <w:p>
            <w:pPr>
              <w:pStyle w:val="TableParagraph"/>
              <w:spacing w:line="290"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Times New Roman" w:hAnsi="Times New Roman" w:cs="Times New Roman" w:eastAsia="Times New Roman" w:hint="default"/>
                <w:sz w:val="21"/>
                <w:szCs w:val="21"/>
              </w:rPr>
              <w:t>5</w:t>
            </w:r>
          </w:p>
        </w:tc>
        <w:tc>
          <w:tcPr>
            <w:tcW w:w="4146" w:type="dxa"/>
            <w:tcBorders>
              <w:top w:val="single" w:sz="6" w:space="0" w:color="000000"/>
              <w:left w:val="nil" w:sz="6" w:space="0" w:color="auto"/>
              <w:bottom w:val="nil" w:sz="6" w:space="0" w:color="auto"/>
              <w:right w:val="nil" w:sz="6" w:space="0" w:color="auto"/>
            </w:tcBorders>
          </w:tcPr>
          <w:p>
            <w:pPr>
              <w:pStyle w:val="TableParagraph"/>
              <w:spacing w:line="240" w:lineRule="auto" w:before="46"/>
              <w:ind w:right="1224"/>
              <w:jc w:val="right"/>
              <w:rPr>
                <w:rFonts w:ascii="Times New Roman" w:hAnsi="Times New Roman" w:cs="Times New Roman" w:eastAsia="Times New Roman" w:hint="default"/>
                <w:sz w:val="21"/>
                <w:szCs w:val="21"/>
              </w:rPr>
            </w:pPr>
            <w:r>
              <w:rPr>
                <w:rFonts w:ascii="Times New Roman"/>
                <w:spacing w:val="-1"/>
                <w:sz w:val="21"/>
              </w:rPr>
              <w:t>1,200,000.00</w:t>
            </w:r>
          </w:p>
        </w:tc>
        <w:tc>
          <w:tcPr>
            <w:tcW w:w="2285" w:type="dxa"/>
            <w:tcBorders>
              <w:top w:val="single" w:sz="6" w:space="0" w:color="000000"/>
              <w:left w:val="nil" w:sz="6" w:space="0" w:color="auto"/>
              <w:bottom w:val="nil" w:sz="6" w:space="0" w:color="auto"/>
              <w:right w:val="nil" w:sz="6" w:space="0" w:color="auto"/>
            </w:tcBorders>
          </w:tcPr>
          <w:p>
            <w:pPr>
              <w:pStyle w:val="TableParagraph"/>
              <w:spacing w:line="274"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尚未完成</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p>
      <w:pPr>
        <w:pStyle w:val="Heading4"/>
        <w:spacing w:line="240" w:lineRule="auto" w:before="36"/>
        <w:ind w:right="0"/>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5,223,854.80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42,349,896.03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42,609,999.89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4,963,750.94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57,568.05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2,674,399.61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2,459,277.61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272,690.05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36,786.17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5,960,779.56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5,911,697.93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85,867.80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其中：</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医疗保险费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25,377.60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1,573,034.26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1,574,149.09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24,262.77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8,099.24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3,724,644.92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3,679,086.84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53,657.32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年金缴费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3,309.33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295,909.11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291,270.73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7,947.71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213,438.22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213,438.22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153,753.05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153,753.05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15,326.14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1,254,238.05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1,279,492.19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-9,928.00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158,607.23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436,562.20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463,231.82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131,937.61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工会经费和职工教 育经费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158,607.23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436,562.20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463,231.82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131,937.61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5,492,142.39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52,675,875.45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52,723,699.44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5,444,318.40</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footerReference w:type="default" r:id="rId66"/>
          <w:pgSz w:w="11910" w:h="16840"/>
          <w:pgMar w:footer="1340" w:header="706" w:top="1060" w:bottom="1540" w:left="960" w:right="0"/>
          <w:pgNumType w:start="117"/>
        </w:sectPr>
      </w:pPr>
    </w:p>
    <w:p>
      <w:pPr>
        <w:spacing w:line="240" w:lineRule="auto" w:before="9"/>
        <w:rPr>
          <w:rFonts w:ascii="宋体" w:hAnsi="宋体" w:cs="宋体" w:eastAsia="宋体" w:hint="default"/>
          <w:sz w:val="25"/>
          <w:szCs w:val="25"/>
        </w:rPr>
      </w:pP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工会经费和职工教育经费金额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131,937.61 </w:t>
      </w:r>
      <w:r>
        <w:rPr>
          <w:rFonts w:ascii="宋体" w:hAnsi="宋体" w:cs="宋体" w:eastAsia="宋体" w:hint="default"/>
          <w:sz w:val="18"/>
          <w:szCs w:val="18"/>
        </w:rPr>
        <w:t>元，非货币性福利金额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元，因解除劳动关系给予补偿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4124"/>
        <w:gridCol w:w="2789"/>
        <w:gridCol w:w="2657"/>
      </w:tblGrid>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5,174,240.32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534,992.63</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1,914,664.20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2,712,875.74</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92,121.04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251,149.59</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457,187.98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30,691.46</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164,417.21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127,422.94</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162,208.15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158,250.37</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329,377.84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26,749.63</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17,583.76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3,990.13</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32,838.38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27,107.55</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8,344,638.88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3,873,230.04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4123"/>
        <w:gridCol w:w="2789"/>
        <w:gridCol w:w="2645"/>
      </w:tblGrid>
      <w:tr>
        <w:trPr>
          <w:trHeight w:val="404"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792"/>
        <w:gridCol w:w="1994"/>
        <w:gridCol w:w="2127"/>
        <w:gridCol w:w="2657"/>
      </w:tblGrid>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长春丰东少数股东</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977,500.00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820,000.00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年分配红利</w:t>
            </w: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977,500.00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820,000.00</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723"/>
        <w:gridCol w:w="3058"/>
        <w:gridCol w:w="2789"/>
      </w:tblGrid>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1,867,683.38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997,263.51</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471,315.73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1,185,943.12</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1,032,030.80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535,584.00</w:t>
            </w:r>
          </w:p>
        </w:tc>
      </w:tr>
    </w:tbl>
    <w:p>
      <w:pPr>
        <w:spacing w:after="0" w:line="240" w:lineRule="auto"/>
        <w:jc w:val="right"/>
        <w:rPr>
          <w:rFonts w:ascii="Times New Roman" w:hAnsi="Times New Roman" w:cs="Times New Roman" w:eastAsia="Times New Roman" w:hint="default"/>
          <w:sz w:val="18"/>
          <w:szCs w:val="18"/>
        </w:rPr>
        <w:sectPr>
          <w:pgSz w:w="11910" w:h="16840"/>
          <w:pgMar w:header="706" w:footer="1340" w:top="1060" w:bottom="1540" w:left="960" w:right="0"/>
        </w:sectPr>
      </w:pPr>
    </w:p>
    <w:p>
      <w:pPr>
        <w:spacing w:line="240" w:lineRule="auto" w:before="6"/>
        <w:rPr>
          <w:rFonts w:ascii="宋体" w:hAnsi="宋体" w:cs="宋体" w:eastAsia="宋体" w:hint="default"/>
          <w:sz w:val="28"/>
          <w:szCs w:val="28"/>
        </w:rPr>
      </w:pPr>
    </w:p>
    <w:tbl>
      <w:tblPr>
        <w:tblW w:w="0" w:type="auto"/>
        <w:jc w:val="left"/>
        <w:tblInd w:w="167"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951,472.29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1,888,894.17</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4,322,502.20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4,607,684.80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723"/>
        <w:gridCol w:w="3058"/>
        <w:gridCol w:w="2789"/>
      </w:tblGrid>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tbl>
      <w:tblPr>
        <w:tblW w:w="0" w:type="auto"/>
        <w:jc w:val="left"/>
        <w:tblInd w:w="172" w:type="dxa"/>
        <w:tblLayout w:type="fixed"/>
        <w:tblCellMar>
          <w:top w:w="0" w:type="dxa"/>
          <w:left w:w="0" w:type="dxa"/>
          <w:bottom w:w="0" w:type="dxa"/>
          <w:right w:w="0" w:type="dxa"/>
        </w:tblCellMar>
        <w:tblLook w:val="01E0"/>
      </w:tblPr>
      <w:tblGrid>
        <w:gridCol w:w="3746"/>
        <w:gridCol w:w="2848"/>
        <w:gridCol w:w="2518"/>
      </w:tblGrid>
      <w:tr>
        <w:trPr>
          <w:trHeight w:val="278" w:hRule="exact"/>
        </w:trPr>
        <w:tc>
          <w:tcPr>
            <w:tcW w:w="3746" w:type="dxa"/>
            <w:tcBorders>
              <w:top w:val="nil" w:sz="6" w:space="0" w:color="auto"/>
              <w:left w:val="nil" w:sz="6" w:space="0" w:color="auto"/>
              <w:bottom w:val="single" w:sz="6" w:space="0" w:color="000000"/>
              <w:right w:val="nil" w:sz="6" w:space="0" w:color="auto"/>
            </w:tcBorders>
          </w:tcPr>
          <w:p>
            <w:pPr>
              <w:pStyle w:val="TableParagraph"/>
              <w:spacing w:line="211" w:lineRule="exact"/>
              <w:ind w:left="1118" w:right="0"/>
              <w:jc w:val="left"/>
              <w:rPr>
                <w:rFonts w:ascii="宋体" w:hAnsi="宋体" w:cs="宋体" w:eastAsia="宋体" w:hint="default"/>
                <w:sz w:val="21"/>
                <w:szCs w:val="21"/>
              </w:rPr>
            </w:pPr>
            <w:r>
              <w:rPr>
                <w:rFonts w:ascii="宋体" w:hAnsi="宋体" w:cs="宋体" w:eastAsia="宋体" w:hint="default"/>
                <w:sz w:val="21"/>
                <w:szCs w:val="21"/>
              </w:rPr>
              <w:t>对方名称或内容</w:t>
            </w:r>
          </w:p>
        </w:tc>
        <w:tc>
          <w:tcPr>
            <w:tcW w:w="2848" w:type="dxa"/>
            <w:tcBorders>
              <w:top w:val="nil" w:sz="6" w:space="0" w:color="auto"/>
              <w:left w:val="nil" w:sz="6" w:space="0" w:color="auto"/>
              <w:bottom w:val="single" w:sz="6" w:space="0" w:color="000000"/>
              <w:right w:val="nil" w:sz="6" w:space="0" w:color="auto"/>
            </w:tcBorders>
          </w:tcPr>
          <w:p>
            <w:pPr>
              <w:pStyle w:val="TableParagraph"/>
              <w:spacing w:line="211" w:lineRule="exact"/>
              <w:ind w:right="588"/>
              <w:jc w:val="right"/>
              <w:rPr>
                <w:rFonts w:ascii="宋体" w:hAnsi="宋体" w:cs="宋体" w:eastAsia="宋体" w:hint="default"/>
                <w:sz w:val="21"/>
                <w:szCs w:val="21"/>
              </w:rPr>
            </w:pPr>
            <w:r>
              <w:rPr>
                <w:rFonts w:ascii="宋体" w:hAnsi="宋体" w:cs="宋体" w:eastAsia="宋体" w:hint="default"/>
                <w:sz w:val="21"/>
                <w:szCs w:val="21"/>
              </w:rPr>
              <w:t>金额</w:t>
            </w:r>
          </w:p>
        </w:tc>
        <w:tc>
          <w:tcPr>
            <w:tcW w:w="2518" w:type="dxa"/>
            <w:tcBorders>
              <w:top w:val="nil" w:sz="6" w:space="0" w:color="auto"/>
              <w:left w:val="nil" w:sz="6" w:space="0" w:color="auto"/>
              <w:bottom w:val="single" w:sz="6" w:space="0" w:color="000000"/>
              <w:right w:val="nil" w:sz="6" w:space="0" w:color="auto"/>
            </w:tcBorders>
          </w:tcPr>
          <w:p>
            <w:pPr>
              <w:pStyle w:val="TableParagraph"/>
              <w:spacing w:line="211" w:lineRule="exact"/>
              <w:ind w:left="590" w:right="0"/>
              <w:jc w:val="left"/>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338" w:hRule="exact"/>
        </w:trPr>
        <w:tc>
          <w:tcPr>
            <w:tcW w:w="3746" w:type="dxa"/>
            <w:tcBorders>
              <w:top w:val="single" w:sz="6" w:space="0" w:color="000000"/>
              <w:left w:val="nil" w:sz="6" w:space="0" w:color="auto"/>
              <w:bottom w:val="single" w:sz="6" w:space="0" w:color="000000"/>
              <w:right w:val="nil" w:sz="6" w:space="0" w:color="auto"/>
            </w:tcBorders>
          </w:tcPr>
          <w:p>
            <w:pPr>
              <w:pStyle w:val="TableParagraph"/>
              <w:spacing w:line="281" w:lineRule="exact"/>
              <w:ind w:right="671"/>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Times New Roman" w:hAnsi="Times New Roman" w:cs="Times New Roman" w:eastAsia="Times New Roman" w:hint="default"/>
                <w:sz w:val="21"/>
                <w:szCs w:val="21"/>
              </w:rPr>
              <w:t>1</w:t>
            </w:r>
          </w:p>
        </w:tc>
        <w:tc>
          <w:tcPr>
            <w:tcW w:w="2848" w:type="dxa"/>
            <w:tcBorders>
              <w:top w:val="single" w:sz="6" w:space="0" w:color="000000"/>
              <w:left w:val="nil" w:sz="6" w:space="0" w:color="auto"/>
              <w:bottom w:val="single" w:sz="6" w:space="0" w:color="000000"/>
              <w:right w:val="nil" w:sz="6" w:space="0" w:color="auto"/>
            </w:tcBorders>
          </w:tcPr>
          <w:p>
            <w:pPr>
              <w:pStyle w:val="TableParagraph"/>
              <w:spacing w:line="240" w:lineRule="auto" w:before="36"/>
              <w:ind w:right="588"/>
              <w:jc w:val="right"/>
              <w:rPr>
                <w:rFonts w:ascii="Times New Roman" w:hAnsi="Times New Roman" w:cs="Times New Roman" w:eastAsia="Times New Roman" w:hint="default"/>
                <w:sz w:val="21"/>
                <w:szCs w:val="21"/>
              </w:rPr>
            </w:pPr>
            <w:r>
              <w:rPr>
                <w:rFonts w:ascii="Times New Roman"/>
                <w:spacing w:val="-1"/>
                <w:sz w:val="21"/>
              </w:rPr>
              <w:t>1,000,000.00</w:t>
            </w:r>
          </w:p>
        </w:tc>
        <w:tc>
          <w:tcPr>
            <w:tcW w:w="2518" w:type="dxa"/>
            <w:tcBorders>
              <w:top w:val="single" w:sz="6" w:space="0" w:color="000000"/>
              <w:left w:val="nil" w:sz="6" w:space="0" w:color="auto"/>
              <w:bottom w:val="single" w:sz="6" w:space="0" w:color="000000"/>
              <w:right w:val="nil" w:sz="6" w:space="0" w:color="auto"/>
            </w:tcBorders>
          </w:tcPr>
          <w:p>
            <w:pPr>
              <w:pStyle w:val="TableParagraph"/>
              <w:spacing w:line="265" w:lineRule="exact"/>
              <w:ind w:right="6"/>
              <w:jc w:val="right"/>
              <w:rPr>
                <w:rFonts w:ascii="宋体" w:hAnsi="宋体" w:cs="宋体" w:eastAsia="宋体" w:hint="default"/>
                <w:sz w:val="21"/>
                <w:szCs w:val="21"/>
              </w:rPr>
            </w:pPr>
            <w:r>
              <w:rPr>
                <w:rFonts w:ascii="宋体" w:hAnsi="宋体" w:cs="宋体" w:eastAsia="宋体" w:hint="default"/>
                <w:sz w:val="21"/>
                <w:szCs w:val="21"/>
              </w:rPr>
              <w:t>暂收款</w:t>
            </w:r>
          </w:p>
        </w:tc>
      </w:tr>
      <w:tr>
        <w:trPr>
          <w:trHeight w:val="336" w:hRule="exact"/>
        </w:trPr>
        <w:tc>
          <w:tcPr>
            <w:tcW w:w="3746" w:type="dxa"/>
            <w:tcBorders>
              <w:top w:val="single" w:sz="6" w:space="0" w:color="000000"/>
              <w:left w:val="nil" w:sz="6" w:space="0" w:color="auto"/>
              <w:bottom w:val="single" w:sz="6" w:space="0" w:color="000000"/>
              <w:right w:val="nil" w:sz="6" w:space="0" w:color="auto"/>
            </w:tcBorders>
          </w:tcPr>
          <w:p>
            <w:pPr>
              <w:pStyle w:val="TableParagraph"/>
              <w:spacing w:line="278" w:lineRule="exact"/>
              <w:ind w:right="671"/>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Times New Roman" w:hAnsi="Times New Roman" w:cs="Times New Roman" w:eastAsia="Times New Roman" w:hint="default"/>
                <w:sz w:val="21"/>
                <w:szCs w:val="21"/>
              </w:rPr>
              <w:t>2</w:t>
            </w:r>
          </w:p>
        </w:tc>
        <w:tc>
          <w:tcPr>
            <w:tcW w:w="2848"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588"/>
              <w:jc w:val="right"/>
              <w:rPr>
                <w:rFonts w:ascii="Times New Roman" w:hAnsi="Times New Roman" w:cs="Times New Roman" w:eastAsia="Times New Roman" w:hint="default"/>
                <w:sz w:val="21"/>
                <w:szCs w:val="21"/>
              </w:rPr>
            </w:pPr>
            <w:r>
              <w:rPr>
                <w:rFonts w:ascii="Times New Roman"/>
                <w:spacing w:val="-1"/>
                <w:sz w:val="21"/>
              </w:rPr>
              <w:t>534,600.00</w:t>
            </w:r>
          </w:p>
        </w:tc>
        <w:tc>
          <w:tcPr>
            <w:tcW w:w="2518" w:type="dxa"/>
            <w:tcBorders>
              <w:top w:val="single" w:sz="6" w:space="0" w:color="000000"/>
              <w:left w:val="nil" w:sz="6" w:space="0" w:color="auto"/>
              <w:bottom w:val="single" w:sz="6" w:space="0" w:color="000000"/>
              <w:right w:val="nil" w:sz="6" w:space="0" w:color="auto"/>
            </w:tcBorders>
          </w:tcPr>
          <w:p>
            <w:pPr>
              <w:pStyle w:val="TableParagraph"/>
              <w:spacing w:line="262" w:lineRule="exact"/>
              <w:ind w:right="4"/>
              <w:jc w:val="right"/>
              <w:rPr>
                <w:rFonts w:ascii="宋体" w:hAnsi="宋体" w:cs="宋体" w:eastAsia="宋体" w:hint="default"/>
                <w:sz w:val="21"/>
                <w:szCs w:val="21"/>
              </w:rPr>
            </w:pPr>
            <w:r>
              <w:rPr>
                <w:rFonts w:ascii="宋体" w:hAnsi="宋体" w:cs="宋体" w:eastAsia="宋体" w:hint="default"/>
                <w:spacing w:val="-1"/>
                <w:sz w:val="21"/>
                <w:szCs w:val="21"/>
              </w:rPr>
              <w:t>服务佣金</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172" w:type="dxa"/>
        <w:tblLayout w:type="fixed"/>
        <w:tblCellMar>
          <w:top w:w="0" w:type="dxa"/>
          <w:left w:w="0" w:type="dxa"/>
          <w:bottom w:w="0" w:type="dxa"/>
          <w:right w:w="0" w:type="dxa"/>
        </w:tblCellMar>
        <w:tblLook w:val="01E0"/>
      </w:tblPr>
      <w:tblGrid>
        <w:gridCol w:w="3746"/>
        <w:gridCol w:w="2848"/>
        <w:gridCol w:w="2518"/>
      </w:tblGrid>
      <w:tr>
        <w:trPr>
          <w:trHeight w:val="277" w:hRule="exact"/>
        </w:trPr>
        <w:tc>
          <w:tcPr>
            <w:tcW w:w="3746" w:type="dxa"/>
            <w:tcBorders>
              <w:top w:val="nil" w:sz="6" w:space="0" w:color="auto"/>
              <w:left w:val="nil" w:sz="6" w:space="0" w:color="auto"/>
              <w:bottom w:val="single" w:sz="6" w:space="0" w:color="000000"/>
              <w:right w:val="nil" w:sz="6" w:space="0" w:color="auto"/>
            </w:tcBorders>
          </w:tcPr>
          <w:p>
            <w:pPr>
              <w:pStyle w:val="TableParagraph"/>
              <w:spacing w:line="211" w:lineRule="exact"/>
              <w:ind w:left="1118" w:right="0"/>
              <w:jc w:val="left"/>
              <w:rPr>
                <w:rFonts w:ascii="宋体" w:hAnsi="宋体" w:cs="宋体" w:eastAsia="宋体" w:hint="default"/>
                <w:sz w:val="21"/>
                <w:szCs w:val="21"/>
              </w:rPr>
            </w:pPr>
            <w:r>
              <w:rPr>
                <w:rFonts w:ascii="宋体" w:hAnsi="宋体" w:cs="宋体" w:eastAsia="宋体" w:hint="default"/>
                <w:sz w:val="21"/>
                <w:szCs w:val="21"/>
              </w:rPr>
              <w:t>对方名称或内容</w:t>
            </w:r>
          </w:p>
        </w:tc>
        <w:tc>
          <w:tcPr>
            <w:tcW w:w="2848" w:type="dxa"/>
            <w:tcBorders>
              <w:top w:val="nil" w:sz="6" w:space="0" w:color="auto"/>
              <w:left w:val="nil" w:sz="6" w:space="0" w:color="auto"/>
              <w:bottom w:val="single" w:sz="6" w:space="0" w:color="000000"/>
              <w:right w:val="nil" w:sz="6" w:space="0" w:color="auto"/>
            </w:tcBorders>
          </w:tcPr>
          <w:p>
            <w:pPr>
              <w:pStyle w:val="TableParagraph"/>
              <w:spacing w:line="211" w:lineRule="exact"/>
              <w:ind w:right="588"/>
              <w:jc w:val="right"/>
              <w:rPr>
                <w:rFonts w:ascii="宋体" w:hAnsi="宋体" w:cs="宋体" w:eastAsia="宋体" w:hint="default"/>
                <w:sz w:val="21"/>
                <w:szCs w:val="21"/>
              </w:rPr>
            </w:pPr>
            <w:r>
              <w:rPr>
                <w:rFonts w:ascii="宋体" w:hAnsi="宋体" w:cs="宋体" w:eastAsia="宋体" w:hint="default"/>
                <w:sz w:val="21"/>
                <w:szCs w:val="21"/>
              </w:rPr>
              <w:t>金额</w:t>
            </w:r>
          </w:p>
        </w:tc>
        <w:tc>
          <w:tcPr>
            <w:tcW w:w="2518" w:type="dxa"/>
            <w:tcBorders>
              <w:top w:val="nil" w:sz="6" w:space="0" w:color="auto"/>
              <w:left w:val="nil" w:sz="6" w:space="0" w:color="auto"/>
              <w:bottom w:val="single" w:sz="6" w:space="0" w:color="000000"/>
              <w:right w:val="nil" w:sz="6" w:space="0" w:color="auto"/>
            </w:tcBorders>
          </w:tcPr>
          <w:p>
            <w:pPr>
              <w:pStyle w:val="TableParagraph"/>
              <w:spacing w:line="211" w:lineRule="exact"/>
              <w:ind w:left="590" w:right="0"/>
              <w:jc w:val="left"/>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338" w:hRule="exact"/>
        </w:trPr>
        <w:tc>
          <w:tcPr>
            <w:tcW w:w="3746" w:type="dxa"/>
            <w:tcBorders>
              <w:top w:val="single" w:sz="6" w:space="0" w:color="000000"/>
              <w:left w:val="nil" w:sz="6" w:space="0" w:color="auto"/>
              <w:bottom w:val="single" w:sz="6" w:space="0" w:color="000000"/>
              <w:right w:val="nil" w:sz="6" w:space="0" w:color="auto"/>
            </w:tcBorders>
          </w:tcPr>
          <w:p>
            <w:pPr>
              <w:pStyle w:val="TableParagraph"/>
              <w:spacing w:line="281" w:lineRule="exact"/>
              <w:ind w:right="671"/>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Times New Roman" w:hAnsi="Times New Roman" w:cs="Times New Roman" w:eastAsia="Times New Roman" w:hint="default"/>
                <w:sz w:val="21"/>
                <w:szCs w:val="21"/>
              </w:rPr>
              <w:t>1</w:t>
            </w:r>
          </w:p>
        </w:tc>
        <w:tc>
          <w:tcPr>
            <w:tcW w:w="2848" w:type="dxa"/>
            <w:tcBorders>
              <w:top w:val="single" w:sz="6" w:space="0" w:color="000000"/>
              <w:left w:val="nil" w:sz="6" w:space="0" w:color="auto"/>
              <w:bottom w:val="single" w:sz="6" w:space="0" w:color="000000"/>
              <w:right w:val="nil" w:sz="6" w:space="0" w:color="auto"/>
            </w:tcBorders>
          </w:tcPr>
          <w:p>
            <w:pPr>
              <w:pStyle w:val="TableParagraph"/>
              <w:spacing w:line="240" w:lineRule="auto" w:before="36"/>
              <w:ind w:right="588"/>
              <w:jc w:val="right"/>
              <w:rPr>
                <w:rFonts w:ascii="Times New Roman" w:hAnsi="Times New Roman" w:cs="Times New Roman" w:eastAsia="Times New Roman" w:hint="default"/>
                <w:sz w:val="21"/>
                <w:szCs w:val="21"/>
              </w:rPr>
            </w:pPr>
            <w:r>
              <w:rPr>
                <w:rFonts w:ascii="Times New Roman"/>
                <w:spacing w:val="-1"/>
                <w:sz w:val="21"/>
              </w:rPr>
              <w:t>1,000,000.00</w:t>
            </w:r>
          </w:p>
        </w:tc>
        <w:tc>
          <w:tcPr>
            <w:tcW w:w="2518" w:type="dxa"/>
            <w:tcBorders>
              <w:top w:val="single" w:sz="6" w:space="0" w:color="000000"/>
              <w:left w:val="nil" w:sz="6" w:space="0" w:color="auto"/>
              <w:bottom w:val="single" w:sz="6" w:space="0" w:color="000000"/>
              <w:right w:val="nil" w:sz="6" w:space="0" w:color="auto"/>
            </w:tcBorders>
          </w:tcPr>
          <w:p>
            <w:pPr>
              <w:pStyle w:val="TableParagraph"/>
              <w:spacing w:line="265" w:lineRule="exact"/>
              <w:ind w:right="6"/>
              <w:jc w:val="right"/>
              <w:rPr>
                <w:rFonts w:ascii="宋体" w:hAnsi="宋体" w:cs="宋体" w:eastAsia="宋体" w:hint="default"/>
                <w:sz w:val="21"/>
                <w:szCs w:val="21"/>
              </w:rPr>
            </w:pPr>
            <w:r>
              <w:rPr>
                <w:rFonts w:ascii="宋体" w:hAnsi="宋体" w:cs="宋体" w:eastAsia="宋体" w:hint="default"/>
                <w:sz w:val="21"/>
                <w:szCs w:val="21"/>
              </w:rPr>
              <w:t>暂收款</w:t>
            </w:r>
          </w:p>
        </w:tc>
      </w:tr>
      <w:tr>
        <w:trPr>
          <w:trHeight w:val="336" w:hRule="exact"/>
        </w:trPr>
        <w:tc>
          <w:tcPr>
            <w:tcW w:w="3746" w:type="dxa"/>
            <w:tcBorders>
              <w:top w:val="single" w:sz="6" w:space="0" w:color="000000"/>
              <w:left w:val="nil" w:sz="6" w:space="0" w:color="auto"/>
              <w:bottom w:val="single" w:sz="6" w:space="0" w:color="000000"/>
              <w:right w:val="nil" w:sz="6" w:space="0" w:color="auto"/>
            </w:tcBorders>
          </w:tcPr>
          <w:p>
            <w:pPr>
              <w:pStyle w:val="TableParagraph"/>
              <w:spacing w:line="278" w:lineRule="exact"/>
              <w:ind w:right="671"/>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Times New Roman" w:hAnsi="Times New Roman" w:cs="Times New Roman" w:eastAsia="Times New Roman" w:hint="default"/>
                <w:sz w:val="21"/>
                <w:szCs w:val="21"/>
              </w:rPr>
              <w:t>2</w:t>
            </w:r>
          </w:p>
        </w:tc>
        <w:tc>
          <w:tcPr>
            <w:tcW w:w="2848"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588"/>
              <w:jc w:val="right"/>
              <w:rPr>
                <w:rFonts w:ascii="Times New Roman" w:hAnsi="Times New Roman" w:cs="Times New Roman" w:eastAsia="Times New Roman" w:hint="default"/>
                <w:sz w:val="21"/>
                <w:szCs w:val="21"/>
              </w:rPr>
            </w:pPr>
            <w:r>
              <w:rPr>
                <w:rFonts w:ascii="Times New Roman"/>
                <w:spacing w:val="-1"/>
                <w:sz w:val="21"/>
              </w:rPr>
              <w:t>534,600.00</w:t>
            </w:r>
          </w:p>
        </w:tc>
        <w:tc>
          <w:tcPr>
            <w:tcW w:w="2518" w:type="dxa"/>
            <w:tcBorders>
              <w:top w:val="single" w:sz="6" w:space="0" w:color="000000"/>
              <w:left w:val="nil" w:sz="6" w:space="0" w:color="auto"/>
              <w:bottom w:val="single" w:sz="6" w:space="0" w:color="000000"/>
              <w:right w:val="nil" w:sz="6" w:space="0" w:color="auto"/>
            </w:tcBorders>
          </w:tcPr>
          <w:p>
            <w:pPr>
              <w:pStyle w:val="TableParagraph"/>
              <w:spacing w:line="262" w:lineRule="exact"/>
              <w:ind w:right="4"/>
              <w:jc w:val="right"/>
              <w:rPr>
                <w:rFonts w:ascii="宋体" w:hAnsi="宋体" w:cs="宋体" w:eastAsia="宋体" w:hint="default"/>
                <w:sz w:val="21"/>
                <w:szCs w:val="21"/>
              </w:rPr>
            </w:pPr>
            <w:r>
              <w:rPr>
                <w:rFonts w:ascii="宋体" w:hAnsi="宋体" w:cs="宋体" w:eastAsia="宋体" w:hint="default"/>
                <w:spacing w:val="-1"/>
                <w:sz w:val="21"/>
                <w:szCs w:val="21"/>
              </w:rPr>
              <w:t>服务佣金</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6"/>
        <w:ind w:right="0"/>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996"/>
        <w:gridCol w:w="1861"/>
        <w:gridCol w:w="1860"/>
        <w:gridCol w:w="1860"/>
        <w:gridCol w:w="1983"/>
      </w:tblGrid>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590"/>
        <w:gridCol w:w="2789"/>
        <w:gridCol w:w="3178"/>
      </w:tblGrid>
      <w:tr>
        <w:trPr>
          <w:trHeight w:val="404"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10"/>
        <w:rPr>
          <w:rFonts w:ascii="宋体" w:hAnsi="宋体" w:cs="宋体" w:eastAsia="宋体" w:hint="default"/>
          <w:b/>
          <w:bCs/>
          <w:sz w:val="22"/>
          <w:szCs w:val="22"/>
        </w:rPr>
      </w:pP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590"/>
        <w:gridCol w:w="2789"/>
        <w:gridCol w:w="3178"/>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360" w:lineRule="auto" w:before="49"/>
        <w:ind w:left="172" w:right="6074"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一年内到期的长期借款中属于逾期借款获得展期的金额元。 金额前五名的一年内到期的长期借款</w:t>
      </w:r>
    </w:p>
    <w:p>
      <w:pPr>
        <w:spacing w:after="0" w:line="360" w:lineRule="auto"/>
        <w:jc w:val="left"/>
        <w:rPr>
          <w:rFonts w:ascii="宋体" w:hAnsi="宋体" w:cs="宋体" w:eastAsia="宋体" w:hint="default"/>
          <w:sz w:val="18"/>
          <w:szCs w:val="18"/>
        </w:rPr>
        <w:sectPr>
          <w:pgSz w:w="11910" w:h="16840"/>
          <w:pgMar w:header="706" w:footer="1340" w:top="1060" w:bottom="1540" w:left="96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062"/>
        <w:gridCol w:w="1066"/>
        <w:gridCol w:w="1064"/>
        <w:gridCol w:w="1063"/>
        <w:gridCol w:w="1061"/>
        <w:gridCol w:w="1063"/>
        <w:gridCol w:w="1063"/>
        <w:gridCol w:w="1066"/>
        <w:gridCol w:w="1061"/>
      </w:tblGrid>
      <w:tr>
        <w:trPr>
          <w:trHeight w:val="401"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一年内到期的长期借款中的逾期借款</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367"/>
        <w:gridCol w:w="1366"/>
        <w:gridCol w:w="1368"/>
        <w:gridCol w:w="1368"/>
        <w:gridCol w:w="1366"/>
        <w:gridCol w:w="1369"/>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资产负债表日后已偿还的金额元。</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367"/>
        <w:gridCol w:w="1366"/>
        <w:gridCol w:w="1366"/>
        <w:gridCol w:w="1368"/>
        <w:gridCol w:w="1368"/>
        <w:gridCol w:w="1369"/>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590"/>
        <w:gridCol w:w="2921"/>
        <w:gridCol w:w="3046"/>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062"/>
        <w:gridCol w:w="1066"/>
        <w:gridCol w:w="1064"/>
        <w:gridCol w:w="1063"/>
        <w:gridCol w:w="1066"/>
        <w:gridCol w:w="1063"/>
        <w:gridCol w:w="1063"/>
        <w:gridCol w:w="1066"/>
        <w:gridCol w:w="1056"/>
      </w:tblGrid>
      <w:tr>
        <w:trPr>
          <w:trHeight w:val="402"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before="50"/>
        <w:ind w:left="172" w:right="0" w:firstLine="0"/>
        <w:jc w:val="left"/>
        <w:rPr>
          <w:rFonts w:ascii="宋体" w:hAnsi="宋体" w:cs="宋体" w:eastAsia="宋体" w:hint="default"/>
          <w:sz w:val="18"/>
          <w:szCs w:val="18"/>
        </w:rPr>
      </w:pPr>
      <w:r>
        <w:rPr>
          <w:rFonts w:ascii="宋体" w:hAnsi="宋体" w:cs="宋体" w:eastAsia="宋体" w:hint="default"/>
          <w:sz w:val="18"/>
          <w:szCs w:val="18"/>
        </w:rPr>
        <w:t>长期借款说明，因逾期借款获得展期形成的长期借款，应说明获得展期的条件、本金、利息、预计还款安排等</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footerReference w:type="default" r:id="rId67"/>
          <w:pgSz w:w="11910" w:h="16840"/>
          <w:pgMar w:footer="1279" w:header="706" w:top="1060" w:bottom="1460" w:left="960" w:right="0"/>
          <w:pgNumType w:start="120"/>
        </w:sectPr>
      </w:pPr>
    </w:p>
    <w:p>
      <w:pPr>
        <w:spacing w:line="240" w:lineRule="auto" w:before="6"/>
        <w:rPr>
          <w:rFonts w:ascii="宋体" w:hAnsi="宋体" w:cs="宋体" w:eastAsia="宋体" w:hint="default"/>
          <w:sz w:val="28"/>
          <w:szCs w:val="28"/>
        </w:rPr>
      </w:pPr>
    </w:p>
    <w:tbl>
      <w:tblPr>
        <w:tblW w:w="0" w:type="auto"/>
        <w:jc w:val="left"/>
        <w:tblInd w:w="16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0"/>
        <w:ind w:left="172" w:right="0" w:firstLine="0"/>
        <w:jc w:val="left"/>
        <w:rPr>
          <w:rFonts w:ascii="宋体" w:hAnsi="宋体" w:cs="宋体" w:eastAsia="宋体" w:hint="default"/>
          <w:sz w:val="18"/>
          <w:szCs w:val="18"/>
        </w:rPr>
      </w:pPr>
      <w:r>
        <w:rPr>
          <w:rFonts w:ascii="宋体" w:hAnsi="宋体" w:cs="宋体" w:eastAsia="宋体" w:hint="default"/>
          <w:sz w:val="18"/>
          <w:szCs w:val="18"/>
        </w:rPr>
        <w:t>应付债券说明，包括可转换公司债券的转股条件、转股时间</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925"/>
        <w:gridCol w:w="1728"/>
        <w:gridCol w:w="1726"/>
        <w:gridCol w:w="1594"/>
        <w:gridCol w:w="1596"/>
      </w:tblGrid>
      <w:tr>
        <w:trPr>
          <w:trHeight w:val="402" w:hRule="exact"/>
        </w:trPr>
        <w:tc>
          <w:tcPr>
            <w:tcW w:w="2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9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由独立第三方为公司融资租赁提供担保的金额元。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392"/>
        <w:gridCol w:w="1328"/>
        <w:gridCol w:w="1330"/>
        <w:gridCol w:w="1198"/>
        <w:gridCol w:w="1327"/>
        <w:gridCol w:w="1983"/>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备注说明</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723"/>
        <w:gridCol w:w="2789"/>
        <w:gridCol w:w="3058"/>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10,513,554.97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8,984,078.97</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10,513,554.97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8,984,078.97</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pStyle w:val="BodyText"/>
        <w:spacing w:line="297" w:lineRule="auto" w:before="149"/>
        <w:ind w:right="0" w:firstLine="420"/>
        <w:jc w:val="left"/>
      </w:pPr>
      <w:r>
        <w:rPr>
          <w:spacing w:val="-3"/>
        </w:rPr>
        <w:t>上述递延收益年末数中</w:t>
      </w:r>
      <w:r>
        <w:rPr>
          <w:rFonts w:ascii="Times New Roman" w:hAnsi="Times New Roman" w:cs="Times New Roman" w:eastAsia="Times New Roman" w:hint="default"/>
          <w:spacing w:val="-3"/>
        </w:rPr>
        <w:t>7,483,554.97</w:t>
      </w:r>
      <w:r>
        <w:rPr>
          <w:spacing w:val="-3"/>
        </w:rPr>
        <w:t>元系智能化真空热处理设备的开发及产业化项目省级拨款，该项目</w:t>
      </w:r>
      <w:r>
        <w:rPr>
          <w:w w:val="100"/>
        </w:rPr>
        <w:t> </w:t>
      </w:r>
      <w:r>
        <w:rPr>
          <w:spacing w:val="-2"/>
        </w:rPr>
        <w:t>原金额</w:t>
      </w:r>
      <w:r>
        <w:rPr>
          <w:rFonts w:ascii="Times New Roman" w:hAnsi="Times New Roman" w:cs="Times New Roman" w:eastAsia="Times New Roman" w:hint="default"/>
          <w:spacing w:val="-2"/>
        </w:rPr>
        <w:t>875</w:t>
      </w:r>
      <w:r>
        <w:rPr>
          <w:spacing w:val="-2"/>
        </w:rPr>
        <w:t>万元，已于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月完成验收，本期递延收益转入补贴收入</w:t>
      </w:r>
      <w:r>
        <w:rPr>
          <w:rFonts w:ascii="Times New Roman" w:hAnsi="Times New Roman" w:cs="Times New Roman" w:eastAsia="Times New Roman" w:hint="default"/>
          <w:spacing w:val="-2"/>
        </w:rPr>
        <w:t>460,524.00</w:t>
      </w:r>
      <w:r>
        <w:rPr>
          <w:spacing w:val="-2"/>
        </w:rPr>
        <w:t>元；</w:t>
      </w:r>
      <w:r>
        <w:rPr>
          <w:rFonts w:ascii="Times New Roman" w:hAnsi="Times New Roman" w:cs="Times New Roman" w:eastAsia="Times New Roman" w:hint="default"/>
          <w:spacing w:val="-2"/>
        </w:rPr>
        <w:t>500,000</w:t>
      </w:r>
      <w:r>
        <w:rPr>
          <w:spacing w:val="-2"/>
        </w:rPr>
        <w:t>元系真空热 处理设备智能化研发和远程服务系统信息平台建设专项资金；</w:t>
      </w:r>
      <w:r>
        <w:rPr>
          <w:rFonts w:ascii="Times New Roman" w:hAnsi="Times New Roman" w:cs="Times New Roman" w:eastAsia="Times New Roman" w:hint="default"/>
          <w:spacing w:val="-2"/>
        </w:rPr>
        <w:t>1,000,000</w:t>
      </w:r>
      <w:r>
        <w:rPr>
          <w:spacing w:val="-2"/>
        </w:rPr>
        <w:t>元系丰东热处理设备智能化和远程</w:t>
      </w:r>
      <w:r>
        <w:rPr>
          <w:spacing w:val="-34"/>
        </w:rPr>
        <w:t> </w:t>
      </w:r>
      <w:r>
        <w:rPr>
          <w:spacing w:val="-34"/>
        </w:rPr>
      </w:r>
      <w:r>
        <w:rPr/>
        <w:t>服务系统提升创新专项资金；</w:t>
      </w:r>
      <w:r>
        <w:rPr>
          <w:rFonts w:ascii="Times New Roman" w:hAnsi="Times New Roman" w:cs="Times New Roman" w:eastAsia="Times New Roman" w:hint="default"/>
        </w:rPr>
        <w:t>890,000</w:t>
      </w:r>
      <w:r>
        <w:rPr/>
        <w:t>元系本公司子公司青岛丰东技术研究与开发专项资金；</w:t>
      </w:r>
      <w:r>
        <w:rPr>
          <w:rFonts w:ascii="Times New Roman" w:hAnsi="Times New Roman" w:cs="Times New Roman" w:eastAsia="Times New Roman" w:hint="default"/>
        </w:rPr>
        <w:t>640,000</w:t>
      </w:r>
      <w:r>
        <w:rPr/>
        <w:t>元系</w:t>
      </w:r>
      <w:r>
        <w:rPr>
          <w:spacing w:val="-3"/>
          <w:w w:val="100"/>
        </w:rPr>
        <w:t> </w:t>
      </w:r>
      <w:r>
        <w:rPr/>
        <w:t>子公司青岛丰东中小企业发展专项资金；四项目正在进行中。</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194"/>
        <w:gridCol w:w="1198"/>
        <w:gridCol w:w="5980"/>
        <w:gridCol w:w="1198"/>
      </w:tblGrid>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706" w:footer="1279" w:top="1060" w:bottom="1460" w:left="960" w:right="0"/>
        </w:sectPr>
      </w:pPr>
    </w:p>
    <w:p>
      <w:pPr>
        <w:spacing w:line="240" w:lineRule="auto" w:before="6"/>
        <w:rPr>
          <w:rFonts w:ascii="宋体" w:hAnsi="宋体" w:cs="宋体" w:eastAsia="宋体" w:hint="default"/>
          <w:sz w:val="28"/>
          <w:szCs w:val="28"/>
        </w:rPr>
      </w:pPr>
    </w:p>
    <w:tbl>
      <w:tblPr>
        <w:tblW w:w="0" w:type="auto"/>
        <w:jc w:val="left"/>
        <w:tblInd w:w="167"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134,000,000.00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134,000,000.00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 w:right="0"/>
              <w:jc w:val="center"/>
              <w:rPr>
                <w:rFonts w:ascii="Times New Roman" w:hAnsi="Times New Roman" w:cs="Times New Roman" w:eastAsia="Times New Roman" w:hint="default"/>
                <w:sz w:val="18"/>
                <w:szCs w:val="18"/>
              </w:rPr>
            </w:pPr>
            <w:r>
              <w:rPr>
                <w:rFonts w:ascii="Times New Roman"/>
                <w:sz w:val="18"/>
              </w:rPr>
              <w:t>134,000,000.00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268,000,000.00</w:t>
            </w:r>
          </w:p>
        </w:tc>
      </w:tr>
    </w:tbl>
    <w:p>
      <w:pPr>
        <w:spacing w:before="49"/>
        <w:ind w:left="17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p>
      <w:pPr>
        <w:spacing w:before="63"/>
        <w:ind w:left="172" w:right="0"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pStyle w:val="BodyText"/>
        <w:spacing w:line="297" w:lineRule="auto" w:before="149"/>
        <w:ind w:right="1126" w:firstLine="420"/>
        <w:jc w:val="both"/>
      </w:pPr>
      <w:r>
        <w:rPr>
          <w:spacing w:val="-2"/>
        </w:rPr>
        <w:t>根据公司</w:t>
      </w:r>
      <w:r>
        <w:rPr>
          <w:rFonts w:ascii="Times New Roman" w:hAnsi="Times New Roman" w:cs="Times New Roman" w:eastAsia="Times New Roman" w:hint="default"/>
          <w:spacing w:val="-2"/>
        </w:rPr>
        <w:t>2011</w:t>
      </w:r>
      <w:r>
        <w:rPr>
          <w:spacing w:val="-2"/>
        </w:rPr>
        <w:t>年年度股东大会决议，申请增加注册资本</w:t>
      </w:r>
      <w:r>
        <w:rPr>
          <w:rFonts w:ascii="Times New Roman" w:hAnsi="Times New Roman" w:cs="Times New Roman" w:eastAsia="Times New Roman" w:hint="default"/>
          <w:spacing w:val="-2"/>
        </w:rPr>
        <w:t>134,000,000</w:t>
      </w:r>
      <w:r>
        <w:rPr>
          <w:spacing w:val="-2"/>
        </w:rPr>
        <w:t>元，由资本公积转增，转增基准日</w:t>
      </w:r>
      <w:r>
        <w:rPr>
          <w:w w:val="100"/>
        </w:rPr>
        <w:t> </w:t>
      </w:r>
      <w:r>
        <w:rPr>
          <w:spacing w:val="-3"/>
        </w:rPr>
        <w:t>为</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29</w:t>
      </w:r>
      <w:r>
        <w:rPr>
          <w:spacing w:val="-3"/>
        </w:rPr>
        <w:t>日。该转增业经上海众华沪银会计师事务所沪众会字</w:t>
      </w:r>
      <w:r>
        <w:rPr>
          <w:rFonts w:ascii="Times New Roman" w:hAnsi="Times New Roman" w:cs="Times New Roman" w:eastAsia="Times New Roman" w:hint="default"/>
          <w:spacing w:val="-3"/>
        </w:rPr>
        <w:t>(2012)</w:t>
      </w:r>
      <w:r>
        <w:rPr>
          <w:spacing w:val="-3"/>
        </w:rPr>
        <w:t>第</w:t>
      </w:r>
      <w:r>
        <w:rPr>
          <w:rFonts w:ascii="Times New Roman" w:hAnsi="Times New Roman" w:cs="Times New Roman" w:eastAsia="Times New Roman" w:hint="default"/>
          <w:spacing w:val="-3"/>
        </w:rPr>
        <w:t>6609</w:t>
      </w:r>
      <w:r>
        <w:rPr>
          <w:spacing w:val="-3"/>
        </w:rPr>
        <w:t>号《验资报告》验证。年</w:t>
      </w:r>
      <w:r>
        <w:rPr>
          <w:spacing w:val="-8"/>
        </w:rPr>
        <w:t> </w:t>
      </w:r>
      <w:r>
        <w:rPr>
          <w:spacing w:val="-8"/>
        </w:rPr>
      </w:r>
      <w:r>
        <w:rPr/>
        <w:t>末股本与实收资本一致。</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4"/>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库存股情况说明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专项储备情况说明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343,468,822.85</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134,000,000.00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209,468,822.85</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343,468,822.85</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134,000,000.00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209,468,822.85</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pStyle w:val="BodyText"/>
        <w:spacing w:line="240" w:lineRule="auto" w:before="96"/>
        <w:ind w:left="593" w:right="0"/>
        <w:jc w:val="left"/>
      </w:pPr>
      <w:r>
        <w:rPr/>
        <w:t>资本公积本年度减少</w:t>
      </w:r>
      <w:r>
        <w:rPr>
          <w:rFonts w:ascii="Times New Roman" w:hAnsi="Times New Roman" w:cs="Times New Roman" w:eastAsia="Times New Roman" w:hint="default"/>
        </w:rPr>
        <w:t>134,000,000.00</w:t>
      </w:r>
      <w:r>
        <w:rPr/>
        <w:t>元，系转增股本，转增基准日为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13,110,943.00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4,739,183.57</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7" w:right="0"/>
              <w:jc w:val="left"/>
              <w:rPr>
                <w:rFonts w:ascii="Times New Roman" w:hAnsi="Times New Roman" w:cs="Times New Roman" w:eastAsia="Times New Roman" w:hint="default"/>
                <w:sz w:val="18"/>
                <w:szCs w:val="18"/>
              </w:rPr>
            </w:pPr>
            <w:r>
              <w:rPr>
                <w:rFonts w:ascii="Times New Roman"/>
                <w:sz w:val="18"/>
              </w:rPr>
              <w:t>17,850,126.57</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13,110,943.00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4,739,183.57</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17,850,126.57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2"/>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一般风险准备情况说明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717"/>
        <w:gridCol w:w="3730"/>
        <w:gridCol w:w="2110"/>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bl>
    <w:p>
      <w:pPr>
        <w:spacing w:after="0" w:line="240" w:lineRule="auto"/>
        <w:jc w:val="left"/>
        <w:rPr>
          <w:rFonts w:ascii="宋体" w:hAnsi="宋体" w:cs="宋体" w:eastAsia="宋体" w:hint="default"/>
          <w:sz w:val="18"/>
          <w:szCs w:val="18"/>
        </w:rPr>
        <w:sectPr>
          <w:pgSz w:w="11910" w:h="16840"/>
          <w:pgMar w:header="706" w:footer="1279" w:top="1060" w:bottom="1460" w:left="960" w:right="0"/>
        </w:sectPr>
      </w:pPr>
    </w:p>
    <w:p>
      <w:pPr>
        <w:spacing w:line="240" w:lineRule="auto" w:before="6"/>
        <w:rPr>
          <w:rFonts w:ascii="宋体" w:hAnsi="宋体" w:cs="宋体" w:eastAsia="宋体" w:hint="default"/>
          <w:sz w:val="28"/>
          <w:szCs w:val="28"/>
        </w:rPr>
      </w:pPr>
    </w:p>
    <w:tbl>
      <w:tblPr>
        <w:tblW w:w="0" w:type="auto"/>
        <w:jc w:val="left"/>
        <w:tblInd w:w="169" w:type="dxa"/>
        <w:tblLayout w:type="fixed"/>
        <w:tblCellMar>
          <w:top w:w="0" w:type="dxa"/>
          <w:left w:w="0" w:type="dxa"/>
          <w:bottom w:w="0" w:type="dxa"/>
          <w:right w:w="0" w:type="dxa"/>
        </w:tblCellMar>
        <w:tblLook w:val="01E0"/>
      </w:tblPr>
      <w:tblGrid>
        <w:gridCol w:w="3717"/>
        <w:gridCol w:w="3730"/>
        <w:gridCol w:w="2122"/>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98,931,879.00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98,931,879.00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9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50,101,739.39</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4,739,183.57</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16,080,000.00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128,214,434.82</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96" w:right="0"/>
              <w:jc w:val="left"/>
              <w:rPr>
                <w:rFonts w:ascii="Times New Roman" w:hAnsi="Times New Roman" w:cs="Times New Roman" w:eastAsia="Times New Roman" w:hint="default"/>
                <w:sz w:val="18"/>
                <w:szCs w:val="18"/>
              </w:rPr>
            </w:pPr>
            <w:r>
              <w:rPr>
                <w:rFonts w:ascii="Times New Roman"/>
                <w:sz w:val="18"/>
              </w:rPr>
              <w:t>--</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5"/>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、由于《企业会计准则》及其相关新规定进行追溯调整，影响年初未分配利润元。</w:t>
      </w:r>
    </w:p>
    <w:p>
      <w:pPr>
        <w:spacing w:before="103"/>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、由于会计政策变更，影响年初未分配利润元。</w:t>
      </w:r>
    </w:p>
    <w:p>
      <w:pPr>
        <w:spacing w:before="103"/>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、由于重大会计差错更正，影响年初未分配利润元。</w:t>
      </w:r>
    </w:p>
    <w:p>
      <w:pPr>
        <w:spacing w:before="102"/>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、由于同一控制导致的合并范围变更，影响年初未分配利润元。</w:t>
      </w:r>
    </w:p>
    <w:p>
      <w:pPr>
        <w:spacing w:line="326" w:lineRule="auto" w:before="103"/>
        <w:ind w:left="1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、其他调整合计影响年初未分配利润元。</w:t>
      </w:r>
      <w:r>
        <w:rPr>
          <w:rFonts w:ascii="宋体" w:hAnsi="宋体" w:cs="宋体" w:eastAsia="宋体" w:hint="default"/>
          <w:w w:val="99"/>
          <w:sz w:val="18"/>
          <w:szCs w:val="18"/>
        </w:rPr>
        <w:t> </w:t>
      </w: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经审计的利润数</w:t>
      </w:r>
    </w:p>
    <w:p>
      <w:pPr>
        <w:spacing w:before="50"/>
        <w:ind w:left="17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3300"/>
        <w:gridCol w:w="3069"/>
        <w:gridCol w:w="3190"/>
      </w:tblGrid>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343,135,830.49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319,773,236.18</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234,394,211.71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215,460,965.61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343,135,830.49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234,394,211.71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319,773,236.18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215,460,965.61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343,135,830.49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234,394,211.71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319,773,236.18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215,460,965.61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460.320007pt;margin-top:56.931721pt;width:135pt;height:77pt;mso-position-horizontal-relative:page;mso-position-vertical-relative:paragraph;z-index:-858424" coordorigin="9206,1139" coordsize="2700,1540">
            <v:shape style="position:absolute;left:9206;top:1139;width:2700;height:1540" type="#_x0000_t75" stroked="false">
              <v:imagedata r:id="rId26" o:title=""/>
            </v:shape>
            <v:shape style="position:absolute;left:10502;top:149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123</w:t>
                    </w:r>
                  </w:p>
                </w:txbxContent>
              </v:textbox>
              <w10:wrap type="none"/>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526"/>
        <w:gridCol w:w="1726"/>
        <w:gridCol w:w="1863"/>
        <w:gridCol w:w="1726"/>
        <w:gridCol w:w="1728"/>
      </w:tblGrid>
      <w:tr>
        <w:trPr>
          <w:trHeight w:val="402"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headerReference w:type="default" r:id="rId68"/>
          <w:footerReference w:type="default" r:id="rId69"/>
          <w:pgSz w:w="11910" w:h="16840"/>
          <w:pgMar w:header="706" w:footer="0" w:top="1060" w:bottom="0" w:left="960" w:right="0"/>
        </w:sectPr>
      </w:pPr>
    </w:p>
    <w:p>
      <w:pPr>
        <w:spacing w:line="240" w:lineRule="auto" w:before="6"/>
        <w:rPr>
          <w:rFonts w:ascii="宋体" w:hAnsi="宋体" w:cs="宋体" w:eastAsia="宋体" w:hint="default"/>
          <w:sz w:val="28"/>
          <w:szCs w:val="28"/>
        </w:rPr>
      </w:pPr>
    </w:p>
    <w:tbl>
      <w:tblPr>
        <w:tblW w:w="0" w:type="auto"/>
        <w:jc w:val="left"/>
        <w:tblInd w:w="167"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热处理设备内销</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205,490,740.96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139,130,170.49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195,564,413.95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132,485,933.93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热处理设备外销</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22,528,169.58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14,997,464.15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7,811,843.10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6,266,401.94</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热处理加工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77,315,415.36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55,051,028.78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86,687,595.37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57,808,051.51</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37,801,504.59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25,215,548.29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29,709,383.76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18,900,578.23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343,135,830.49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234,394,211.71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319,773,236.18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215,460,965.61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210,802,323.17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139,902,756.97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198,654,536.35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131,414,521.50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13,945,739.92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9,465,150.59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14,720,791.95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9,996,454.36</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36,630,770.42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24,838,009.44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30,768,010.33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19,519,240.87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13,552,594.06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10,553,827.84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8,564,114.25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6,230,643.31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8,485,637.57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4,879,881.82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12,040,915.86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7,742,648.13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10,171,837.63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6,609,482.36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3,209,829.08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2,152,095.27</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25,882,060.31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22,595,055.83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44,003,195.26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32,138,960.23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23,664,867.41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15,550,046.86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7,811,843.10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6,266,401.94</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343,135,830.49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234,394,211.71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319,773,236.18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215,460,965.61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595"/>
        <w:gridCol w:w="2850"/>
        <w:gridCol w:w="4126"/>
      </w:tblGrid>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9,920,756.40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8,941,914.89</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6,837,606.82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6,741,965.84</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w:t>
            </w:r>
          </w:p>
        </w:tc>
      </w:tr>
      <w:tr>
        <w:trPr>
          <w:trHeight w:val="404"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6,270,280.06</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38,712,524.01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11.28%</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595"/>
        <w:gridCol w:w="1594"/>
        <w:gridCol w:w="1596"/>
        <w:gridCol w:w="1594"/>
        <w:gridCol w:w="1593"/>
        <w:gridCol w:w="1595"/>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累计已确认毛</w:t>
            </w:r>
            <w:r>
              <w:rPr>
                <w:rFonts w:ascii="宋体" w:hAnsi="宋体" w:cs="宋体" w:eastAsia="宋体" w:hint="default"/>
                <w:spacing w:val="-85"/>
                <w:sz w:val="18"/>
                <w:szCs w:val="18"/>
              </w:rPr>
              <w:t>利</w:t>
            </w:r>
            <w:r>
              <w:rPr>
                <w:rFonts w:ascii="宋体" w:hAnsi="宋体" w:cs="宋体" w:eastAsia="宋体" w:hint="default"/>
                <w:sz w:val="18"/>
                <w:szCs w:val="18"/>
              </w:rPr>
              <w:t>（亏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spacing w:after="0" w:line="240" w:lineRule="auto"/>
        <w:jc w:val="left"/>
        <w:rPr>
          <w:rFonts w:ascii="宋体" w:hAnsi="宋体" w:cs="宋体" w:eastAsia="宋体" w:hint="default"/>
          <w:sz w:val="18"/>
          <w:szCs w:val="18"/>
        </w:rPr>
        <w:sectPr>
          <w:footerReference w:type="default" r:id="rId70"/>
          <w:pgSz w:w="11910" w:h="16840"/>
          <w:pgMar w:footer="1340" w:header="706" w:top="1060" w:bottom="1540" w:left="960" w:right="0"/>
          <w:pgNumType w:start="124"/>
        </w:sectPr>
      </w:pPr>
    </w:p>
    <w:p>
      <w:pPr>
        <w:spacing w:line="240" w:lineRule="auto" w:before="6"/>
        <w:rPr>
          <w:rFonts w:ascii="宋体" w:hAnsi="宋体" w:cs="宋体" w:eastAsia="宋体" w:hint="default"/>
          <w:sz w:val="28"/>
          <w:szCs w:val="28"/>
        </w:rPr>
      </w:pPr>
    </w:p>
    <w:tbl>
      <w:tblPr>
        <w:tblW w:w="0" w:type="auto"/>
        <w:jc w:val="left"/>
        <w:tblInd w:w="169" w:type="dxa"/>
        <w:tblLayout w:type="fixed"/>
        <w:tblCellMar>
          <w:top w:w="0" w:type="dxa"/>
          <w:left w:w="0" w:type="dxa"/>
          <w:bottom w:w="0" w:type="dxa"/>
          <w:right w:w="0" w:type="dxa"/>
        </w:tblCellMar>
        <w:tblLook w:val="01E0"/>
      </w:tblPr>
      <w:tblGrid>
        <w:gridCol w:w="1595"/>
        <w:gridCol w:w="1594"/>
        <w:gridCol w:w="1596"/>
        <w:gridCol w:w="1594"/>
        <w:gridCol w:w="1592"/>
        <w:gridCol w:w="1596"/>
      </w:tblGrid>
      <w:tr>
        <w:trPr>
          <w:trHeight w:val="36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1" w:right="0"/>
              <w:jc w:val="left"/>
              <w:rPr>
                <w:rFonts w:ascii="宋体" w:hAnsi="宋体" w:cs="宋体" w:eastAsia="宋体" w:hint="default"/>
                <w:sz w:val="18"/>
                <w:szCs w:val="18"/>
              </w:rPr>
            </w:pPr>
            <w:r>
              <w:rPr>
                <w:rFonts w:ascii="宋体" w:hAnsi="宋体" w:cs="宋体" w:eastAsia="宋体" w:hint="default"/>
                <w:sz w:val="18"/>
                <w:szCs w:val="18"/>
              </w:rPr>
              <w:t>损以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20" w:hanging="118"/>
              <w:jc w:val="left"/>
              <w:rPr>
                <w:rFonts w:ascii="宋体" w:hAnsi="宋体" w:cs="宋体" w:eastAsia="宋体" w:hint="default"/>
                <w:sz w:val="18"/>
                <w:szCs w:val="18"/>
              </w:rPr>
            </w:pPr>
            <w:r>
              <w:rPr>
                <w:rFonts w:ascii="宋体" w:hAnsi="宋体" w:cs="宋体" w:eastAsia="宋体" w:hint="default"/>
                <w:sz w:val="18"/>
                <w:szCs w:val="18"/>
              </w:rPr>
              <w:t>累计已确认毛</w:t>
            </w:r>
            <w:r>
              <w:rPr>
                <w:rFonts w:ascii="宋体" w:hAnsi="宋体" w:cs="宋体" w:eastAsia="宋体" w:hint="default"/>
                <w:spacing w:val="-85"/>
                <w:sz w:val="18"/>
                <w:szCs w:val="18"/>
              </w:rPr>
              <w:t>利</w:t>
            </w:r>
            <w:r>
              <w:rPr>
                <w:rFonts w:ascii="宋体" w:hAnsi="宋体" w:cs="宋体" w:eastAsia="宋体" w:hint="default"/>
                <w:sz w:val="18"/>
                <w:szCs w:val="18"/>
              </w:rPr>
              <w:t>（亏</w:t>
            </w:r>
            <w:r>
              <w:rPr>
                <w:rFonts w:ascii="宋体" w:hAnsi="宋体" w:cs="宋体" w:eastAsia="宋体" w:hint="default"/>
                <w:sz w:val="18"/>
                <w:szCs w:val="18"/>
              </w:rPr>
              <w:t> 损以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合同项目的说明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2772"/>
        <w:gridCol w:w="2003"/>
        <w:gridCol w:w="1863"/>
        <w:gridCol w:w="2921"/>
      </w:tblGrid>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4,169.65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2,833.90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4"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1,844,487.30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1,148,037.29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1,355,237.20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845,318.18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3,203,894.15</w:t>
            </w:r>
          </w:p>
        </w:tc>
        <w:tc>
          <w:tcPr>
            <w:tcW w:w="186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1,996,189.37</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1,578,188.82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1,715,887.84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4,343,398.93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4,396,759.94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620,377.12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457,888.49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521,832.76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869,568.83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3,104,587.91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2,689,736.59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253,238.85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249,799.83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产品维修费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2,917,391.29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2,363,151.74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产品服务费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1,146,220.00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1,082,172.35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917,676.08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366,780.49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15,402,911.76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14,191,746.10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员工工资和福利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16,712,521.40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14,917,208.44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8,318,583.26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7,894,468.97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3,590,346.68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2,951,277.54</w:t>
            </w:r>
          </w:p>
        </w:tc>
      </w:tr>
    </w:tbl>
    <w:p>
      <w:pPr>
        <w:spacing w:after="0" w:line="240" w:lineRule="auto"/>
        <w:jc w:val="right"/>
        <w:rPr>
          <w:rFonts w:ascii="Times New Roman" w:hAnsi="Times New Roman" w:cs="Times New Roman" w:eastAsia="Times New Roman" w:hint="default"/>
          <w:sz w:val="18"/>
          <w:szCs w:val="18"/>
        </w:rPr>
        <w:sectPr>
          <w:pgSz w:w="11910" w:h="16840"/>
          <w:pgMar w:header="706" w:footer="1340" w:top="1060" w:bottom="1540" w:left="960" w:right="0"/>
        </w:sectPr>
      </w:pPr>
    </w:p>
    <w:p>
      <w:pPr>
        <w:spacing w:line="240" w:lineRule="auto" w:before="6"/>
        <w:rPr>
          <w:rFonts w:ascii="宋体" w:hAnsi="宋体" w:cs="宋体" w:eastAsia="宋体" w:hint="default"/>
          <w:sz w:val="28"/>
          <w:szCs w:val="28"/>
        </w:rPr>
      </w:pPr>
    </w:p>
    <w:tbl>
      <w:tblPr>
        <w:tblW w:w="0" w:type="auto"/>
        <w:jc w:val="left"/>
        <w:tblInd w:w="167"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1,655,484.66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2,133,847.54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3,054,503.14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2,519,916.65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各项税费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2,152,837.27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2,038,371.65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2,854,792.28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2,484,476.66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827,932.90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785,885.69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36,326.15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390,460.57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190,327.99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635,640.12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1,002,519.12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1,606,135.00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1,642,518.38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1,692,102.60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42,038,693.23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40,049,791.43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1,782,994.44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1,490,325.16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-5,617,395.70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-3,243,575.20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加：汇兑净损失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（净收益）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-429,014.40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-109,125.47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116,211.18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112,591.52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-4,147,204.48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-1,749,783.99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857"/>
        <w:gridCol w:w="2789"/>
        <w:gridCol w:w="2910"/>
      </w:tblGrid>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公允价值变动收益的说明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3835"/>
        <w:gridCol w:w="2800"/>
        <w:gridCol w:w="2921"/>
      </w:tblGrid>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595,459.50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555,762.20</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9,410,310.70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10,983,391.40</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10,005,770.20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11,539,153.60</w:t>
            </w:r>
          </w:p>
        </w:tc>
      </w:tr>
    </w:tbl>
    <w:p>
      <w:pPr>
        <w:spacing w:after="0" w:line="240" w:lineRule="auto"/>
        <w:jc w:val="right"/>
        <w:rPr>
          <w:rFonts w:ascii="Times New Roman" w:hAnsi="Times New Roman" w:cs="Times New Roman" w:eastAsia="Times New Roman" w:hint="default"/>
          <w:sz w:val="18"/>
          <w:szCs w:val="18"/>
        </w:rPr>
        <w:sectPr>
          <w:pgSz w:w="11910" w:h="16840"/>
          <w:pgMar w:header="706" w:footer="1340" w:top="1060" w:bottom="1540" w:left="96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929"/>
        <w:gridCol w:w="1992"/>
        <w:gridCol w:w="1728"/>
        <w:gridCol w:w="2921"/>
      </w:tblGrid>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江苏大丰农村商业银行</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9" w:right="0"/>
              <w:jc w:val="left"/>
              <w:rPr>
                <w:rFonts w:ascii="Times New Roman" w:hAnsi="Times New Roman" w:cs="Times New Roman" w:eastAsia="Times New Roman" w:hint="default"/>
                <w:sz w:val="18"/>
                <w:szCs w:val="18"/>
              </w:rPr>
            </w:pPr>
            <w:r>
              <w:rPr>
                <w:rFonts w:ascii="Times New Roman"/>
                <w:sz w:val="18"/>
              </w:rPr>
              <w:t>595,459.50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3" w:right="0"/>
              <w:jc w:val="left"/>
              <w:rPr>
                <w:rFonts w:ascii="Times New Roman" w:hAnsi="Times New Roman" w:cs="Times New Roman" w:eastAsia="Times New Roman" w:hint="default"/>
                <w:sz w:val="18"/>
                <w:szCs w:val="18"/>
              </w:rPr>
            </w:pPr>
            <w:r>
              <w:rPr>
                <w:rFonts w:ascii="Times New Roman"/>
                <w:sz w:val="18"/>
              </w:rPr>
              <w:t>555,762.20</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929"/>
        <w:gridCol w:w="1992"/>
        <w:gridCol w:w="1728"/>
        <w:gridCol w:w="2921"/>
      </w:tblGrid>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7,955,089.48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10,008,624.94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净利润比上年减少</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1,455,221.22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974,766.46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净利润比上年增加</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9,410,310.70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10,983,391.40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投资收益的说明，若投资收益汇回有重大限制的，应予以说明。若不存在此类重大限制，也应做出说明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4232"/>
        <w:gridCol w:w="2537"/>
        <w:gridCol w:w="2789"/>
      </w:tblGrid>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1,852,335.47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409,272.93</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1,852,335.47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409,272.93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294"/>
        <w:gridCol w:w="1956"/>
        <w:gridCol w:w="2160"/>
        <w:gridCol w:w="2161"/>
      </w:tblGrid>
      <w:tr>
        <w:trPr>
          <w:trHeight w:val="161"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4"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287,556.39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44,466.59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287,556.39</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2,905,910.42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2,724,094.33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2,905,910.42</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78,685.47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45,658.97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78,685.47</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3,272,152.28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2,814,219.89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3,272,152.28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659"/>
        <w:gridCol w:w="1994"/>
        <w:gridCol w:w="1995"/>
        <w:gridCol w:w="2909"/>
      </w:tblGrid>
      <w:tr>
        <w:trPr>
          <w:trHeight w:val="402" w:hRule="exact"/>
        </w:trPr>
        <w:tc>
          <w:tcPr>
            <w:tcW w:w="2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before="50"/>
        <w:ind w:left="172" w:right="0" w:firstLine="0"/>
        <w:jc w:val="left"/>
        <w:rPr>
          <w:rFonts w:ascii="宋体" w:hAnsi="宋体" w:cs="宋体" w:eastAsia="宋体" w:hint="default"/>
          <w:sz w:val="18"/>
          <w:szCs w:val="18"/>
        </w:rPr>
      </w:pPr>
      <w:r>
        <w:rPr>
          <w:rFonts w:ascii="宋体" w:hAnsi="宋体" w:cs="宋体" w:eastAsia="宋体" w:hint="default"/>
          <w:sz w:val="18"/>
          <w:szCs w:val="18"/>
        </w:rPr>
        <w:t>营业外收入说明</w:t>
      </w:r>
    </w:p>
    <w:p>
      <w:pPr>
        <w:spacing w:after="0"/>
        <w:jc w:val="left"/>
        <w:rPr>
          <w:rFonts w:ascii="宋体" w:hAnsi="宋体" w:cs="宋体" w:eastAsia="宋体" w:hint="default"/>
          <w:sz w:val="18"/>
          <w:szCs w:val="18"/>
        </w:rPr>
        <w:sectPr>
          <w:pgSz w:w="11910" w:h="16840"/>
          <w:pgMar w:header="706" w:footer="1340" w:top="1060" w:bottom="1540" w:left="960" w:right="0"/>
        </w:sectPr>
      </w:pPr>
    </w:p>
    <w:p>
      <w:pPr>
        <w:spacing w:line="240" w:lineRule="auto" w:before="5"/>
        <w:rPr>
          <w:rFonts w:ascii="宋体" w:hAnsi="宋体" w:cs="宋体" w:eastAsia="宋体" w:hint="default"/>
          <w:sz w:val="3"/>
          <w:szCs w:val="3"/>
        </w:rPr>
      </w:pPr>
      <w:r>
        <w:rPr/>
        <w:pict>
          <v:group style="position:absolute;margin-left:55.200001pt;margin-top:55.559982pt;width:484.9pt;height:.1pt;mso-position-horizontal-relative:page;mso-position-vertical-relative:page;z-index:-858400" coordorigin="1104,1111" coordsize="9698,2">
            <v:shape style="position:absolute;left:1104;top:1111;width:9698;height:2" coordorigin="1104,1111" coordsize="9698,0" path="m1104,1111l10802,1111e" filled="false" stroked="true" strokeweight=".72pt" strokecolor="#000000">
              <v:path arrowok="t"/>
            </v:shape>
            <w10:wrap type="none"/>
          </v:group>
        </w:pict>
      </w:r>
    </w:p>
    <w:tbl>
      <w:tblPr>
        <w:tblW w:w="0" w:type="auto"/>
        <w:jc w:val="left"/>
        <w:tblInd w:w="143" w:type="dxa"/>
        <w:tblLayout w:type="fixed"/>
        <w:tblCellMar>
          <w:top w:w="0" w:type="dxa"/>
          <w:left w:w="0" w:type="dxa"/>
          <w:bottom w:w="0" w:type="dxa"/>
          <w:right w:w="0" w:type="dxa"/>
        </w:tblCellMar>
        <w:tblLook w:val="01E0"/>
      </w:tblPr>
      <w:tblGrid>
        <w:gridCol w:w="8122"/>
      </w:tblGrid>
      <w:tr>
        <w:trPr>
          <w:trHeight w:val="661" w:hRule="exact"/>
        </w:trPr>
        <w:tc>
          <w:tcPr>
            <w:tcW w:w="81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sz w:val="21"/>
                <w:szCs w:val="21"/>
              </w:rPr>
              <w:t>本年补贴收入中，主要有：</w:t>
            </w:r>
          </w:p>
        </w:tc>
      </w:tr>
      <w:tr>
        <w:trPr>
          <w:trHeight w:val="338" w:hRule="exact"/>
        </w:trPr>
        <w:tc>
          <w:tcPr>
            <w:tcW w:w="8122" w:type="dxa"/>
            <w:tcBorders>
              <w:top w:val="nil" w:sz="6" w:space="0" w:color="auto"/>
              <w:left w:val="nil" w:sz="6" w:space="0" w:color="auto"/>
              <w:bottom w:val="nil" w:sz="6" w:space="0" w:color="auto"/>
              <w:right w:val="nil" w:sz="6" w:space="0" w:color="auto"/>
            </w:tcBorders>
          </w:tcPr>
          <w:p>
            <w:pPr>
              <w:pStyle w:val="TableParagraph"/>
              <w:spacing w:line="287" w:lineRule="exact"/>
              <w:ind w:left="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460,524.00</w:t>
            </w:r>
            <w:r>
              <w:rPr>
                <w:rFonts w:ascii="宋体" w:hAnsi="宋体" w:cs="宋体" w:eastAsia="宋体" w:hint="default"/>
                <w:sz w:val="21"/>
                <w:szCs w:val="21"/>
              </w:rPr>
              <w:t>元为本公司确认的智能化真空热处理设备的开发及产业化项目收益；</w:t>
            </w:r>
          </w:p>
        </w:tc>
      </w:tr>
      <w:tr>
        <w:trPr>
          <w:trHeight w:val="332" w:hRule="exact"/>
        </w:trPr>
        <w:tc>
          <w:tcPr>
            <w:tcW w:w="8122" w:type="dxa"/>
            <w:tcBorders>
              <w:top w:val="nil" w:sz="6" w:space="0" w:color="auto"/>
              <w:left w:val="nil" w:sz="6" w:space="0" w:color="auto"/>
              <w:bottom w:val="nil" w:sz="6" w:space="0" w:color="auto"/>
              <w:right w:val="nil" w:sz="6" w:space="0" w:color="auto"/>
            </w:tcBorders>
          </w:tcPr>
          <w:p>
            <w:pPr>
              <w:pStyle w:val="TableParagraph"/>
              <w:spacing w:line="282" w:lineRule="exact"/>
              <w:ind w:left="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500,000.00</w:t>
            </w:r>
            <w:r>
              <w:rPr>
                <w:rFonts w:ascii="宋体" w:hAnsi="宋体" w:cs="宋体" w:eastAsia="宋体" w:hint="default"/>
                <w:sz w:val="21"/>
                <w:szCs w:val="21"/>
              </w:rPr>
              <w:t>元为本公司收到的省级认定奖励；</w:t>
            </w:r>
          </w:p>
        </w:tc>
      </w:tr>
      <w:tr>
        <w:trPr>
          <w:trHeight w:val="331" w:hRule="exact"/>
        </w:trPr>
        <w:tc>
          <w:tcPr>
            <w:tcW w:w="8122" w:type="dxa"/>
            <w:tcBorders>
              <w:top w:val="nil" w:sz="6" w:space="0" w:color="auto"/>
              <w:left w:val="nil" w:sz="6" w:space="0" w:color="auto"/>
              <w:bottom w:val="nil" w:sz="6" w:space="0" w:color="auto"/>
              <w:right w:val="nil" w:sz="6" w:space="0" w:color="auto"/>
            </w:tcBorders>
          </w:tcPr>
          <w:p>
            <w:pPr>
              <w:pStyle w:val="TableParagraph"/>
              <w:spacing w:line="281" w:lineRule="exact"/>
              <w:ind w:left="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150,000.00</w:t>
            </w:r>
            <w:r>
              <w:rPr>
                <w:rFonts w:ascii="宋体" w:hAnsi="宋体" w:cs="宋体" w:eastAsia="宋体" w:hint="default"/>
                <w:sz w:val="21"/>
                <w:szCs w:val="21"/>
              </w:rPr>
              <w:t>元为本公司确认的立式真空高压气淬炉项目专项资金；</w:t>
            </w:r>
          </w:p>
        </w:tc>
      </w:tr>
      <w:tr>
        <w:trPr>
          <w:trHeight w:val="332" w:hRule="exact"/>
        </w:trPr>
        <w:tc>
          <w:tcPr>
            <w:tcW w:w="8122" w:type="dxa"/>
            <w:tcBorders>
              <w:top w:val="nil" w:sz="6" w:space="0" w:color="auto"/>
              <w:left w:val="nil" w:sz="6" w:space="0" w:color="auto"/>
              <w:bottom w:val="nil" w:sz="6" w:space="0" w:color="auto"/>
              <w:right w:val="nil" w:sz="6" w:space="0" w:color="auto"/>
            </w:tcBorders>
          </w:tcPr>
          <w:p>
            <w:pPr>
              <w:pStyle w:val="TableParagraph"/>
              <w:spacing w:line="281" w:lineRule="exact"/>
              <w:ind w:left="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100,000.00</w:t>
            </w:r>
            <w:r>
              <w:rPr>
                <w:rFonts w:ascii="宋体" w:hAnsi="宋体" w:cs="宋体" w:eastAsia="宋体" w:hint="default"/>
                <w:sz w:val="21"/>
                <w:szCs w:val="21"/>
              </w:rPr>
              <w:t>为本公司收到的新产品开发补助；</w:t>
            </w:r>
          </w:p>
        </w:tc>
      </w:tr>
      <w:tr>
        <w:trPr>
          <w:trHeight w:val="332" w:hRule="exact"/>
        </w:trPr>
        <w:tc>
          <w:tcPr>
            <w:tcW w:w="8122" w:type="dxa"/>
            <w:tcBorders>
              <w:top w:val="nil" w:sz="6" w:space="0" w:color="auto"/>
              <w:left w:val="nil" w:sz="6" w:space="0" w:color="auto"/>
              <w:bottom w:val="nil" w:sz="6" w:space="0" w:color="auto"/>
              <w:right w:val="nil" w:sz="6" w:space="0" w:color="auto"/>
            </w:tcBorders>
          </w:tcPr>
          <w:p>
            <w:pPr>
              <w:pStyle w:val="TableParagraph"/>
              <w:spacing w:line="282" w:lineRule="exact"/>
              <w:ind w:left="4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100,0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3"/>
                <w:w w:val="100"/>
                <w:sz w:val="21"/>
                <w:szCs w:val="21"/>
              </w:rPr>
              <w:t>0</w:t>
            </w:r>
            <w:r>
              <w:rPr>
                <w:rFonts w:ascii="宋体" w:hAnsi="宋体" w:cs="宋体" w:eastAsia="宋体" w:hint="default"/>
                <w:w w:val="100"/>
                <w:sz w:val="21"/>
                <w:szCs w:val="21"/>
              </w:rPr>
              <w:t>元</w:t>
            </w:r>
            <w:r>
              <w:rPr>
                <w:rFonts w:ascii="宋体" w:hAnsi="宋体" w:cs="宋体" w:eastAsia="宋体" w:hint="default"/>
                <w:spacing w:val="-3"/>
                <w:w w:val="100"/>
                <w:sz w:val="21"/>
                <w:szCs w:val="21"/>
              </w:rPr>
              <w:t>为</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收到</w:t>
            </w:r>
            <w:r>
              <w:rPr>
                <w:rFonts w:ascii="宋体" w:hAnsi="宋体" w:cs="宋体" w:eastAsia="宋体" w:hint="default"/>
                <w:spacing w:val="-1"/>
                <w:w w:val="100"/>
                <w:sz w:val="21"/>
                <w:szCs w:val="21"/>
              </w:rPr>
              <w:t>的</w:t>
            </w:r>
            <w:r>
              <w:rPr>
                <w:rFonts w:ascii="Times New Roman" w:hAnsi="Times New Roman" w:cs="Times New Roman" w:eastAsia="Times New Roman" w:hint="default"/>
                <w:w w:val="44"/>
                <w:sz w:val="21"/>
                <w:szCs w:val="21"/>
              </w:rPr>
              <w:t>―</w:t>
            </w:r>
            <w:r>
              <w:rPr>
                <w:rFonts w:ascii="宋体" w:hAnsi="宋体" w:cs="宋体" w:eastAsia="宋体" w:hint="default"/>
                <w:spacing w:val="-3"/>
                <w:w w:val="100"/>
                <w:sz w:val="21"/>
                <w:szCs w:val="21"/>
              </w:rPr>
              <w:t>双</w:t>
            </w:r>
            <w:r>
              <w:rPr>
                <w:rFonts w:ascii="宋体" w:hAnsi="宋体" w:cs="宋体" w:eastAsia="宋体" w:hint="default"/>
                <w:w w:val="100"/>
                <w:sz w:val="21"/>
                <w:szCs w:val="21"/>
              </w:rPr>
              <w:t>创</w:t>
            </w:r>
            <w:r>
              <w:rPr>
                <w:rFonts w:ascii="Times New Roman" w:hAnsi="Times New Roman" w:cs="Times New Roman" w:eastAsia="Times New Roman" w:hint="default"/>
                <w:spacing w:val="-1"/>
                <w:w w:val="159"/>
                <w:sz w:val="21"/>
                <w:szCs w:val="21"/>
              </w:rPr>
              <w:t>‖</w:t>
            </w:r>
            <w:r>
              <w:rPr>
                <w:rFonts w:ascii="宋体" w:hAnsi="宋体" w:cs="宋体" w:eastAsia="宋体" w:hint="default"/>
                <w:spacing w:val="-3"/>
                <w:w w:val="100"/>
                <w:sz w:val="21"/>
                <w:szCs w:val="21"/>
              </w:rPr>
              <w:t>资</w:t>
            </w:r>
            <w:r>
              <w:rPr>
                <w:rFonts w:ascii="宋体" w:hAnsi="宋体" w:cs="宋体" w:eastAsia="宋体" w:hint="default"/>
                <w:w w:val="100"/>
                <w:sz w:val="21"/>
                <w:szCs w:val="21"/>
              </w:rPr>
              <w:t>助；</w:t>
            </w:r>
          </w:p>
        </w:tc>
      </w:tr>
      <w:tr>
        <w:trPr>
          <w:trHeight w:val="331" w:hRule="exact"/>
        </w:trPr>
        <w:tc>
          <w:tcPr>
            <w:tcW w:w="8122" w:type="dxa"/>
            <w:tcBorders>
              <w:top w:val="nil" w:sz="6" w:space="0" w:color="auto"/>
              <w:left w:val="nil" w:sz="6" w:space="0" w:color="auto"/>
              <w:bottom w:val="nil" w:sz="6" w:space="0" w:color="auto"/>
              <w:right w:val="nil" w:sz="6" w:space="0" w:color="auto"/>
            </w:tcBorders>
          </w:tcPr>
          <w:p>
            <w:pPr>
              <w:pStyle w:val="TableParagraph"/>
              <w:spacing w:line="281" w:lineRule="exact"/>
              <w:ind w:left="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100,000.00</w:t>
            </w:r>
            <w:r>
              <w:rPr>
                <w:rFonts w:ascii="宋体" w:hAnsi="宋体" w:cs="宋体" w:eastAsia="宋体" w:hint="default"/>
                <w:sz w:val="21"/>
                <w:szCs w:val="21"/>
              </w:rPr>
              <w:t>元为本公司收到的省企业博士集聚计划资助资金；</w:t>
            </w:r>
          </w:p>
        </w:tc>
      </w:tr>
      <w:tr>
        <w:trPr>
          <w:trHeight w:val="332" w:hRule="exact"/>
        </w:trPr>
        <w:tc>
          <w:tcPr>
            <w:tcW w:w="8122" w:type="dxa"/>
            <w:tcBorders>
              <w:top w:val="nil" w:sz="6" w:space="0" w:color="auto"/>
              <w:left w:val="nil" w:sz="6" w:space="0" w:color="auto"/>
              <w:bottom w:val="nil" w:sz="6" w:space="0" w:color="auto"/>
              <w:right w:val="nil" w:sz="6" w:space="0" w:color="auto"/>
            </w:tcBorders>
          </w:tcPr>
          <w:p>
            <w:pPr>
              <w:pStyle w:val="TableParagraph"/>
              <w:spacing w:line="281" w:lineRule="exact"/>
              <w:ind w:left="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50,000.00</w:t>
            </w:r>
            <w:r>
              <w:rPr>
                <w:rFonts w:ascii="宋体" w:hAnsi="宋体" w:cs="宋体" w:eastAsia="宋体" w:hint="default"/>
                <w:sz w:val="21"/>
                <w:szCs w:val="21"/>
              </w:rPr>
              <w:t>元为本公司收到的江苏省科技进步二等奖奖励；</w:t>
            </w:r>
          </w:p>
        </w:tc>
      </w:tr>
      <w:tr>
        <w:trPr>
          <w:trHeight w:val="332" w:hRule="exact"/>
        </w:trPr>
        <w:tc>
          <w:tcPr>
            <w:tcW w:w="8122" w:type="dxa"/>
            <w:tcBorders>
              <w:top w:val="nil" w:sz="6" w:space="0" w:color="auto"/>
              <w:left w:val="nil" w:sz="6" w:space="0" w:color="auto"/>
              <w:bottom w:val="nil" w:sz="6" w:space="0" w:color="auto"/>
              <w:right w:val="nil" w:sz="6" w:space="0" w:color="auto"/>
            </w:tcBorders>
          </w:tcPr>
          <w:p>
            <w:pPr>
              <w:pStyle w:val="TableParagraph"/>
              <w:spacing w:line="282" w:lineRule="exact"/>
              <w:ind w:left="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20,000.00</w:t>
            </w:r>
            <w:r>
              <w:rPr>
                <w:rFonts w:ascii="宋体" w:hAnsi="宋体" w:cs="宋体" w:eastAsia="宋体" w:hint="default"/>
                <w:sz w:val="21"/>
                <w:szCs w:val="21"/>
              </w:rPr>
              <w:t>元为本公司收到的大丰科技局</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年大丰市科技项目经费；</w:t>
            </w:r>
          </w:p>
        </w:tc>
      </w:tr>
      <w:tr>
        <w:trPr>
          <w:trHeight w:val="331" w:hRule="exact"/>
        </w:trPr>
        <w:tc>
          <w:tcPr>
            <w:tcW w:w="8122" w:type="dxa"/>
            <w:tcBorders>
              <w:top w:val="nil" w:sz="6" w:space="0" w:color="auto"/>
              <w:left w:val="nil" w:sz="6" w:space="0" w:color="auto"/>
              <w:bottom w:val="nil" w:sz="6" w:space="0" w:color="auto"/>
              <w:right w:val="nil" w:sz="6" w:space="0" w:color="auto"/>
            </w:tcBorders>
          </w:tcPr>
          <w:p>
            <w:pPr>
              <w:pStyle w:val="TableParagraph"/>
              <w:spacing w:line="281" w:lineRule="exact"/>
              <w:ind w:left="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11,000.00</w:t>
            </w:r>
            <w:r>
              <w:rPr>
                <w:rFonts w:ascii="宋体" w:hAnsi="宋体" w:cs="宋体" w:eastAsia="宋体" w:hint="default"/>
                <w:sz w:val="21"/>
                <w:szCs w:val="21"/>
              </w:rPr>
              <w:t>元为本公司收到的大丰市科技局省级专利专项资助金；</w:t>
            </w:r>
          </w:p>
        </w:tc>
      </w:tr>
      <w:tr>
        <w:trPr>
          <w:trHeight w:val="332" w:hRule="exact"/>
        </w:trPr>
        <w:tc>
          <w:tcPr>
            <w:tcW w:w="8122" w:type="dxa"/>
            <w:tcBorders>
              <w:top w:val="nil" w:sz="6" w:space="0" w:color="auto"/>
              <w:left w:val="nil" w:sz="6" w:space="0" w:color="auto"/>
              <w:bottom w:val="nil" w:sz="6" w:space="0" w:color="auto"/>
              <w:right w:val="nil" w:sz="6" w:space="0" w:color="auto"/>
            </w:tcBorders>
          </w:tcPr>
          <w:p>
            <w:pPr>
              <w:pStyle w:val="TableParagraph"/>
              <w:spacing w:line="281" w:lineRule="exact"/>
              <w:ind w:left="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3,295.00</w:t>
            </w:r>
            <w:r>
              <w:rPr>
                <w:rFonts w:ascii="宋体" w:hAnsi="宋体" w:cs="宋体" w:eastAsia="宋体" w:hint="default"/>
                <w:sz w:val="21"/>
                <w:szCs w:val="21"/>
              </w:rPr>
              <w:t>元为本公司收到的大丰市科技局实用新型专利申请资助金；</w:t>
            </w:r>
          </w:p>
        </w:tc>
      </w:tr>
      <w:tr>
        <w:trPr>
          <w:trHeight w:val="333" w:hRule="exact"/>
        </w:trPr>
        <w:tc>
          <w:tcPr>
            <w:tcW w:w="8122" w:type="dxa"/>
            <w:tcBorders>
              <w:top w:val="nil" w:sz="6" w:space="0" w:color="auto"/>
              <w:left w:val="nil" w:sz="6" w:space="0" w:color="auto"/>
              <w:bottom w:val="nil" w:sz="6" w:space="0" w:color="auto"/>
              <w:right w:val="nil" w:sz="6" w:space="0" w:color="auto"/>
            </w:tcBorders>
          </w:tcPr>
          <w:p>
            <w:pPr>
              <w:pStyle w:val="TableParagraph"/>
              <w:spacing w:line="282" w:lineRule="exact"/>
              <w:ind w:left="40" w:right="0"/>
              <w:jc w:val="left"/>
              <w:rPr>
                <w:rFonts w:ascii="宋体" w:hAnsi="宋体" w:cs="宋体" w:eastAsia="宋体" w:hint="default"/>
                <w:sz w:val="18"/>
                <w:szCs w:val="18"/>
              </w:rPr>
            </w:pPr>
            <w:r>
              <w:rPr>
                <w:rFonts w:ascii="Times New Roman" w:hAnsi="Times New Roman" w:cs="Times New Roman" w:eastAsia="Times New Roman" w:hint="default"/>
                <w:sz w:val="21"/>
                <w:szCs w:val="21"/>
              </w:rPr>
              <w:t>824,591.42</w:t>
            </w:r>
            <w:r>
              <w:rPr>
                <w:rFonts w:ascii="宋体" w:hAnsi="宋体" w:cs="宋体" w:eastAsia="宋体" w:hint="default"/>
                <w:sz w:val="21"/>
                <w:szCs w:val="21"/>
              </w:rPr>
              <w:t>元为子公司重庆丰东收到的福利企业增值税返还</w:t>
            </w:r>
            <w:r>
              <w:rPr>
                <w:rFonts w:ascii="宋体" w:hAnsi="宋体" w:cs="宋体" w:eastAsia="宋体" w:hint="default"/>
                <w:sz w:val="18"/>
                <w:szCs w:val="18"/>
              </w:rPr>
              <w:t>；</w:t>
            </w:r>
          </w:p>
        </w:tc>
      </w:tr>
      <w:tr>
        <w:trPr>
          <w:trHeight w:val="332" w:hRule="exact"/>
        </w:trPr>
        <w:tc>
          <w:tcPr>
            <w:tcW w:w="8122" w:type="dxa"/>
            <w:tcBorders>
              <w:top w:val="nil" w:sz="6" w:space="0" w:color="auto"/>
              <w:left w:val="nil" w:sz="6" w:space="0" w:color="auto"/>
              <w:bottom w:val="nil" w:sz="6" w:space="0" w:color="auto"/>
              <w:right w:val="nil" w:sz="6" w:space="0" w:color="auto"/>
            </w:tcBorders>
          </w:tcPr>
          <w:p>
            <w:pPr>
              <w:pStyle w:val="TableParagraph"/>
              <w:spacing w:line="281" w:lineRule="exact"/>
              <w:ind w:left="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155,900.00</w:t>
            </w:r>
            <w:r>
              <w:rPr>
                <w:rFonts w:ascii="宋体" w:hAnsi="宋体" w:cs="宋体" w:eastAsia="宋体" w:hint="default"/>
                <w:sz w:val="21"/>
                <w:szCs w:val="21"/>
              </w:rPr>
              <w:t>为子公司上海昂先收到的财政扶持资金；</w:t>
            </w:r>
          </w:p>
        </w:tc>
      </w:tr>
      <w:tr>
        <w:trPr>
          <w:trHeight w:val="332" w:hRule="exact"/>
        </w:trPr>
        <w:tc>
          <w:tcPr>
            <w:tcW w:w="8122" w:type="dxa"/>
            <w:tcBorders>
              <w:top w:val="nil" w:sz="6" w:space="0" w:color="auto"/>
              <w:left w:val="nil" w:sz="6" w:space="0" w:color="auto"/>
              <w:bottom w:val="nil" w:sz="6" w:space="0" w:color="auto"/>
              <w:right w:val="nil" w:sz="6" w:space="0" w:color="auto"/>
            </w:tcBorders>
          </w:tcPr>
          <w:p>
            <w:pPr>
              <w:pStyle w:val="TableParagraph"/>
              <w:spacing w:line="281" w:lineRule="exact"/>
              <w:ind w:left="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200,000.00</w:t>
            </w:r>
            <w:r>
              <w:rPr>
                <w:rFonts w:ascii="宋体" w:hAnsi="宋体" w:cs="宋体" w:eastAsia="宋体" w:hint="default"/>
                <w:sz w:val="21"/>
                <w:szCs w:val="21"/>
              </w:rPr>
              <w:t>元为子公司青岛丰东收到的高新技术企业认定奖励；</w:t>
            </w:r>
          </w:p>
        </w:tc>
      </w:tr>
      <w:tr>
        <w:trPr>
          <w:trHeight w:val="332" w:hRule="exact"/>
        </w:trPr>
        <w:tc>
          <w:tcPr>
            <w:tcW w:w="8122" w:type="dxa"/>
            <w:tcBorders>
              <w:top w:val="nil" w:sz="6" w:space="0" w:color="auto"/>
              <w:left w:val="nil" w:sz="6" w:space="0" w:color="auto"/>
              <w:bottom w:val="nil" w:sz="6" w:space="0" w:color="auto"/>
              <w:right w:val="nil" w:sz="6" w:space="0" w:color="auto"/>
            </w:tcBorders>
          </w:tcPr>
          <w:p>
            <w:pPr>
              <w:pStyle w:val="TableParagraph"/>
              <w:spacing w:line="282" w:lineRule="exact"/>
              <w:ind w:left="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30,000.00</w:t>
            </w:r>
            <w:r>
              <w:rPr>
                <w:rFonts w:ascii="宋体" w:hAnsi="宋体" w:cs="宋体" w:eastAsia="宋体" w:hint="default"/>
                <w:sz w:val="21"/>
                <w:szCs w:val="21"/>
              </w:rPr>
              <w:t>元为子公司天津丰东收到的科技专项资金；</w:t>
            </w:r>
          </w:p>
        </w:tc>
      </w:tr>
      <w:tr>
        <w:trPr>
          <w:trHeight w:val="277" w:hRule="exact"/>
        </w:trPr>
        <w:tc>
          <w:tcPr>
            <w:tcW w:w="8122" w:type="dxa"/>
            <w:tcBorders>
              <w:top w:val="nil" w:sz="6" w:space="0" w:color="auto"/>
              <w:left w:val="nil" w:sz="6" w:space="0" w:color="auto"/>
              <w:bottom w:val="nil" w:sz="6" w:space="0" w:color="auto"/>
              <w:right w:val="nil" w:sz="6" w:space="0" w:color="auto"/>
            </w:tcBorders>
          </w:tcPr>
          <w:p>
            <w:pPr>
              <w:pStyle w:val="TableParagraph"/>
              <w:spacing w:line="281" w:lineRule="exact"/>
              <w:ind w:left="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200,600.00</w:t>
            </w:r>
            <w:r>
              <w:rPr>
                <w:rFonts w:ascii="宋体" w:hAnsi="宋体" w:cs="宋体" w:eastAsia="宋体" w:hint="default"/>
                <w:sz w:val="21"/>
                <w:szCs w:val="21"/>
              </w:rPr>
              <w:t>元为子公司特种炉业收到的</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年度工业企业转型升级技改专项资金补助。</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4"/>
        <w:spacing w:line="240" w:lineRule="auto" w:before="36"/>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8,793.54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979,365.56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8,793.54</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8,793.54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979,365.56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8,793.54</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021" w:type="dxa"/>
            <w:tcBorders>
              <w:top w:val="single" w:sz="4" w:space="0" w:color="000000"/>
              <w:left w:val="single" w:sz="9" w:space="0" w:color="D2D2D2"/>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地方基金</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93,986.51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84,403.94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93,986.51</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非公益性捐赠支出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604,000.00</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公益性捐赠支出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47,677.16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42,255.73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47,677.16</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210,768.21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9,614.78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210,768.21</w:t>
            </w:r>
          </w:p>
        </w:tc>
      </w:tr>
      <w:tr>
        <w:trPr>
          <w:trHeight w:val="404"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1,065,225.42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1,492,640.01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1,065,225.42</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营业外支出说明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4633"/>
        <w:gridCol w:w="2535"/>
        <w:gridCol w:w="2391"/>
      </w:tblGrid>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57" w:right="0"/>
              <w:jc w:val="left"/>
              <w:rPr>
                <w:rFonts w:ascii="Times New Roman" w:hAnsi="Times New Roman" w:cs="Times New Roman" w:eastAsia="Times New Roman" w:hint="default"/>
                <w:sz w:val="18"/>
                <w:szCs w:val="18"/>
              </w:rPr>
            </w:pPr>
            <w:r>
              <w:rPr>
                <w:rFonts w:ascii="Times New Roman"/>
                <w:sz w:val="18"/>
              </w:rPr>
              <w:t>10,853,670.80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7" w:right="0"/>
              <w:jc w:val="left"/>
              <w:rPr>
                <w:rFonts w:ascii="Times New Roman" w:hAnsi="Times New Roman" w:cs="Times New Roman" w:eastAsia="Times New Roman" w:hint="default"/>
                <w:sz w:val="18"/>
                <w:szCs w:val="18"/>
              </w:rPr>
            </w:pPr>
            <w:r>
              <w:rPr>
                <w:rFonts w:ascii="Times New Roman"/>
                <w:sz w:val="18"/>
              </w:rPr>
              <w:t>11,938,535.06</w:t>
            </w:r>
          </w:p>
        </w:tc>
      </w:tr>
    </w:tbl>
    <w:p>
      <w:pPr>
        <w:spacing w:after="0" w:line="240" w:lineRule="auto"/>
        <w:jc w:val="left"/>
        <w:rPr>
          <w:rFonts w:ascii="Times New Roman" w:hAnsi="Times New Roman" w:cs="Times New Roman" w:eastAsia="Times New Roman" w:hint="default"/>
          <w:sz w:val="18"/>
          <w:szCs w:val="18"/>
        </w:rPr>
        <w:sectPr>
          <w:pgSz w:w="11910" w:h="16840"/>
          <w:pgMar w:header="706" w:footer="1340" w:top="1060" w:bottom="1540" w:left="960" w:right="0"/>
        </w:sectPr>
      </w:pPr>
    </w:p>
    <w:p>
      <w:pPr>
        <w:spacing w:line="240" w:lineRule="auto" w:before="11"/>
        <w:rPr>
          <w:rFonts w:ascii="宋体" w:hAnsi="宋体" w:cs="宋体" w:eastAsia="宋体" w:hint="default"/>
          <w:sz w:val="2"/>
          <w:szCs w:val="2"/>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67" w:type="dxa"/>
        <w:tblLayout w:type="fixed"/>
        <w:tblCellMar>
          <w:top w:w="0" w:type="dxa"/>
          <w:left w:w="0" w:type="dxa"/>
          <w:bottom w:w="0" w:type="dxa"/>
          <w:right w:w="0" w:type="dxa"/>
        </w:tblCellMar>
        <w:tblLook w:val="01E0"/>
      </w:tblPr>
      <w:tblGrid>
        <w:gridCol w:w="4657"/>
        <w:gridCol w:w="2523"/>
        <w:gridCol w:w="2391"/>
      </w:tblGrid>
      <w:tr>
        <w:trPr>
          <w:trHeight w:val="401" w:hRule="exact"/>
        </w:trPr>
        <w:tc>
          <w:tcPr>
            <w:tcW w:w="4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-855,618.22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-956,285.99</w:t>
            </w:r>
          </w:p>
        </w:tc>
      </w:tr>
      <w:tr>
        <w:trPr>
          <w:trHeight w:val="40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所得税汇算清缴差异</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48,246.27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151,338.41</w:t>
            </w:r>
          </w:p>
        </w:tc>
      </w:tr>
      <w:tr>
        <w:trPr>
          <w:trHeight w:val="403" w:hRule="exact"/>
        </w:trPr>
        <w:tc>
          <w:tcPr>
            <w:tcW w:w="4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10,046,298.85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11,133,587.48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184" w:right="0"/>
        <w:jc w:val="left"/>
      </w:pPr>
      <w:r>
        <w:rPr>
          <w:rFonts w:ascii="Times New Roman" w:hAnsi="Times New Roman" w:cs="Times New Roman" w:eastAsia="Times New Roman" w:hint="default"/>
        </w:rPr>
        <w:t>2012</w:t>
      </w:r>
      <w:r>
        <w:rPr/>
        <w:t>年度每股收益</w:t>
      </w:r>
    </w:p>
    <w:p>
      <w:pPr>
        <w:spacing w:line="240" w:lineRule="auto" w:before="5"/>
        <w:rPr>
          <w:rFonts w:ascii="宋体" w:hAnsi="宋体" w:cs="宋体" w:eastAsia="宋体" w:hint="default"/>
          <w:sz w:val="26"/>
          <w:szCs w:val="26"/>
        </w:rPr>
      </w:pPr>
    </w:p>
    <w:p>
      <w:pPr>
        <w:pStyle w:val="BodyText"/>
        <w:tabs>
          <w:tab w:pos="5115" w:val="left" w:leader="none"/>
          <w:tab w:pos="5394" w:val="left" w:leader="none"/>
          <w:tab w:pos="6896" w:val="left" w:leader="none"/>
          <w:tab w:pos="7314" w:val="left" w:leader="none"/>
        </w:tabs>
        <w:spacing w:line="273" w:lineRule="auto"/>
        <w:ind w:right="2787"/>
        <w:jc w:val="left"/>
        <w:rPr>
          <w:rFonts w:ascii="Times New Roman" w:hAnsi="Times New Roman" w:cs="Times New Roman" w:eastAsia="Times New Roman" w:hint="default"/>
        </w:rPr>
      </w:pPr>
      <w:r>
        <w:rPr>
          <w:spacing w:val="-1"/>
        </w:rPr>
        <w:t>报告期利润</w:t>
        <w:tab/>
      </w:r>
      <w:r>
        <w:rPr>
          <w:spacing w:val="-2"/>
        </w:rPr>
        <w:t>基本每股收益</w:t>
        <w:tab/>
        <w:t>稀释每股收益</w:t>
      </w:r>
      <w:r>
        <w:rPr>
          <w:spacing w:val="-95"/>
        </w:rPr>
        <w:t> </w:t>
      </w:r>
      <w:r>
        <w:rPr>
          <w:spacing w:val="-95"/>
        </w:rPr>
      </w:r>
      <w:r>
        <w:rPr>
          <w:spacing w:val="-2"/>
        </w:rPr>
        <w:t>归属于公司普通股股东的净利润</w:t>
        <w:tab/>
        <w:tab/>
      </w:r>
      <w:r>
        <w:rPr>
          <w:rFonts w:ascii="Times New Roman" w:hAnsi="Times New Roman" w:cs="Times New Roman" w:eastAsia="Times New Roman" w:hint="default"/>
        </w:rPr>
        <w:t>0.1869</w:t>
        <w:tab/>
        <w:tab/>
        <w:t>0.1869</w:t>
      </w:r>
    </w:p>
    <w:p>
      <w:pPr>
        <w:pStyle w:val="BodyText"/>
        <w:tabs>
          <w:tab w:pos="5427" w:val="left" w:leader="none"/>
          <w:tab w:pos="7314" w:val="left" w:leader="none"/>
        </w:tabs>
        <w:spacing w:line="516" w:lineRule="auto"/>
        <w:ind w:right="3049"/>
        <w:jc w:val="left"/>
      </w:pPr>
      <w:r>
        <w:rPr>
          <w:spacing w:val="-2"/>
        </w:rPr>
        <w:t>扣除非经常性损益后归属于公司普通股股东的净利润</w:t>
        <w:tab/>
      </w:r>
      <w:r>
        <w:rPr>
          <w:rFonts w:ascii="Times New Roman" w:hAnsi="Times New Roman" w:cs="Times New Roman" w:eastAsia="Times New Roman" w:hint="default"/>
        </w:rPr>
        <w:t>0.1812</w:t>
        <w:tab/>
        <w:t>0.1812</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rFonts w:ascii="Times New Roman" w:hAnsi="Times New Roman" w:cs="Times New Roman" w:eastAsia="Times New Roman" w:hint="default"/>
        </w:rPr>
        <w:t>2011</w:t>
      </w:r>
      <w:r>
        <w:rPr/>
        <w:t>年度每股收益</w:t>
      </w:r>
    </w:p>
    <w:p>
      <w:pPr>
        <w:pStyle w:val="BodyText"/>
        <w:tabs>
          <w:tab w:pos="5156" w:val="left" w:leader="none"/>
          <w:tab w:pos="5466" w:val="left" w:leader="none"/>
          <w:tab w:pos="6894" w:val="left" w:leader="none"/>
          <w:tab w:pos="7273" w:val="left" w:leader="none"/>
        </w:tabs>
        <w:spacing w:line="273" w:lineRule="auto" w:before="66"/>
        <w:ind w:right="2787"/>
        <w:jc w:val="left"/>
        <w:rPr>
          <w:rFonts w:ascii="Times New Roman" w:hAnsi="Times New Roman" w:cs="Times New Roman" w:eastAsia="Times New Roman" w:hint="default"/>
        </w:rPr>
      </w:pPr>
      <w:r>
        <w:rPr>
          <w:spacing w:val="-1"/>
        </w:rPr>
        <w:t>报告期利润</w:t>
        <w:tab/>
      </w:r>
      <w:r>
        <w:rPr>
          <w:spacing w:val="-2"/>
        </w:rPr>
        <w:t>基本每股收益</w:t>
        <w:tab/>
      </w:r>
      <w:r>
        <w:rPr>
          <w:spacing w:val="-1"/>
        </w:rPr>
        <w:t>稀释每股收益</w:t>
      </w:r>
      <w:r>
        <w:rPr>
          <w:spacing w:val="-98"/>
        </w:rPr>
        <w:t> </w:t>
      </w:r>
      <w:r>
        <w:rPr>
          <w:spacing w:val="-98"/>
        </w:rPr>
      </w:r>
      <w:r>
        <w:rPr>
          <w:spacing w:val="-2"/>
        </w:rPr>
        <w:t>归属于公司普通股股东的净利润</w:t>
        <w:tab/>
        <w:tab/>
      </w:r>
      <w:r>
        <w:rPr>
          <w:rFonts w:ascii="Times New Roman" w:hAnsi="Times New Roman" w:cs="Times New Roman" w:eastAsia="Times New Roman" w:hint="default"/>
        </w:rPr>
        <w:t>0.1812</w:t>
        <w:tab/>
        <w:tab/>
        <w:t>0.1812</w:t>
      </w:r>
    </w:p>
    <w:p>
      <w:pPr>
        <w:pStyle w:val="BodyText"/>
        <w:tabs>
          <w:tab w:pos="5511" w:val="left" w:leader="none"/>
          <w:tab w:pos="7254" w:val="left" w:leader="none"/>
        </w:tabs>
        <w:spacing w:line="279" w:lineRule="exact"/>
        <w:ind w:right="0"/>
        <w:jc w:val="left"/>
        <w:rPr>
          <w:rFonts w:ascii="Times New Roman" w:hAnsi="Times New Roman" w:cs="Times New Roman" w:eastAsia="Times New Roman" w:hint="default"/>
        </w:rPr>
      </w:pPr>
      <w:r>
        <w:rPr>
          <w:spacing w:val="-2"/>
        </w:rPr>
        <w:t>扣除非经常性损益后归属于公司普通股股东的净利润</w:t>
        <w:tab/>
      </w:r>
      <w:r>
        <w:rPr>
          <w:rFonts w:ascii="Times New Roman" w:hAnsi="Times New Roman" w:cs="Times New Roman" w:eastAsia="Times New Roman" w:hint="default"/>
        </w:rPr>
        <w:t>0.1778</w:t>
        <w:tab/>
      </w:r>
      <w:r>
        <w:rPr>
          <w:rFonts w:ascii="Times New Roman" w:hAnsi="Times New Roman" w:cs="Times New Roman" w:eastAsia="Times New Roman" w:hint="default"/>
          <w:spacing w:val="-1"/>
        </w:rPr>
        <w:t>0.1778</w:t>
      </w:r>
    </w:p>
    <w:p>
      <w:pPr>
        <w:spacing w:line="240" w:lineRule="auto" w:before="11"/>
        <w:rPr>
          <w:rFonts w:ascii="Times New Roman" w:hAnsi="Times New Roman" w:cs="Times New Roman" w:eastAsia="Times New Roman" w:hint="default"/>
          <w:sz w:val="28"/>
          <w:szCs w:val="28"/>
        </w:rPr>
      </w:pPr>
    </w:p>
    <w:p>
      <w:pPr>
        <w:pStyle w:val="BodyText"/>
        <w:spacing w:line="240" w:lineRule="auto"/>
        <w:ind w:right="0"/>
        <w:jc w:val="left"/>
      </w:pPr>
      <w:r>
        <w:rPr/>
        <w:t>上述数据采用以下计算公式计算而得：</w:t>
      </w:r>
    </w:p>
    <w:p>
      <w:pPr>
        <w:pStyle w:val="BodyText"/>
        <w:tabs>
          <w:tab w:pos="2426" w:val="left" w:leader="none"/>
        </w:tabs>
        <w:spacing w:line="256" w:lineRule="auto" w:before="37"/>
        <w:ind w:right="1022"/>
        <w:jc w:val="left"/>
      </w:pPr>
      <w:r>
        <w:rPr>
          <w:spacing w:val="-1"/>
        </w:rPr>
        <w:t>基本每股收益</w:t>
      </w:r>
      <w:r>
        <w:rPr>
          <w:rFonts w:ascii="Times New Roman" w:hAnsi="Times New Roman" w:cs="Times New Roman" w:eastAsia="Times New Roman" w:hint="default"/>
          <w:spacing w:val="-1"/>
        </w:rPr>
        <w:t>=P0÷S</w:t>
        <w:tab/>
      </w:r>
      <w:r>
        <w:rPr>
          <w:rFonts w:ascii="Times New Roman" w:hAnsi="Times New Roman" w:cs="Times New Roman" w:eastAsia="Times New Roman" w:hint="default"/>
          <w:spacing w:val="-2"/>
        </w:rPr>
        <w:t>S=</w:t>
      </w:r>
      <w:r>
        <w:rPr>
          <w:rFonts w:ascii="Times New Roman" w:hAnsi="Times New Roman" w:cs="Times New Roman" w:eastAsia="Times New Roman" w:hint="default"/>
        </w:rPr>
        <w:t> </w:t>
      </w:r>
      <w:r>
        <w:rPr>
          <w:rFonts w:ascii="Times New Roman" w:hAnsi="Times New Roman" w:cs="Times New Roman" w:eastAsia="Times New Roman" w:hint="default"/>
          <w:spacing w:val="-1"/>
        </w:rPr>
        <w:t>S0</w:t>
      </w:r>
      <w:r>
        <w:rPr>
          <w:spacing w:val="-1"/>
        </w:rPr>
        <w:t>＋</w:t>
      </w:r>
      <w:r>
        <w:rPr>
          <w:rFonts w:ascii="Times New Roman" w:hAnsi="Times New Roman" w:cs="Times New Roman" w:eastAsia="Times New Roman" w:hint="default"/>
          <w:spacing w:val="-1"/>
        </w:rPr>
        <w:t>S1</w:t>
      </w:r>
      <w:r>
        <w:rPr>
          <w:spacing w:val="-1"/>
        </w:rPr>
        <w:t>＋</w:t>
      </w:r>
      <w:r>
        <w:rPr>
          <w:rFonts w:ascii="Times New Roman" w:hAnsi="Times New Roman" w:cs="Times New Roman" w:eastAsia="Times New Roman" w:hint="default"/>
          <w:spacing w:val="-1"/>
        </w:rPr>
        <w:t>Si×Mi÷M0</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
        </w:rPr>
        <w:t>Sj×Mj÷M0-Sk</w:t>
      </w:r>
      <w:r>
        <w:rPr>
          <w:rFonts w:ascii="Times New Roman" w:hAnsi="Times New Roman" w:cs="Times New Roman" w:eastAsia="Times New Roman" w:hint="default"/>
          <w:w w:val="100"/>
        </w:rPr>
        <w:t> </w:t>
      </w:r>
      <w:r>
        <w:rPr/>
        <w:t>其中：</w:t>
      </w:r>
      <w:r>
        <w:rPr>
          <w:rFonts w:ascii="Times New Roman" w:hAnsi="Times New Roman" w:cs="Times New Roman" w:eastAsia="Times New Roman" w:hint="default"/>
        </w:rPr>
        <w:t>P0</w:t>
      </w:r>
      <w:r>
        <w:rPr/>
        <w:t>为归属于公司普通股股东的净利润或扣除非经常性损益后归属于普通股股东的净利润；</w:t>
      </w:r>
      <w:r>
        <w:rPr>
          <w:rFonts w:ascii="Times New Roman" w:hAnsi="Times New Roman" w:cs="Times New Roman" w:eastAsia="Times New Roman" w:hint="default"/>
        </w:rPr>
        <w:t>S</w:t>
      </w:r>
      <w:r>
        <w:rPr/>
        <w:t>为发行</w:t>
      </w:r>
      <w:r>
        <w:rPr>
          <w:spacing w:val="-3"/>
          <w:w w:val="100"/>
        </w:rPr>
        <w:t> </w:t>
      </w:r>
      <w:r>
        <w:rPr>
          <w:spacing w:val="-3"/>
        </w:rPr>
        <w:t>在外的普通股加权平均数；</w:t>
      </w:r>
      <w:r>
        <w:rPr>
          <w:rFonts w:ascii="Times New Roman" w:hAnsi="Times New Roman" w:cs="Times New Roman" w:eastAsia="Times New Roman" w:hint="default"/>
          <w:spacing w:val="-3"/>
        </w:rPr>
        <w:t>S0</w:t>
      </w:r>
      <w:r>
        <w:rPr>
          <w:spacing w:val="-3"/>
        </w:rPr>
        <w:t>为期初股份总数；</w:t>
      </w:r>
      <w:r>
        <w:rPr>
          <w:rFonts w:ascii="Times New Roman" w:hAnsi="Times New Roman" w:cs="Times New Roman" w:eastAsia="Times New Roman" w:hint="default"/>
          <w:spacing w:val="-3"/>
        </w:rPr>
        <w:t>S1</w:t>
      </w:r>
      <w:r>
        <w:rPr>
          <w:spacing w:val="-3"/>
        </w:rPr>
        <w:t>为报告期因公积金转增股本或股票股利分配等增加股份</w:t>
      </w:r>
      <w:r>
        <w:rPr>
          <w:spacing w:val="-16"/>
        </w:rPr>
        <w:t> </w:t>
      </w:r>
      <w:r>
        <w:rPr>
          <w:spacing w:val="-16"/>
        </w:rPr>
      </w:r>
      <w:r>
        <w:rPr>
          <w:spacing w:val="-3"/>
        </w:rPr>
        <w:t>数；</w:t>
      </w:r>
      <w:r>
        <w:rPr>
          <w:rFonts w:ascii="Times New Roman" w:hAnsi="Times New Roman" w:cs="Times New Roman" w:eastAsia="Times New Roman" w:hint="default"/>
          <w:spacing w:val="-3"/>
        </w:rPr>
        <w:t>Si</w:t>
      </w:r>
      <w:r>
        <w:rPr>
          <w:spacing w:val="-3"/>
        </w:rPr>
        <w:t>为报告期因发行新股或债转股等增加股份数；</w:t>
      </w:r>
      <w:r>
        <w:rPr>
          <w:rFonts w:ascii="Times New Roman" w:hAnsi="Times New Roman" w:cs="Times New Roman" w:eastAsia="Times New Roman" w:hint="default"/>
          <w:spacing w:val="-3"/>
        </w:rPr>
        <w:t>Sj</w:t>
      </w:r>
      <w:r>
        <w:rPr>
          <w:spacing w:val="-3"/>
        </w:rPr>
        <w:t>为报告期因回购等减少股份数；</w:t>
      </w:r>
      <w:r>
        <w:rPr>
          <w:rFonts w:ascii="Times New Roman" w:hAnsi="Times New Roman" w:cs="Times New Roman" w:eastAsia="Times New Roman" w:hint="default"/>
          <w:spacing w:val="-3"/>
        </w:rPr>
        <w:t>Sk</w:t>
      </w:r>
      <w:r>
        <w:rPr>
          <w:spacing w:val="-3"/>
        </w:rPr>
        <w:t>为报告期缩股数；</w:t>
      </w:r>
      <w:r>
        <w:rPr>
          <w:spacing w:val="-36"/>
        </w:rPr>
        <w:t> </w:t>
      </w:r>
      <w:r>
        <w:rPr>
          <w:spacing w:val="-36"/>
        </w:rPr>
      </w:r>
      <w:r>
        <w:rPr>
          <w:rFonts w:ascii="Times New Roman" w:hAnsi="Times New Roman" w:cs="Times New Roman" w:eastAsia="Times New Roman" w:hint="default"/>
        </w:rPr>
        <w:t>M0</w:t>
      </w:r>
      <w:r>
        <w:rPr/>
        <w:t>报告期月份数；</w:t>
      </w:r>
      <w:r>
        <w:rPr>
          <w:rFonts w:ascii="Times New Roman" w:hAnsi="Times New Roman" w:cs="Times New Roman" w:eastAsia="Times New Roman" w:hint="default"/>
        </w:rPr>
        <w:t>Mi</w:t>
      </w:r>
      <w:r>
        <w:rPr/>
        <w:t>为增加股份次月起至报告期期末的累计月数；</w:t>
      </w:r>
      <w:r>
        <w:rPr>
          <w:rFonts w:ascii="Times New Roman" w:hAnsi="Times New Roman" w:cs="Times New Roman" w:eastAsia="Times New Roman" w:hint="default"/>
        </w:rPr>
        <w:t>Mj</w:t>
      </w:r>
      <w:r>
        <w:rPr/>
        <w:t>为减少股份次月起至报告期期末的</w:t>
      </w:r>
      <w:r>
        <w:rPr>
          <w:w w:val="100"/>
        </w:rPr>
        <w:t> </w:t>
      </w:r>
      <w:r>
        <w:rPr/>
        <w:t>累计月数。</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4651"/>
        <w:gridCol w:w="2526"/>
        <w:gridCol w:w="2380"/>
      </w:tblGrid>
      <w:tr>
        <w:trPr>
          <w:trHeight w:val="401" w:hRule="exact"/>
        </w:trPr>
        <w:tc>
          <w:tcPr>
            <w:tcW w:w="4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其他综合收益说明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460.320007pt;margin-top:97.371719pt;width:135pt;height:77pt;mso-position-horizontal-relative:page;mso-position-vertical-relative:paragraph;z-index:-858328" coordorigin="9206,1947" coordsize="2700,1540">
            <v:shape style="position:absolute;left:9206;top:1947;width:2700;height:1540" type="#_x0000_t75" stroked="false">
              <v:imagedata r:id="rId26" o:title=""/>
            </v:shape>
            <v:shape style="position:absolute;left:10502;top:2308;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129</w:t>
                    </w:r>
                  </w:p>
                </w:txbxContent>
              </v:textbox>
              <w10:wrap type="none"/>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2,295,386.42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利息收入及其他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7,756,359.20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10,051,745.62</w:t>
            </w:r>
          </w:p>
        </w:tc>
      </w:tr>
    </w:tbl>
    <w:p>
      <w:pPr>
        <w:spacing w:after="0" w:line="240" w:lineRule="auto"/>
        <w:jc w:val="right"/>
        <w:rPr>
          <w:rFonts w:ascii="Times New Roman" w:hAnsi="Times New Roman" w:cs="Times New Roman" w:eastAsia="Times New Roman" w:hint="default"/>
          <w:sz w:val="18"/>
          <w:szCs w:val="18"/>
        </w:rPr>
        <w:sectPr>
          <w:headerReference w:type="default" r:id="rId71"/>
          <w:footerReference w:type="default" r:id="rId72"/>
          <w:pgSz w:w="11910" w:h="16840"/>
          <w:pgMar w:header="706" w:footer="0" w:top="1060" w:bottom="0" w:left="960" w:right="0"/>
        </w:sectPr>
      </w:pPr>
    </w:p>
    <w:p>
      <w:pPr>
        <w:spacing w:line="240" w:lineRule="auto" w:before="9"/>
        <w:rPr>
          <w:rFonts w:ascii="宋体" w:hAnsi="宋体" w:cs="宋体" w:eastAsia="宋体" w:hint="default"/>
          <w:sz w:val="25"/>
          <w:szCs w:val="25"/>
        </w:rPr>
      </w:pP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支付的其他与经营活动相关的现金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38,926,014.46</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38,926,014.46</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5585"/>
        <w:gridCol w:w="3973"/>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5585"/>
        <w:gridCol w:w="3973"/>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5585"/>
        <w:gridCol w:w="3973"/>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5585"/>
        <w:gridCol w:w="3973"/>
      </w:tblGrid>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460.320007pt;margin-top:55.131718pt;width:135pt;height:77pt;mso-position-horizontal-relative:page;mso-position-vertical-relative:paragraph;z-index:-858280" coordorigin="9206,1103" coordsize="2700,1540">
            <v:shape style="position:absolute;left:9206;top:1103;width:2700;height:1540" type="#_x0000_t75" stroked="false">
              <v:imagedata r:id="rId26" o:title=""/>
            </v:shape>
            <v:shape style="position:absolute;left:10502;top:1463;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130</w:t>
                    </w:r>
                  </w:p>
                </w:txbxContent>
              </v:textbox>
              <w10:wrap type="none"/>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4389"/>
        <w:gridCol w:w="2523"/>
        <w:gridCol w:w="2645"/>
      </w:tblGrid>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headerReference w:type="default" r:id="rId73"/>
          <w:footerReference w:type="default" r:id="rId74"/>
          <w:pgSz w:w="11910" w:h="16840"/>
          <w:pgMar w:header="706" w:footer="0" w:top="1060" w:bottom="0" w:left="960" w:right="0"/>
        </w:sectPr>
      </w:pPr>
    </w:p>
    <w:p>
      <w:pPr>
        <w:spacing w:line="240" w:lineRule="auto" w:before="6"/>
        <w:rPr>
          <w:rFonts w:ascii="宋体" w:hAnsi="宋体" w:cs="宋体" w:eastAsia="宋体" w:hint="default"/>
          <w:sz w:val="28"/>
          <w:szCs w:val="28"/>
        </w:rPr>
      </w:pPr>
    </w:p>
    <w:tbl>
      <w:tblPr>
        <w:tblW w:w="0" w:type="auto"/>
        <w:jc w:val="left"/>
        <w:tblInd w:w="18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52,557,386.86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51,142,200.73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1,852,335.47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409,272.93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16,442,879.03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14,777,805.70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858,268.21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849,357.46</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205,366.32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539,632.88</w:t>
            </w:r>
          </w:p>
        </w:tc>
      </w:tr>
      <w:tr>
        <w:trPr>
          <w:trHeight w:val="71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w:t>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70,583.60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877,179.75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5,484.81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57,719.22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1,777,641.33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1,450,827.45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-10,005,770.20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-11,539,153.60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-836,542.78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-937,210.55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-19,075.44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-19,075.44</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3,929,413.63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-58,435,404.12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-13,026,578.45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20,317,428.91</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-20,060,172.36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-7,635,336.79</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33,751,220.03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11,855,244.53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238,025,169.23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285,381,680.79</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285,381,680.79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414,179,197.48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-47,356,511.56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-128,797,516.69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4389"/>
        <w:gridCol w:w="2523"/>
        <w:gridCol w:w="2645"/>
      </w:tblGrid>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238,025,169.23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285,381,680.79</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165,085.55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155,468.08</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235,045,083.68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283,403,592.71</w:t>
            </w:r>
          </w:p>
        </w:tc>
      </w:tr>
    </w:tbl>
    <w:p>
      <w:pPr>
        <w:spacing w:after="0" w:line="240" w:lineRule="auto"/>
        <w:jc w:val="right"/>
        <w:rPr>
          <w:rFonts w:ascii="Times New Roman" w:hAnsi="Times New Roman" w:cs="Times New Roman" w:eastAsia="Times New Roman" w:hint="default"/>
          <w:sz w:val="18"/>
          <w:szCs w:val="18"/>
        </w:rPr>
        <w:sectPr>
          <w:footerReference w:type="default" r:id="rId75"/>
          <w:pgSz w:w="11910" w:h="16840"/>
          <w:pgMar w:footer="1286" w:header="706" w:top="1060" w:bottom="1480" w:left="960" w:right="0"/>
          <w:pgNumType w:start="131"/>
        </w:sectPr>
      </w:pPr>
    </w:p>
    <w:p>
      <w:pPr>
        <w:spacing w:line="240" w:lineRule="auto" w:before="6"/>
        <w:rPr>
          <w:rFonts w:ascii="宋体" w:hAnsi="宋体" w:cs="宋体" w:eastAsia="宋体" w:hint="default"/>
          <w:sz w:val="28"/>
          <w:szCs w:val="28"/>
        </w:rPr>
      </w:pPr>
    </w:p>
    <w:tbl>
      <w:tblPr>
        <w:tblW w:w="0" w:type="auto"/>
        <w:jc w:val="left"/>
        <w:tblInd w:w="389" w:type="dxa"/>
        <w:tblLayout w:type="fixed"/>
        <w:tblCellMar>
          <w:top w:w="0" w:type="dxa"/>
          <w:left w:w="0" w:type="dxa"/>
          <w:bottom w:w="0" w:type="dxa"/>
          <w:right w:w="0" w:type="dxa"/>
        </w:tblCellMar>
        <w:tblLook w:val="01E0"/>
      </w:tblPr>
      <w:tblGrid>
        <w:gridCol w:w="4387"/>
        <w:gridCol w:w="2525"/>
        <w:gridCol w:w="2657"/>
      </w:tblGrid>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2,815,000.00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1,822,620.00</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238,025,169.23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285,381,680.79</w:t>
            </w:r>
          </w:p>
        </w:tc>
      </w:tr>
    </w:tbl>
    <w:p>
      <w:pPr>
        <w:spacing w:line="357" w:lineRule="auto" w:before="49"/>
        <w:ind w:left="392" w:right="8594"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 无</w:t>
      </w:r>
    </w:p>
    <w:p>
      <w:pPr>
        <w:spacing w:line="240" w:lineRule="auto" w:before="6"/>
        <w:rPr>
          <w:rFonts w:ascii="宋体" w:hAnsi="宋体" w:cs="宋体" w:eastAsia="宋体" w:hint="default"/>
          <w:sz w:val="20"/>
          <w:szCs w:val="20"/>
        </w:rPr>
      </w:pPr>
    </w:p>
    <w:p>
      <w:pPr>
        <w:pStyle w:val="Heading4"/>
        <w:spacing w:line="240" w:lineRule="auto"/>
        <w:ind w:left="392" w:right="633"/>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4"/>
        <w:rPr>
          <w:rFonts w:ascii="宋体" w:hAnsi="宋体" w:cs="宋体" w:eastAsia="宋体" w:hint="default"/>
          <w:b/>
          <w:bCs/>
          <w:sz w:val="26"/>
          <w:szCs w:val="26"/>
        </w:rPr>
      </w:pPr>
    </w:p>
    <w:p>
      <w:pPr>
        <w:spacing w:before="0"/>
        <w:ind w:left="392" w:right="633" w:firstLine="0"/>
        <w:jc w:val="left"/>
        <w:rPr>
          <w:rFonts w:ascii="宋体" w:hAnsi="宋体" w:cs="宋体" w:eastAsia="宋体" w:hint="default"/>
          <w:sz w:val="18"/>
          <w:szCs w:val="18"/>
        </w:rPr>
      </w:pPr>
      <w:r>
        <w:rPr>
          <w:rFonts w:ascii="宋体" w:hAnsi="宋体" w:cs="宋体" w:eastAsia="宋体" w:hint="default"/>
          <w:sz w:val="18"/>
          <w:szCs w:val="18"/>
        </w:rPr>
        <w:t>说明对上年年末余额进行调整的</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项目名称及调整金</w:t>
      </w:r>
      <w:r>
        <w:rPr>
          <w:rFonts w:ascii="宋体" w:hAnsi="宋体" w:cs="宋体" w:eastAsia="宋体" w:hint="default"/>
          <w:spacing w:val="2"/>
          <w:sz w:val="18"/>
          <w:szCs w:val="18"/>
        </w:rPr>
        <w:t>额</w:t>
      </w:r>
      <w:r>
        <w:rPr>
          <w:rFonts w:ascii="宋体" w:hAnsi="宋体" w:cs="宋体" w:eastAsia="宋体" w:hint="default"/>
          <w:sz w:val="18"/>
          <w:szCs w:val="18"/>
        </w:rPr>
        <w:t>、由同一控制下企业合并产生的追溯调整等事项</w:t>
      </w:r>
    </w:p>
    <w:p>
      <w:pPr>
        <w:spacing w:line="240" w:lineRule="auto" w:before="3"/>
        <w:rPr>
          <w:rFonts w:ascii="宋体" w:hAnsi="宋体" w:cs="宋体" w:eastAsia="宋体" w:hint="default"/>
          <w:sz w:val="24"/>
          <w:szCs w:val="24"/>
        </w:rPr>
      </w:pPr>
    </w:p>
    <w:p>
      <w:pPr>
        <w:pStyle w:val="Heading2"/>
        <w:spacing w:line="240" w:lineRule="auto"/>
        <w:ind w:left="392" w:right="633"/>
        <w:jc w:val="left"/>
        <w:rPr>
          <w:b w:val="0"/>
          <w:bCs w:val="0"/>
        </w:rPr>
      </w:pPr>
      <w:r>
        <w:rPr/>
        <w:t>八、资产证券化业务的会计处理</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392" w:right="633"/>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392" w:right="633"/>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389" w:type="dxa"/>
        <w:tblLayout w:type="fixed"/>
        <w:tblCellMar>
          <w:top w:w="0" w:type="dxa"/>
          <w:left w:w="0" w:type="dxa"/>
          <w:bottom w:w="0" w:type="dxa"/>
          <w:right w:w="0" w:type="dxa"/>
        </w:tblCellMar>
        <w:tblLook w:val="01E0"/>
      </w:tblPr>
      <w:tblGrid>
        <w:gridCol w:w="1367"/>
        <w:gridCol w:w="1371"/>
        <w:gridCol w:w="1367"/>
        <w:gridCol w:w="1365"/>
        <w:gridCol w:w="1368"/>
        <w:gridCol w:w="136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
        <w:rPr>
          <w:rFonts w:ascii="宋体" w:hAnsi="宋体" w:cs="宋体" w:eastAsia="宋体" w:hint="default"/>
          <w:sz w:val="18"/>
          <w:szCs w:val="18"/>
        </w:rPr>
      </w:pPr>
    </w:p>
    <w:p>
      <w:pPr>
        <w:pStyle w:val="Heading2"/>
        <w:spacing w:line="240" w:lineRule="auto" w:before="26"/>
        <w:ind w:left="392" w:right="633"/>
        <w:jc w:val="left"/>
        <w:rPr>
          <w:b w:val="0"/>
          <w:bCs w:val="0"/>
        </w:rPr>
      </w:pPr>
      <w:r>
        <w:rPr/>
        <w:t>九、关联方及关联交易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392" w:right="63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387"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2"/>
        <w:gridCol w:w="869"/>
        <w:gridCol w:w="862"/>
      </w:tblGrid>
      <w:tr>
        <w:trPr>
          <w:trHeight w:val="133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1"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持股比例 </w:t>
            </w:r>
            <w:r>
              <w:rPr>
                <w:rFonts w:ascii="Times New Roman" w:hAnsi="Times New Roman" w:cs="Times New Roman" w:eastAsia="Times New Roman"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339"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大丰市东 润投资管 理有限公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15"/>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江苏省大 丰市幸福 东大街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p>
            <w:pPr>
              <w:pStyle w:val="TableParagraph"/>
              <w:spacing w:line="248" w:lineRule="exact"/>
              <w:ind w:left="24" w:right="0"/>
              <w:jc w:val="both"/>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226 </w:t>
            </w:r>
            <w:r>
              <w:rPr>
                <w:rFonts w:ascii="宋体" w:hAnsi="宋体" w:cs="宋体" w:eastAsia="宋体" w:hint="default"/>
                <w:sz w:val="18"/>
                <w:szCs w:val="18"/>
              </w:rPr>
              <w:t>室</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13"/>
              <w:jc w:val="left"/>
              <w:rPr>
                <w:rFonts w:ascii="宋体" w:hAnsi="宋体" w:cs="宋体" w:eastAsia="宋体" w:hint="default"/>
                <w:sz w:val="18"/>
                <w:szCs w:val="18"/>
              </w:rPr>
            </w:pPr>
            <w:r>
              <w:rPr>
                <w:rFonts w:ascii="宋体" w:hAnsi="宋体" w:cs="宋体" w:eastAsia="宋体" w:hint="default"/>
                <w:sz w:val="18"/>
                <w:szCs w:val="18"/>
              </w:rPr>
              <w:t>投资管理 咨询服务</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left="2"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43pt;height:23.4pt;mso-position-horizontal-relative:char;mso-position-vertical-relative:line" coordorigin="0,0" coordsize="860,468">
                  <v:group style="position:absolute;left:0;top:0;width:860;height:468" coordorigin="0,0" coordsize="860,468">
                    <v:shape style="position:absolute;left:0;top:0;width:860;height:468" coordorigin="0,0" coordsize="860,468" path="m0,468l859,468,859,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6077000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38.64%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38.64%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3" w:right="43"/>
              <w:jc w:val="left"/>
              <w:rPr>
                <w:rFonts w:ascii="Times New Roman" w:hAnsi="Times New Roman" w:cs="Times New Roman" w:eastAsia="Times New Roman" w:hint="default"/>
                <w:sz w:val="18"/>
                <w:szCs w:val="18"/>
              </w:rPr>
            </w:pPr>
            <w:r>
              <w:rPr>
                <w:rFonts w:ascii="Times New Roman"/>
                <w:sz w:val="18"/>
              </w:rPr>
              <w:t>72281206- X</w:t>
            </w:r>
          </w:p>
        </w:tc>
      </w:tr>
    </w:tbl>
    <w:p>
      <w:pPr>
        <w:spacing w:before="49"/>
        <w:ind w:left="392" w:right="633" w:firstLine="0"/>
        <w:jc w:val="left"/>
        <w:rPr>
          <w:rFonts w:ascii="宋体" w:hAnsi="宋体" w:cs="宋体" w:eastAsia="宋体" w:hint="default"/>
          <w:sz w:val="18"/>
          <w:szCs w:val="18"/>
        </w:rPr>
      </w:pPr>
      <w:r>
        <w:rPr/>
        <w:pict>
          <v:shape style="position:absolute;margin-left:275.809998pt;margin-top:-66.958290pt;width:85.35pt;height:23.4pt;mso-position-horizontal-relative:page;mso-position-vertical-relative:paragraph;z-index:-858232" type="#_x0000_t202" filled="false" stroked="false">
            <v:textbox inset="0,0,0,0">
              <w:txbxContent>
                <w:p>
                  <w:pPr>
                    <w:spacing w:line="240" w:lineRule="auto" w:before="9"/>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投资业务；</w:t>
                  </w:r>
                </w:p>
              </w:txbxContent>
            </v:textbox>
            <w10:wrap type="none"/>
          </v:shape>
        </w:pict>
      </w:r>
      <w:r>
        <w:rPr>
          <w:rFonts w:ascii="宋体" w:hAnsi="宋体" w:cs="宋体" w:eastAsia="宋体" w:hint="default"/>
          <w:sz w:val="18"/>
          <w:szCs w:val="18"/>
        </w:rPr>
        <w:t>本企业的母公司情况的说明</w:t>
      </w:r>
    </w:p>
    <w:p>
      <w:pPr>
        <w:spacing w:line="240" w:lineRule="auto" w:before="0"/>
        <w:rPr>
          <w:rFonts w:ascii="宋体" w:hAnsi="宋体" w:cs="宋体" w:eastAsia="宋体" w:hint="default"/>
          <w:sz w:val="18"/>
          <w:szCs w:val="18"/>
        </w:rPr>
      </w:pPr>
    </w:p>
    <w:p>
      <w:pPr>
        <w:pStyle w:val="Heading4"/>
        <w:spacing w:line="240" w:lineRule="auto" w:before="118"/>
        <w:ind w:left="392" w:right="63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2127"/>
        <w:gridCol w:w="1133"/>
        <w:gridCol w:w="852"/>
        <w:gridCol w:w="566"/>
        <w:gridCol w:w="850"/>
        <w:gridCol w:w="710"/>
        <w:gridCol w:w="991"/>
        <w:gridCol w:w="853"/>
        <w:gridCol w:w="816"/>
        <w:gridCol w:w="958"/>
      </w:tblGrid>
      <w:tr>
        <w:trPr>
          <w:trHeight w:val="74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10"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4"/>
              <w:ind w:left="242" w:right="239"/>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89" w:right="96" w:hanging="92"/>
              <w:jc w:val="left"/>
              <w:rPr>
                <w:rFonts w:ascii="宋体" w:hAnsi="宋体" w:cs="宋体" w:eastAsia="宋体" w:hint="default"/>
                <w:sz w:val="18"/>
                <w:szCs w:val="18"/>
              </w:rPr>
            </w:pPr>
            <w:r>
              <w:rPr>
                <w:rFonts w:ascii="宋体" w:hAnsi="宋体" w:cs="宋体" w:eastAsia="宋体" w:hint="default"/>
                <w:sz w:val="18"/>
                <w:szCs w:val="18"/>
              </w:rPr>
              <w:t>注册 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4"/>
              <w:ind w:left="151" w:right="147" w:firstLine="88"/>
              <w:jc w:val="left"/>
              <w:rPr>
                <w:rFonts w:ascii="宋体" w:hAnsi="宋体" w:cs="宋体" w:eastAsia="宋体" w:hint="default"/>
                <w:sz w:val="18"/>
                <w:szCs w:val="18"/>
              </w:rPr>
            </w:pPr>
            <w:r>
              <w:rPr>
                <w:rFonts w:ascii="宋体" w:hAnsi="宋体" w:cs="宋体" w:eastAsia="宋体" w:hint="default"/>
                <w:sz w:val="18"/>
                <w:szCs w:val="18"/>
              </w:rPr>
              <w:t>法定 代表人</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261" w:right="77"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80" w:right="41"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上海昂先实业有限公司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67"/>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566"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710"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58800000</w:t>
            </w:r>
          </w:p>
        </w:tc>
        <w:tc>
          <w:tcPr>
            <w:tcW w:w="853"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816"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75501370-7</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1"/>
              <w:jc w:val="left"/>
              <w:rPr>
                <w:rFonts w:ascii="宋体" w:hAnsi="宋体" w:cs="宋体" w:eastAsia="宋体" w:hint="default"/>
                <w:sz w:val="18"/>
                <w:szCs w:val="18"/>
              </w:rPr>
            </w:pPr>
            <w:r>
              <w:rPr>
                <w:rFonts w:ascii="宋体" w:hAnsi="宋体" w:cs="宋体" w:eastAsia="宋体" w:hint="default"/>
                <w:sz w:val="18"/>
                <w:szCs w:val="18"/>
              </w:rPr>
              <w:t>南京丰东热处理工程有限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7"/>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27522500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96.37%</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96.37%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75948767-8</w:t>
            </w:r>
          </w:p>
        </w:tc>
      </w:tr>
    </w:tbl>
    <w:p>
      <w:pPr>
        <w:spacing w:after="0" w:line="240" w:lineRule="auto"/>
        <w:jc w:val="left"/>
        <w:rPr>
          <w:rFonts w:ascii="Times New Roman" w:hAnsi="Times New Roman" w:cs="Times New Roman" w:eastAsia="Times New Roman" w:hint="default"/>
          <w:sz w:val="18"/>
          <w:szCs w:val="18"/>
        </w:rPr>
        <w:sectPr>
          <w:pgSz w:w="11910" w:h="16840"/>
          <w:pgMar w:header="706" w:footer="1286" w:top="1060" w:bottom="1540" w:left="740" w:right="0"/>
        </w:sectPr>
      </w:pPr>
    </w:p>
    <w:p>
      <w:pPr>
        <w:spacing w:line="240" w:lineRule="auto" w:before="6"/>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2127"/>
        <w:gridCol w:w="1133"/>
        <w:gridCol w:w="852"/>
        <w:gridCol w:w="566"/>
        <w:gridCol w:w="850"/>
        <w:gridCol w:w="710"/>
        <w:gridCol w:w="991"/>
        <w:gridCol w:w="853"/>
        <w:gridCol w:w="816"/>
        <w:gridCol w:w="958"/>
      </w:tblGrid>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江苏丰东热处理及表面改 性工程技术研究有限公司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7"/>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75143127-4</w:t>
            </w:r>
          </w:p>
        </w:tc>
      </w:tr>
      <w:tr>
        <w:trPr>
          <w:trHeight w:val="75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67"/>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6" w:right="132"/>
              <w:jc w:val="left"/>
              <w:rPr>
                <w:rFonts w:ascii="宋体" w:hAnsi="宋体" w:cs="宋体" w:eastAsia="宋体" w:hint="default"/>
                <w:sz w:val="18"/>
                <w:szCs w:val="18"/>
              </w:rPr>
            </w:pPr>
            <w:r>
              <w:rPr>
                <w:rFonts w:ascii="宋体" w:hAnsi="宋体" w:cs="宋体" w:eastAsia="宋体" w:hint="default"/>
                <w:sz w:val="18"/>
                <w:szCs w:val="18"/>
              </w:rPr>
              <w:t>生产及 加工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66306184-0</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重庆丰东神五热处理工程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7"/>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42420300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95.285%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95.285%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75620703-6</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7"/>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39"/>
              <w:jc w:val="left"/>
              <w:rPr>
                <w:rFonts w:ascii="Times New Roman" w:hAnsi="Times New Roman" w:cs="Times New Roman" w:eastAsia="Times New Roman" w:hint="default"/>
                <w:sz w:val="18"/>
                <w:szCs w:val="18"/>
              </w:rPr>
            </w:pPr>
            <w:r>
              <w:rPr>
                <w:rFonts w:ascii="Times New Roman"/>
                <w:sz w:val="18"/>
              </w:rPr>
              <w:t>74037629- X</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长春丰东热处理有限公司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7"/>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32"/>
              <w:jc w:val="left"/>
              <w:rPr>
                <w:rFonts w:ascii="宋体" w:hAnsi="宋体" w:cs="宋体" w:eastAsia="宋体" w:hint="default"/>
                <w:sz w:val="18"/>
                <w:szCs w:val="18"/>
              </w:rPr>
            </w:pPr>
            <w:r>
              <w:rPr>
                <w:rFonts w:ascii="宋体" w:hAnsi="宋体" w:cs="宋体" w:eastAsia="宋体" w:hint="default"/>
                <w:sz w:val="18"/>
                <w:szCs w:val="18"/>
              </w:rPr>
              <w:t>生产及 加工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72625699-6</w:t>
            </w:r>
          </w:p>
        </w:tc>
      </w:tr>
      <w:tr>
        <w:trPr>
          <w:trHeight w:val="7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111"/>
              <w:jc w:val="left"/>
              <w:rPr>
                <w:rFonts w:ascii="宋体" w:hAnsi="宋体" w:cs="宋体" w:eastAsia="宋体" w:hint="default"/>
                <w:sz w:val="18"/>
                <w:szCs w:val="18"/>
              </w:rPr>
            </w:pPr>
            <w:r>
              <w:rPr>
                <w:rFonts w:ascii="宋体" w:hAnsi="宋体" w:cs="宋体" w:eastAsia="宋体" w:hint="default"/>
                <w:sz w:val="18"/>
                <w:szCs w:val="18"/>
              </w:rPr>
              <w:t>盐城丰东特种炉业有限公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67"/>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6" w:right="132"/>
              <w:jc w:val="left"/>
              <w:rPr>
                <w:rFonts w:ascii="宋体" w:hAnsi="宋体" w:cs="宋体" w:eastAsia="宋体" w:hint="default"/>
                <w:sz w:val="18"/>
                <w:szCs w:val="18"/>
              </w:rPr>
            </w:pPr>
            <w:r>
              <w:rPr>
                <w:rFonts w:ascii="宋体" w:hAnsi="宋体" w:cs="宋体" w:eastAsia="宋体" w:hint="default"/>
                <w:sz w:val="18"/>
                <w:szCs w:val="18"/>
              </w:rPr>
              <w:t>生产及 加工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804170</w:t>
            </w: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74374950-6</w:t>
            </w:r>
          </w:p>
        </w:tc>
      </w:tr>
    </w:tbl>
    <w:p>
      <w:pPr>
        <w:spacing w:line="240" w:lineRule="auto" w:before="3"/>
        <w:rPr>
          <w:rFonts w:ascii="宋体" w:hAnsi="宋体" w:cs="宋体" w:eastAsia="宋体" w:hint="default"/>
          <w:sz w:val="19"/>
          <w:szCs w:val="19"/>
        </w:rPr>
      </w:pPr>
    </w:p>
    <w:p>
      <w:pPr>
        <w:pStyle w:val="Heading4"/>
        <w:spacing w:line="240" w:lineRule="auto" w:before="36"/>
        <w:ind w:left="392" w:right="633"/>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387" w:type="dxa"/>
        <w:tblLayout w:type="fixed"/>
        <w:tblCellMar>
          <w:top w:w="0" w:type="dxa"/>
          <w:left w:w="0" w:type="dxa"/>
          <w:bottom w:w="0" w:type="dxa"/>
          <w:right w:w="0" w:type="dxa"/>
        </w:tblCellMar>
        <w:tblLook w:val="01E0"/>
      </w:tblPr>
      <w:tblGrid>
        <w:gridCol w:w="1277"/>
        <w:gridCol w:w="850"/>
        <w:gridCol w:w="742"/>
        <w:gridCol w:w="955"/>
        <w:gridCol w:w="955"/>
        <w:gridCol w:w="960"/>
        <w:gridCol w:w="958"/>
        <w:gridCol w:w="1102"/>
        <w:gridCol w:w="814"/>
        <w:gridCol w:w="960"/>
      </w:tblGrid>
      <w:tr>
        <w:trPr>
          <w:trHeight w:val="102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454" w:right="182" w:hanging="272"/>
              <w:jc w:val="left"/>
              <w:rPr>
                <w:rFonts w:ascii="宋体" w:hAnsi="宋体" w:cs="宋体" w:eastAsia="宋体" w:hint="default"/>
                <w:sz w:val="18"/>
                <w:szCs w:val="18"/>
              </w:rPr>
            </w:pPr>
            <w:r>
              <w:rPr>
                <w:rFonts w:ascii="宋体" w:hAnsi="宋体" w:cs="宋体" w:eastAsia="宋体" w:hint="default"/>
                <w:sz w:val="18"/>
                <w:szCs w:val="18"/>
              </w:rPr>
              <w:t>被投资单位 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240" w:right="239"/>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9"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本企业在被 投资单位表 决权比例</w:t>
            </w:r>
            <w:r>
              <w:rPr>
                <w:rFonts w:ascii="Times New Roman" w:hAnsi="Times New Roman" w:cs="Times New Roman" w:eastAsia="Times New Roman" w:hint="default"/>
                <w:sz w:val="18"/>
                <w:szCs w:val="18"/>
              </w:rPr>
              <w:t>(%)</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3"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盐城高周波热 炼有限公司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大丰</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12663150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合营公司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77800062-6</w:t>
            </w:r>
          </w:p>
        </w:tc>
      </w:tr>
      <w:tr>
        <w:trPr>
          <w:trHeight w:val="403"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广州丰东热炼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中尾安幸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79100488-3</w:t>
            </w:r>
          </w:p>
        </w:tc>
      </w:tr>
    </w:tbl>
    <w:p>
      <w:pPr>
        <w:spacing w:line="240" w:lineRule="auto" w:before="3"/>
        <w:rPr>
          <w:rFonts w:ascii="宋体" w:hAnsi="宋体" w:cs="宋体" w:eastAsia="宋体" w:hint="default"/>
          <w:sz w:val="19"/>
          <w:szCs w:val="19"/>
        </w:rPr>
      </w:pPr>
    </w:p>
    <w:p>
      <w:pPr>
        <w:pStyle w:val="Heading4"/>
        <w:spacing w:line="240" w:lineRule="auto" w:before="36"/>
        <w:ind w:left="392" w:right="633"/>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387"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日本国东方工程株式会社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第二大股东，持股本公司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22.84%</w:t>
            </w:r>
            <w:r>
              <w:rPr>
                <w:rFonts w:ascii="宋体" w:hAnsi="宋体" w:cs="宋体" w:eastAsia="宋体" w:hint="default"/>
                <w:sz w:val="18"/>
                <w:szCs w:val="18"/>
              </w:rPr>
              <w:t>股份</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日本国和华株式会社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第四大股东，持有本公司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4.40%</w:t>
            </w:r>
            <w:r>
              <w:rPr>
                <w:rFonts w:ascii="宋体" w:hAnsi="宋体" w:cs="宋体" w:eastAsia="宋体" w:hint="default"/>
                <w:sz w:val="18"/>
                <w:szCs w:val="18"/>
              </w:rPr>
              <w:t>股份</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392" w:right="633" w:firstLine="0"/>
        <w:jc w:val="left"/>
        <w:rPr>
          <w:rFonts w:ascii="宋体" w:hAnsi="宋体" w:cs="宋体" w:eastAsia="宋体" w:hint="default"/>
          <w:sz w:val="18"/>
          <w:szCs w:val="18"/>
        </w:rPr>
      </w:pPr>
      <w:r>
        <w:rPr>
          <w:rFonts w:ascii="宋体" w:hAnsi="宋体" w:cs="宋体" w:eastAsia="宋体" w:hint="default"/>
          <w:sz w:val="18"/>
          <w:szCs w:val="18"/>
        </w:rPr>
        <w:t>本企业的其他关联方情况的说明</w:t>
      </w:r>
    </w:p>
    <w:p>
      <w:pPr>
        <w:spacing w:line="240" w:lineRule="auto" w:before="0"/>
        <w:rPr>
          <w:rFonts w:ascii="宋体" w:hAnsi="宋体" w:cs="宋体" w:eastAsia="宋体" w:hint="default"/>
          <w:sz w:val="18"/>
          <w:szCs w:val="18"/>
        </w:rPr>
      </w:pPr>
    </w:p>
    <w:p>
      <w:pPr>
        <w:pStyle w:val="Heading4"/>
        <w:spacing w:line="240" w:lineRule="auto" w:before="118"/>
        <w:ind w:left="392" w:right="633"/>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392" w:right="633"/>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8"/>
          <w:szCs w:val="8"/>
        </w:rPr>
      </w:pPr>
    </w:p>
    <w:tbl>
      <w:tblPr>
        <w:tblW w:w="0" w:type="auto"/>
        <w:jc w:val="left"/>
        <w:tblInd w:w="389" w:type="dxa"/>
        <w:tblLayout w:type="fixed"/>
        <w:tblCellMar>
          <w:top w:w="0" w:type="dxa"/>
          <w:left w:w="0" w:type="dxa"/>
          <w:bottom w:w="0" w:type="dxa"/>
          <w:right w:w="0" w:type="dxa"/>
        </w:tblCellMar>
        <w:tblLook w:val="01E0"/>
      </w:tblPr>
      <w:tblGrid>
        <w:gridCol w:w="2126"/>
        <w:gridCol w:w="1198"/>
        <w:gridCol w:w="1462"/>
        <w:gridCol w:w="2391"/>
        <w:gridCol w:w="2380"/>
      </w:tblGrid>
      <w:tr>
        <w:trPr>
          <w:trHeight w:val="39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6" w:right="0"/>
              <w:jc w:val="left"/>
              <w:rPr>
                <w:rFonts w:ascii="宋体" w:hAnsi="宋体" w:cs="宋体" w:eastAsia="宋体" w:hint="default"/>
                <w:sz w:val="18"/>
                <w:szCs w:val="18"/>
              </w:rPr>
            </w:pPr>
            <w:r>
              <w:rPr>
                <w:rFonts w:ascii="宋体" w:hAnsi="宋体" w:cs="宋体" w:eastAsia="宋体" w:hint="default"/>
                <w:sz w:val="18"/>
                <w:szCs w:val="18"/>
              </w:rPr>
              <w:t>关联交易定价方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06" w:footer="1286" w:top="1060" w:bottom="1540" w:left="7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0"/>
        <w:ind w:left="0" w:right="1148" w:firstLine="0"/>
        <w:jc w:val="right"/>
        <w:rPr>
          <w:rFonts w:ascii="宋体" w:hAnsi="宋体" w:cs="宋体" w:eastAsia="宋体" w:hint="default"/>
          <w:sz w:val="18"/>
          <w:szCs w:val="18"/>
        </w:rPr>
      </w:pPr>
      <w:r>
        <w:rPr/>
        <w:pict>
          <v:shape style="position:absolute;margin-left:56.400002pt;margin-top:-18.548296pt;width:479.15pt;height:96.5pt;mso-position-horizontal-relative:page;mso-position-vertical-relative:paragraph;z-index:2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1198"/>
                    <w:gridCol w:w="1462"/>
                    <w:gridCol w:w="1169"/>
                    <w:gridCol w:w="1222"/>
                    <w:gridCol w:w="1189"/>
                    <w:gridCol w:w="1202"/>
                  </w:tblGrid>
                  <w:tr>
                    <w:trPr>
                      <w:trHeight w:val="71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4" w:right="0"/>
                          <w:jc w:val="left"/>
                          <w:rPr>
                            <w:rFonts w:ascii="宋体" w:hAnsi="宋体" w:cs="宋体" w:eastAsia="宋体" w:hint="default"/>
                            <w:sz w:val="18"/>
                            <w:szCs w:val="18"/>
                          </w:rPr>
                        </w:pPr>
                        <w:r>
                          <w:rPr>
                            <w:rFonts w:ascii="宋体" w:hAnsi="宋体" w:cs="宋体" w:eastAsia="宋体" w:hint="default"/>
                            <w:sz w:val="18"/>
                            <w:szCs w:val="18"/>
                          </w:rPr>
                          <w:t>式及决策程序</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41" w:firstLine="43"/>
                          <w:jc w:val="left"/>
                          <w:rPr>
                            <w:rFonts w:ascii="宋体" w:hAnsi="宋体" w:cs="宋体" w:eastAsia="宋体"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53" w:firstLine="33"/>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日本国东方工程株式会社</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10,383,696.27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5.83%</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13,667,471.89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6.39%</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日本国东方工程株式会社</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技术受让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合同协议</w:t>
                        </w:r>
                      </w:p>
                    </w:tc>
                    <w:tc>
                      <w:tcPr>
                        <w:tcW w:w="1169"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1,205,382.00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日本国和华株式会社</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3,024,857.10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4,137,114.49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1.93%</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0" w:right="1148" w:firstLine="0"/>
        <w:jc w:val="right"/>
        <w:rPr>
          <w:rFonts w:ascii="宋体" w:hAnsi="宋体" w:cs="宋体" w:eastAsia="宋体" w:hint="default"/>
          <w:sz w:val="18"/>
          <w:szCs w:val="18"/>
        </w:rPr>
      </w:pPr>
      <w:r>
        <w:rPr/>
        <w:pict>
          <v:shape style="position:absolute;margin-left:56.400002pt;margin-top:-36.368267pt;width:479.15pt;height:176.95pt;mso-position-horizontal-relative:page;mso-position-vertical-relative:paragraph;z-index:2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1198"/>
                    <w:gridCol w:w="1462"/>
                    <w:gridCol w:w="1169"/>
                    <w:gridCol w:w="1222"/>
                    <w:gridCol w:w="1189"/>
                    <w:gridCol w:w="1202"/>
                  </w:tblGrid>
                  <w:tr>
                    <w:trPr>
                      <w:trHeight w:val="403"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41" w:firstLine="43"/>
                          <w:jc w:val="left"/>
                          <w:rPr>
                            <w:rFonts w:ascii="宋体" w:hAnsi="宋体" w:cs="宋体" w:eastAsia="宋体"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53" w:firstLine="33"/>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日本国东方工程株式会社</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销售配件</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14,169.84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344,624.66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日本国和华株式会社</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2,523,830.85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1.1%</w:t>
                        </w:r>
                      </w:p>
                    </w:tc>
                    <w:tc>
                      <w:tcPr>
                        <w:tcW w:w="118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日本国和华株式会社</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销售配件</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31,114.83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97,843.50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销售配件</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72,429.06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0.2%</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141,666.67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0.47%</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1,282,051.28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3,247,863.24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5,969,434.96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2,144,549.76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12"/>
        <w:rPr>
          <w:rFonts w:ascii="宋体" w:hAnsi="宋体" w:cs="宋体" w:eastAsia="宋体" w:hint="default"/>
          <w:b/>
          <w:bCs/>
          <w:sz w:val="22"/>
          <w:szCs w:val="22"/>
        </w:rPr>
      </w:pP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362"/>
        <w:gridCol w:w="1369"/>
        <w:gridCol w:w="1370"/>
        <w:gridCol w:w="1371"/>
        <w:gridCol w:w="1368"/>
        <w:gridCol w:w="1371"/>
        <w:gridCol w:w="1348"/>
      </w:tblGrid>
      <w:tr>
        <w:trPr>
          <w:trHeight w:val="1027"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2" w:right="22" w:hanging="20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45" w:right="30"/>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362"/>
        <w:gridCol w:w="1369"/>
        <w:gridCol w:w="1370"/>
        <w:gridCol w:w="1371"/>
        <w:gridCol w:w="1368"/>
        <w:gridCol w:w="1372"/>
        <w:gridCol w:w="1346"/>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12" w:right="23" w:hanging="38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9" w:right="30"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0"/>
        <w:ind w:left="172" w:right="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w:t>
      </w:r>
    </w:p>
    <w:p>
      <w:pPr>
        <w:spacing w:line="240" w:lineRule="auto" w:before="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公司出租情况表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362"/>
        <w:gridCol w:w="1364"/>
        <w:gridCol w:w="1373"/>
        <w:gridCol w:w="1368"/>
        <w:gridCol w:w="1370"/>
        <w:gridCol w:w="1372"/>
        <w:gridCol w:w="1360"/>
      </w:tblGrid>
      <w:tr>
        <w:trPr>
          <w:trHeight w:val="715"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50"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3" w:right="43"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公司承租情况表</w:t>
      </w:r>
    </w:p>
    <w:p>
      <w:pPr>
        <w:spacing w:before="11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06" w:footer="1286" w:top="1060" w:bottom="1540" w:left="960" w:right="0"/>
        </w:sectPr>
      </w:pPr>
    </w:p>
    <w:p>
      <w:pPr>
        <w:spacing w:line="240" w:lineRule="auto" w:before="6"/>
        <w:rPr>
          <w:rFonts w:ascii="宋体" w:hAnsi="宋体" w:cs="宋体" w:eastAsia="宋体" w:hint="default"/>
          <w:sz w:val="28"/>
          <w:szCs w:val="28"/>
        </w:rPr>
      </w:pPr>
    </w:p>
    <w:tbl>
      <w:tblPr>
        <w:tblW w:w="0" w:type="auto"/>
        <w:jc w:val="left"/>
        <w:tblInd w:w="169" w:type="dxa"/>
        <w:tblLayout w:type="fixed"/>
        <w:tblCellMar>
          <w:top w:w="0" w:type="dxa"/>
          <w:left w:w="0" w:type="dxa"/>
          <w:bottom w:w="0" w:type="dxa"/>
          <w:right w:w="0" w:type="dxa"/>
        </w:tblCellMar>
        <w:tblLook w:val="01E0"/>
      </w:tblPr>
      <w:tblGrid>
        <w:gridCol w:w="1372"/>
        <w:gridCol w:w="1371"/>
        <w:gridCol w:w="1373"/>
        <w:gridCol w:w="1368"/>
        <w:gridCol w:w="1368"/>
        <w:gridCol w:w="1369"/>
        <w:gridCol w:w="1351"/>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03"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spacing w:before="50"/>
        <w:ind w:left="17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12"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138" w:firstLine="0"/>
        <w:jc w:val="right"/>
        <w:rPr>
          <w:rFonts w:ascii="宋体" w:hAnsi="宋体" w:cs="宋体" w:eastAsia="宋体" w:hint="default"/>
          <w:sz w:val="18"/>
          <w:szCs w:val="18"/>
        </w:rPr>
      </w:pPr>
      <w:r>
        <w:rPr/>
        <w:pict>
          <v:shape style="position:absolute;margin-left:416.350006pt;margin-top:3.83172pt;width:78.75pt;height:15.6pt;mso-position-horizontal-relative:page;mso-position-vertical-relative:paragraph;z-index:-858160"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1.988281pt;width:479.2pt;height:71.9pt;mso-position-horizontal-relative:page;mso-position-vertical-relative:paragraph;z-index:2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1"/>
                    <w:gridCol w:w="931"/>
                    <w:gridCol w:w="1460"/>
                    <w:gridCol w:w="1330"/>
                    <w:gridCol w:w="1462"/>
                    <w:gridCol w:w="797"/>
                    <w:gridCol w:w="306"/>
                    <w:gridCol w:w="1156"/>
                    <w:gridCol w:w="797"/>
                  </w:tblGrid>
                  <w:tr>
                    <w:trPr>
                      <w:trHeight w:val="402" w:hRule="exact"/>
                    </w:trPr>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83" w:right="9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331"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06" w:type="dxa"/>
                        <w:tcBorders>
                          <w:top w:val="single" w:sz="4" w:space="0" w:color="000000"/>
                          <w:left w:val="single" w:sz="4" w:space="0" w:color="000000"/>
                          <w:bottom w:val="single" w:sz="4" w:space="0" w:color="000000"/>
                          <w:right w:val="nil" w:sz="6" w:space="0" w:color="auto"/>
                        </w:tcBorders>
                        <w:shd w:val="clear" w:color="auto" w:fill="D2D2D2"/>
                      </w:tcPr>
                      <w:p>
                        <w:pPr/>
                      </w:p>
                    </w:tc>
                    <w:tc>
                      <w:tcPr>
                        <w:tcW w:w="115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8"/>
          <w:szCs w:val="28"/>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2"/>
          <w:szCs w:val="22"/>
        </w:rPr>
      </w:pP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上市公司应收关联方款项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419"/>
        <w:gridCol w:w="2307"/>
        <w:gridCol w:w="1462"/>
        <w:gridCol w:w="1462"/>
        <w:gridCol w:w="1460"/>
        <w:gridCol w:w="1459"/>
      </w:tblGrid>
      <w:tr>
        <w:trPr>
          <w:trHeight w:val="401"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3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3"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2307"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157,800.00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3,838,730.10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384,491.14</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日本国和华株式会社</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129,481.30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2,252,751.20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459" w:type="dxa"/>
            <w:tcBorders>
              <w:top w:val="single" w:sz="4" w:space="0" w:color="000000"/>
              <w:left w:val="single" w:sz="4" w:space="0" w:color="000000"/>
              <w:bottom w:val="single" w:sz="4" w:space="0" w:color="000000"/>
              <w:right w:val="single" w:sz="4" w:space="0" w:color="000000"/>
            </w:tcBorders>
          </w:tcPr>
          <w:p>
            <w:pP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上市公司应付关联方款项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06" w:footer="1286" w:top="1060" w:bottom="1480" w:left="960" w:right="0"/>
        </w:sectPr>
      </w:pPr>
    </w:p>
    <w:p>
      <w:pPr>
        <w:spacing w:line="240" w:lineRule="auto" w:before="6"/>
        <w:rPr>
          <w:rFonts w:ascii="宋体" w:hAnsi="宋体" w:cs="宋体" w:eastAsia="宋体" w:hint="default"/>
          <w:sz w:val="28"/>
          <w:szCs w:val="28"/>
        </w:rPr>
      </w:pPr>
    </w:p>
    <w:tbl>
      <w:tblPr>
        <w:tblW w:w="0" w:type="auto"/>
        <w:jc w:val="left"/>
        <w:tblInd w:w="167" w:type="dxa"/>
        <w:tblLayout w:type="fixed"/>
        <w:tblCellMar>
          <w:top w:w="0" w:type="dxa"/>
          <w:left w:w="0" w:type="dxa"/>
          <w:bottom w:w="0" w:type="dxa"/>
          <w:right w:w="0" w:type="dxa"/>
        </w:tblCellMar>
        <w:tblLook w:val="01E0"/>
      </w:tblPr>
      <w:tblGrid>
        <w:gridCol w:w="2795"/>
        <w:gridCol w:w="2258"/>
        <w:gridCol w:w="2259"/>
        <w:gridCol w:w="2259"/>
      </w:tblGrid>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日本国东方工程株式会社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1" w:right="0"/>
              <w:jc w:val="left"/>
              <w:rPr>
                <w:rFonts w:ascii="Times New Roman" w:hAnsi="Times New Roman" w:cs="Times New Roman" w:eastAsia="Times New Roman" w:hint="default"/>
                <w:sz w:val="18"/>
                <w:szCs w:val="18"/>
              </w:rPr>
            </w:pPr>
            <w:r>
              <w:rPr>
                <w:rFonts w:ascii="Times New Roman"/>
                <w:sz w:val="18"/>
              </w:rPr>
              <w:t>2,609,030.97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8,684,701.95</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1,680,000.00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十、股份支付</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06" w:footer="1286" w:top="1060" w:bottom="1480" w:left="960" w:right="0"/>
        </w:sectPr>
      </w:pPr>
    </w:p>
    <w:p>
      <w:pPr>
        <w:spacing w:line="240" w:lineRule="auto" w:before="0"/>
        <w:rPr>
          <w:rFonts w:ascii="宋体" w:hAnsi="宋体" w:cs="宋体" w:eastAsia="宋体" w:hint="default"/>
          <w:b/>
          <w:bCs/>
          <w:sz w:val="18"/>
          <w:szCs w:val="18"/>
        </w:rPr>
      </w:pPr>
    </w:p>
    <w:p>
      <w:pPr>
        <w:spacing w:before="159"/>
        <w:ind w:left="172" w:right="-5" w:firstLine="0"/>
        <w:jc w:val="left"/>
        <w:rPr>
          <w:rFonts w:ascii="宋体" w:hAnsi="宋体" w:cs="宋体" w:eastAsia="宋体" w:hint="default"/>
          <w:sz w:val="18"/>
          <w:szCs w:val="18"/>
        </w:rPr>
      </w:pPr>
      <w:r>
        <w:rPr>
          <w:rFonts w:ascii="宋体" w:hAnsi="宋体" w:cs="宋体" w:eastAsia="宋体" w:hint="default"/>
          <w:sz w:val="18"/>
          <w:szCs w:val="18"/>
        </w:rPr>
        <w:t>股份支付情况的说明</w:t>
      </w:r>
    </w:p>
    <w:p>
      <w:pPr>
        <w:spacing w:line="240" w:lineRule="auto" w:before="0"/>
        <w:rPr>
          <w:rFonts w:ascii="宋体" w:hAnsi="宋体" w:cs="宋体" w:eastAsia="宋体" w:hint="default"/>
          <w:sz w:val="18"/>
          <w:szCs w:val="18"/>
        </w:rPr>
      </w:pPr>
    </w:p>
    <w:p>
      <w:pPr>
        <w:pStyle w:val="Heading4"/>
        <w:spacing w:line="240" w:lineRule="auto" w:before="121"/>
        <w:ind w:right="-5"/>
        <w:jc w:val="left"/>
        <w:rPr>
          <w:b w:val="0"/>
          <w:bCs w:val="0"/>
        </w:rPr>
      </w:pPr>
      <w:r>
        <w:rPr>
          <w:rFonts w:ascii="Times New Roman" w:hAnsi="Times New Roman" w:cs="Times New Roman" w:eastAsia="Times New Roman" w:hint="default"/>
          <w:spacing w:val="-1"/>
        </w:rPr>
        <w:t>2</w:t>
      </w:r>
      <w:r>
        <w:rPr>
          <w:spacing w:val="-1"/>
        </w:rPr>
        <w:t>、以权益结算的股份支付情况</w:t>
      </w:r>
      <w:r>
        <w:rPr>
          <w:b w:val="0"/>
          <w:bCs w:val="0"/>
          <w:spacing w:val="-1"/>
        </w:rPr>
      </w:r>
    </w:p>
    <w:p>
      <w:pPr>
        <w:spacing w:before="44"/>
        <w:ind w:left="17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0" w:bottom="280" w:left="960" w:right="0"/>
          <w:cols w:num="2" w:equalWidth="0">
            <w:col w:w="3020" w:space="5809"/>
            <w:col w:w="2121"/>
          </w:cols>
        </w:sectPr>
      </w:pP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0" w:bottom="280" w:left="960" w:right="0"/>
        </w:sectPr>
      </w:pPr>
    </w:p>
    <w:p>
      <w:pPr>
        <w:spacing w:line="240" w:lineRule="auto" w:before="0"/>
        <w:rPr>
          <w:rFonts w:ascii="宋体" w:hAnsi="宋体" w:cs="宋体" w:eastAsia="宋体" w:hint="default"/>
          <w:sz w:val="18"/>
          <w:szCs w:val="18"/>
        </w:rPr>
      </w:pPr>
    </w:p>
    <w:p>
      <w:pPr>
        <w:spacing w:before="161"/>
        <w:ind w:left="172" w:right="-5" w:firstLine="0"/>
        <w:jc w:val="left"/>
        <w:rPr>
          <w:rFonts w:ascii="宋体" w:hAnsi="宋体" w:cs="宋体" w:eastAsia="宋体" w:hint="default"/>
          <w:sz w:val="18"/>
          <w:szCs w:val="18"/>
        </w:rPr>
      </w:pPr>
      <w:r>
        <w:rPr>
          <w:rFonts w:ascii="宋体" w:hAnsi="宋体" w:cs="宋体" w:eastAsia="宋体" w:hint="default"/>
          <w:sz w:val="18"/>
          <w:szCs w:val="18"/>
        </w:rPr>
        <w:t>以权益结算的股份支付的说明</w:t>
      </w:r>
    </w:p>
    <w:p>
      <w:pPr>
        <w:spacing w:line="240" w:lineRule="auto" w:before="0"/>
        <w:rPr>
          <w:rFonts w:ascii="宋体" w:hAnsi="宋体" w:cs="宋体" w:eastAsia="宋体" w:hint="default"/>
          <w:sz w:val="18"/>
          <w:szCs w:val="18"/>
        </w:rPr>
      </w:pPr>
    </w:p>
    <w:p>
      <w:pPr>
        <w:pStyle w:val="Heading4"/>
        <w:spacing w:line="240" w:lineRule="auto" w:before="118"/>
        <w:ind w:right="-5"/>
        <w:jc w:val="left"/>
        <w:rPr>
          <w:b w:val="0"/>
          <w:bCs w:val="0"/>
        </w:rPr>
      </w:pPr>
      <w:r>
        <w:rPr>
          <w:rFonts w:ascii="Times New Roman" w:hAnsi="Times New Roman" w:cs="Times New Roman" w:eastAsia="Times New Roman" w:hint="default"/>
          <w:spacing w:val="-1"/>
        </w:rPr>
        <w:t>3</w:t>
      </w:r>
      <w:r>
        <w:rPr>
          <w:spacing w:val="-1"/>
        </w:rPr>
        <w:t>、以现金结算的股份支付情况</w:t>
      </w:r>
      <w:r>
        <w:rPr>
          <w:b w:val="0"/>
          <w:bCs w:val="0"/>
          <w:spacing w:val="-1"/>
        </w:rPr>
      </w:r>
    </w:p>
    <w:p>
      <w:pPr>
        <w:spacing w:before="44"/>
        <w:ind w:left="17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0" w:bottom="280" w:left="960" w:right="0"/>
          <w:cols w:num="2" w:equalWidth="0">
            <w:col w:w="3020" w:space="5809"/>
            <w:col w:w="2121"/>
          </w:cols>
        </w:sectPr>
      </w:pP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0" w:bottom="280" w:left="960" w:right="0"/>
        </w:sectPr>
      </w:pPr>
    </w:p>
    <w:p>
      <w:pPr>
        <w:spacing w:line="240" w:lineRule="auto" w:before="0"/>
        <w:rPr>
          <w:rFonts w:ascii="宋体" w:hAnsi="宋体" w:cs="宋体" w:eastAsia="宋体" w:hint="default"/>
          <w:sz w:val="18"/>
          <w:szCs w:val="18"/>
        </w:rPr>
      </w:pPr>
    </w:p>
    <w:p>
      <w:pPr>
        <w:spacing w:before="161"/>
        <w:ind w:left="172" w:right="-20" w:firstLine="0"/>
        <w:jc w:val="left"/>
        <w:rPr>
          <w:rFonts w:ascii="宋体" w:hAnsi="宋体" w:cs="宋体" w:eastAsia="宋体" w:hint="default"/>
          <w:sz w:val="18"/>
          <w:szCs w:val="18"/>
        </w:rPr>
      </w:pPr>
      <w:r>
        <w:rPr>
          <w:rFonts w:ascii="宋体" w:hAnsi="宋体" w:cs="宋体" w:eastAsia="宋体" w:hint="default"/>
          <w:sz w:val="18"/>
          <w:szCs w:val="18"/>
        </w:rPr>
        <w:t>以现金结算的股份支付的说明</w:t>
      </w:r>
    </w:p>
    <w:p>
      <w:pPr>
        <w:spacing w:line="240" w:lineRule="auto" w:before="0"/>
        <w:rPr>
          <w:rFonts w:ascii="宋体" w:hAnsi="宋体" w:cs="宋体" w:eastAsia="宋体" w:hint="default"/>
          <w:sz w:val="18"/>
          <w:szCs w:val="18"/>
        </w:rPr>
      </w:pPr>
    </w:p>
    <w:p>
      <w:pPr>
        <w:pStyle w:val="Heading4"/>
        <w:spacing w:line="240" w:lineRule="auto" w:before="118"/>
        <w:ind w:right="-20"/>
        <w:jc w:val="left"/>
        <w:rPr>
          <w:b w:val="0"/>
          <w:bCs w:val="0"/>
        </w:rPr>
      </w:pPr>
      <w:r>
        <w:rPr>
          <w:rFonts w:ascii="Times New Roman" w:hAnsi="Times New Roman" w:cs="Times New Roman" w:eastAsia="Times New Roman" w:hint="default"/>
        </w:rPr>
        <w:t>4</w:t>
      </w:r>
      <w:r>
        <w:rPr/>
        <w:t>、以股份支付服务情况</w:t>
      </w:r>
      <w:r>
        <w:rPr>
          <w:b w:val="0"/>
          <w:bCs w:val="0"/>
        </w:rPr>
      </w:r>
    </w:p>
    <w:p>
      <w:pPr>
        <w:spacing w:before="44"/>
        <w:ind w:left="17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0" w:bottom="280" w:left="960" w:right="0"/>
          <w:cols w:num="2" w:equalWidth="0">
            <w:col w:w="2513" w:space="6316"/>
            <w:col w:w="2121"/>
          </w:cols>
        </w:sectPr>
      </w:pPr>
    </w:p>
    <w:p>
      <w:pPr>
        <w:spacing w:line="240" w:lineRule="auto" w:before="12"/>
        <w:rPr>
          <w:rFonts w:ascii="宋体" w:hAnsi="宋体" w:cs="宋体" w:eastAsia="宋体" w:hint="default"/>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、股份支付的修改、终止情况</w:t>
      </w:r>
      <w:r>
        <w:rPr>
          <w:b w:val="0"/>
          <w:bCs w:val="0"/>
        </w:rPr>
      </w:r>
    </w:p>
    <w:p>
      <w:pPr>
        <w:spacing w:line="240" w:lineRule="auto" w:before="10"/>
        <w:rPr>
          <w:rFonts w:ascii="宋体" w:hAnsi="宋体" w:cs="宋体" w:eastAsia="宋体" w:hint="default"/>
          <w:b/>
          <w:bCs/>
          <w:sz w:val="22"/>
          <w:szCs w:val="22"/>
        </w:rPr>
      </w:pPr>
    </w:p>
    <w:p>
      <w:pPr>
        <w:spacing w:line="496" w:lineRule="auto" w:before="0"/>
        <w:ind w:left="172" w:right="6219" w:firstLine="0"/>
        <w:jc w:val="left"/>
        <w:rPr>
          <w:rFonts w:ascii="宋体" w:hAnsi="宋体" w:cs="宋体" w:eastAsia="宋体" w:hint="default"/>
          <w:sz w:val="21"/>
          <w:szCs w:val="21"/>
        </w:rPr>
      </w:pPr>
      <w:r>
        <w:rPr>
          <w:rFonts w:ascii="宋体" w:hAnsi="宋体" w:cs="宋体" w:eastAsia="宋体" w:hint="default"/>
          <w:b/>
          <w:bCs/>
          <w:sz w:val="24"/>
          <w:szCs w:val="24"/>
        </w:rPr>
        <w:t>十一、或有事项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、未决诉讼或仲裁形成的或有负债及其财务影响</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无</w:t>
      </w:r>
    </w:p>
    <w:p>
      <w:pPr>
        <w:pStyle w:val="Heading4"/>
        <w:spacing w:line="240" w:lineRule="auto" w:before="112"/>
        <w:ind w:right="0"/>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5"/>
        <w:rPr>
          <w:rFonts w:ascii="宋体" w:hAnsi="宋体" w:cs="宋体" w:eastAsia="宋体" w:hint="default"/>
          <w:b/>
          <w:bCs/>
          <w:sz w:val="26"/>
          <w:szCs w:val="26"/>
        </w:rPr>
      </w:pPr>
    </w:p>
    <w:p>
      <w:pPr>
        <w:spacing w:line="360" w:lineRule="auto" w:before="0"/>
        <w:ind w:left="172" w:right="8594" w:firstLine="0"/>
        <w:jc w:val="left"/>
        <w:rPr>
          <w:rFonts w:ascii="宋体" w:hAnsi="宋体" w:cs="宋体" w:eastAsia="宋体" w:hint="default"/>
          <w:sz w:val="18"/>
          <w:szCs w:val="18"/>
        </w:rPr>
      </w:pPr>
      <w:r>
        <w:rPr>
          <w:rFonts w:ascii="宋体" w:hAnsi="宋体" w:cs="宋体" w:eastAsia="宋体" w:hint="default"/>
          <w:sz w:val="18"/>
          <w:szCs w:val="18"/>
        </w:rPr>
        <w:t>无 其他或有负债及其财务影响</w:t>
      </w:r>
    </w:p>
    <w:p>
      <w:pPr>
        <w:pStyle w:val="BodyText"/>
        <w:spacing w:line="240" w:lineRule="auto" w:before="4"/>
        <w:ind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日止，本公司未发生影响本财务报表阅读和理解的重大或有事项。</w:t>
      </w:r>
    </w:p>
    <w:p>
      <w:pPr>
        <w:spacing w:after="0" w:line="240" w:lineRule="auto"/>
        <w:jc w:val="left"/>
        <w:sectPr>
          <w:type w:val="continuous"/>
          <w:pgSz w:w="11910" w:h="16840"/>
          <w:pgMar w:top="0" w:bottom="280" w:left="96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十二、承诺事项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6"/>
        <w:rPr>
          <w:rFonts w:ascii="宋体" w:hAnsi="宋体" w:cs="宋体" w:eastAsia="宋体" w:hint="default"/>
          <w:b/>
          <w:bCs/>
          <w:sz w:val="32"/>
          <w:szCs w:val="32"/>
        </w:rPr>
      </w:pPr>
    </w:p>
    <w:p>
      <w:pPr>
        <w:pStyle w:val="BodyText"/>
        <w:spacing w:line="345" w:lineRule="auto"/>
        <w:ind w:right="0" w:firstLine="420"/>
        <w:jc w:val="left"/>
      </w:pP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6</w:t>
      </w:r>
      <w:r>
        <w:rPr>
          <w:spacing w:val="-2"/>
        </w:rPr>
        <w:t>日，公司下属子公司青岛丰东与青岛方源盛机械工程有限公司签订《租赁合同》，向其租</w:t>
      </w:r>
      <w:r>
        <w:rPr>
          <w:w w:val="100"/>
        </w:rPr>
        <w:t> </w:t>
      </w:r>
      <w:r>
        <w:rPr/>
        <w:t>赁厂房</w:t>
      </w:r>
      <w:r>
        <w:rPr>
          <w:rFonts w:ascii="Times New Roman" w:hAnsi="Times New Roman" w:cs="Times New Roman" w:eastAsia="Times New Roman" w:hint="default"/>
        </w:rPr>
        <w:t>1,600</w:t>
      </w:r>
      <w:r>
        <w:rPr/>
        <w:t>平方米，办公用房及生活用地</w:t>
      </w:r>
      <w:r>
        <w:rPr>
          <w:rFonts w:ascii="Times New Roman" w:hAnsi="Times New Roman" w:cs="Times New Roman" w:eastAsia="Times New Roman" w:hint="default"/>
        </w:rPr>
        <w:t>1,400</w:t>
      </w:r>
      <w:r>
        <w:rPr/>
        <w:t>平方米，租赁期限</w:t>
      </w:r>
      <w:r>
        <w:rPr>
          <w:rFonts w:ascii="Times New Roman" w:hAnsi="Times New Roman" w:cs="Times New Roman" w:eastAsia="Times New Roman" w:hint="default"/>
        </w:rPr>
        <w:t>10</w:t>
      </w:r>
      <w:r>
        <w:rPr/>
        <w:t>年，每年租金</w:t>
      </w:r>
      <w:r>
        <w:rPr>
          <w:rFonts w:ascii="Times New Roman" w:hAnsi="Times New Roman" w:cs="Times New Roman" w:eastAsia="Times New Roman" w:hint="default"/>
        </w:rPr>
        <w:t>20</w:t>
      </w:r>
      <w:r>
        <w:rPr/>
        <w:t>万元。</w:t>
      </w:r>
    </w:p>
    <w:p>
      <w:pPr>
        <w:pStyle w:val="BodyText"/>
        <w:spacing w:line="240" w:lineRule="auto" w:before="27"/>
        <w:ind w:left="593" w:right="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日，重庆丰东与重庆市超祥商贸有限公司签订《房屋租赁合同》，向其租赁厂房建筑面积</w:t>
      </w:r>
    </w:p>
    <w:p>
      <w:pPr>
        <w:pStyle w:val="BodyText"/>
        <w:spacing w:line="345" w:lineRule="auto" w:before="129"/>
        <w:ind w:right="0"/>
        <w:jc w:val="left"/>
      </w:pPr>
      <w:r>
        <w:rPr>
          <w:rFonts w:ascii="Times New Roman" w:hAnsi="Times New Roman" w:cs="Times New Roman" w:eastAsia="Times New Roman" w:hint="default"/>
          <w:spacing w:val="-4"/>
        </w:rPr>
        <w:t>4,272</w:t>
      </w:r>
      <w:r>
        <w:rPr>
          <w:spacing w:val="-4"/>
        </w:rPr>
        <w:t>平方米，库房办公楼建筑面积</w:t>
      </w:r>
      <w:r>
        <w:rPr>
          <w:rFonts w:ascii="Times New Roman" w:hAnsi="Times New Roman" w:cs="Times New Roman" w:eastAsia="Times New Roman" w:hint="default"/>
          <w:spacing w:val="-4"/>
        </w:rPr>
        <w:t>1,364</w:t>
      </w:r>
      <w:r>
        <w:rPr>
          <w:spacing w:val="-4"/>
        </w:rPr>
        <w:t>平方米以及厂房周围搭建的临时辅助房</w:t>
      </w:r>
      <w:r>
        <w:rPr>
          <w:rFonts w:ascii="Times New Roman" w:hAnsi="Times New Roman" w:cs="Times New Roman" w:eastAsia="Times New Roman" w:hint="default"/>
          <w:spacing w:val="-4"/>
        </w:rPr>
        <w:t>562</w:t>
      </w:r>
      <w:r>
        <w:rPr>
          <w:spacing w:val="-4"/>
        </w:rPr>
        <w:t>平方米，租赁期限</w:t>
      </w:r>
      <w:r>
        <w:rPr>
          <w:rFonts w:ascii="Times New Roman" w:hAnsi="Times New Roman" w:cs="Times New Roman" w:eastAsia="Times New Roman" w:hint="default"/>
          <w:spacing w:val="-4"/>
        </w:rPr>
        <w:t>10</w:t>
      </w:r>
      <w:r>
        <w:rPr>
          <w:spacing w:val="-4"/>
        </w:rPr>
        <w:t>年，</w:t>
      </w:r>
      <w:r>
        <w:rPr>
          <w:spacing w:val="-24"/>
        </w:rPr>
        <w:t> </w:t>
      </w:r>
      <w:r>
        <w:rPr/>
        <w:t>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日起，厂房及办公楼租金为每月</w:t>
      </w:r>
      <w:r>
        <w:rPr>
          <w:rFonts w:ascii="Times New Roman" w:hAnsi="Times New Roman" w:cs="Times New Roman" w:eastAsia="Times New Roman" w:hint="default"/>
        </w:rPr>
        <w:t>9</w:t>
      </w:r>
      <w:r>
        <w:rPr/>
        <w:t>元</w:t>
      </w:r>
      <w:r>
        <w:rPr>
          <w:rFonts w:ascii="Times New Roman" w:hAnsi="Times New Roman" w:cs="Times New Roman" w:eastAsia="Times New Roman" w:hint="default"/>
        </w:rPr>
        <w:t>/</w:t>
      </w:r>
      <w:r>
        <w:rPr/>
        <w:t>每平方米，辅助用房租金为每月</w:t>
      </w:r>
      <w:r>
        <w:rPr>
          <w:rFonts w:ascii="Times New Roman" w:hAnsi="Times New Roman" w:cs="Times New Roman" w:eastAsia="Times New Roman" w:hint="default"/>
        </w:rPr>
        <w:t>3.5</w:t>
      </w:r>
      <w:r>
        <w:rPr/>
        <w:t>元</w:t>
      </w:r>
      <w:r>
        <w:rPr>
          <w:rFonts w:ascii="Times New Roman" w:hAnsi="Times New Roman" w:cs="Times New Roman" w:eastAsia="Times New Roman" w:hint="default"/>
        </w:rPr>
        <w:t>/</w:t>
      </w:r>
      <w:r>
        <w:rPr/>
        <w:t>每平方米。</w:t>
      </w:r>
    </w:p>
    <w:p>
      <w:pPr>
        <w:pStyle w:val="BodyText"/>
        <w:spacing w:line="348" w:lineRule="auto" w:before="27"/>
        <w:ind w:right="1124" w:firstLine="420"/>
        <w:jc w:val="left"/>
      </w:pP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日止，除上述承诺事项外公司未发生其他影响本财务报表阅读和理解的重大承诺事</w:t>
      </w:r>
      <w:r>
        <w:rPr>
          <w:w w:val="100"/>
        </w:rPr>
        <w:t> </w:t>
      </w:r>
      <w:r>
        <w:rPr/>
        <w:t>项。</w:t>
      </w:r>
    </w:p>
    <w:p>
      <w:pPr>
        <w:spacing w:line="240" w:lineRule="auto" w:before="12"/>
        <w:rPr>
          <w:rFonts w:ascii="宋体" w:hAnsi="宋体" w:cs="宋体" w:eastAsia="宋体" w:hint="default"/>
          <w:sz w:val="18"/>
          <w:szCs w:val="18"/>
        </w:rPr>
      </w:pPr>
    </w:p>
    <w:p>
      <w:pPr>
        <w:spacing w:line="487" w:lineRule="auto" w:before="0"/>
        <w:ind w:left="172" w:right="64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w w:val="100"/>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、重要的资产负债表日后事项说明</w:t>
      </w:r>
      <w:r>
        <w:rPr>
          <w:rFonts w:ascii="宋体" w:hAnsi="宋体" w:cs="宋体" w:eastAsia="宋体" w:hint="default"/>
          <w:spacing w:val="-1"/>
          <w:sz w:val="21"/>
          <w:szCs w:val="21"/>
        </w:rPr>
      </w:r>
    </w:p>
    <w:p>
      <w:pPr>
        <w:spacing w:before="10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392"/>
        <w:gridCol w:w="2391"/>
        <w:gridCol w:w="2393"/>
        <w:gridCol w:w="2393"/>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10" w:right="111"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16,080,000.00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16,080,000.00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6"/>
        <w:rPr>
          <w:rFonts w:ascii="宋体" w:hAnsi="宋体" w:cs="宋体" w:eastAsia="宋体" w:hint="default"/>
          <w:b/>
          <w:bCs/>
          <w:sz w:val="32"/>
          <w:szCs w:val="32"/>
        </w:rPr>
      </w:pPr>
    </w:p>
    <w:p>
      <w:pPr>
        <w:pStyle w:val="BodyText"/>
        <w:spacing w:line="345" w:lineRule="auto"/>
        <w:ind w:right="1125" w:firstLine="420"/>
        <w:jc w:val="left"/>
      </w:pPr>
      <w:r>
        <w:rPr/>
        <w:t>除上述事项外，截至本财务报表签发日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 </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，本公司未发生其他影响本财务报表阅读和</w:t>
      </w:r>
      <w:r>
        <w:rPr>
          <w:w w:val="100"/>
        </w:rPr>
        <w:t> </w:t>
      </w:r>
      <w:r>
        <w:rPr/>
        <w:t>理解的重大资产负债表日后事项。</w:t>
      </w:r>
    </w:p>
    <w:p>
      <w:pPr>
        <w:spacing w:after="0" w:line="345" w:lineRule="auto"/>
        <w:jc w:val="left"/>
        <w:sectPr>
          <w:pgSz w:w="11910" w:h="16840"/>
          <w:pgMar w:header="706" w:footer="1286" w:top="1060" w:bottom="1480" w:left="96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十四、其他重要事项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960"/>
        <w:gridCol w:w="1520"/>
        <w:gridCol w:w="1524"/>
        <w:gridCol w:w="1522"/>
        <w:gridCol w:w="1522"/>
        <w:gridCol w:w="1522"/>
      </w:tblGrid>
      <w:tr>
        <w:trPr>
          <w:trHeight w:val="714"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78"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7" w:right="34"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1"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3" w:hRule="exact"/>
        </w:trPr>
        <w:tc>
          <w:tcPr>
            <w:tcW w:w="19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1963"/>
        <w:gridCol w:w="1531"/>
        <w:gridCol w:w="1511"/>
        <w:gridCol w:w="1511"/>
        <w:gridCol w:w="1523"/>
        <w:gridCol w:w="1517"/>
      </w:tblGrid>
      <w:tr>
        <w:trPr>
          <w:trHeight w:val="161" w:hRule="exact"/>
        </w:trPr>
        <w:tc>
          <w:tcPr>
            <w:tcW w:w="19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67"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5" w:right="27"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1" w:type="dxa"/>
            <w:vMerge/>
            <w:tcBorders>
              <w:left w:val="single" w:sz="4" w:space="0" w:color="000000"/>
              <w:right w:val="single" w:sz="4" w:space="0" w:color="000000"/>
            </w:tcBorders>
            <w:shd w:val="clear" w:color="auto" w:fill="D2D2D2"/>
          </w:tcPr>
          <w:p>
            <w:pPr/>
          </w:p>
        </w:tc>
        <w:tc>
          <w:tcPr>
            <w:tcW w:w="1511" w:type="dxa"/>
            <w:vMerge/>
            <w:tcBorders>
              <w:left w:val="single" w:sz="4" w:space="0" w:color="000000"/>
              <w:right w:val="single" w:sz="4" w:space="0" w:color="000000"/>
            </w:tcBorders>
            <w:shd w:val="clear" w:color="auto" w:fill="D2D2D2"/>
          </w:tcPr>
          <w:p>
            <w:pPr/>
          </w:p>
        </w:tc>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9"/>
        <w:rPr>
          <w:rFonts w:ascii="宋体" w:hAnsi="宋体" w:cs="宋体" w:eastAsia="宋体" w:hint="default"/>
          <w:b/>
          <w:bCs/>
          <w:sz w:val="32"/>
          <w:szCs w:val="32"/>
        </w:rPr>
      </w:pPr>
    </w:p>
    <w:p>
      <w:pPr>
        <w:pStyle w:val="BodyText"/>
        <w:spacing w:line="345" w:lineRule="auto"/>
        <w:ind w:right="1208" w:firstLine="420"/>
        <w:jc w:val="both"/>
      </w:pP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日止，公司下属子公司盐城丰东特种炉业有限公司将位于大丰市开发区昌平路</w:t>
      </w:r>
      <w:r>
        <w:rPr>
          <w:rFonts w:ascii="Times New Roman" w:hAnsi="Times New Roman" w:cs="Times New Roman" w:eastAsia="Times New Roman" w:hint="default"/>
          <w:spacing w:val="-2"/>
        </w:rPr>
        <w:t>7</w:t>
      </w:r>
      <w:r>
        <w:rPr>
          <w:spacing w:val="-2"/>
        </w:rPr>
        <w:t>号</w:t>
      </w:r>
      <w:r>
        <w:rPr>
          <w:w w:val="100"/>
        </w:rPr>
        <w:t> </w:t>
      </w:r>
      <w:r>
        <w:rPr>
          <w:spacing w:val="-2"/>
        </w:rPr>
        <w:t>的自有房产及土地使用权，抵押给江苏大丰农村商业银行，取得期末</w:t>
      </w:r>
      <w:r>
        <w:rPr>
          <w:rFonts w:ascii="Times New Roman" w:hAnsi="Times New Roman" w:cs="Times New Roman" w:eastAsia="Times New Roman" w:hint="default"/>
          <w:spacing w:val="-2"/>
        </w:rPr>
        <w:t>700</w:t>
      </w:r>
      <w:r>
        <w:rPr>
          <w:spacing w:val="-2"/>
        </w:rPr>
        <w:t>万元流动资金抵押借款，抵押期</w:t>
      </w:r>
      <w:r>
        <w:rPr>
          <w:spacing w:val="-20"/>
        </w:rPr>
        <w:t> </w:t>
      </w:r>
      <w:r>
        <w:rPr>
          <w:spacing w:val="-20"/>
        </w:rPr>
      </w:r>
      <w:r>
        <w:rPr/>
        <w:t>限为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w:t>
      </w:r>
    </w:p>
    <w:p>
      <w:pPr>
        <w:pStyle w:val="BodyText"/>
        <w:spacing w:line="345" w:lineRule="auto" w:before="27"/>
        <w:ind w:right="1126" w:firstLine="420"/>
        <w:jc w:val="both"/>
      </w:pP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日止，除上述重要事项外公司未发生其他影响本财务报表阅读和理解的其他重要事</w:t>
      </w:r>
      <w:r>
        <w:rPr>
          <w:w w:val="100"/>
        </w:rPr>
        <w:t> </w:t>
      </w:r>
      <w:r>
        <w:rPr/>
        <w:t>项。</w:t>
      </w:r>
    </w:p>
    <w:p>
      <w:pPr>
        <w:spacing w:after="0" w:line="345" w:lineRule="auto"/>
        <w:jc w:val="both"/>
        <w:sectPr>
          <w:pgSz w:w="11910" w:h="16840"/>
          <w:pgMar w:header="706" w:footer="1286" w:top="1060" w:bottom="1480" w:left="96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000"/>
        <w:gridCol w:w="1193"/>
        <w:gridCol w:w="631"/>
        <w:gridCol w:w="1229"/>
        <w:gridCol w:w="666"/>
        <w:gridCol w:w="1195"/>
        <w:gridCol w:w="665"/>
        <w:gridCol w:w="1328"/>
        <w:gridCol w:w="665"/>
      </w:tblGrid>
      <w:tr>
        <w:trPr>
          <w:trHeight w:val="398" w:hRule="exact"/>
        </w:trPr>
        <w:tc>
          <w:tcPr>
            <w:tcW w:w="2000" w:type="dxa"/>
            <w:vMerge w:val="restart"/>
            <w:tcBorders>
              <w:top w:val="single" w:sz="4" w:space="0" w:color="000000"/>
              <w:left w:val="single" w:sz="4" w:space="0" w:color="000000"/>
              <w:right w:val="single" w:sz="4" w:space="0" w:color="000000"/>
            </w:tcBorders>
            <w:shd w:val="clear" w:color="auto" w:fill="D2D2D2"/>
          </w:tcPr>
          <w:p>
            <w:pP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8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9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8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0"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23" w:type="dxa"/>
            <w:gridSpan w:val="2"/>
            <w:vMerge/>
            <w:tcBorders>
              <w:left w:val="single" w:sz="4" w:space="0" w:color="000000"/>
              <w:bottom w:val="single" w:sz="4" w:space="0" w:color="000000"/>
              <w:right w:val="single" w:sz="4" w:space="0" w:color="000000"/>
            </w:tcBorders>
            <w:shd w:val="clear" w:color="auto" w:fill="D2D2D2"/>
          </w:tcPr>
          <w:p>
            <w:pPr/>
          </w:p>
        </w:tc>
        <w:tc>
          <w:tcPr>
            <w:tcW w:w="1895" w:type="dxa"/>
            <w:gridSpan w:val="2"/>
            <w:vMerge/>
            <w:tcBorders>
              <w:left w:val="single" w:sz="4" w:space="0" w:color="000000"/>
              <w:bottom w:val="single" w:sz="4" w:space="0" w:color="000000"/>
              <w:right w:val="single" w:sz="4" w:space="0" w:color="000000"/>
            </w:tcBorders>
            <w:shd w:val="clear" w:color="auto" w:fill="D2D2D2"/>
          </w:tcPr>
          <w:p>
            <w:pPr/>
          </w:p>
        </w:tc>
        <w:tc>
          <w:tcPr>
            <w:tcW w:w="1859" w:type="dxa"/>
            <w:gridSpan w:val="2"/>
            <w:vMerge/>
            <w:tcBorders>
              <w:left w:val="single" w:sz="4" w:space="0" w:color="000000"/>
              <w:bottom w:val="single" w:sz="4" w:space="0" w:color="000000"/>
              <w:right w:val="single" w:sz="4" w:space="0" w:color="000000"/>
            </w:tcBorders>
            <w:shd w:val="clear" w:color="auto" w:fill="D2D2D2"/>
          </w:tcPr>
          <w:p>
            <w:pPr/>
          </w:p>
        </w:tc>
        <w:tc>
          <w:tcPr>
            <w:tcW w:w="1993" w:type="dxa"/>
            <w:gridSpan w:val="2"/>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6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79" w:right="0"/>
              <w:jc w:val="left"/>
              <w:rPr>
                <w:rFonts w:ascii="Times New Roman" w:hAnsi="Times New Roman" w:cs="Times New Roman" w:eastAsia="Times New Roman" w:hint="default"/>
                <w:sz w:val="18"/>
                <w:szCs w:val="18"/>
              </w:rPr>
            </w:pPr>
            <w:r>
              <w:rPr>
                <w:rFonts w:ascii="Times New Roman"/>
                <w:sz w:val="18"/>
              </w:rPr>
              <w:t>(%)</w:t>
            </w:r>
          </w:p>
        </w:tc>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395" w:hRule="exact"/>
        </w:trPr>
        <w:tc>
          <w:tcPr>
            <w:tcW w:w="2000" w:type="dxa"/>
            <w:vMerge w:val="restart"/>
            <w:tcBorders>
              <w:top w:val="nil" w:sz="6" w:space="0" w:color="auto"/>
              <w:left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1" w:type="dxa"/>
            <w:vMerge/>
            <w:tcBorders>
              <w:left w:val="single" w:sz="4" w:space="0" w:color="000000"/>
              <w:right w:val="single" w:sz="4" w:space="0" w:color="000000"/>
            </w:tcBorders>
            <w:shd w:val="clear" w:color="auto" w:fill="D2D2D2"/>
          </w:tcPr>
          <w:p>
            <w:pPr/>
          </w:p>
        </w:tc>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6" w:type="dxa"/>
            <w:vMerge/>
            <w:tcBorders>
              <w:left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2D2D2"/>
          </w:tcPr>
          <w:p>
            <w:pPr/>
          </w:p>
        </w:tc>
      </w:tr>
      <w:tr>
        <w:trPr>
          <w:trHeight w:val="161"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631" w:type="dxa"/>
            <w:vMerge/>
            <w:tcBorders>
              <w:left w:val="single" w:sz="4" w:space="0" w:color="000000"/>
              <w:bottom w:val="single" w:sz="4" w:space="0" w:color="000000"/>
              <w:right w:val="single" w:sz="4" w:space="0" w:color="000000"/>
            </w:tcBorders>
            <w:shd w:val="clear" w:color="auto" w:fill="D2D2D2"/>
          </w:tcPr>
          <w:p>
            <w:pPr/>
          </w:p>
        </w:tc>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193" w:type="dxa"/>
            <w:tcBorders>
              <w:top w:val="single" w:sz="4" w:space="0" w:color="000000"/>
              <w:left w:val="single" w:sz="9" w:space="0" w:color="D2D2D2"/>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1,115,100.00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150,755.00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13.52%</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49,797,488.29</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70.95%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1,988,217.93</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38,982,595.56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995,534.38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17,254,929.38</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24.58%</w:t>
            </w:r>
          </w:p>
        </w:tc>
        <w:tc>
          <w:tcPr>
            <w:tcW w:w="122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15,611,642.13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26.27%</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67,052,417.67</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95.53%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1,988,217.93</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54,594,237.69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91.87%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995,534.38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w:t>
            </w:r>
          </w:p>
        </w:tc>
      </w:tr>
      <w:tr>
        <w:trPr>
          <w:trHeight w:val="1027"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3,135,291.39</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4.47%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2,416,854.16</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77.09%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3,716,441.57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3,073,841.57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82.71%</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70,187,709.06</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22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4,405,072.09</w:t>
            </w:r>
          </w:p>
        </w:tc>
        <w:tc>
          <w:tcPr>
            <w:tcW w:w="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59,425,779.26</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4,220,130.95</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06" w:footer="1286" w:top="1060" w:bottom="1480" w:left="960" w:right="0"/>
        </w:sectPr>
      </w:pPr>
    </w:p>
    <w:p>
      <w:pPr>
        <w:spacing w:line="360" w:lineRule="auto" w:before="49"/>
        <w:ind w:left="172" w:right="23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无</w:t>
      </w:r>
    </w:p>
    <w:p>
      <w:pPr>
        <w:spacing w:before="27"/>
        <w:ind w:left="17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7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组合中，采用账龄分析法计提坏账准备的应收账款</w:t>
      </w:r>
    </w:p>
    <w:p>
      <w:pPr>
        <w:spacing w:before="39"/>
        <w:ind w:left="172" w:right="23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0" w:bottom="280" w:left="960" w:right="0"/>
          <w:cols w:num="2" w:equalWidth="0">
            <w:col w:w="4133" w:space="4696"/>
            <w:col w:w="2121"/>
          </w:cols>
        </w:sectPr>
      </w:pPr>
    </w:p>
    <w:p>
      <w:pPr>
        <w:spacing w:line="240" w:lineRule="auto" w:before="4"/>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1066"/>
        <w:gridCol w:w="187"/>
        <w:gridCol w:w="1796"/>
        <w:gridCol w:w="904"/>
        <w:gridCol w:w="1227"/>
        <w:gridCol w:w="2120"/>
        <w:gridCol w:w="907"/>
        <w:gridCol w:w="1352"/>
      </w:tblGrid>
      <w:tr>
        <w:trPr>
          <w:trHeight w:val="401" w:hRule="exact"/>
        </w:trPr>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3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8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2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066" w:type="dxa"/>
            <w:vMerge/>
            <w:tcBorders>
              <w:left w:val="single" w:sz="4" w:space="0" w:color="000000"/>
              <w:bottom w:val="nil" w:sz="6" w:space="0" w:color="auto"/>
              <w:right w:val="single" w:sz="4" w:space="0" w:color="000000"/>
            </w:tcBorders>
            <w:shd w:val="clear" w:color="auto" w:fill="D2D2D2"/>
          </w:tcPr>
          <w:p>
            <w:pPr/>
          </w:p>
        </w:tc>
        <w:tc>
          <w:tcPr>
            <w:tcW w:w="2887" w:type="dxa"/>
            <w:gridSpan w:val="3"/>
            <w:vMerge/>
            <w:tcBorders>
              <w:left w:val="single" w:sz="4" w:space="0" w:color="000000"/>
              <w:bottom w:val="single" w:sz="4" w:space="0" w:color="000000"/>
              <w:right w:val="single" w:sz="4" w:space="0" w:color="000000"/>
            </w:tcBorders>
            <w:shd w:val="clear" w:color="auto" w:fill="D2D2D2"/>
          </w:tcPr>
          <w:p>
            <w:pPr/>
          </w:p>
        </w:tc>
        <w:tc>
          <w:tcPr>
            <w:tcW w:w="12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027" w:type="dxa"/>
            <w:gridSpan w:val="2"/>
            <w:vMerge/>
            <w:tcBorders>
              <w:left w:val="single" w:sz="4" w:space="0" w:color="000000"/>
              <w:bottom w:val="single" w:sz="4" w:space="0" w:color="000000"/>
              <w:right w:val="single" w:sz="4" w:space="0" w:color="000000"/>
            </w:tcBorders>
            <w:shd w:val="clear" w:color="auto" w:fill="D2D2D2"/>
          </w:tcPr>
          <w:p>
            <w:pPr/>
          </w:p>
        </w:tc>
        <w:tc>
          <w:tcPr>
            <w:tcW w:w="13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7" w:hRule="exact"/>
        </w:trPr>
        <w:tc>
          <w:tcPr>
            <w:tcW w:w="1066" w:type="dxa"/>
            <w:vMerge w:val="restart"/>
            <w:tcBorders>
              <w:top w:val="nil" w:sz="6" w:space="0" w:color="auto"/>
              <w:left w:val="single" w:sz="4" w:space="0" w:color="000000"/>
              <w:right w:val="single" w:sz="4" w:space="0" w:color="000000"/>
            </w:tcBorders>
            <w:shd w:val="clear" w:color="auto" w:fill="D2D2D2"/>
          </w:tcPr>
          <w:p>
            <w:pPr/>
          </w:p>
        </w:tc>
        <w:tc>
          <w:tcPr>
            <w:tcW w:w="19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金额</w:t>
            </w:r>
          </w:p>
        </w:tc>
        <w:tc>
          <w:tcPr>
            <w:tcW w:w="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27" w:type="dxa"/>
            <w:vMerge/>
            <w:tcBorders>
              <w:left w:val="single" w:sz="4" w:space="0" w:color="000000"/>
              <w:bottom w:val="nil" w:sz="6" w:space="0" w:color="auto"/>
              <w:right w:val="single" w:sz="4" w:space="0" w:color="000000"/>
            </w:tcBorders>
            <w:shd w:val="clear" w:color="auto" w:fill="D2D2D2"/>
          </w:tcPr>
          <w:p>
            <w:pPr/>
          </w:p>
        </w:tc>
        <w:tc>
          <w:tcPr>
            <w:tcW w:w="21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52" w:type="dxa"/>
            <w:vMerge/>
            <w:tcBorders>
              <w:left w:val="single" w:sz="4" w:space="0" w:color="000000"/>
              <w:bottom w:val="nil" w:sz="6" w:space="0" w:color="auto"/>
              <w:right w:val="single" w:sz="4" w:space="0" w:color="000000"/>
            </w:tcBorders>
            <w:shd w:val="clear" w:color="auto" w:fill="D2D2D2"/>
          </w:tcPr>
          <w:p>
            <w:pPr/>
          </w:p>
        </w:tc>
      </w:tr>
      <w:tr>
        <w:trPr>
          <w:trHeight w:val="209"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983" w:type="dxa"/>
            <w:gridSpan w:val="2"/>
            <w:vMerge/>
            <w:tcBorders>
              <w:left w:val="single" w:sz="4" w:space="0" w:color="000000"/>
              <w:bottom w:val="single" w:sz="4" w:space="0" w:color="000000"/>
              <w:right w:val="single" w:sz="4" w:space="0" w:color="000000"/>
            </w:tcBorders>
            <w:shd w:val="clear" w:color="auto" w:fill="D2D2D2"/>
          </w:tcPr>
          <w:p>
            <w:pPr/>
          </w:p>
        </w:tc>
        <w:tc>
          <w:tcPr>
            <w:tcW w:w="904" w:type="dxa"/>
            <w:vMerge/>
            <w:tcBorders>
              <w:left w:val="single" w:sz="4" w:space="0" w:color="000000"/>
              <w:bottom w:val="single" w:sz="4" w:space="0" w:color="000000"/>
              <w:right w:val="single" w:sz="4" w:space="0" w:color="000000"/>
            </w:tcBorders>
            <w:shd w:val="clear" w:color="auto" w:fill="D2D2D2"/>
          </w:tcPr>
          <w:p>
            <w:pPr/>
          </w:p>
        </w:tc>
        <w:tc>
          <w:tcPr>
            <w:tcW w:w="1227"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0"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13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5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2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w:t>
            </w:r>
          </w:p>
        </w:tc>
        <w:tc>
          <w:tcPr>
            <w:tcW w:w="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2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29,213,432.32</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58.66%</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146,067.16</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27,574,572.09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70.74%</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137,641.55</w:t>
            </w:r>
          </w:p>
        </w:tc>
      </w:tr>
      <w:tr>
        <w:trPr>
          <w:trHeight w:val="401" w:hRule="exact"/>
        </w:trPr>
        <w:tc>
          <w:tcPr>
            <w:tcW w:w="12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14,921,734.78</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29.96%</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746,086.74</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8,565,514.46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21.97%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428,275.72</w:t>
            </w:r>
          </w:p>
        </w:tc>
      </w:tr>
      <w:tr>
        <w:trPr>
          <w:trHeight w:val="403" w:hRule="exact"/>
        </w:trPr>
        <w:tc>
          <w:tcPr>
            <w:tcW w:w="12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5,073,619.07</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10.19%</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507,361.91</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2,680,991.01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6.88%</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268,099.11</w:t>
            </w:r>
          </w:p>
        </w:tc>
      </w:tr>
      <w:tr>
        <w:trPr>
          <w:trHeight w:val="401" w:hRule="exact"/>
        </w:trPr>
        <w:tc>
          <w:tcPr>
            <w:tcW w:w="12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588,702.12</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1.19%</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588,702.12</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161,518.00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161,518.00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0" w:bottom="280" w:left="960" w:right="0"/>
        </w:sectPr>
      </w:pPr>
    </w:p>
    <w:p>
      <w:pPr>
        <w:spacing w:line="240" w:lineRule="auto" w:before="6"/>
        <w:rPr>
          <w:rFonts w:ascii="宋体" w:hAnsi="宋体" w:cs="宋体" w:eastAsia="宋体" w:hint="default"/>
          <w:sz w:val="28"/>
          <w:szCs w:val="28"/>
        </w:rPr>
      </w:pPr>
    </w:p>
    <w:tbl>
      <w:tblPr>
        <w:tblW w:w="0" w:type="auto"/>
        <w:jc w:val="left"/>
        <w:tblInd w:w="169" w:type="dxa"/>
        <w:tblLayout w:type="fixed"/>
        <w:tblCellMar>
          <w:top w:w="0" w:type="dxa"/>
          <w:left w:w="0" w:type="dxa"/>
          <w:bottom w:w="0" w:type="dxa"/>
          <w:right w:w="0" w:type="dxa"/>
        </w:tblCellMar>
        <w:tblLook w:val="01E0"/>
      </w:tblPr>
      <w:tblGrid>
        <w:gridCol w:w="1276"/>
        <w:gridCol w:w="1784"/>
        <w:gridCol w:w="910"/>
        <w:gridCol w:w="1215"/>
        <w:gridCol w:w="2138"/>
        <w:gridCol w:w="890"/>
        <w:gridCol w:w="1357"/>
      </w:tblGrid>
      <w:tr>
        <w:trPr>
          <w:trHeight w:val="40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sz w:val="18"/>
              </w:rPr>
              <w:t>49,797,488.29</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7" w:right="0"/>
              <w:jc w:val="left"/>
              <w:rPr>
                <w:rFonts w:ascii="Times New Roman" w:hAnsi="Times New Roman" w:cs="Times New Roman" w:eastAsia="Times New Roman" w:hint="default"/>
                <w:sz w:val="18"/>
                <w:szCs w:val="18"/>
              </w:rPr>
            </w:pPr>
            <w:r>
              <w:rPr>
                <w:rFonts w:ascii="Times New Roman"/>
                <w:sz w:val="18"/>
              </w:rPr>
              <w:t>1,988,217.93</w:t>
            </w:r>
          </w:p>
        </w:tc>
        <w:tc>
          <w:tcPr>
            <w:tcW w:w="213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38,982,595.56</w:t>
            </w:r>
          </w:p>
        </w:tc>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04" w:right="0"/>
              <w:jc w:val="left"/>
              <w:rPr>
                <w:rFonts w:ascii="Times New Roman" w:hAnsi="Times New Roman" w:cs="Times New Roman" w:eastAsia="Times New Roman" w:hint="default"/>
                <w:sz w:val="18"/>
                <w:szCs w:val="18"/>
              </w:rPr>
            </w:pPr>
            <w:r>
              <w:rPr>
                <w:rFonts w:ascii="Times New Roman"/>
                <w:sz w:val="18"/>
              </w:rPr>
              <w:t>995,534.38</w:t>
            </w:r>
          </w:p>
        </w:tc>
      </w:tr>
    </w:tbl>
    <w:p>
      <w:pPr>
        <w:spacing w:after="0" w:line="240" w:lineRule="auto"/>
        <w:jc w:val="left"/>
        <w:rPr>
          <w:rFonts w:ascii="Times New Roman" w:hAnsi="Times New Roman" w:cs="Times New Roman" w:eastAsia="Times New Roman" w:hint="default"/>
          <w:sz w:val="18"/>
          <w:szCs w:val="18"/>
        </w:rPr>
        <w:sectPr>
          <w:pgSz w:w="11910" w:h="16840"/>
          <w:pgMar w:header="706" w:footer="1286" w:top="1060" w:bottom="1480" w:left="960" w:right="0"/>
        </w:sectPr>
      </w:pPr>
    </w:p>
    <w:p>
      <w:pPr>
        <w:spacing w:before="49"/>
        <w:ind w:left="172"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172" w:right="3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before="39"/>
        <w:ind w:left="17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0" w:bottom="280" w:left="960" w:right="0"/>
          <w:cols w:num="2" w:equalWidth="0">
            <w:col w:w="4313" w:space="4516"/>
            <w:col w:w="2121"/>
          </w:cols>
        </w:sectPr>
      </w:pP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061"/>
        <w:gridCol w:w="3255"/>
        <w:gridCol w:w="3255"/>
      </w:tblGrid>
      <w:tr>
        <w:trPr>
          <w:trHeight w:val="401"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经减值测试不需计提坏账准备的组合</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17,254,929.38</w:t>
            </w:r>
          </w:p>
        </w:tc>
        <w:tc>
          <w:tcPr>
            <w:tcW w:w="32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17,254,929.38</w:t>
            </w:r>
          </w:p>
        </w:tc>
        <w:tc>
          <w:tcPr>
            <w:tcW w:w="325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0" w:bottom="280" w:left="960" w:right="0"/>
        </w:sectPr>
      </w:pPr>
    </w:p>
    <w:p>
      <w:pPr>
        <w:spacing w:before="49"/>
        <w:ind w:left="172" w:right="-20" w:firstLine="0"/>
        <w:jc w:val="left"/>
        <w:rPr>
          <w:rFonts w:ascii="宋体" w:hAnsi="宋体" w:cs="宋体" w:eastAsia="宋体" w:hint="default"/>
          <w:sz w:val="18"/>
          <w:szCs w:val="18"/>
        </w:rPr>
      </w:pPr>
      <w:r>
        <w:rPr>
          <w:rFonts w:ascii="宋体" w:hAnsi="宋体" w:cs="宋体" w:eastAsia="宋体" w:hint="default"/>
          <w:sz w:val="18"/>
          <w:szCs w:val="18"/>
        </w:rPr>
        <w:t>期末单项金额虽不重大但单项计提坏账准备的应收账款</w:t>
      </w:r>
    </w:p>
    <w:p>
      <w:pPr>
        <w:spacing w:before="118"/>
        <w:ind w:left="17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0" w:bottom="280" w:left="960" w:right="0"/>
          <w:cols w:num="2" w:equalWidth="0">
            <w:col w:w="4493" w:space="4336"/>
            <w:col w:w="2121"/>
          </w:cols>
        </w:sectPr>
      </w:pP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916"/>
        <w:gridCol w:w="1630"/>
        <w:gridCol w:w="1558"/>
        <w:gridCol w:w="1419"/>
        <w:gridCol w:w="3051"/>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00" w:lineRule="auto"/>
              <w:ind w:left="23" w:right="21"/>
              <w:jc w:val="left"/>
              <w:rPr>
                <w:rFonts w:ascii="宋体" w:hAnsi="宋体" w:cs="宋体" w:eastAsia="宋体" w:hint="default"/>
                <w:sz w:val="18"/>
                <w:szCs w:val="18"/>
              </w:rPr>
            </w:pPr>
            <w:r>
              <w:rPr>
                <w:rFonts w:ascii="宋体" w:hAnsi="宋体" w:cs="宋体" w:eastAsia="宋体" w:hint="default"/>
                <w:sz w:val="18"/>
                <w:szCs w:val="18"/>
              </w:rPr>
              <w:t>账龄虽未达到</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年以上，但经多次催讨</w:t>
            </w:r>
            <w:r>
              <w:rPr>
                <w:rFonts w:ascii="宋体" w:hAnsi="宋体" w:cs="宋体" w:eastAsia="宋体" w:hint="default"/>
                <w:sz w:val="18"/>
                <w:szCs w:val="18"/>
              </w:rPr>
              <w:t> 未果，因此按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计提坏账准备。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3051" w:type="dxa"/>
            <w:vMerge/>
            <w:tcBorders>
              <w:left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3051" w:type="dxa"/>
            <w:vMerge/>
            <w:tcBorders>
              <w:left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3051" w:type="dxa"/>
            <w:vMerge/>
            <w:tcBorders>
              <w:left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205,500.00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205,500.00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3051" w:type="dxa"/>
            <w:vMerge/>
            <w:tcBorders>
              <w:left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其他客户</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321,403.30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321,403.30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3051" w:type="dxa"/>
            <w:vMerge/>
            <w:tcBorders>
              <w:left w:val="single" w:sz="4" w:space="0" w:color="000000"/>
              <w:bottom w:val="single" w:sz="4" w:space="0" w:color="000000"/>
              <w:right w:val="single" w:sz="4" w:space="0" w:color="000000"/>
            </w:tcBorders>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398,160.00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320,260.00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80.44%</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00" w:lineRule="auto"/>
              <w:ind w:left="23" w:right="134"/>
              <w:jc w:val="left"/>
              <w:rPr>
                <w:rFonts w:ascii="宋体" w:hAnsi="宋体" w:cs="宋体" w:eastAsia="宋体" w:hint="default"/>
                <w:sz w:val="18"/>
                <w:szCs w:val="18"/>
              </w:rPr>
            </w:pPr>
            <w:r>
              <w:rPr>
                <w:rFonts w:ascii="宋体" w:hAnsi="宋体" w:cs="宋体" w:eastAsia="宋体" w:hint="default"/>
                <w:sz w:val="18"/>
                <w:szCs w:val="18"/>
              </w:rPr>
              <w:t>账龄虽未达到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年，但经多次催讨未 果，因此加大坏账计提比例</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945,982.00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42.28%</w:t>
            </w:r>
          </w:p>
        </w:tc>
        <w:tc>
          <w:tcPr>
            <w:tcW w:w="3051" w:type="dxa"/>
            <w:vMerge/>
            <w:tcBorders>
              <w:left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124,600.00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100,258.00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80.46%</w:t>
            </w:r>
          </w:p>
        </w:tc>
        <w:tc>
          <w:tcPr>
            <w:tcW w:w="3051" w:type="dxa"/>
            <w:vMerge/>
            <w:tcBorders>
              <w:left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其他客户</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345,646.09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275,432.86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79.69%</w:t>
            </w:r>
          </w:p>
        </w:tc>
        <w:tc>
          <w:tcPr>
            <w:tcW w:w="3051" w:type="dxa"/>
            <w:vMerge/>
            <w:tcBorders>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3,135,291.39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2,416,854.16</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932"/>
        <w:gridCol w:w="1935"/>
        <w:gridCol w:w="1935"/>
        <w:gridCol w:w="1933"/>
        <w:gridCol w:w="1834"/>
      </w:tblGrid>
      <w:tr>
        <w:trPr>
          <w:trHeight w:val="403" w:hRule="exact"/>
        </w:trPr>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1"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35"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after="0"/>
        <w:jc w:val="left"/>
        <w:rPr>
          <w:rFonts w:ascii="宋体" w:hAnsi="宋体" w:cs="宋体" w:eastAsia="宋体" w:hint="default"/>
          <w:sz w:val="18"/>
          <w:szCs w:val="18"/>
        </w:rPr>
        <w:sectPr>
          <w:type w:val="continuous"/>
          <w:pgSz w:w="11910" w:h="16840"/>
          <w:pgMar w:top="0" w:bottom="280" w:left="96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145,299.15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其他客户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409,754.98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1,583,034.13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72" w:right="9314" w:firstLine="0"/>
        <w:jc w:val="left"/>
        <w:rPr>
          <w:rFonts w:ascii="宋体" w:hAnsi="宋体" w:cs="宋体" w:eastAsia="宋体" w:hint="default"/>
          <w:sz w:val="18"/>
          <w:szCs w:val="18"/>
        </w:rPr>
      </w:pPr>
      <w:r>
        <w:rPr>
          <w:rFonts w:ascii="宋体" w:hAnsi="宋体" w:cs="宋体" w:eastAsia="宋体" w:hint="default"/>
          <w:sz w:val="18"/>
          <w:szCs w:val="18"/>
        </w:rPr>
        <w:t>应收账款核销说明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526"/>
        <w:gridCol w:w="1726"/>
        <w:gridCol w:w="1594"/>
        <w:gridCol w:w="1863"/>
        <w:gridCol w:w="1860"/>
      </w:tblGrid>
      <w:tr>
        <w:trPr>
          <w:trHeight w:val="402"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4"/>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5,397,000.00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2,901,000.00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2,813,861.11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盐城高周波热炼有限公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合营公司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2,169,300.00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w:t>
            </w:r>
          </w:p>
        </w:tc>
      </w:tr>
    </w:tbl>
    <w:p>
      <w:pPr>
        <w:spacing w:after="0" w:line="240" w:lineRule="auto"/>
        <w:jc w:val="right"/>
        <w:rPr>
          <w:rFonts w:ascii="Times New Roman" w:hAnsi="Times New Roman" w:cs="Times New Roman" w:eastAsia="Times New Roman" w:hint="default"/>
          <w:sz w:val="18"/>
          <w:szCs w:val="18"/>
        </w:rPr>
        <w:sectPr>
          <w:pgSz w:w="11910" w:h="16840"/>
          <w:pgMar w:header="706" w:footer="1286" w:top="1060" w:bottom="1480" w:left="960" w:right="0"/>
        </w:sectPr>
      </w:pPr>
    </w:p>
    <w:p>
      <w:pPr>
        <w:spacing w:line="240" w:lineRule="auto" w:before="6"/>
        <w:rPr>
          <w:rFonts w:ascii="宋体" w:hAnsi="宋体" w:cs="宋体" w:eastAsia="宋体" w:hint="default"/>
          <w:sz w:val="28"/>
          <w:szCs w:val="28"/>
        </w:rPr>
      </w:pPr>
    </w:p>
    <w:tbl>
      <w:tblPr>
        <w:tblW w:w="0" w:type="auto"/>
        <w:jc w:val="left"/>
        <w:tblInd w:w="169" w:type="dxa"/>
        <w:tblLayout w:type="fixed"/>
        <w:tblCellMar>
          <w:top w:w="0" w:type="dxa"/>
          <w:left w:w="0" w:type="dxa"/>
          <w:bottom w:w="0" w:type="dxa"/>
          <w:right w:w="0" w:type="dxa"/>
        </w:tblCellMar>
        <w:tblLook w:val="01E0"/>
      </w:tblPr>
      <w:tblGrid>
        <w:gridCol w:w="1914"/>
        <w:gridCol w:w="1903"/>
        <w:gridCol w:w="1926"/>
        <w:gridCol w:w="1902"/>
        <w:gridCol w:w="1927"/>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856" w:right="0"/>
              <w:jc w:val="left"/>
              <w:rPr>
                <w:rFonts w:ascii="Times New Roman" w:hAnsi="Times New Roman" w:cs="Times New Roman" w:eastAsia="Times New Roman" w:hint="default"/>
                <w:sz w:val="18"/>
                <w:szCs w:val="18"/>
              </w:rPr>
            </w:pPr>
            <w:r>
              <w:rPr>
                <w:rFonts w:ascii="Times New Roman"/>
                <w:sz w:val="18"/>
              </w:rPr>
              <w:t>15,601,161.11</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22.23%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977"/>
        <w:gridCol w:w="1730"/>
        <w:gridCol w:w="2432"/>
        <w:gridCol w:w="2429"/>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合营公司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3.31%</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3,230,784.34</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4,757,438.07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重庆丰东神五热处理工程有限公司</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2,035,017.93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2.9%</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3,183,188.19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长春丰东热处理有限公司</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591,669.28</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0.84%</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上海昂先实业有限公司</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941,704.23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w:t>
            </w: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1"/>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江苏丰东热处理及表面改性工程技术 研究有限公司</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37,327.34</w:t>
            </w:r>
            <w:r>
              <w:rPr>
                <w:rFonts w:ascii="Times New Roman"/>
                <w:sz w:val="18"/>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4"/>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不符合终止确认条件的应收账款的转移金额为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4"/>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170"/>
        <w:gridCol w:w="1455"/>
        <w:gridCol w:w="528"/>
        <w:gridCol w:w="1320"/>
        <w:gridCol w:w="528"/>
        <w:gridCol w:w="1322"/>
        <w:gridCol w:w="529"/>
        <w:gridCol w:w="1190"/>
        <w:gridCol w:w="526"/>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170"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170"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19,487.00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1,948.70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3,057.50</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305.75</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center"/>
              <w:rPr>
                <w:rFonts w:ascii="Times New Roman" w:hAnsi="Times New Roman" w:cs="Times New Roman" w:eastAsia="Times New Roman" w:hint="default"/>
                <w:sz w:val="18"/>
                <w:szCs w:val="18"/>
              </w:rPr>
            </w:pPr>
            <w:r>
              <w:rPr>
                <w:rFonts w:ascii="Times New Roman"/>
                <w:sz w:val="18"/>
              </w:rPr>
              <w:t>10%</w:t>
            </w: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2,722,961.70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97.8%</w:t>
            </w:r>
          </w:p>
        </w:tc>
        <w:tc>
          <w:tcPr>
            <w:tcW w:w="132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3,085,771.44</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98.67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2,742,448.70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1,948.70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3,088,828.94</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z w:val="18"/>
              </w:rPr>
              <w:t>98.77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305.75</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0.01%</w:t>
            </w:r>
          </w:p>
        </w:tc>
      </w:tr>
    </w:tbl>
    <w:p>
      <w:pPr>
        <w:spacing w:after="0" w:line="240" w:lineRule="auto"/>
        <w:jc w:val="center"/>
        <w:rPr>
          <w:rFonts w:ascii="Times New Roman" w:hAnsi="Times New Roman" w:cs="Times New Roman" w:eastAsia="Times New Roman" w:hint="default"/>
          <w:sz w:val="18"/>
          <w:szCs w:val="18"/>
        </w:rPr>
        <w:sectPr>
          <w:pgSz w:w="11910" w:h="16840"/>
          <w:pgMar w:header="706" w:footer="1286" w:top="1060" w:bottom="1480" w:left="960" w:right="0"/>
        </w:sectPr>
      </w:pPr>
    </w:p>
    <w:p>
      <w:pPr>
        <w:spacing w:line="240" w:lineRule="auto" w:before="6"/>
        <w:rPr>
          <w:rFonts w:ascii="宋体" w:hAnsi="宋体" w:cs="宋体" w:eastAsia="宋体" w:hint="default"/>
          <w:sz w:val="28"/>
          <w:szCs w:val="28"/>
        </w:rPr>
      </w:pPr>
    </w:p>
    <w:tbl>
      <w:tblPr>
        <w:tblW w:w="0" w:type="auto"/>
        <w:jc w:val="left"/>
        <w:tblInd w:w="169" w:type="dxa"/>
        <w:tblLayout w:type="fixed"/>
        <w:tblCellMar>
          <w:top w:w="0" w:type="dxa"/>
          <w:left w:w="0" w:type="dxa"/>
          <w:bottom w:w="0" w:type="dxa"/>
          <w:right w:w="0" w:type="dxa"/>
        </w:tblCellMar>
        <w:tblLook w:val="01E0"/>
      </w:tblPr>
      <w:tblGrid>
        <w:gridCol w:w="2169"/>
        <w:gridCol w:w="1455"/>
        <w:gridCol w:w="528"/>
        <w:gridCol w:w="1320"/>
        <w:gridCol w:w="528"/>
        <w:gridCol w:w="1322"/>
        <w:gridCol w:w="529"/>
        <w:gridCol w:w="1190"/>
        <w:gridCol w:w="526"/>
      </w:tblGrid>
      <w:tr>
        <w:trPr>
          <w:trHeight w:val="363" w:hRule="exact"/>
        </w:trPr>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4"/>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41,687.10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41,687.10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38,629.60</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1.23%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38,629.60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2,784,135.80</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43,635.80</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3,127,458.54</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38,935.35</w:t>
            </w:r>
            <w:r>
              <w:rPr>
                <w:rFonts w:ascii="Times New Roman"/>
                <w:sz w:val="18"/>
              </w:rPr>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headerReference w:type="default" r:id="rId76"/>
          <w:footerReference w:type="default" r:id="rId77"/>
          <w:pgSz w:w="11910" w:h="16840"/>
          <w:pgMar w:header="706" w:footer="0" w:top="1060" w:bottom="0" w:left="960" w:right="0"/>
        </w:sectPr>
      </w:pPr>
    </w:p>
    <w:p>
      <w:pPr>
        <w:spacing w:line="357" w:lineRule="auto" w:before="49"/>
        <w:ind w:left="172" w:right="23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无</w:t>
      </w:r>
    </w:p>
    <w:p>
      <w:pPr>
        <w:spacing w:before="29"/>
        <w:ind w:left="17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7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43"/>
        <w:ind w:left="17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0" w:bottom="280" w:left="960" w:right="0"/>
          <w:cols w:num="2" w:equalWidth="0">
            <w:col w:w="4313" w:space="4516"/>
            <w:col w:w="2121"/>
          </w:cols>
        </w:sectPr>
      </w:pP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266"/>
        <w:gridCol w:w="1793"/>
        <w:gridCol w:w="662"/>
        <w:gridCol w:w="1594"/>
        <w:gridCol w:w="1862"/>
        <w:gridCol w:w="665"/>
        <w:gridCol w:w="1726"/>
      </w:tblGrid>
      <w:tr>
        <w:trPr>
          <w:trHeight w:val="403" w:hRule="exact"/>
        </w:trPr>
        <w:tc>
          <w:tcPr>
            <w:tcW w:w="1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66"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266"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0" w:bottom="280" w:left="960" w:right="0"/>
        </w:sectPr>
      </w:pPr>
    </w:p>
    <w:p>
      <w:pPr>
        <w:spacing w:before="49"/>
        <w:ind w:left="172"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72" w:right="3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1"/>
        <w:ind w:left="17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0" w:bottom="280" w:left="960" w:right="0"/>
          <w:cols w:num="2" w:equalWidth="0">
            <w:col w:w="4493" w:space="4336"/>
            <w:col w:w="2121"/>
          </w:cols>
        </w:sectPr>
      </w:pP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961"/>
        <w:gridCol w:w="2856"/>
        <w:gridCol w:w="2753"/>
      </w:tblGrid>
      <w:tr>
        <w:trPr>
          <w:trHeight w:val="401" w:hRule="exact"/>
        </w:trPr>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经减值测试不需计提坏账准备的组合</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2,722,961.70</w:t>
            </w:r>
          </w:p>
        </w:tc>
        <w:tc>
          <w:tcPr>
            <w:tcW w:w="27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2,722,961.70</w:t>
            </w:r>
          </w:p>
        </w:tc>
        <w:tc>
          <w:tcPr>
            <w:tcW w:w="27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0" w:bottom="280" w:left="960" w:right="0"/>
        </w:sectPr>
      </w:pPr>
    </w:p>
    <w:p>
      <w:pPr>
        <w:spacing w:before="49"/>
        <w:ind w:left="172" w:right="-20" w:firstLine="0"/>
        <w:jc w:val="left"/>
        <w:rPr>
          <w:rFonts w:ascii="宋体" w:hAnsi="宋体" w:cs="宋体" w:eastAsia="宋体" w:hint="default"/>
          <w:sz w:val="18"/>
          <w:szCs w:val="18"/>
        </w:rPr>
      </w:pPr>
      <w:r>
        <w:rPr>
          <w:rFonts w:ascii="宋体" w:hAnsi="宋体" w:cs="宋体" w:eastAsia="宋体" w:hint="default"/>
          <w:sz w:val="18"/>
          <w:szCs w:val="18"/>
        </w:rPr>
        <w:t>期末单项金额虽不重大但单项计提坏账准备的其他应收款</w:t>
      </w:r>
    </w:p>
    <w:p>
      <w:pPr>
        <w:spacing w:before="115"/>
        <w:ind w:left="17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0" w:bottom="280" w:left="960" w:right="0"/>
          <w:cols w:num="2" w:equalWidth="0">
            <w:col w:w="4673" w:space="4156"/>
            <w:col w:w="2121"/>
          </w:cols>
        </w:sectPr>
      </w:pPr>
    </w:p>
    <w:p>
      <w:pPr>
        <w:spacing w:line="240" w:lineRule="auto" w:before="2"/>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41,687.10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41,687.10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41,687.10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41,687.10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460.320007pt;margin-top:50.691723pt;width:135pt;height:77pt;mso-position-horizontal-relative:page;mso-position-vertical-relative:paragraph;z-index:-858088" coordorigin="9206,1014" coordsize="2700,1540">
            <v:shape style="position:absolute;left:9206;top:1014;width:2700;height:1540" type="#_x0000_t75" stroked="false">
              <v:imagedata r:id="rId26" o:title=""/>
            </v:shape>
            <v:shape style="position:absolute;left:10502;top:1374;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143</w:t>
                    </w:r>
                  </w:p>
                </w:txbxContent>
              </v:textbox>
              <w10:wrap type="none"/>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after="0" w:line="240" w:lineRule="auto"/>
        <w:jc w:val="left"/>
        <w:rPr>
          <w:rFonts w:ascii="宋体" w:hAnsi="宋体" w:cs="宋体" w:eastAsia="宋体" w:hint="default"/>
          <w:sz w:val="18"/>
          <w:szCs w:val="18"/>
        </w:rPr>
        <w:sectPr>
          <w:type w:val="continuous"/>
          <w:pgSz w:w="11910" w:h="16840"/>
          <w:pgMar w:top="0" w:bottom="280" w:left="960" w:right="0"/>
        </w:sectPr>
      </w:pPr>
    </w:p>
    <w:p>
      <w:pPr>
        <w:spacing w:line="240" w:lineRule="auto" w:before="6"/>
        <w:rPr>
          <w:rFonts w:ascii="宋体" w:hAnsi="宋体" w:cs="宋体" w:eastAsia="宋体" w:hint="default"/>
          <w:sz w:val="28"/>
          <w:szCs w:val="28"/>
        </w:rPr>
      </w:pPr>
    </w:p>
    <w:tbl>
      <w:tblPr>
        <w:tblW w:w="0" w:type="auto"/>
        <w:jc w:val="left"/>
        <w:tblInd w:w="167" w:type="dxa"/>
        <w:tblLayout w:type="fixed"/>
        <w:tblCellMar>
          <w:top w:w="0" w:type="dxa"/>
          <w:left w:w="0" w:type="dxa"/>
          <w:bottom w:w="0" w:type="dxa"/>
          <w:right w:w="0" w:type="dxa"/>
        </w:tblCellMar>
        <w:tblLook w:val="01E0"/>
      </w:tblPr>
      <w:tblGrid>
        <w:gridCol w:w="2194"/>
        <w:gridCol w:w="1712"/>
        <w:gridCol w:w="1863"/>
        <w:gridCol w:w="1918"/>
        <w:gridCol w:w="1884"/>
      </w:tblGrid>
      <w:tr>
        <w:trPr>
          <w:trHeight w:val="404"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12"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851"/>
        <w:gridCol w:w="1954"/>
        <w:gridCol w:w="1956"/>
        <w:gridCol w:w="1954"/>
        <w:gridCol w:w="1853"/>
      </w:tblGrid>
      <w:tr>
        <w:trPr>
          <w:trHeight w:val="401" w:hRule="exact"/>
        </w:trPr>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54"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72" w:right="4454"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596"/>
        <w:gridCol w:w="1597"/>
        <w:gridCol w:w="1591"/>
        <w:gridCol w:w="1464"/>
        <w:gridCol w:w="1517"/>
        <w:gridCol w:w="1802"/>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72" w:right="9134" w:firstLine="0"/>
        <w:jc w:val="left"/>
        <w:rPr>
          <w:rFonts w:ascii="宋体" w:hAnsi="宋体" w:cs="宋体" w:eastAsia="宋体" w:hint="default"/>
          <w:sz w:val="18"/>
          <w:szCs w:val="18"/>
        </w:rPr>
      </w:pPr>
      <w:r>
        <w:rPr>
          <w:rFonts w:ascii="宋体" w:hAnsi="宋体" w:cs="宋体" w:eastAsia="宋体" w:hint="default"/>
          <w:sz w:val="18"/>
          <w:szCs w:val="18"/>
        </w:rPr>
        <w:t>其他应收款核销说明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659"/>
        <w:gridCol w:w="1728"/>
        <w:gridCol w:w="1726"/>
        <w:gridCol w:w="1861"/>
        <w:gridCol w:w="1594"/>
      </w:tblGrid>
      <w:tr>
        <w:trPr>
          <w:trHeight w:val="403"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2"/>
        <w:rPr>
          <w:rFonts w:ascii="宋体" w:hAnsi="宋体" w:cs="宋体" w:eastAsia="宋体" w:hint="default"/>
          <w:b/>
          <w:bCs/>
          <w:sz w:val="26"/>
          <w:szCs w:val="2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20.49%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340,353.00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12.76%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8.53%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1,474,803.00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55.3%</w:t>
            </w:r>
          </w:p>
        </w:tc>
      </w:tr>
    </w:tbl>
    <w:p>
      <w:pPr>
        <w:spacing w:after="0" w:line="240" w:lineRule="auto"/>
        <w:jc w:val="right"/>
        <w:rPr>
          <w:rFonts w:ascii="Times New Roman" w:hAnsi="Times New Roman" w:cs="Times New Roman" w:eastAsia="Times New Roman" w:hint="default"/>
          <w:sz w:val="18"/>
          <w:szCs w:val="18"/>
        </w:rPr>
        <w:sectPr>
          <w:footerReference w:type="default" r:id="rId78"/>
          <w:pgSz w:w="11910" w:h="16840"/>
          <w:pgMar w:footer="1340" w:header="706" w:top="1060" w:bottom="1540" w:left="960" w:right="0"/>
          <w:pgNumType w:start="144"/>
        </w:sectPr>
      </w:pPr>
    </w:p>
    <w:p>
      <w:pPr>
        <w:spacing w:line="240" w:lineRule="auto" w:before="10"/>
        <w:rPr>
          <w:rFonts w:ascii="宋体" w:hAnsi="宋体" w:cs="宋体" w:eastAsia="宋体" w:hint="default"/>
          <w:sz w:val="24"/>
          <w:szCs w:val="24"/>
        </w:rPr>
      </w:pPr>
    </w:p>
    <w:p>
      <w:pPr>
        <w:pStyle w:val="Heading4"/>
        <w:spacing w:line="240" w:lineRule="auto" w:before="36"/>
        <w:ind w:left="432"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427"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c>
          <w:tcPr>
            <w:tcW w:w="2432"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432"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2"/>
        <w:rPr>
          <w:rFonts w:ascii="宋体" w:hAnsi="宋体" w:cs="宋体" w:eastAsia="宋体" w:hint="default"/>
          <w:b/>
          <w:bCs/>
          <w:sz w:val="26"/>
          <w:szCs w:val="26"/>
        </w:rPr>
      </w:pPr>
    </w:p>
    <w:p>
      <w:pPr>
        <w:spacing w:before="0"/>
        <w:ind w:left="432"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不符合终止确认条件的其他应收款项的转移金额为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6"/>
          <w:szCs w:val="26"/>
        </w:rPr>
      </w:pPr>
    </w:p>
    <w:p>
      <w:pPr>
        <w:pStyle w:val="Heading4"/>
        <w:spacing w:line="240" w:lineRule="auto"/>
        <w:ind w:left="432" w:right="0"/>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4"/>
        <w:rPr>
          <w:rFonts w:ascii="宋体" w:hAnsi="宋体" w:cs="宋体" w:eastAsia="宋体" w:hint="default"/>
          <w:b/>
          <w:bCs/>
          <w:sz w:val="26"/>
          <w:szCs w:val="26"/>
        </w:rPr>
      </w:pPr>
    </w:p>
    <w:p>
      <w:pPr>
        <w:spacing w:before="0"/>
        <w:ind w:left="43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left="432"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503"/>
        <w:gridCol w:w="799"/>
        <w:gridCol w:w="797"/>
        <w:gridCol w:w="799"/>
        <w:gridCol w:w="797"/>
        <w:gridCol w:w="800"/>
        <w:gridCol w:w="797"/>
        <w:gridCol w:w="799"/>
        <w:gridCol w:w="1275"/>
        <w:gridCol w:w="566"/>
        <w:gridCol w:w="552"/>
        <w:gridCol w:w="799"/>
      </w:tblGrid>
      <w:tr>
        <w:trPr>
          <w:trHeight w:val="1339" w:hRule="exact"/>
        </w:trPr>
        <w:tc>
          <w:tcPr>
            <w:tcW w:w="1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在被投资单位 持股比例与表 决权比例不一 致的说明</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8" w:right="96"/>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3" w:right="35"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3"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上海昂先实业有限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61,880,00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61,880,00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61,880,00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南京丰东热处理工 程有限公司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50,800,00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50,800,00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50,800,00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96.37%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96.37%</w:t>
            </w: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2,691,081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r>
      <w:tr>
        <w:trPr>
          <w:trHeight w:val="1025"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both"/>
              <w:rPr>
                <w:rFonts w:ascii="宋体" w:hAnsi="宋体" w:cs="宋体" w:eastAsia="宋体" w:hint="default"/>
                <w:sz w:val="18"/>
                <w:szCs w:val="18"/>
              </w:rPr>
            </w:pPr>
            <w:r>
              <w:rPr>
                <w:rFonts w:ascii="宋体" w:hAnsi="宋体" w:cs="宋体" w:eastAsia="宋体" w:hint="default"/>
                <w:sz w:val="18"/>
                <w:szCs w:val="18"/>
              </w:rPr>
              <w:t>江苏丰东热处理及 表面改性工程技术 研究有限公司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1,899,353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1,899,353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1,899,353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w:t>
            </w: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天津丰东热处理有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18,272,80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18,272,80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18,272,80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重庆丰东神五热处 理工程有限公司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43,878,74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3.69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43,878,74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3.69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43,878,74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95.285%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95.285%</w:t>
            </w: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835,217.7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r>
      <w:tr>
        <w:trPr>
          <w:trHeight w:val="715"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青岛丰东热处理有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8,141,619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8,141,619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8,141,619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长春丰东热处理有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5,923,730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5,923,730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5,923,730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3,542,500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盐城丰东特种炉业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2,805,505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2,805,505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2,805,505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
              <w:jc w:val="center"/>
              <w:rPr>
                <w:rFonts w:ascii="宋体" w:hAnsi="宋体" w:cs="宋体" w:eastAsia="宋体" w:hint="default"/>
                <w:sz w:val="18"/>
                <w:szCs w:val="18"/>
              </w:rPr>
            </w:pPr>
            <w:r>
              <w:rPr>
                <w:rFonts w:ascii="宋体" w:hAnsi="宋体" w:cs="宋体" w:eastAsia="宋体" w:hint="default"/>
                <w:sz w:val="18"/>
                <w:szCs w:val="18"/>
              </w:rPr>
              <w:t>盐城高周波热炼有</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34,956,42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25,212,16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33,365,14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58,577,30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3,000,000</w:t>
            </w:r>
          </w:p>
        </w:tc>
      </w:tr>
    </w:tbl>
    <w:p>
      <w:pPr>
        <w:spacing w:after="0" w:line="240" w:lineRule="auto"/>
        <w:jc w:val="left"/>
        <w:rPr>
          <w:rFonts w:ascii="Times New Roman" w:hAnsi="Times New Roman" w:cs="Times New Roman" w:eastAsia="Times New Roman" w:hint="default"/>
          <w:sz w:val="18"/>
          <w:szCs w:val="18"/>
        </w:rPr>
        <w:sectPr>
          <w:pgSz w:w="11910" w:h="16840"/>
          <w:pgMar w:header="706" w:footer="1340" w:top="1060" w:bottom="1540" w:left="7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503"/>
        <w:gridCol w:w="799"/>
        <w:gridCol w:w="797"/>
        <w:gridCol w:w="799"/>
        <w:gridCol w:w="797"/>
        <w:gridCol w:w="800"/>
        <w:gridCol w:w="797"/>
        <w:gridCol w:w="799"/>
        <w:gridCol w:w="1275"/>
        <w:gridCol w:w="566"/>
        <w:gridCol w:w="552"/>
        <w:gridCol w:w="799"/>
      </w:tblGrid>
      <w:tr>
        <w:trPr>
          <w:trHeight w:val="363"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3.80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4.90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0.50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5.40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广州丰东热炼有限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10,031,42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1.91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9,792,558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1,455,221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11,247,77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40%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40%</w:t>
            </w: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238,589,5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98.29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228,606,4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75.61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34,820,36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263,426,8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37.33</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18,348,79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9.05</w:t>
            </w:r>
          </w:p>
        </w:tc>
      </w:tr>
    </w:tbl>
    <w:p>
      <w:pPr>
        <w:spacing w:before="49"/>
        <w:ind w:left="432" w:right="0"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before="98"/>
        <w:ind w:left="432" w:right="0" w:firstLine="0"/>
        <w:jc w:val="left"/>
        <w:rPr>
          <w:rFonts w:ascii="宋体" w:hAnsi="宋体" w:cs="宋体" w:eastAsia="宋体" w:hint="default"/>
          <w:sz w:val="20"/>
          <w:szCs w:val="20"/>
        </w:rPr>
      </w:pPr>
      <w:r>
        <w:rPr>
          <w:rFonts w:ascii="宋体" w:hAnsi="宋体" w:cs="宋体" w:eastAsia="宋体" w:hint="default"/>
          <w:sz w:val="20"/>
          <w:szCs w:val="20"/>
        </w:rPr>
        <w:t>上述长期股权投资无向投资企业转移资金的能力受到限制的情况</w:t>
      </w:r>
    </w:p>
    <w:p>
      <w:pPr>
        <w:spacing w:line="240" w:lineRule="auto" w:before="6"/>
        <w:rPr>
          <w:rFonts w:ascii="宋体" w:hAnsi="宋体" w:cs="宋体" w:eastAsia="宋体" w:hint="default"/>
          <w:sz w:val="26"/>
          <w:szCs w:val="26"/>
        </w:rPr>
      </w:pPr>
    </w:p>
    <w:p>
      <w:pPr>
        <w:pStyle w:val="Heading4"/>
        <w:spacing w:line="240" w:lineRule="auto"/>
        <w:ind w:left="432"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432"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440" w:type="dxa"/>
        <w:tblLayout w:type="fixed"/>
        <w:tblCellMar>
          <w:top w:w="0" w:type="dxa"/>
          <w:left w:w="0" w:type="dxa"/>
          <w:bottom w:w="0" w:type="dxa"/>
          <w:right w:w="0" w:type="dxa"/>
        </w:tblCellMar>
        <w:tblLook w:val="01E0"/>
      </w:tblPr>
      <w:tblGrid>
        <w:gridCol w:w="2502"/>
        <w:gridCol w:w="3468"/>
        <w:gridCol w:w="3589"/>
      </w:tblGrid>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217,089,096.43</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190,016,278.65</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217,089,096.43</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190,016,278.65</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151,798,471.93</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131,620,267.40</w:t>
            </w:r>
          </w:p>
        </w:tc>
      </w:tr>
    </w:tbl>
    <w:p>
      <w:pPr>
        <w:spacing w:line="240" w:lineRule="auto" w:before="3"/>
        <w:rPr>
          <w:rFonts w:ascii="宋体" w:hAnsi="宋体" w:cs="宋体" w:eastAsia="宋体" w:hint="default"/>
          <w:sz w:val="19"/>
          <w:szCs w:val="19"/>
        </w:rPr>
      </w:pPr>
    </w:p>
    <w:p>
      <w:pPr>
        <w:pStyle w:val="Heading4"/>
        <w:spacing w:line="240" w:lineRule="auto" w:before="36"/>
        <w:ind w:left="432"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427"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217,089,096.43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151,798,471.93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190,016,278.65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131,620,267.40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217,089,096.43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151,798,471.93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190,016,278.65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131,620,267.40</w:t>
            </w:r>
          </w:p>
        </w:tc>
      </w:tr>
    </w:tbl>
    <w:p>
      <w:pPr>
        <w:spacing w:line="240" w:lineRule="auto" w:before="3"/>
        <w:rPr>
          <w:rFonts w:ascii="宋体" w:hAnsi="宋体" w:cs="宋体" w:eastAsia="宋体" w:hint="default"/>
          <w:sz w:val="19"/>
          <w:szCs w:val="19"/>
        </w:rPr>
      </w:pPr>
    </w:p>
    <w:p>
      <w:pPr>
        <w:pStyle w:val="Heading4"/>
        <w:spacing w:line="240" w:lineRule="auto" w:before="36"/>
        <w:ind w:left="432"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427"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热处理设备内销</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172,119,089.69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121,034,212.02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160,661,436.64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110,556,314.97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热处理设备外销</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17,950,247.36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11,863,283.94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5,550,822.02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4,595,643.66</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27,019,759.38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18,900,975.97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23,804,019.99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16,468,308.77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217,089,096.43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151,798,471.93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190,016,278.65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131,620,267.40</w:t>
            </w:r>
          </w:p>
        </w:tc>
      </w:tr>
    </w:tbl>
    <w:p>
      <w:pPr>
        <w:spacing w:line="240" w:lineRule="auto" w:before="3"/>
        <w:rPr>
          <w:rFonts w:ascii="宋体" w:hAnsi="宋体" w:cs="宋体" w:eastAsia="宋体" w:hint="default"/>
          <w:sz w:val="19"/>
          <w:szCs w:val="19"/>
        </w:rPr>
      </w:pPr>
    </w:p>
    <w:p>
      <w:pPr>
        <w:pStyle w:val="Heading4"/>
        <w:spacing w:line="240" w:lineRule="auto" w:before="36"/>
        <w:ind w:left="432"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06" w:footer="1340" w:top="1060" w:bottom="1540" w:left="700" w:right="0"/>
        </w:sectPr>
      </w:pPr>
    </w:p>
    <w:p>
      <w:pPr>
        <w:spacing w:line="240" w:lineRule="auto" w:before="6"/>
        <w:rPr>
          <w:rFonts w:ascii="宋体" w:hAnsi="宋体" w:cs="宋体" w:eastAsia="宋体" w:hint="default"/>
          <w:sz w:val="28"/>
          <w:szCs w:val="28"/>
        </w:rPr>
      </w:pPr>
    </w:p>
    <w:tbl>
      <w:tblPr>
        <w:tblW w:w="0" w:type="auto"/>
        <w:jc w:val="left"/>
        <w:tblInd w:w="167"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141,077,316.84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99,346,360.50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133,260,155.60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91,273,119.31</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12,769,765.96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8,630,079.68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7,320,791.94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4,588,278.64</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10,629,889.55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7,003,210.66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10,267,239.00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7,243,818.25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11,350,111.33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9,305,010.77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5,709,413.39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4,051,835.25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3,811,504.41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2,260,728.53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6,124,406.56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3,595,847.56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9,015,350.44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5,744,738.93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3,209,829.08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2,152,095.27</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9,360,463.83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7,111,635.03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18,573,621.06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14,119,629.46</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19,074,694.07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12,396,707.83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5,550,822.02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4,595,643.66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217,089,096.43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151,798,471.93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190,016,278.65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131,620,267.40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4784"/>
        <w:gridCol w:w="2922"/>
        <w:gridCol w:w="1865"/>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8,974,359.00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6,837,606.82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6,741,965.84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2"/>
                <w:sz w:val="18"/>
              </w:rPr>
              <w:t>3.11%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6,270,280.06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6,123,425.70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34,947,637.42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16.1%</w:t>
            </w: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4500"/>
        <w:gridCol w:w="2534"/>
        <w:gridCol w:w="2525"/>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10,429,390.64</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14,107,215.75</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8,938,112.92</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10,983,391.40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34" w:type="dxa"/>
            <w:tcBorders>
              <w:top w:val="single" w:sz="4" w:space="0" w:color="000000"/>
              <w:left w:val="single" w:sz="10" w:space="0" w:color="D2D2D2"/>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959,700.00</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19,367,503.56</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26,050,307.15</w:t>
            </w:r>
          </w:p>
        </w:tc>
      </w:tr>
    </w:tbl>
    <w:p>
      <w:pPr>
        <w:spacing w:after="0" w:line="240" w:lineRule="auto"/>
        <w:jc w:val="right"/>
        <w:rPr>
          <w:rFonts w:ascii="Times New Roman" w:hAnsi="Times New Roman" w:cs="Times New Roman" w:eastAsia="Times New Roman" w:hint="default"/>
          <w:sz w:val="18"/>
          <w:szCs w:val="18"/>
        </w:rPr>
        <w:sectPr>
          <w:pgSz w:w="11910" w:h="16840"/>
          <w:pgMar w:header="706" w:footer="1340" w:top="1060" w:bottom="1540" w:left="96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325"/>
        <w:gridCol w:w="1728"/>
        <w:gridCol w:w="1594"/>
        <w:gridCol w:w="2921"/>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上海昂先实业有限公司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董事会决议分配红利</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董事会决议分配红利</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5,307,676.27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董事会决议分配红利</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长春丰东热处理有限公司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董事会决议分配红利</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董事会决议分配红利</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重庆丰东神五热处理工程有限公司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1,856,890.64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2,872,539.48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董事会决议分配红利</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董事会决议分配红利</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10,429,390.64</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14,107,215.75</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325"/>
        <w:gridCol w:w="1728"/>
        <w:gridCol w:w="1594"/>
        <w:gridCol w:w="2921"/>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7,482,891.70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10,008,624.94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净利润比上年减少</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1,455,221.22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974,766.46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净利润比上年增加</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8,938,112.92</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10,983,391.40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49"/>
        <w:ind w:left="172" w:right="9494" w:firstLine="0"/>
        <w:jc w:val="left"/>
        <w:rPr>
          <w:rFonts w:ascii="宋体" w:hAnsi="宋体" w:cs="宋体" w:eastAsia="宋体" w:hint="default"/>
          <w:sz w:val="18"/>
          <w:szCs w:val="18"/>
        </w:rPr>
      </w:pPr>
      <w:r>
        <w:rPr>
          <w:rFonts w:ascii="宋体" w:hAnsi="宋体" w:cs="宋体" w:eastAsia="宋体" w:hint="default"/>
          <w:sz w:val="18"/>
          <w:szCs w:val="18"/>
        </w:rPr>
        <w:t>投资收益的说明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5041"/>
        <w:gridCol w:w="2270"/>
        <w:gridCol w:w="2259"/>
      </w:tblGrid>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47,391,835.72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49,347,429.26</w:t>
            </w:r>
          </w:p>
        </w:tc>
      </w:tr>
      <w:tr>
        <w:trPr>
          <w:trHeight w:val="40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1,772,675.72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543,896.49</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5,061,113.42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4,629,857.37</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571,847.58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561,883.20</w:t>
            </w:r>
          </w:p>
        </w:tc>
      </w:tr>
      <w:tr>
        <w:trPr>
          <w:trHeight w:val="71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
              <w:jc w:val="left"/>
              <w:rPr>
                <w:rFonts w:ascii="宋体" w:hAnsi="宋体" w:cs="宋体" w:eastAsia="宋体" w:hint="default"/>
                <w:sz w:val="18"/>
                <w:szCs w:val="18"/>
              </w:rPr>
            </w:pPr>
            <w:r>
              <w:rPr>
                <w:rFonts w:ascii="宋体" w:hAnsi="宋体" w:cs="宋体" w:eastAsia="宋体" w:hint="default"/>
                <w:sz w:val="18"/>
                <w:szCs w:val="18"/>
              </w:rPr>
              <w:t>处置固定资产</w:t>
            </w:r>
            <w:r>
              <w:rPr>
                <w:rFonts w:ascii="宋体" w:hAnsi="宋体" w:cs="宋体" w:eastAsia="宋体" w:hint="default"/>
                <w:spacing w:val="-13"/>
                <w:sz w:val="18"/>
                <w:szCs w:val="18"/>
              </w:rPr>
              <w:t>、</w:t>
            </w:r>
            <w:r>
              <w:rPr>
                <w:rFonts w:ascii="宋体" w:hAnsi="宋体" w:cs="宋体" w:eastAsia="宋体" w:hint="default"/>
                <w:sz w:val="18"/>
                <w:szCs w:val="18"/>
              </w:rPr>
              <w:t>无形资产和其他长期资产的损</w:t>
            </w:r>
            <w:r>
              <w:rPr>
                <w:rFonts w:ascii="宋体" w:hAnsi="宋体" w:cs="宋体" w:eastAsia="宋体" w:hint="default"/>
                <w:spacing w:val="-13"/>
                <w:sz w:val="18"/>
                <w:szCs w:val="18"/>
              </w:rPr>
              <w:t>失</w:t>
            </w:r>
            <w:r>
              <w:rPr>
                <w:rFonts w:ascii="宋体" w:hAnsi="宋体" w:cs="宋体" w:eastAsia="宋体" w:hint="default"/>
                <w:sz w:val="18"/>
                <w:szCs w:val="18"/>
              </w:rPr>
              <w:t>（收益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 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1,006.93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1,994.97</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691,824.44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275,700.18</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-19,367,503.56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-26,050,307.15</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-28,446.24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-81,584.47</w:t>
            </w:r>
          </w:p>
        </w:tc>
      </w:tr>
    </w:tbl>
    <w:p>
      <w:pPr>
        <w:spacing w:after="0" w:line="240" w:lineRule="auto"/>
        <w:jc w:val="right"/>
        <w:rPr>
          <w:rFonts w:ascii="Times New Roman" w:hAnsi="Times New Roman" w:cs="Times New Roman" w:eastAsia="Times New Roman" w:hint="default"/>
          <w:sz w:val="18"/>
          <w:szCs w:val="18"/>
        </w:rPr>
        <w:sectPr>
          <w:pgSz w:w="11910" w:h="16840"/>
          <w:pgMar w:header="706" w:footer="1340" w:top="1060" w:bottom="1540" w:left="960" w:right="0"/>
        </w:sectPr>
      </w:pPr>
    </w:p>
    <w:p>
      <w:pPr>
        <w:spacing w:line="240" w:lineRule="auto" w:before="6"/>
        <w:rPr>
          <w:rFonts w:ascii="宋体" w:hAnsi="宋体" w:cs="宋体" w:eastAsia="宋体" w:hint="default"/>
          <w:sz w:val="28"/>
          <w:szCs w:val="28"/>
        </w:rPr>
      </w:pPr>
    </w:p>
    <w:tbl>
      <w:tblPr>
        <w:tblW w:w="0" w:type="auto"/>
        <w:jc w:val="left"/>
        <w:tblInd w:w="16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2,968,208.59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-52,099,027.89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-25,871,540.38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18,858,131.03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-10,580,886.47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8,828,767.63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2,610,135.75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4,816,740.62</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76"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76"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142,411,455.08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198,339,460.64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198,339,460.64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393,819,655.01</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-55,928,005.56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-195,480,194.37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10"/>
        <w:rPr>
          <w:rFonts w:ascii="宋体" w:hAnsi="宋体" w:cs="宋体" w:eastAsia="宋体" w:hint="default"/>
          <w:b/>
          <w:bCs/>
          <w:sz w:val="22"/>
          <w:szCs w:val="22"/>
        </w:rPr>
      </w:pPr>
    </w:p>
    <w:p>
      <w:pPr>
        <w:spacing w:before="44"/>
        <w:ind w:left="172" w:right="0" w:firstLine="0"/>
        <w:jc w:val="left"/>
        <w:rPr>
          <w:rFonts w:ascii="宋体" w:hAnsi="宋体" w:cs="宋体" w:eastAsia="宋体" w:hint="default"/>
          <w:sz w:val="18"/>
          <w:szCs w:val="18"/>
        </w:rPr>
      </w:pPr>
      <w:r>
        <w:rPr>
          <w:rFonts w:ascii="宋体" w:hAnsi="宋体" w:cs="宋体" w:eastAsia="宋体" w:hint="default"/>
          <w:sz w:val="18"/>
          <w:szCs w:val="18"/>
        </w:rPr>
        <w:t>反向购买下以公允价值入账的资产、负债情况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49"/>
        <w:ind w:left="172" w:right="0" w:firstLine="0"/>
        <w:jc w:val="left"/>
        <w:rPr>
          <w:rFonts w:ascii="宋体" w:hAnsi="宋体" w:cs="宋体" w:eastAsia="宋体" w:hint="default"/>
          <w:sz w:val="18"/>
          <w:szCs w:val="18"/>
        </w:rPr>
      </w:pPr>
      <w:r>
        <w:rPr>
          <w:rFonts w:ascii="宋体" w:hAnsi="宋体" w:cs="宋体" w:eastAsia="宋体" w:hint="default"/>
          <w:sz w:val="18"/>
          <w:szCs w:val="18"/>
        </w:rPr>
        <w:t>反向购买形成长期股权投资的情况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十六、补充资料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3529"/>
        <w:gridCol w:w="2177"/>
        <w:gridCol w:w="1915"/>
        <w:gridCol w:w="1937"/>
      </w:tblGrid>
      <w:tr>
        <w:trPr>
          <w:trHeight w:val="184"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0.19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1"/>
                <w:sz w:val="18"/>
              </w:rPr>
              <w:t>0.19</w:t>
            </w:r>
          </w:p>
        </w:tc>
      </w:tr>
      <w:tr>
        <w:trPr>
          <w:trHeight w:val="716"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0.18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0.18</w:t>
            </w:r>
          </w:p>
        </w:tc>
      </w:tr>
    </w:tbl>
    <w:p>
      <w:pPr>
        <w:spacing w:line="240" w:lineRule="auto" w:before="3"/>
        <w:rPr>
          <w:rFonts w:ascii="宋体" w:hAnsi="宋体" w:cs="宋体" w:eastAsia="宋体" w:hint="default"/>
          <w:sz w:val="19"/>
          <w:szCs w:val="19"/>
        </w:rPr>
      </w:pPr>
    </w:p>
    <w:p>
      <w:pPr>
        <w:spacing w:line="506" w:lineRule="auto" w:before="36"/>
        <w:ind w:left="172" w:right="4454" w:firstLine="0"/>
        <w:jc w:val="left"/>
        <w:rPr>
          <w:rFonts w:ascii="宋体" w:hAnsi="宋体" w:cs="宋体" w:eastAsia="宋体" w:hint="default"/>
          <w:sz w:val="21"/>
          <w:szCs w:val="21"/>
        </w:rPr>
      </w:pPr>
      <w:r>
        <w:rPr/>
        <w:pict>
          <v:shape style="position:absolute;margin-left:56.639999pt;margin-top:52.289299pt;width:465.35pt;height:46.15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4"/>
                    <w:gridCol w:w="1565"/>
                    <w:gridCol w:w="1328"/>
                    <w:gridCol w:w="1337"/>
                    <w:gridCol w:w="1168"/>
                    <w:gridCol w:w="2314"/>
                  </w:tblGrid>
                  <w:tr>
                    <w:trPr>
                      <w:trHeight w:val="267" w:hRule="exact"/>
                    </w:trPr>
                    <w:tc>
                      <w:tcPr>
                        <w:tcW w:w="1594" w:type="dxa"/>
                        <w:tcBorders>
                          <w:top w:val="nil" w:sz="6" w:space="0" w:color="auto"/>
                          <w:left w:val="nil" w:sz="6" w:space="0" w:color="auto"/>
                          <w:bottom w:val="single" w:sz="6" w:space="0" w:color="000000"/>
                          <w:right w:val="nil" w:sz="6" w:space="0" w:color="auto"/>
                        </w:tcBorders>
                      </w:tcPr>
                      <w:p>
                        <w:pPr>
                          <w:pStyle w:val="TableParagraph"/>
                          <w:spacing w:line="180" w:lineRule="exact"/>
                          <w:ind w:left="372"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565" w:type="dxa"/>
                        <w:tcBorders>
                          <w:top w:val="nil" w:sz="6" w:space="0" w:color="auto"/>
                          <w:left w:val="nil" w:sz="6" w:space="0" w:color="auto"/>
                          <w:bottom w:val="single" w:sz="6" w:space="0" w:color="000000"/>
                          <w:right w:val="nil" w:sz="6" w:space="0" w:color="auto"/>
                        </w:tcBorders>
                      </w:tcPr>
                      <w:p>
                        <w:pPr>
                          <w:pStyle w:val="TableParagraph"/>
                          <w:spacing w:line="180" w:lineRule="exact"/>
                          <w:ind w:left="93"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1328" w:type="dxa"/>
                        <w:tcBorders>
                          <w:top w:val="nil" w:sz="6" w:space="0" w:color="auto"/>
                          <w:left w:val="nil" w:sz="6" w:space="0" w:color="auto"/>
                          <w:bottom w:val="single" w:sz="6" w:space="0" w:color="000000"/>
                          <w:right w:val="nil" w:sz="6" w:space="0" w:color="auto"/>
                        </w:tcBorders>
                      </w:tcPr>
                      <w:p>
                        <w:pPr>
                          <w:pStyle w:val="TableParagraph"/>
                          <w:spacing w:line="180" w:lineRule="exact"/>
                          <w:ind w:right="353"/>
                          <w:jc w:val="right"/>
                          <w:rPr>
                            <w:rFonts w:ascii="宋体" w:hAnsi="宋体" w:cs="宋体" w:eastAsia="宋体" w:hint="default"/>
                            <w:sz w:val="18"/>
                            <w:szCs w:val="18"/>
                          </w:rPr>
                        </w:pPr>
                        <w:r>
                          <w:rPr>
                            <w:rFonts w:ascii="宋体" w:hAnsi="宋体" w:cs="宋体" w:eastAsia="宋体" w:hint="default"/>
                            <w:sz w:val="18"/>
                            <w:szCs w:val="18"/>
                          </w:rPr>
                          <w:t>年初数</w:t>
                        </w:r>
                      </w:p>
                    </w:tc>
                    <w:tc>
                      <w:tcPr>
                        <w:tcW w:w="1337" w:type="dxa"/>
                        <w:tcBorders>
                          <w:top w:val="nil" w:sz="6" w:space="0" w:color="auto"/>
                          <w:left w:val="nil" w:sz="6" w:space="0" w:color="auto"/>
                          <w:bottom w:val="single" w:sz="6" w:space="0" w:color="000000"/>
                          <w:right w:val="nil" w:sz="6" w:space="0" w:color="auto"/>
                        </w:tcBorders>
                      </w:tcPr>
                      <w:p>
                        <w:pPr>
                          <w:pStyle w:val="TableParagraph"/>
                          <w:spacing w:line="180" w:lineRule="exact"/>
                          <w:ind w:right="274"/>
                          <w:jc w:val="right"/>
                          <w:rPr>
                            <w:rFonts w:ascii="宋体" w:hAnsi="宋体" w:cs="宋体" w:eastAsia="宋体" w:hint="default"/>
                            <w:sz w:val="18"/>
                            <w:szCs w:val="18"/>
                          </w:rPr>
                        </w:pPr>
                        <w:r>
                          <w:rPr>
                            <w:rFonts w:ascii="宋体" w:hAnsi="宋体" w:cs="宋体" w:eastAsia="宋体" w:hint="default"/>
                            <w:sz w:val="18"/>
                            <w:szCs w:val="18"/>
                          </w:rPr>
                          <w:t>增减变动</w:t>
                        </w:r>
                      </w:p>
                    </w:tc>
                    <w:tc>
                      <w:tcPr>
                        <w:tcW w:w="1168" w:type="dxa"/>
                        <w:tcBorders>
                          <w:top w:val="nil" w:sz="6" w:space="0" w:color="auto"/>
                          <w:left w:val="nil" w:sz="6" w:space="0" w:color="auto"/>
                          <w:bottom w:val="single" w:sz="6" w:space="0" w:color="000000"/>
                          <w:right w:val="nil" w:sz="6" w:space="0" w:color="auto"/>
                        </w:tcBorders>
                      </w:tcPr>
                      <w:p>
                        <w:pPr>
                          <w:pStyle w:val="TableParagraph"/>
                          <w:spacing w:line="180" w:lineRule="exact"/>
                          <w:ind w:right="184"/>
                          <w:jc w:val="right"/>
                          <w:rPr>
                            <w:rFonts w:ascii="宋体" w:hAnsi="宋体" w:cs="宋体" w:eastAsia="宋体" w:hint="default"/>
                            <w:sz w:val="18"/>
                            <w:szCs w:val="18"/>
                          </w:rPr>
                        </w:pPr>
                        <w:r>
                          <w:rPr>
                            <w:rFonts w:ascii="宋体" w:hAnsi="宋体" w:cs="宋体" w:eastAsia="宋体" w:hint="default"/>
                            <w:sz w:val="18"/>
                            <w:szCs w:val="18"/>
                          </w:rPr>
                          <w:t>变动比例</w:t>
                        </w:r>
                      </w:p>
                    </w:tc>
                    <w:tc>
                      <w:tcPr>
                        <w:tcW w:w="2314" w:type="dxa"/>
                        <w:tcBorders>
                          <w:top w:val="nil" w:sz="6" w:space="0" w:color="auto"/>
                          <w:left w:val="nil" w:sz="6" w:space="0" w:color="auto"/>
                          <w:bottom w:val="single" w:sz="6" w:space="0" w:color="000000"/>
                          <w:right w:val="nil" w:sz="6" w:space="0" w:color="auto"/>
                        </w:tcBorders>
                      </w:tcPr>
                      <w:p>
                        <w:pPr>
                          <w:pStyle w:val="TableParagraph"/>
                          <w:spacing w:line="180" w:lineRule="exact"/>
                          <w:ind w:left="865" w:right="0"/>
                          <w:jc w:val="left"/>
                          <w:rPr>
                            <w:rFonts w:ascii="宋体" w:hAnsi="宋体" w:cs="宋体" w:eastAsia="宋体" w:hint="default"/>
                            <w:sz w:val="18"/>
                            <w:szCs w:val="18"/>
                          </w:rPr>
                        </w:pPr>
                        <w:r>
                          <w:rPr>
                            <w:rFonts w:ascii="宋体" w:hAnsi="宋体" w:cs="宋体" w:eastAsia="宋体" w:hint="default"/>
                            <w:sz w:val="18"/>
                            <w:szCs w:val="18"/>
                          </w:rPr>
                          <w:t>变动原因</w:t>
                        </w:r>
                      </w:p>
                    </w:tc>
                  </w:tr>
                  <w:tr>
                    <w:trPr>
                      <w:trHeight w:val="648" w:hRule="exact"/>
                    </w:trPr>
                    <w:tc>
                      <w:tcPr>
                        <w:tcW w:w="1594"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65"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left="69" w:right="0"/>
                          <w:jc w:val="center"/>
                          <w:rPr>
                            <w:rFonts w:ascii="Times New Roman" w:hAnsi="Times New Roman" w:cs="Times New Roman" w:eastAsia="Times New Roman" w:hint="default"/>
                            <w:sz w:val="18"/>
                            <w:szCs w:val="18"/>
                          </w:rPr>
                        </w:pPr>
                        <w:r>
                          <w:rPr>
                            <w:rFonts w:ascii="Times New Roman"/>
                            <w:sz w:val="18"/>
                          </w:rPr>
                          <w:t>1,762.63</w:t>
                        </w:r>
                      </w:p>
                    </w:tc>
                    <w:tc>
                      <w:tcPr>
                        <w:tcW w:w="1328"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338"/>
                          <w:jc w:val="right"/>
                          <w:rPr>
                            <w:rFonts w:ascii="Times New Roman" w:hAnsi="Times New Roman" w:cs="Times New Roman" w:eastAsia="Times New Roman" w:hint="default"/>
                            <w:sz w:val="18"/>
                            <w:szCs w:val="18"/>
                          </w:rPr>
                        </w:pPr>
                        <w:r>
                          <w:rPr>
                            <w:rFonts w:ascii="Times New Roman"/>
                            <w:spacing w:val="-1"/>
                            <w:sz w:val="18"/>
                          </w:rPr>
                          <w:t>903.54</w:t>
                        </w:r>
                      </w:p>
                    </w:tc>
                    <w:tc>
                      <w:tcPr>
                        <w:tcW w:w="133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59"/>
                          <w:jc w:val="right"/>
                          <w:rPr>
                            <w:rFonts w:ascii="Times New Roman" w:hAnsi="Times New Roman" w:cs="Times New Roman" w:eastAsia="Times New Roman" w:hint="default"/>
                            <w:sz w:val="18"/>
                            <w:szCs w:val="18"/>
                          </w:rPr>
                        </w:pPr>
                        <w:r>
                          <w:rPr>
                            <w:rFonts w:ascii="Times New Roman"/>
                            <w:spacing w:val="-1"/>
                            <w:sz w:val="18"/>
                          </w:rPr>
                          <w:t>859.09</w:t>
                        </w:r>
                      </w:p>
                    </w:tc>
                    <w:tc>
                      <w:tcPr>
                        <w:tcW w:w="1168"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147"/>
                          <w:jc w:val="right"/>
                          <w:rPr>
                            <w:rFonts w:ascii="Times New Roman" w:hAnsi="Times New Roman" w:cs="Times New Roman" w:eastAsia="Times New Roman" w:hint="default"/>
                            <w:sz w:val="18"/>
                            <w:szCs w:val="18"/>
                          </w:rPr>
                        </w:pPr>
                        <w:r>
                          <w:rPr>
                            <w:rFonts w:ascii="Times New Roman"/>
                            <w:sz w:val="18"/>
                          </w:rPr>
                          <w:t>95.08%</w:t>
                        </w:r>
                      </w:p>
                    </w:tc>
                    <w:tc>
                      <w:tcPr>
                        <w:tcW w:w="2314" w:type="dxa"/>
                        <w:tcBorders>
                          <w:top w:val="single" w:sz="6" w:space="0" w:color="000000"/>
                          <w:left w:val="nil" w:sz="6" w:space="0" w:color="auto"/>
                          <w:bottom w:val="single" w:sz="6" w:space="0" w:color="000000"/>
                          <w:right w:val="nil" w:sz="6" w:space="0" w:color="auto"/>
                        </w:tcBorders>
                      </w:tcPr>
                      <w:p>
                        <w:pPr>
                          <w:pStyle w:val="TableParagraph"/>
                          <w:spacing w:line="316" w:lineRule="auto" w:before="8"/>
                          <w:ind w:left="149" w:right="0"/>
                          <w:jc w:val="left"/>
                          <w:rPr>
                            <w:rFonts w:ascii="宋体" w:hAnsi="宋体" w:cs="宋体" w:eastAsia="宋体" w:hint="default"/>
                            <w:sz w:val="18"/>
                            <w:szCs w:val="18"/>
                          </w:rPr>
                        </w:pPr>
                        <w:r>
                          <w:rPr>
                            <w:rFonts w:ascii="宋体" w:hAnsi="宋体" w:cs="宋体" w:eastAsia="宋体" w:hint="default"/>
                            <w:spacing w:val="14"/>
                            <w:sz w:val="18"/>
                            <w:szCs w:val="18"/>
                          </w:rPr>
                          <w:t>报告期内经营活动中以票</w:t>
                        </w:r>
                        <w:r>
                          <w:rPr>
                            <w:rFonts w:ascii="宋体" w:hAnsi="宋体" w:cs="宋体" w:eastAsia="宋体" w:hint="default"/>
                            <w:spacing w:val="-85"/>
                            <w:sz w:val="18"/>
                            <w:szCs w:val="18"/>
                          </w:rPr>
                          <w:t> </w:t>
                        </w:r>
                        <w:r>
                          <w:rPr>
                            <w:rFonts w:ascii="宋体" w:hAnsi="宋体" w:cs="宋体" w:eastAsia="宋体" w:hint="default"/>
                            <w:spacing w:val="14"/>
                            <w:sz w:val="18"/>
                            <w:szCs w:val="18"/>
                          </w:rPr>
                          <w:t>据作为结算方式的量有所</w:t>
                        </w:r>
                        <w:r>
                          <w:rPr>
                            <w:rFonts w:ascii="宋体" w:hAnsi="宋体" w:cs="宋体" w:eastAsia="宋体" w:hint="default"/>
                            <w:spacing w:val="-74"/>
                            <w:sz w:val="18"/>
                            <w:szCs w:val="18"/>
                          </w:rPr>
                          <w:t> </w:t>
                        </w:r>
                        <w:r>
                          <w:rPr>
                            <w:rFonts w:ascii="宋体" w:hAnsi="宋体" w:cs="宋体" w:eastAsia="宋体" w:hint="default"/>
                            <w:sz w:val="18"/>
                            <w:szCs w:val="18"/>
                          </w:rPr>
                        </w:r>
                      </w:p>
                    </w:tc>
                  </w:tr>
                </w:tbl>
                <w:p>
                  <w:pPr/>
                </w:p>
              </w:txbxContent>
            </v:textbox>
            <w10:wrap type="none"/>
          </v:shape>
        </w:pic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、公司主要会计报表项目的异常情况及原因的说明</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sz w:val="21"/>
          <w:szCs w:val="21"/>
        </w:rPr>
        <w:t>资产负债变动简要分析（万元）</w:t>
      </w:r>
    </w:p>
    <w:p>
      <w:pPr>
        <w:spacing w:after="0" w:line="506" w:lineRule="auto"/>
        <w:jc w:val="left"/>
        <w:rPr>
          <w:rFonts w:ascii="宋体" w:hAnsi="宋体" w:cs="宋体" w:eastAsia="宋体" w:hint="default"/>
          <w:sz w:val="21"/>
          <w:szCs w:val="21"/>
        </w:rPr>
        <w:sectPr>
          <w:pgSz w:w="11910" w:h="16840"/>
          <w:pgMar w:header="706" w:footer="1340" w:top="1060" w:bottom="1540" w:left="960" w:right="0"/>
        </w:sectPr>
      </w:pPr>
    </w:p>
    <w:p>
      <w:pPr>
        <w:spacing w:line="240" w:lineRule="auto" w:before="11"/>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1713"/>
        <w:gridCol w:w="1437"/>
        <w:gridCol w:w="1417"/>
        <w:gridCol w:w="1339"/>
        <w:gridCol w:w="1114"/>
        <w:gridCol w:w="2314"/>
        <w:gridCol w:w="363"/>
      </w:tblGrid>
      <w:tr>
        <w:trPr>
          <w:trHeight w:val="667" w:hRule="exact"/>
        </w:trPr>
        <w:tc>
          <w:tcPr>
            <w:tcW w:w="1713" w:type="dxa"/>
            <w:tcBorders>
              <w:top w:val="single" w:sz="6" w:space="0" w:color="000000"/>
              <w:left w:val="nil" w:sz="6" w:space="0" w:color="auto"/>
              <w:bottom w:val="single" w:sz="6" w:space="0" w:color="000000"/>
              <w:right w:val="nil" w:sz="6" w:space="0" w:color="auto"/>
            </w:tcBorders>
          </w:tcPr>
          <w:p>
            <w:pPr/>
          </w:p>
        </w:tc>
        <w:tc>
          <w:tcPr>
            <w:tcW w:w="1437" w:type="dxa"/>
            <w:tcBorders>
              <w:top w:val="single" w:sz="6" w:space="0" w:color="000000"/>
              <w:left w:val="nil" w:sz="6" w:space="0" w:color="auto"/>
              <w:bottom w:val="single" w:sz="6" w:space="0" w:color="000000"/>
              <w:right w:val="nil" w:sz="6" w:space="0" w:color="auto"/>
            </w:tcBorders>
          </w:tcPr>
          <w:p>
            <w:pPr/>
          </w:p>
        </w:tc>
        <w:tc>
          <w:tcPr>
            <w:tcW w:w="1417" w:type="dxa"/>
            <w:tcBorders>
              <w:top w:val="single" w:sz="6" w:space="0" w:color="000000"/>
              <w:left w:val="nil" w:sz="6" w:space="0" w:color="auto"/>
              <w:bottom w:val="single" w:sz="6" w:space="0" w:color="000000"/>
              <w:right w:val="nil" w:sz="6" w:space="0" w:color="auto"/>
            </w:tcBorders>
          </w:tcPr>
          <w:p>
            <w:pPr/>
          </w:p>
        </w:tc>
        <w:tc>
          <w:tcPr>
            <w:tcW w:w="1339" w:type="dxa"/>
            <w:tcBorders>
              <w:top w:val="single" w:sz="6" w:space="0" w:color="000000"/>
              <w:left w:val="nil" w:sz="6" w:space="0" w:color="auto"/>
              <w:bottom w:val="single" w:sz="6" w:space="0" w:color="000000"/>
              <w:right w:val="nil" w:sz="6" w:space="0" w:color="auto"/>
            </w:tcBorders>
          </w:tcPr>
          <w:p>
            <w:pPr/>
          </w:p>
        </w:tc>
        <w:tc>
          <w:tcPr>
            <w:tcW w:w="1114" w:type="dxa"/>
            <w:tcBorders>
              <w:top w:val="single" w:sz="6" w:space="0" w:color="000000"/>
              <w:left w:val="nil" w:sz="6" w:space="0" w:color="auto"/>
              <w:bottom w:val="single" w:sz="6" w:space="0" w:color="000000"/>
              <w:right w:val="nil" w:sz="6" w:space="0" w:color="auto"/>
            </w:tcBorders>
          </w:tcPr>
          <w:p>
            <w:pPr/>
          </w:p>
        </w:tc>
        <w:tc>
          <w:tcPr>
            <w:tcW w:w="2314" w:type="dxa"/>
            <w:tcBorders>
              <w:top w:val="single" w:sz="6" w:space="0" w:color="000000"/>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363" w:type="dxa"/>
            <w:tcBorders>
              <w:top w:val="single" w:sz="6" w:space="0" w:color="000000"/>
              <w:left w:val="nil" w:sz="6" w:space="0" w:color="auto"/>
              <w:bottom w:val="nil" w:sz="6" w:space="0" w:color="auto"/>
              <w:right w:val="nil" w:sz="6" w:space="0" w:color="auto"/>
            </w:tcBorders>
          </w:tcPr>
          <w:p>
            <w:pPr/>
          </w:p>
        </w:tc>
      </w:tr>
      <w:tr>
        <w:trPr>
          <w:trHeight w:val="1275" w:hRule="exact"/>
        </w:trPr>
        <w:tc>
          <w:tcPr>
            <w:tcW w:w="1713"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188"/>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437"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392"/>
              <w:jc w:val="right"/>
              <w:rPr>
                <w:rFonts w:ascii="Times New Roman" w:hAnsi="Times New Roman" w:cs="Times New Roman" w:eastAsia="Times New Roman" w:hint="default"/>
                <w:sz w:val="18"/>
                <w:szCs w:val="18"/>
              </w:rPr>
            </w:pPr>
            <w:r>
              <w:rPr>
                <w:rFonts w:ascii="Times New Roman"/>
                <w:w w:val="95"/>
                <w:sz w:val="18"/>
              </w:rPr>
              <w:t>7,283.51</w:t>
            </w:r>
          </w:p>
        </w:tc>
        <w:tc>
          <w:tcPr>
            <w:tcW w:w="1417"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390"/>
              <w:jc w:val="right"/>
              <w:rPr>
                <w:rFonts w:ascii="Times New Roman" w:hAnsi="Times New Roman" w:cs="Times New Roman" w:eastAsia="Times New Roman" w:hint="default"/>
                <w:sz w:val="18"/>
                <w:szCs w:val="18"/>
              </w:rPr>
            </w:pPr>
            <w:r>
              <w:rPr>
                <w:rFonts w:ascii="Times New Roman"/>
                <w:w w:val="95"/>
                <w:sz w:val="18"/>
              </w:rPr>
              <w:t>3,801.47</w:t>
            </w:r>
          </w:p>
        </w:tc>
        <w:tc>
          <w:tcPr>
            <w:tcW w:w="1339"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313"/>
              <w:jc w:val="right"/>
              <w:rPr>
                <w:rFonts w:ascii="Times New Roman" w:hAnsi="Times New Roman" w:cs="Times New Roman" w:eastAsia="Times New Roman" w:hint="default"/>
                <w:sz w:val="18"/>
                <w:szCs w:val="18"/>
              </w:rPr>
            </w:pPr>
            <w:r>
              <w:rPr>
                <w:rFonts w:ascii="Times New Roman"/>
                <w:w w:val="95"/>
                <w:sz w:val="18"/>
              </w:rPr>
              <w:t>3,482.04</w:t>
            </w:r>
          </w:p>
        </w:tc>
        <w:tc>
          <w:tcPr>
            <w:tcW w:w="1114"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147"/>
              <w:jc w:val="right"/>
              <w:rPr>
                <w:rFonts w:ascii="Times New Roman" w:hAnsi="Times New Roman" w:cs="Times New Roman" w:eastAsia="Times New Roman" w:hint="default"/>
                <w:sz w:val="18"/>
                <w:szCs w:val="18"/>
              </w:rPr>
            </w:pPr>
            <w:r>
              <w:rPr>
                <w:rFonts w:ascii="Times New Roman"/>
                <w:sz w:val="18"/>
              </w:rPr>
              <w:t>91.60%</w:t>
            </w:r>
          </w:p>
        </w:tc>
        <w:tc>
          <w:tcPr>
            <w:tcW w:w="2314" w:type="dxa"/>
            <w:tcBorders>
              <w:top w:val="single" w:sz="6" w:space="0" w:color="000000"/>
              <w:left w:val="nil" w:sz="6" w:space="0" w:color="auto"/>
              <w:bottom w:val="single" w:sz="6" w:space="0" w:color="000000"/>
              <w:right w:val="nil" w:sz="6" w:space="0" w:color="auto"/>
            </w:tcBorders>
          </w:tcPr>
          <w:p>
            <w:pPr>
              <w:pStyle w:val="TableParagraph"/>
              <w:spacing w:line="316" w:lineRule="auto" w:before="10"/>
              <w:ind w:left="149" w:right="0"/>
              <w:jc w:val="both"/>
              <w:rPr>
                <w:rFonts w:ascii="宋体" w:hAnsi="宋体" w:cs="宋体" w:eastAsia="宋体" w:hint="default"/>
                <w:sz w:val="18"/>
                <w:szCs w:val="18"/>
              </w:rPr>
            </w:pPr>
            <w:r>
              <w:rPr>
                <w:rFonts w:ascii="宋体" w:hAnsi="宋体" w:cs="宋体" w:eastAsia="宋体" w:hint="default"/>
                <w:spacing w:val="14"/>
                <w:sz w:val="18"/>
                <w:szCs w:val="18"/>
              </w:rPr>
              <w:t>主要系报告期内对合营公</w:t>
            </w:r>
            <w:r>
              <w:rPr>
                <w:rFonts w:ascii="宋体" w:hAnsi="宋体" w:cs="宋体" w:eastAsia="宋体" w:hint="default"/>
                <w:spacing w:val="-85"/>
                <w:sz w:val="18"/>
                <w:szCs w:val="18"/>
              </w:rPr>
              <w:t> </w:t>
            </w:r>
            <w:r>
              <w:rPr>
                <w:rFonts w:ascii="宋体" w:hAnsi="宋体" w:cs="宋体" w:eastAsia="宋体" w:hint="default"/>
                <w:spacing w:val="14"/>
                <w:sz w:val="18"/>
                <w:szCs w:val="18"/>
              </w:rPr>
              <w:t>司盐城高周波增加投资所</w:t>
            </w:r>
            <w:r>
              <w:rPr>
                <w:rFonts w:ascii="宋体" w:hAnsi="宋体" w:cs="宋体" w:eastAsia="宋体" w:hint="default"/>
                <w:spacing w:val="-85"/>
                <w:sz w:val="18"/>
                <w:szCs w:val="18"/>
              </w:rPr>
              <w:t> </w:t>
            </w:r>
            <w:r>
              <w:rPr>
                <w:rFonts w:ascii="宋体" w:hAnsi="宋体" w:cs="宋体" w:eastAsia="宋体" w:hint="default"/>
                <w:sz w:val="18"/>
                <w:szCs w:val="18"/>
              </w:rPr>
              <w:t>致及合营、联营公司报告期</w:t>
            </w:r>
            <w:r>
              <w:rPr>
                <w:rFonts w:ascii="宋体" w:hAnsi="宋体" w:cs="宋体" w:eastAsia="宋体" w:hint="default"/>
                <w:sz w:val="18"/>
                <w:szCs w:val="18"/>
              </w:rPr>
              <w:t> 实现净利影响</w:t>
            </w:r>
          </w:p>
        </w:tc>
        <w:tc>
          <w:tcPr>
            <w:tcW w:w="363" w:type="dxa"/>
            <w:tcBorders>
              <w:top w:val="nil" w:sz="6" w:space="0" w:color="auto"/>
              <w:left w:val="nil" w:sz="6" w:space="0" w:color="auto"/>
              <w:bottom w:val="nil" w:sz="6" w:space="0" w:color="auto"/>
              <w:right w:val="nil" w:sz="6" w:space="0" w:color="auto"/>
            </w:tcBorders>
          </w:tcPr>
          <w:p>
            <w:pPr/>
          </w:p>
        </w:tc>
      </w:tr>
      <w:tr>
        <w:trPr>
          <w:trHeight w:val="648" w:hRule="exact"/>
        </w:trPr>
        <w:tc>
          <w:tcPr>
            <w:tcW w:w="1713"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188"/>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43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391"/>
              <w:jc w:val="right"/>
              <w:rPr>
                <w:rFonts w:ascii="Times New Roman" w:hAnsi="Times New Roman" w:cs="Times New Roman" w:eastAsia="Times New Roman" w:hint="default"/>
                <w:sz w:val="18"/>
                <w:szCs w:val="18"/>
              </w:rPr>
            </w:pPr>
            <w:r>
              <w:rPr>
                <w:rFonts w:ascii="Times New Roman"/>
                <w:w w:val="95"/>
                <w:sz w:val="18"/>
              </w:rPr>
              <w:t>2,706.46</w:t>
            </w:r>
          </w:p>
        </w:tc>
        <w:tc>
          <w:tcPr>
            <w:tcW w:w="141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390"/>
              <w:jc w:val="right"/>
              <w:rPr>
                <w:rFonts w:ascii="Times New Roman" w:hAnsi="Times New Roman" w:cs="Times New Roman" w:eastAsia="Times New Roman" w:hint="default"/>
                <w:sz w:val="18"/>
                <w:szCs w:val="18"/>
              </w:rPr>
            </w:pPr>
            <w:r>
              <w:rPr>
                <w:rFonts w:ascii="Times New Roman"/>
                <w:spacing w:val="-1"/>
                <w:sz w:val="18"/>
              </w:rPr>
              <w:t>746.46</w:t>
            </w:r>
          </w:p>
        </w:tc>
        <w:tc>
          <w:tcPr>
            <w:tcW w:w="1339"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313"/>
              <w:jc w:val="right"/>
              <w:rPr>
                <w:rFonts w:ascii="Times New Roman" w:hAnsi="Times New Roman" w:cs="Times New Roman" w:eastAsia="Times New Roman" w:hint="default"/>
                <w:sz w:val="18"/>
                <w:szCs w:val="18"/>
              </w:rPr>
            </w:pPr>
            <w:r>
              <w:rPr>
                <w:rFonts w:ascii="Times New Roman"/>
                <w:w w:val="95"/>
                <w:sz w:val="18"/>
              </w:rPr>
              <w:t>1,960.00</w:t>
            </w:r>
          </w:p>
        </w:tc>
        <w:tc>
          <w:tcPr>
            <w:tcW w:w="1114"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150"/>
              <w:jc w:val="right"/>
              <w:rPr>
                <w:rFonts w:ascii="Times New Roman" w:hAnsi="Times New Roman" w:cs="Times New Roman" w:eastAsia="Times New Roman" w:hint="default"/>
                <w:sz w:val="18"/>
                <w:szCs w:val="18"/>
              </w:rPr>
            </w:pPr>
            <w:r>
              <w:rPr>
                <w:rFonts w:ascii="Times New Roman"/>
                <w:spacing w:val="-1"/>
                <w:sz w:val="18"/>
              </w:rPr>
              <w:t>262.57%</w:t>
            </w:r>
          </w:p>
        </w:tc>
        <w:tc>
          <w:tcPr>
            <w:tcW w:w="2314" w:type="dxa"/>
            <w:tcBorders>
              <w:top w:val="single" w:sz="6" w:space="0" w:color="000000"/>
              <w:left w:val="nil" w:sz="6" w:space="0" w:color="auto"/>
              <w:bottom w:val="single" w:sz="6" w:space="0" w:color="000000"/>
              <w:right w:val="nil" w:sz="6" w:space="0" w:color="auto"/>
            </w:tcBorders>
          </w:tcPr>
          <w:p>
            <w:pPr>
              <w:pStyle w:val="TableParagraph"/>
              <w:spacing w:line="316" w:lineRule="auto" w:before="8"/>
              <w:ind w:left="149" w:right="0"/>
              <w:jc w:val="left"/>
              <w:rPr>
                <w:rFonts w:ascii="宋体" w:hAnsi="宋体" w:cs="宋体" w:eastAsia="宋体" w:hint="default"/>
                <w:sz w:val="18"/>
                <w:szCs w:val="18"/>
              </w:rPr>
            </w:pPr>
            <w:r>
              <w:rPr>
                <w:rFonts w:ascii="宋体" w:hAnsi="宋体" w:cs="宋体" w:eastAsia="宋体" w:hint="default"/>
                <w:spacing w:val="14"/>
                <w:sz w:val="18"/>
                <w:szCs w:val="18"/>
              </w:rPr>
              <w:t>主要系母公司研发大楼处</w:t>
            </w:r>
            <w:r>
              <w:rPr>
                <w:rFonts w:ascii="宋体" w:hAnsi="宋体" w:cs="宋体" w:eastAsia="宋体" w:hint="default"/>
                <w:spacing w:val="-85"/>
                <w:sz w:val="18"/>
                <w:szCs w:val="18"/>
              </w:rPr>
              <w:t> </w:t>
            </w:r>
            <w:r>
              <w:rPr>
                <w:rFonts w:ascii="宋体" w:hAnsi="宋体" w:cs="宋体" w:eastAsia="宋体" w:hint="default"/>
                <w:sz w:val="18"/>
                <w:szCs w:val="18"/>
              </w:rPr>
              <w:t>于建设过程中所致</w:t>
            </w:r>
          </w:p>
        </w:tc>
        <w:tc>
          <w:tcPr>
            <w:tcW w:w="363" w:type="dxa"/>
            <w:tcBorders>
              <w:top w:val="nil" w:sz="6" w:space="0" w:color="auto"/>
              <w:left w:val="nil" w:sz="6" w:space="0" w:color="auto"/>
              <w:bottom w:val="nil" w:sz="6" w:space="0" w:color="auto"/>
              <w:right w:val="nil" w:sz="6" w:space="0" w:color="auto"/>
            </w:tcBorders>
          </w:tcPr>
          <w:p>
            <w:pPr/>
          </w:p>
        </w:tc>
      </w:tr>
      <w:tr>
        <w:trPr>
          <w:trHeight w:val="650" w:hRule="exact"/>
        </w:trPr>
        <w:tc>
          <w:tcPr>
            <w:tcW w:w="1713"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188"/>
              <w:jc w:val="center"/>
              <w:rPr>
                <w:rFonts w:ascii="宋体" w:hAnsi="宋体" w:cs="宋体" w:eastAsia="宋体" w:hint="default"/>
                <w:sz w:val="18"/>
                <w:szCs w:val="18"/>
              </w:rPr>
            </w:pPr>
            <w:r>
              <w:rPr>
                <w:rFonts w:ascii="宋体" w:hAnsi="宋体" w:cs="宋体" w:eastAsia="宋体" w:hint="default"/>
                <w:sz w:val="18"/>
                <w:szCs w:val="18"/>
              </w:rPr>
              <w:t>长期待摊费用</w:t>
            </w:r>
          </w:p>
        </w:tc>
        <w:tc>
          <w:tcPr>
            <w:tcW w:w="143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391"/>
              <w:jc w:val="right"/>
              <w:rPr>
                <w:rFonts w:ascii="Times New Roman" w:hAnsi="Times New Roman" w:cs="Times New Roman" w:eastAsia="Times New Roman" w:hint="default"/>
                <w:sz w:val="18"/>
                <w:szCs w:val="18"/>
              </w:rPr>
            </w:pPr>
            <w:r>
              <w:rPr>
                <w:rFonts w:ascii="Times New Roman"/>
                <w:spacing w:val="-1"/>
                <w:sz w:val="18"/>
              </w:rPr>
              <w:t>144.88</w:t>
            </w:r>
          </w:p>
        </w:tc>
        <w:tc>
          <w:tcPr>
            <w:tcW w:w="141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389"/>
              <w:jc w:val="right"/>
              <w:rPr>
                <w:rFonts w:ascii="Times New Roman" w:hAnsi="Times New Roman" w:cs="Times New Roman" w:eastAsia="Times New Roman" w:hint="default"/>
                <w:sz w:val="18"/>
                <w:szCs w:val="18"/>
              </w:rPr>
            </w:pPr>
            <w:r>
              <w:rPr>
                <w:rFonts w:ascii="Times New Roman"/>
                <w:sz w:val="18"/>
              </w:rPr>
              <w:t>48.97</w:t>
            </w:r>
          </w:p>
        </w:tc>
        <w:tc>
          <w:tcPr>
            <w:tcW w:w="1339"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313"/>
              <w:jc w:val="right"/>
              <w:rPr>
                <w:rFonts w:ascii="Times New Roman" w:hAnsi="Times New Roman" w:cs="Times New Roman" w:eastAsia="Times New Roman" w:hint="default"/>
                <w:sz w:val="18"/>
                <w:szCs w:val="18"/>
              </w:rPr>
            </w:pPr>
            <w:r>
              <w:rPr>
                <w:rFonts w:ascii="Times New Roman"/>
                <w:sz w:val="18"/>
              </w:rPr>
              <w:t>95.91</w:t>
            </w:r>
          </w:p>
        </w:tc>
        <w:tc>
          <w:tcPr>
            <w:tcW w:w="1114"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150"/>
              <w:jc w:val="right"/>
              <w:rPr>
                <w:rFonts w:ascii="Times New Roman" w:hAnsi="Times New Roman" w:cs="Times New Roman" w:eastAsia="Times New Roman" w:hint="default"/>
                <w:sz w:val="18"/>
                <w:szCs w:val="18"/>
              </w:rPr>
            </w:pPr>
            <w:r>
              <w:rPr>
                <w:rFonts w:ascii="Times New Roman"/>
                <w:spacing w:val="-1"/>
                <w:sz w:val="18"/>
              </w:rPr>
              <w:t>195.85%</w:t>
            </w:r>
          </w:p>
        </w:tc>
        <w:tc>
          <w:tcPr>
            <w:tcW w:w="2314" w:type="dxa"/>
            <w:tcBorders>
              <w:top w:val="single" w:sz="6" w:space="0" w:color="000000"/>
              <w:left w:val="nil" w:sz="6" w:space="0" w:color="auto"/>
              <w:bottom w:val="single" w:sz="6" w:space="0" w:color="000000"/>
              <w:right w:val="nil" w:sz="6" w:space="0" w:color="auto"/>
            </w:tcBorders>
          </w:tcPr>
          <w:p>
            <w:pPr>
              <w:pStyle w:val="TableParagraph"/>
              <w:spacing w:line="316" w:lineRule="auto" w:before="8"/>
              <w:ind w:left="149" w:right="0"/>
              <w:jc w:val="left"/>
              <w:rPr>
                <w:rFonts w:ascii="宋体" w:hAnsi="宋体" w:cs="宋体" w:eastAsia="宋体" w:hint="default"/>
                <w:sz w:val="18"/>
                <w:szCs w:val="18"/>
              </w:rPr>
            </w:pPr>
            <w:r>
              <w:rPr>
                <w:rFonts w:ascii="宋体" w:hAnsi="宋体" w:cs="宋体" w:eastAsia="宋体" w:hint="default"/>
                <w:spacing w:val="14"/>
                <w:sz w:val="18"/>
                <w:szCs w:val="18"/>
              </w:rPr>
              <w:t>主要系子公司重庆丰东办</w:t>
            </w:r>
            <w:r>
              <w:rPr>
                <w:rFonts w:ascii="宋体" w:hAnsi="宋体" w:cs="宋体" w:eastAsia="宋体" w:hint="default"/>
                <w:spacing w:val="-85"/>
                <w:sz w:val="18"/>
                <w:szCs w:val="18"/>
              </w:rPr>
              <w:t> </w:t>
            </w:r>
            <w:r>
              <w:rPr>
                <w:rFonts w:ascii="宋体" w:hAnsi="宋体" w:cs="宋体" w:eastAsia="宋体" w:hint="default"/>
                <w:sz w:val="18"/>
                <w:szCs w:val="18"/>
              </w:rPr>
              <w:t>公及厂房装修所致</w:t>
            </w:r>
          </w:p>
        </w:tc>
        <w:tc>
          <w:tcPr>
            <w:tcW w:w="363" w:type="dxa"/>
            <w:tcBorders>
              <w:top w:val="nil" w:sz="6" w:space="0" w:color="auto"/>
              <w:left w:val="nil" w:sz="6" w:space="0" w:color="auto"/>
              <w:bottom w:val="nil" w:sz="6" w:space="0" w:color="auto"/>
              <w:right w:val="nil" w:sz="6" w:space="0" w:color="auto"/>
            </w:tcBorders>
          </w:tcPr>
          <w:p>
            <w:pPr/>
          </w:p>
        </w:tc>
      </w:tr>
      <w:tr>
        <w:trPr>
          <w:trHeight w:val="648" w:hRule="exact"/>
        </w:trPr>
        <w:tc>
          <w:tcPr>
            <w:tcW w:w="1713"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188"/>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143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391"/>
              <w:jc w:val="right"/>
              <w:rPr>
                <w:rFonts w:ascii="Times New Roman" w:hAnsi="Times New Roman" w:cs="Times New Roman" w:eastAsia="Times New Roman" w:hint="default"/>
                <w:sz w:val="18"/>
                <w:szCs w:val="18"/>
              </w:rPr>
            </w:pPr>
            <w:r>
              <w:rPr>
                <w:rFonts w:ascii="Times New Roman"/>
                <w:spacing w:val="-1"/>
                <w:sz w:val="18"/>
              </w:rPr>
              <w:t>834.46</w:t>
            </w:r>
          </w:p>
        </w:tc>
        <w:tc>
          <w:tcPr>
            <w:tcW w:w="141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390"/>
              <w:jc w:val="right"/>
              <w:rPr>
                <w:rFonts w:ascii="Times New Roman" w:hAnsi="Times New Roman" w:cs="Times New Roman" w:eastAsia="Times New Roman" w:hint="default"/>
                <w:sz w:val="18"/>
                <w:szCs w:val="18"/>
              </w:rPr>
            </w:pPr>
            <w:r>
              <w:rPr>
                <w:rFonts w:ascii="Times New Roman"/>
                <w:spacing w:val="-1"/>
                <w:sz w:val="18"/>
              </w:rPr>
              <w:t>387.32</w:t>
            </w:r>
          </w:p>
        </w:tc>
        <w:tc>
          <w:tcPr>
            <w:tcW w:w="1339"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313"/>
              <w:jc w:val="right"/>
              <w:rPr>
                <w:rFonts w:ascii="Times New Roman" w:hAnsi="Times New Roman" w:cs="Times New Roman" w:eastAsia="Times New Roman" w:hint="default"/>
                <w:sz w:val="18"/>
                <w:szCs w:val="18"/>
              </w:rPr>
            </w:pPr>
            <w:r>
              <w:rPr>
                <w:rFonts w:ascii="Times New Roman"/>
                <w:spacing w:val="-1"/>
                <w:sz w:val="18"/>
              </w:rPr>
              <w:t>447.14</w:t>
            </w:r>
          </w:p>
        </w:tc>
        <w:tc>
          <w:tcPr>
            <w:tcW w:w="1114"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150"/>
              <w:jc w:val="right"/>
              <w:rPr>
                <w:rFonts w:ascii="Times New Roman" w:hAnsi="Times New Roman" w:cs="Times New Roman" w:eastAsia="Times New Roman" w:hint="default"/>
                <w:sz w:val="18"/>
                <w:szCs w:val="18"/>
              </w:rPr>
            </w:pPr>
            <w:r>
              <w:rPr>
                <w:rFonts w:ascii="Times New Roman"/>
                <w:spacing w:val="-1"/>
                <w:sz w:val="18"/>
              </w:rPr>
              <w:t>115.44%</w:t>
            </w:r>
          </w:p>
        </w:tc>
        <w:tc>
          <w:tcPr>
            <w:tcW w:w="2314" w:type="dxa"/>
            <w:tcBorders>
              <w:top w:val="single" w:sz="6" w:space="0" w:color="000000"/>
              <w:left w:val="nil" w:sz="6" w:space="0" w:color="auto"/>
              <w:bottom w:val="single" w:sz="6" w:space="0" w:color="000000"/>
              <w:right w:val="nil" w:sz="6" w:space="0" w:color="auto"/>
            </w:tcBorders>
          </w:tcPr>
          <w:p>
            <w:pPr>
              <w:pStyle w:val="TableParagraph"/>
              <w:spacing w:line="316" w:lineRule="auto" w:before="8"/>
              <w:ind w:left="149" w:right="0"/>
              <w:jc w:val="left"/>
              <w:rPr>
                <w:rFonts w:ascii="宋体" w:hAnsi="宋体" w:cs="宋体" w:eastAsia="宋体" w:hint="default"/>
                <w:sz w:val="18"/>
                <w:szCs w:val="18"/>
              </w:rPr>
            </w:pPr>
            <w:r>
              <w:rPr>
                <w:rFonts w:ascii="宋体" w:hAnsi="宋体" w:cs="宋体" w:eastAsia="宋体" w:hint="default"/>
                <w:spacing w:val="14"/>
                <w:sz w:val="18"/>
                <w:szCs w:val="18"/>
              </w:rPr>
              <w:t>年末发货加大导致流转税</w:t>
            </w:r>
            <w:r>
              <w:rPr>
                <w:rFonts w:ascii="宋体" w:hAnsi="宋体" w:cs="宋体" w:eastAsia="宋体" w:hint="default"/>
                <w:spacing w:val="-85"/>
                <w:sz w:val="18"/>
                <w:szCs w:val="18"/>
              </w:rPr>
              <w:t> </w:t>
            </w:r>
            <w:r>
              <w:rPr>
                <w:rFonts w:ascii="宋体" w:hAnsi="宋体" w:cs="宋体" w:eastAsia="宋体" w:hint="default"/>
                <w:sz w:val="18"/>
                <w:szCs w:val="18"/>
              </w:rPr>
              <w:t>比上年度增加所致</w:t>
            </w:r>
          </w:p>
        </w:tc>
        <w:tc>
          <w:tcPr>
            <w:tcW w:w="363" w:type="dxa"/>
            <w:tcBorders>
              <w:top w:val="nil" w:sz="6" w:space="0" w:color="auto"/>
              <w:left w:val="nil" w:sz="6" w:space="0" w:color="auto"/>
              <w:bottom w:val="nil" w:sz="6" w:space="0" w:color="auto"/>
              <w:right w:val="nil" w:sz="6" w:space="0" w:color="auto"/>
            </w:tcBorders>
          </w:tcPr>
          <w:p>
            <w:pPr/>
          </w:p>
        </w:tc>
      </w:tr>
    </w:tbl>
    <w:p>
      <w:pPr>
        <w:pStyle w:val="BodyText"/>
        <w:spacing w:line="262" w:lineRule="exact"/>
        <w:ind w:right="0"/>
        <w:jc w:val="left"/>
      </w:pPr>
      <w:r>
        <w:rPr/>
        <w:t>股东权益变动简要分析（万元）</w:t>
      </w:r>
    </w:p>
    <w:p>
      <w:pPr>
        <w:spacing w:line="240" w:lineRule="auto" w:before="6"/>
        <w:rPr>
          <w:rFonts w:ascii="宋体" w:hAnsi="宋体" w:cs="宋体" w:eastAsia="宋体" w:hint="default"/>
          <w:sz w:val="9"/>
          <w:szCs w:val="9"/>
        </w:rPr>
      </w:pPr>
    </w:p>
    <w:tbl>
      <w:tblPr>
        <w:tblW w:w="0" w:type="auto"/>
        <w:jc w:val="left"/>
        <w:tblInd w:w="172" w:type="dxa"/>
        <w:tblLayout w:type="fixed"/>
        <w:tblCellMar>
          <w:top w:w="0" w:type="dxa"/>
          <w:left w:w="0" w:type="dxa"/>
          <w:bottom w:w="0" w:type="dxa"/>
          <w:right w:w="0" w:type="dxa"/>
        </w:tblCellMar>
        <w:tblLook w:val="01E0"/>
      </w:tblPr>
      <w:tblGrid>
        <w:gridCol w:w="1620"/>
        <w:gridCol w:w="1598"/>
        <w:gridCol w:w="1317"/>
        <w:gridCol w:w="1289"/>
        <w:gridCol w:w="1168"/>
        <w:gridCol w:w="2310"/>
      </w:tblGrid>
      <w:tr>
        <w:trPr>
          <w:trHeight w:val="267" w:hRule="exact"/>
        </w:trPr>
        <w:tc>
          <w:tcPr>
            <w:tcW w:w="1620" w:type="dxa"/>
            <w:tcBorders>
              <w:top w:val="nil" w:sz="6" w:space="0" w:color="auto"/>
              <w:left w:val="nil" w:sz="6" w:space="0" w:color="auto"/>
              <w:bottom w:val="single" w:sz="6" w:space="0" w:color="000000"/>
              <w:right w:val="nil" w:sz="6" w:space="0" w:color="auto"/>
            </w:tcBorders>
          </w:tcPr>
          <w:p>
            <w:pPr>
              <w:pStyle w:val="TableParagraph"/>
              <w:spacing w:line="180" w:lineRule="exact"/>
              <w:ind w:right="153"/>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1598" w:type="dxa"/>
            <w:tcBorders>
              <w:top w:val="nil" w:sz="6" w:space="0" w:color="auto"/>
              <w:left w:val="nil" w:sz="6" w:space="0" w:color="auto"/>
              <w:bottom w:val="single" w:sz="6" w:space="0" w:color="000000"/>
              <w:right w:val="nil" w:sz="6" w:space="0" w:color="auto"/>
            </w:tcBorders>
          </w:tcPr>
          <w:p>
            <w:pPr>
              <w:pStyle w:val="TableParagraph"/>
              <w:spacing w:line="180" w:lineRule="exact"/>
              <w:ind w:right="362"/>
              <w:jc w:val="right"/>
              <w:rPr>
                <w:rFonts w:ascii="宋体" w:hAnsi="宋体" w:cs="宋体" w:eastAsia="宋体" w:hint="default"/>
                <w:sz w:val="18"/>
                <w:szCs w:val="18"/>
              </w:rPr>
            </w:pPr>
            <w:r>
              <w:rPr>
                <w:rFonts w:ascii="宋体" w:hAnsi="宋体" w:cs="宋体" w:eastAsia="宋体" w:hint="default"/>
                <w:sz w:val="18"/>
                <w:szCs w:val="18"/>
              </w:rPr>
              <w:t>年末数</w:t>
            </w:r>
          </w:p>
        </w:tc>
        <w:tc>
          <w:tcPr>
            <w:tcW w:w="1317" w:type="dxa"/>
            <w:tcBorders>
              <w:top w:val="nil" w:sz="6" w:space="0" w:color="auto"/>
              <w:left w:val="nil" w:sz="6" w:space="0" w:color="auto"/>
              <w:bottom w:val="single" w:sz="6" w:space="0" w:color="000000"/>
              <w:right w:val="nil" w:sz="6" w:space="0" w:color="auto"/>
            </w:tcBorders>
          </w:tcPr>
          <w:p>
            <w:pPr>
              <w:pStyle w:val="TableParagraph"/>
              <w:spacing w:line="180" w:lineRule="exact"/>
              <w:ind w:left="423"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289" w:type="dxa"/>
            <w:tcBorders>
              <w:top w:val="nil" w:sz="6" w:space="0" w:color="auto"/>
              <w:left w:val="nil" w:sz="6" w:space="0" w:color="auto"/>
              <w:bottom w:val="single" w:sz="6" w:space="0" w:color="000000"/>
              <w:right w:val="nil" w:sz="6" w:space="0" w:color="auto"/>
            </w:tcBorders>
          </w:tcPr>
          <w:p>
            <w:pPr>
              <w:pStyle w:val="TableParagraph"/>
              <w:spacing w:line="180" w:lineRule="exact"/>
              <w:ind w:right="293"/>
              <w:jc w:val="right"/>
              <w:rPr>
                <w:rFonts w:ascii="宋体" w:hAnsi="宋体" w:cs="宋体" w:eastAsia="宋体" w:hint="default"/>
                <w:sz w:val="18"/>
                <w:szCs w:val="18"/>
              </w:rPr>
            </w:pPr>
            <w:r>
              <w:rPr>
                <w:rFonts w:ascii="宋体" w:hAnsi="宋体" w:cs="宋体" w:eastAsia="宋体" w:hint="default"/>
                <w:sz w:val="18"/>
                <w:szCs w:val="18"/>
              </w:rPr>
              <w:t>增减变动</w:t>
            </w:r>
          </w:p>
        </w:tc>
        <w:tc>
          <w:tcPr>
            <w:tcW w:w="1168" w:type="dxa"/>
            <w:tcBorders>
              <w:top w:val="nil" w:sz="6" w:space="0" w:color="auto"/>
              <w:left w:val="nil" w:sz="6" w:space="0" w:color="auto"/>
              <w:bottom w:val="single" w:sz="6" w:space="0" w:color="000000"/>
              <w:right w:val="nil" w:sz="6" w:space="0" w:color="auto"/>
            </w:tcBorders>
          </w:tcPr>
          <w:p>
            <w:pPr>
              <w:pStyle w:val="TableParagraph"/>
              <w:spacing w:line="180" w:lineRule="exact"/>
              <w:ind w:right="184"/>
              <w:jc w:val="right"/>
              <w:rPr>
                <w:rFonts w:ascii="宋体" w:hAnsi="宋体" w:cs="宋体" w:eastAsia="宋体" w:hint="default"/>
                <w:sz w:val="18"/>
                <w:szCs w:val="18"/>
              </w:rPr>
            </w:pPr>
            <w:r>
              <w:rPr>
                <w:rFonts w:ascii="宋体" w:hAnsi="宋体" w:cs="宋体" w:eastAsia="宋体" w:hint="default"/>
                <w:sz w:val="18"/>
                <w:szCs w:val="18"/>
              </w:rPr>
              <w:t>变动比例</w:t>
            </w:r>
          </w:p>
        </w:tc>
        <w:tc>
          <w:tcPr>
            <w:tcW w:w="2310" w:type="dxa"/>
            <w:tcBorders>
              <w:top w:val="nil" w:sz="6" w:space="0" w:color="auto"/>
              <w:left w:val="nil" w:sz="6" w:space="0" w:color="auto"/>
              <w:bottom w:val="single" w:sz="6" w:space="0" w:color="000000"/>
              <w:right w:val="nil" w:sz="6" w:space="0" w:color="auto"/>
            </w:tcBorders>
          </w:tcPr>
          <w:p>
            <w:pPr>
              <w:pStyle w:val="TableParagraph"/>
              <w:spacing w:line="180" w:lineRule="exact"/>
              <w:ind w:left="865" w:right="0"/>
              <w:jc w:val="left"/>
              <w:rPr>
                <w:rFonts w:ascii="宋体" w:hAnsi="宋体" w:cs="宋体" w:eastAsia="宋体" w:hint="default"/>
                <w:sz w:val="18"/>
                <w:szCs w:val="18"/>
              </w:rPr>
            </w:pPr>
            <w:r>
              <w:rPr>
                <w:rFonts w:ascii="宋体" w:hAnsi="宋体" w:cs="宋体" w:eastAsia="宋体" w:hint="default"/>
                <w:sz w:val="18"/>
                <w:szCs w:val="18"/>
              </w:rPr>
              <w:t>变动原因</w:t>
            </w:r>
          </w:p>
        </w:tc>
      </w:tr>
      <w:tr>
        <w:trPr>
          <w:trHeight w:val="336" w:hRule="exact"/>
        </w:trPr>
        <w:tc>
          <w:tcPr>
            <w:tcW w:w="1620"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153"/>
              <w:jc w:val="center"/>
              <w:rPr>
                <w:rFonts w:ascii="宋体" w:hAnsi="宋体" w:cs="宋体" w:eastAsia="宋体" w:hint="default"/>
                <w:sz w:val="18"/>
                <w:szCs w:val="18"/>
              </w:rPr>
            </w:pPr>
            <w:r>
              <w:rPr>
                <w:rFonts w:ascii="宋体" w:hAnsi="宋体" w:cs="宋体" w:eastAsia="宋体" w:hint="default"/>
                <w:sz w:val="18"/>
                <w:szCs w:val="18"/>
              </w:rPr>
              <w:t>股本</w:t>
            </w:r>
          </w:p>
        </w:tc>
        <w:tc>
          <w:tcPr>
            <w:tcW w:w="1598"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347"/>
              <w:jc w:val="right"/>
              <w:rPr>
                <w:rFonts w:ascii="Times New Roman" w:hAnsi="Times New Roman" w:cs="Times New Roman" w:eastAsia="Times New Roman" w:hint="default"/>
                <w:sz w:val="18"/>
                <w:szCs w:val="18"/>
              </w:rPr>
            </w:pPr>
            <w:r>
              <w:rPr>
                <w:rFonts w:ascii="Times New Roman"/>
                <w:spacing w:val="-1"/>
                <w:sz w:val="18"/>
              </w:rPr>
              <w:t>26,800.00</w:t>
            </w:r>
          </w:p>
        </w:tc>
        <w:tc>
          <w:tcPr>
            <w:tcW w:w="131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45"/>
              <w:jc w:val="right"/>
              <w:rPr>
                <w:rFonts w:ascii="Times New Roman" w:hAnsi="Times New Roman" w:cs="Times New Roman" w:eastAsia="Times New Roman" w:hint="default"/>
                <w:sz w:val="18"/>
                <w:szCs w:val="18"/>
              </w:rPr>
            </w:pPr>
            <w:r>
              <w:rPr>
                <w:rFonts w:ascii="Times New Roman"/>
                <w:spacing w:val="-1"/>
                <w:sz w:val="18"/>
              </w:rPr>
              <w:t>13,400.00</w:t>
            </w:r>
            <w:r>
              <w:rPr>
                <w:rFonts w:ascii="Times New Roman"/>
                <w:sz w:val="18"/>
              </w:rPr>
            </w:r>
          </w:p>
        </w:tc>
        <w:tc>
          <w:tcPr>
            <w:tcW w:w="1289"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59"/>
              <w:jc w:val="right"/>
              <w:rPr>
                <w:rFonts w:ascii="Times New Roman" w:hAnsi="Times New Roman" w:cs="Times New Roman" w:eastAsia="Times New Roman" w:hint="default"/>
                <w:sz w:val="18"/>
                <w:szCs w:val="18"/>
              </w:rPr>
            </w:pPr>
            <w:r>
              <w:rPr>
                <w:rFonts w:ascii="Times New Roman"/>
                <w:spacing w:val="-1"/>
                <w:sz w:val="18"/>
              </w:rPr>
              <w:t>13,400.00</w:t>
            </w:r>
          </w:p>
        </w:tc>
        <w:tc>
          <w:tcPr>
            <w:tcW w:w="1168"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150"/>
              <w:jc w:val="right"/>
              <w:rPr>
                <w:rFonts w:ascii="Times New Roman" w:hAnsi="Times New Roman" w:cs="Times New Roman" w:eastAsia="Times New Roman" w:hint="default"/>
                <w:sz w:val="18"/>
                <w:szCs w:val="18"/>
              </w:rPr>
            </w:pPr>
            <w:r>
              <w:rPr>
                <w:rFonts w:ascii="Times New Roman"/>
                <w:spacing w:val="-1"/>
                <w:sz w:val="18"/>
              </w:rPr>
              <w:t>100.00%</w:t>
            </w:r>
          </w:p>
        </w:tc>
        <w:tc>
          <w:tcPr>
            <w:tcW w:w="2310"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49"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tc>
      </w:tr>
      <w:tr>
        <w:trPr>
          <w:trHeight w:val="336" w:hRule="exact"/>
        </w:trPr>
        <w:tc>
          <w:tcPr>
            <w:tcW w:w="1620"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153"/>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598"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347"/>
              <w:jc w:val="right"/>
              <w:rPr>
                <w:rFonts w:ascii="Times New Roman" w:hAnsi="Times New Roman" w:cs="Times New Roman" w:eastAsia="Times New Roman" w:hint="default"/>
                <w:sz w:val="18"/>
                <w:szCs w:val="18"/>
              </w:rPr>
            </w:pPr>
            <w:r>
              <w:rPr>
                <w:rFonts w:ascii="Times New Roman"/>
                <w:spacing w:val="-1"/>
                <w:sz w:val="18"/>
              </w:rPr>
              <w:t>20,946.88</w:t>
            </w:r>
          </w:p>
        </w:tc>
        <w:tc>
          <w:tcPr>
            <w:tcW w:w="1317"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45"/>
              <w:jc w:val="right"/>
              <w:rPr>
                <w:rFonts w:ascii="Times New Roman" w:hAnsi="Times New Roman" w:cs="Times New Roman" w:eastAsia="Times New Roman" w:hint="default"/>
                <w:sz w:val="18"/>
                <w:szCs w:val="18"/>
              </w:rPr>
            </w:pPr>
            <w:r>
              <w:rPr>
                <w:rFonts w:ascii="Times New Roman"/>
                <w:spacing w:val="-1"/>
                <w:sz w:val="18"/>
              </w:rPr>
              <w:t>34,346.88</w:t>
            </w:r>
          </w:p>
        </w:tc>
        <w:tc>
          <w:tcPr>
            <w:tcW w:w="1289"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59"/>
              <w:jc w:val="right"/>
              <w:rPr>
                <w:rFonts w:ascii="Times New Roman" w:hAnsi="Times New Roman" w:cs="Times New Roman" w:eastAsia="Times New Roman" w:hint="default"/>
                <w:sz w:val="18"/>
                <w:szCs w:val="18"/>
              </w:rPr>
            </w:pPr>
            <w:r>
              <w:rPr>
                <w:rFonts w:ascii="Times New Roman"/>
                <w:spacing w:val="-1"/>
                <w:sz w:val="18"/>
              </w:rPr>
              <w:t>-13,400.00</w:t>
            </w:r>
          </w:p>
        </w:tc>
        <w:tc>
          <w:tcPr>
            <w:tcW w:w="1168"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147"/>
              <w:jc w:val="right"/>
              <w:rPr>
                <w:rFonts w:ascii="Times New Roman" w:hAnsi="Times New Roman" w:cs="Times New Roman" w:eastAsia="Times New Roman" w:hint="default"/>
                <w:sz w:val="18"/>
                <w:szCs w:val="18"/>
              </w:rPr>
            </w:pPr>
            <w:r>
              <w:rPr>
                <w:rFonts w:ascii="Times New Roman"/>
                <w:sz w:val="18"/>
              </w:rPr>
              <w:t>-39.01%</w:t>
            </w:r>
          </w:p>
        </w:tc>
        <w:tc>
          <w:tcPr>
            <w:tcW w:w="2310"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49"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tc>
      </w:tr>
      <w:tr>
        <w:trPr>
          <w:trHeight w:val="338" w:hRule="exact"/>
        </w:trPr>
        <w:tc>
          <w:tcPr>
            <w:tcW w:w="1620"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153"/>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598"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347"/>
              <w:jc w:val="right"/>
              <w:rPr>
                <w:rFonts w:ascii="Times New Roman" w:hAnsi="Times New Roman" w:cs="Times New Roman" w:eastAsia="Times New Roman" w:hint="default"/>
                <w:sz w:val="18"/>
                <w:szCs w:val="18"/>
              </w:rPr>
            </w:pPr>
            <w:r>
              <w:rPr>
                <w:rFonts w:ascii="Times New Roman"/>
                <w:w w:val="95"/>
                <w:sz w:val="18"/>
              </w:rPr>
              <w:t>1,785.01</w:t>
            </w:r>
          </w:p>
        </w:tc>
        <w:tc>
          <w:tcPr>
            <w:tcW w:w="1317"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246"/>
              <w:jc w:val="right"/>
              <w:rPr>
                <w:rFonts w:ascii="Times New Roman" w:hAnsi="Times New Roman" w:cs="Times New Roman" w:eastAsia="Times New Roman" w:hint="default"/>
                <w:sz w:val="18"/>
                <w:szCs w:val="18"/>
              </w:rPr>
            </w:pPr>
            <w:r>
              <w:rPr>
                <w:rFonts w:ascii="Times New Roman"/>
                <w:w w:val="95"/>
                <w:sz w:val="18"/>
              </w:rPr>
              <w:t>1,311.09</w:t>
            </w:r>
          </w:p>
        </w:tc>
        <w:tc>
          <w:tcPr>
            <w:tcW w:w="1289"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259"/>
              <w:jc w:val="right"/>
              <w:rPr>
                <w:rFonts w:ascii="Times New Roman" w:hAnsi="Times New Roman" w:cs="Times New Roman" w:eastAsia="Times New Roman" w:hint="default"/>
                <w:sz w:val="18"/>
                <w:szCs w:val="18"/>
              </w:rPr>
            </w:pPr>
            <w:r>
              <w:rPr>
                <w:rFonts w:ascii="Times New Roman"/>
                <w:spacing w:val="-1"/>
                <w:sz w:val="18"/>
              </w:rPr>
              <w:t>473.92</w:t>
            </w:r>
          </w:p>
        </w:tc>
        <w:tc>
          <w:tcPr>
            <w:tcW w:w="1168"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147"/>
              <w:jc w:val="right"/>
              <w:rPr>
                <w:rFonts w:ascii="Times New Roman" w:hAnsi="Times New Roman" w:cs="Times New Roman" w:eastAsia="Times New Roman" w:hint="default"/>
                <w:sz w:val="18"/>
                <w:szCs w:val="18"/>
              </w:rPr>
            </w:pPr>
            <w:r>
              <w:rPr>
                <w:rFonts w:ascii="Times New Roman"/>
                <w:sz w:val="18"/>
              </w:rPr>
              <w:t>36.15%</w:t>
            </w:r>
          </w:p>
        </w:tc>
        <w:tc>
          <w:tcPr>
            <w:tcW w:w="2310"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49" w:right="0"/>
              <w:jc w:val="left"/>
              <w:rPr>
                <w:rFonts w:ascii="宋体" w:hAnsi="宋体" w:cs="宋体" w:eastAsia="宋体" w:hint="default"/>
                <w:sz w:val="18"/>
                <w:szCs w:val="18"/>
              </w:rPr>
            </w:pPr>
            <w:r>
              <w:rPr>
                <w:rFonts w:ascii="宋体" w:hAnsi="宋体" w:cs="宋体" w:eastAsia="宋体" w:hint="default"/>
                <w:sz w:val="18"/>
                <w:szCs w:val="18"/>
              </w:rPr>
              <w:t>提取盈余公积</w:t>
            </w:r>
          </w:p>
        </w:tc>
      </w:tr>
    </w:tbl>
    <w:p>
      <w:pPr>
        <w:pStyle w:val="BodyText"/>
        <w:spacing w:line="262" w:lineRule="exact"/>
        <w:ind w:right="0"/>
        <w:jc w:val="left"/>
      </w:pPr>
      <w:r>
        <w:rPr/>
        <w:t>利润变动简要分析（万元）</w:t>
      </w:r>
    </w:p>
    <w:p>
      <w:pPr>
        <w:spacing w:line="240" w:lineRule="auto" w:before="10"/>
        <w:rPr>
          <w:rFonts w:ascii="宋体" w:hAnsi="宋体" w:cs="宋体" w:eastAsia="宋体" w:hint="default"/>
          <w:sz w:val="3"/>
          <w:szCs w:val="3"/>
        </w:rPr>
      </w:pPr>
    </w:p>
    <w:tbl>
      <w:tblPr>
        <w:tblW w:w="0" w:type="auto"/>
        <w:jc w:val="left"/>
        <w:tblInd w:w="172" w:type="dxa"/>
        <w:tblLayout w:type="fixed"/>
        <w:tblCellMar>
          <w:top w:w="0" w:type="dxa"/>
          <w:left w:w="0" w:type="dxa"/>
          <w:bottom w:w="0" w:type="dxa"/>
          <w:right w:w="0" w:type="dxa"/>
        </w:tblCellMar>
        <w:tblLook w:val="01E0"/>
      </w:tblPr>
      <w:tblGrid>
        <w:gridCol w:w="1837"/>
        <w:gridCol w:w="1441"/>
        <w:gridCol w:w="1270"/>
        <w:gridCol w:w="1252"/>
        <w:gridCol w:w="1192"/>
        <w:gridCol w:w="2314"/>
      </w:tblGrid>
      <w:tr>
        <w:trPr>
          <w:trHeight w:val="348" w:hRule="exact"/>
        </w:trPr>
        <w:tc>
          <w:tcPr>
            <w:tcW w:w="1837"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right="370"/>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1441"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right="422"/>
              <w:jc w:val="right"/>
              <w:rPr>
                <w:rFonts w:ascii="宋体" w:hAnsi="宋体" w:cs="宋体" w:eastAsia="宋体" w:hint="default"/>
                <w:sz w:val="18"/>
                <w:szCs w:val="18"/>
              </w:rPr>
            </w:pPr>
            <w:r>
              <w:rPr>
                <w:rFonts w:ascii="宋体" w:hAnsi="宋体" w:cs="宋体" w:eastAsia="宋体" w:hint="default"/>
                <w:sz w:val="18"/>
                <w:szCs w:val="18"/>
              </w:rPr>
              <w:t>本年数</w:t>
            </w:r>
          </w:p>
        </w:tc>
        <w:tc>
          <w:tcPr>
            <w:tcW w:w="1270"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right="318"/>
              <w:jc w:val="right"/>
              <w:rPr>
                <w:rFonts w:ascii="宋体" w:hAnsi="宋体" w:cs="宋体" w:eastAsia="宋体" w:hint="default"/>
                <w:sz w:val="18"/>
                <w:szCs w:val="18"/>
              </w:rPr>
            </w:pPr>
            <w:r>
              <w:rPr>
                <w:rFonts w:ascii="宋体" w:hAnsi="宋体" w:cs="宋体" w:eastAsia="宋体" w:hint="default"/>
                <w:sz w:val="18"/>
                <w:szCs w:val="18"/>
              </w:rPr>
              <w:t>上年数</w:t>
            </w:r>
          </w:p>
        </w:tc>
        <w:tc>
          <w:tcPr>
            <w:tcW w:w="1252"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right="269"/>
              <w:jc w:val="right"/>
              <w:rPr>
                <w:rFonts w:ascii="宋体" w:hAnsi="宋体" w:cs="宋体" w:eastAsia="宋体" w:hint="default"/>
                <w:sz w:val="18"/>
                <w:szCs w:val="18"/>
              </w:rPr>
            </w:pPr>
            <w:r>
              <w:rPr>
                <w:rFonts w:ascii="宋体" w:hAnsi="宋体" w:cs="宋体" w:eastAsia="宋体" w:hint="default"/>
                <w:sz w:val="18"/>
                <w:szCs w:val="18"/>
              </w:rPr>
              <w:t>增减变动</w:t>
            </w:r>
          </w:p>
        </w:tc>
        <w:tc>
          <w:tcPr>
            <w:tcW w:w="1192"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237"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2314"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865" w:right="0"/>
              <w:jc w:val="left"/>
              <w:rPr>
                <w:rFonts w:ascii="宋体" w:hAnsi="宋体" w:cs="宋体" w:eastAsia="宋体" w:hint="default"/>
                <w:sz w:val="18"/>
                <w:szCs w:val="18"/>
              </w:rPr>
            </w:pPr>
            <w:r>
              <w:rPr>
                <w:rFonts w:ascii="宋体" w:hAnsi="宋体" w:cs="宋体" w:eastAsia="宋体" w:hint="default"/>
                <w:sz w:val="18"/>
                <w:szCs w:val="18"/>
              </w:rPr>
              <w:t>变动原因</w:t>
            </w:r>
          </w:p>
        </w:tc>
      </w:tr>
      <w:tr>
        <w:trPr>
          <w:trHeight w:val="658" w:hRule="exact"/>
        </w:trPr>
        <w:tc>
          <w:tcPr>
            <w:tcW w:w="1837"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right="373"/>
              <w:jc w:val="center"/>
              <w:rPr>
                <w:rFonts w:ascii="宋体" w:hAnsi="宋体" w:cs="宋体" w:eastAsia="宋体" w:hint="default"/>
                <w:sz w:val="18"/>
                <w:szCs w:val="18"/>
              </w:rPr>
            </w:pPr>
            <w:r>
              <w:rPr>
                <w:rFonts w:ascii="宋体" w:hAnsi="宋体" w:cs="宋体" w:eastAsia="宋体" w:hint="default"/>
                <w:sz w:val="18"/>
                <w:szCs w:val="18"/>
              </w:rPr>
              <w:t>营业税金及附加</w:t>
            </w:r>
          </w:p>
        </w:tc>
        <w:tc>
          <w:tcPr>
            <w:tcW w:w="1441"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407"/>
              <w:jc w:val="right"/>
              <w:rPr>
                <w:rFonts w:ascii="Times New Roman" w:hAnsi="Times New Roman" w:cs="Times New Roman" w:eastAsia="Times New Roman" w:hint="default"/>
                <w:sz w:val="18"/>
                <w:szCs w:val="18"/>
              </w:rPr>
            </w:pPr>
            <w:r>
              <w:rPr>
                <w:rFonts w:ascii="Times New Roman"/>
                <w:spacing w:val="-1"/>
                <w:sz w:val="18"/>
              </w:rPr>
              <w:t>320.39</w:t>
            </w:r>
          </w:p>
        </w:tc>
        <w:tc>
          <w:tcPr>
            <w:tcW w:w="1270"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258"/>
              <w:jc w:val="right"/>
              <w:rPr>
                <w:rFonts w:ascii="Times New Roman" w:hAnsi="Times New Roman" w:cs="Times New Roman" w:eastAsia="Times New Roman" w:hint="default"/>
                <w:sz w:val="18"/>
                <w:szCs w:val="18"/>
              </w:rPr>
            </w:pPr>
            <w:r>
              <w:rPr>
                <w:rFonts w:ascii="Times New Roman"/>
                <w:spacing w:val="-1"/>
                <w:sz w:val="18"/>
              </w:rPr>
              <w:t>199.62</w:t>
            </w:r>
          </w:p>
        </w:tc>
        <w:tc>
          <w:tcPr>
            <w:tcW w:w="1252"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235"/>
              <w:jc w:val="right"/>
              <w:rPr>
                <w:rFonts w:ascii="Times New Roman" w:hAnsi="Times New Roman" w:cs="Times New Roman" w:eastAsia="Times New Roman" w:hint="default"/>
                <w:sz w:val="18"/>
                <w:szCs w:val="18"/>
              </w:rPr>
            </w:pPr>
            <w:r>
              <w:rPr>
                <w:rFonts w:ascii="Times New Roman"/>
                <w:spacing w:val="-1"/>
                <w:sz w:val="18"/>
              </w:rPr>
              <w:t>120.77</w:t>
            </w:r>
          </w:p>
        </w:tc>
        <w:tc>
          <w:tcPr>
            <w:tcW w:w="1192"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147"/>
              <w:jc w:val="right"/>
              <w:rPr>
                <w:rFonts w:ascii="Times New Roman" w:hAnsi="Times New Roman" w:cs="Times New Roman" w:eastAsia="Times New Roman" w:hint="default"/>
                <w:sz w:val="18"/>
                <w:szCs w:val="18"/>
              </w:rPr>
            </w:pPr>
            <w:r>
              <w:rPr>
                <w:rFonts w:ascii="Times New Roman"/>
                <w:sz w:val="18"/>
              </w:rPr>
              <w:t>60.50%</w:t>
            </w:r>
          </w:p>
        </w:tc>
        <w:tc>
          <w:tcPr>
            <w:tcW w:w="2314" w:type="dxa"/>
            <w:tcBorders>
              <w:top w:val="single" w:sz="6" w:space="0" w:color="000000"/>
              <w:left w:val="nil" w:sz="6" w:space="0" w:color="auto"/>
              <w:bottom w:val="single" w:sz="6" w:space="0" w:color="000000"/>
              <w:right w:val="nil" w:sz="6" w:space="0" w:color="auto"/>
            </w:tcBorders>
          </w:tcPr>
          <w:p>
            <w:pPr>
              <w:pStyle w:val="TableParagraph"/>
              <w:spacing w:line="316" w:lineRule="auto" w:before="17"/>
              <w:ind w:left="149" w:right="0"/>
              <w:jc w:val="left"/>
              <w:rPr>
                <w:rFonts w:ascii="宋体" w:hAnsi="宋体" w:cs="宋体" w:eastAsia="宋体" w:hint="default"/>
                <w:sz w:val="18"/>
                <w:szCs w:val="18"/>
              </w:rPr>
            </w:pPr>
            <w:r>
              <w:rPr>
                <w:rFonts w:ascii="宋体" w:hAnsi="宋体" w:cs="宋体" w:eastAsia="宋体" w:hint="default"/>
                <w:spacing w:val="14"/>
                <w:sz w:val="18"/>
                <w:szCs w:val="18"/>
              </w:rPr>
              <w:t>主要系报告期发货量增加</w:t>
            </w:r>
            <w:r>
              <w:rPr>
                <w:rFonts w:ascii="宋体" w:hAnsi="宋体" w:cs="宋体" w:eastAsia="宋体" w:hint="default"/>
                <w:spacing w:val="-85"/>
                <w:sz w:val="18"/>
                <w:szCs w:val="18"/>
              </w:rPr>
              <w:t> </w:t>
            </w:r>
            <w:r>
              <w:rPr>
                <w:rFonts w:ascii="宋体" w:hAnsi="宋体" w:cs="宋体" w:eastAsia="宋体" w:hint="default"/>
                <w:sz w:val="18"/>
                <w:szCs w:val="18"/>
              </w:rPr>
              <w:t>使得增值税增加所致</w:t>
            </w:r>
          </w:p>
        </w:tc>
      </w:tr>
      <w:tr>
        <w:trPr>
          <w:trHeight w:val="660" w:hRule="exact"/>
        </w:trPr>
        <w:tc>
          <w:tcPr>
            <w:tcW w:w="183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37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441"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407"/>
              <w:jc w:val="right"/>
              <w:rPr>
                <w:rFonts w:ascii="Times New Roman" w:hAnsi="Times New Roman" w:cs="Times New Roman" w:eastAsia="Times New Roman" w:hint="default"/>
                <w:sz w:val="18"/>
                <w:szCs w:val="18"/>
              </w:rPr>
            </w:pPr>
            <w:r>
              <w:rPr>
                <w:rFonts w:ascii="Times New Roman"/>
                <w:spacing w:val="-1"/>
                <w:sz w:val="18"/>
              </w:rPr>
              <w:t>-414.72</w:t>
            </w:r>
          </w:p>
        </w:tc>
        <w:tc>
          <w:tcPr>
            <w:tcW w:w="127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58"/>
              <w:jc w:val="right"/>
              <w:rPr>
                <w:rFonts w:ascii="Times New Roman" w:hAnsi="Times New Roman" w:cs="Times New Roman" w:eastAsia="Times New Roman" w:hint="default"/>
                <w:sz w:val="18"/>
                <w:szCs w:val="18"/>
              </w:rPr>
            </w:pPr>
            <w:r>
              <w:rPr>
                <w:rFonts w:ascii="Times New Roman"/>
                <w:spacing w:val="-1"/>
                <w:sz w:val="18"/>
              </w:rPr>
              <w:t>-174.98</w:t>
            </w:r>
          </w:p>
        </w:tc>
        <w:tc>
          <w:tcPr>
            <w:tcW w:w="1252"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35"/>
              <w:jc w:val="right"/>
              <w:rPr>
                <w:rFonts w:ascii="Times New Roman" w:hAnsi="Times New Roman" w:cs="Times New Roman" w:eastAsia="Times New Roman" w:hint="default"/>
                <w:sz w:val="18"/>
                <w:szCs w:val="18"/>
              </w:rPr>
            </w:pPr>
            <w:r>
              <w:rPr>
                <w:rFonts w:ascii="Times New Roman"/>
                <w:spacing w:val="-1"/>
                <w:sz w:val="18"/>
              </w:rPr>
              <w:t>-239.74</w:t>
            </w:r>
          </w:p>
        </w:tc>
        <w:tc>
          <w:tcPr>
            <w:tcW w:w="1192"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150"/>
              <w:jc w:val="right"/>
              <w:rPr>
                <w:rFonts w:ascii="Times New Roman" w:hAnsi="Times New Roman" w:cs="Times New Roman" w:eastAsia="Times New Roman" w:hint="default"/>
                <w:sz w:val="18"/>
                <w:szCs w:val="18"/>
              </w:rPr>
            </w:pPr>
            <w:r>
              <w:rPr>
                <w:rFonts w:ascii="Times New Roman"/>
                <w:spacing w:val="-1"/>
                <w:sz w:val="18"/>
              </w:rPr>
              <w:t>-137.01%</w:t>
            </w:r>
          </w:p>
        </w:tc>
        <w:tc>
          <w:tcPr>
            <w:tcW w:w="2314"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149" w:right="0"/>
              <w:jc w:val="left"/>
              <w:rPr>
                <w:rFonts w:ascii="宋体" w:hAnsi="宋体" w:cs="宋体" w:eastAsia="宋体" w:hint="default"/>
                <w:sz w:val="18"/>
                <w:szCs w:val="18"/>
              </w:rPr>
            </w:pPr>
            <w:r>
              <w:rPr>
                <w:rFonts w:ascii="宋体" w:hAnsi="宋体" w:cs="宋体" w:eastAsia="宋体" w:hint="default"/>
                <w:spacing w:val="14"/>
                <w:sz w:val="18"/>
                <w:szCs w:val="18"/>
              </w:rPr>
              <w:t>系报告期内定期存款利息</w:t>
            </w:r>
            <w:r>
              <w:rPr>
                <w:rFonts w:ascii="宋体" w:hAnsi="宋体" w:cs="宋体" w:eastAsia="宋体" w:hint="default"/>
                <w:spacing w:val="-85"/>
                <w:sz w:val="18"/>
                <w:szCs w:val="18"/>
              </w:rPr>
              <w:t> </w:t>
            </w:r>
            <w:r>
              <w:rPr>
                <w:rFonts w:ascii="宋体" w:hAnsi="宋体" w:cs="宋体" w:eastAsia="宋体" w:hint="default"/>
                <w:sz w:val="18"/>
                <w:szCs w:val="18"/>
              </w:rPr>
              <w:t>收入增长所致</w:t>
            </w:r>
          </w:p>
        </w:tc>
      </w:tr>
      <w:tr>
        <w:trPr>
          <w:trHeight w:val="885" w:hRule="exact"/>
        </w:trPr>
        <w:tc>
          <w:tcPr>
            <w:tcW w:w="1837" w:type="dxa"/>
            <w:tcBorders>
              <w:top w:val="single" w:sz="6" w:space="0" w:color="000000"/>
              <w:left w:val="nil" w:sz="6" w:space="0" w:color="auto"/>
              <w:bottom w:val="nil" w:sz="6" w:space="0" w:color="auto"/>
              <w:right w:val="nil" w:sz="6" w:space="0" w:color="auto"/>
            </w:tcBorders>
          </w:tcPr>
          <w:p>
            <w:pPr>
              <w:pStyle w:val="TableParagraph"/>
              <w:spacing w:line="240" w:lineRule="auto" w:before="17"/>
              <w:ind w:right="370"/>
              <w:jc w:val="center"/>
              <w:rPr>
                <w:rFonts w:ascii="宋体" w:hAnsi="宋体" w:cs="宋体" w:eastAsia="宋体" w:hint="default"/>
                <w:sz w:val="18"/>
                <w:szCs w:val="18"/>
              </w:rPr>
            </w:pPr>
            <w:r>
              <w:rPr>
                <w:rFonts w:ascii="宋体" w:hAnsi="宋体" w:cs="宋体" w:eastAsia="宋体" w:hint="default"/>
                <w:sz w:val="18"/>
                <w:szCs w:val="18"/>
              </w:rPr>
              <w:t>资产减值损失</w:t>
            </w:r>
          </w:p>
        </w:tc>
        <w:tc>
          <w:tcPr>
            <w:tcW w:w="1441"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407"/>
              <w:jc w:val="right"/>
              <w:rPr>
                <w:rFonts w:ascii="Times New Roman" w:hAnsi="Times New Roman" w:cs="Times New Roman" w:eastAsia="Times New Roman" w:hint="default"/>
                <w:sz w:val="18"/>
                <w:szCs w:val="18"/>
              </w:rPr>
            </w:pPr>
            <w:r>
              <w:rPr>
                <w:rFonts w:ascii="Times New Roman"/>
                <w:spacing w:val="-1"/>
                <w:sz w:val="18"/>
              </w:rPr>
              <w:t>185.23</w:t>
            </w:r>
          </w:p>
        </w:tc>
        <w:tc>
          <w:tcPr>
            <w:tcW w:w="1270"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40.93</w:t>
            </w:r>
          </w:p>
        </w:tc>
        <w:tc>
          <w:tcPr>
            <w:tcW w:w="1252"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235"/>
              <w:jc w:val="right"/>
              <w:rPr>
                <w:rFonts w:ascii="Times New Roman" w:hAnsi="Times New Roman" w:cs="Times New Roman" w:eastAsia="Times New Roman" w:hint="default"/>
                <w:sz w:val="18"/>
                <w:szCs w:val="18"/>
              </w:rPr>
            </w:pPr>
            <w:r>
              <w:rPr>
                <w:rFonts w:ascii="Times New Roman"/>
                <w:spacing w:val="-1"/>
                <w:sz w:val="18"/>
              </w:rPr>
              <w:t>144.30</w:t>
            </w:r>
          </w:p>
        </w:tc>
        <w:tc>
          <w:tcPr>
            <w:tcW w:w="1192"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150"/>
              <w:jc w:val="right"/>
              <w:rPr>
                <w:rFonts w:ascii="Times New Roman" w:hAnsi="Times New Roman" w:cs="Times New Roman" w:eastAsia="Times New Roman" w:hint="default"/>
                <w:sz w:val="18"/>
                <w:szCs w:val="18"/>
              </w:rPr>
            </w:pPr>
            <w:r>
              <w:rPr>
                <w:rFonts w:ascii="Times New Roman"/>
                <w:spacing w:val="-1"/>
                <w:sz w:val="18"/>
              </w:rPr>
              <w:t>352.55%</w:t>
            </w:r>
          </w:p>
        </w:tc>
        <w:tc>
          <w:tcPr>
            <w:tcW w:w="2314" w:type="dxa"/>
            <w:tcBorders>
              <w:top w:val="single" w:sz="6" w:space="0" w:color="000000"/>
              <w:left w:val="nil" w:sz="6" w:space="0" w:color="auto"/>
              <w:bottom w:val="nil" w:sz="6" w:space="0" w:color="auto"/>
              <w:right w:val="nil" w:sz="6" w:space="0" w:color="auto"/>
            </w:tcBorders>
          </w:tcPr>
          <w:p>
            <w:pPr>
              <w:pStyle w:val="TableParagraph"/>
              <w:spacing w:line="309" w:lineRule="auto" w:before="17"/>
              <w:ind w:left="149" w:right="0"/>
              <w:jc w:val="both"/>
              <w:rPr>
                <w:rFonts w:ascii="宋体" w:hAnsi="宋体" w:cs="宋体" w:eastAsia="宋体" w:hint="default"/>
                <w:sz w:val="18"/>
                <w:szCs w:val="18"/>
              </w:rPr>
            </w:pPr>
            <w:r>
              <w:rPr>
                <w:rFonts w:ascii="宋体" w:hAnsi="宋体" w:cs="宋体" w:eastAsia="宋体" w:hint="default"/>
                <w:spacing w:val="7"/>
                <w:sz w:val="18"/>
                <w:szCs w:val="18"/>
              </w:rPr>
              <w:t>主要系报告期</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年以上应收 </w:t>
            </w:r>
            <w:r>
              <w:rPr>
                <w:rFonts w:ascii="宋体" w:hAnsi="宋体" w:cs="宋体" w:eastAsia="宋体" w:hint="default"/>
                <w:spacing w:val="14"/>
                <w:sz w:val="18"/>
                <w:szCs w:val="18"/>
              </w:rPr>
              <w:t>款增加从而加大坏账准备</w:t>
            </w:r>
            <w:r>
              <w:rPr>
                <w:rFonts w:ascii="宋体" w:hAnsi="宋体" w:cs="宋体" w:eastAsia="宋体" w:hint="default"/>
                <w:spacing w:val="-85"/>
                <w:sz w:val="18"/>
                <w:szCs w:val="18"/>
              </w:rPr>
              <w:t> </w:t>
            </w:r>
            <w:r>
              <w:rPr>
                <w:rFonts w:ascii="宋体" w:hAnsi="宋体" w:cs="宋体" w:eastAsia="宋体" w:hint="default"/>
                <w:sz w:val="18"/>
                <w:szCs w:val="18"/>
              </w:rPr>
              <w:t>计提比例所致</w:t>
            </w:r>
          </w:p>
        </w:tc>
      </w:tr>
    </w:tbl>
    <w:p>
      <w:pPr>
        <w:spacing w:after="0" w:line="309" w:lineRule="auto"/>
        <w:jc w:val="both"/>
        <w:rPr>
          <w:rFonts w:ascii="宋体" w:hAnsi="宋体" w:cs="宋体" w:eastAsia="宋体" w:hint="default"/>
          <w:sz w:val="18"/>
          <w:szCs w:val="18"/>
        </w:rPr>
        <w:sectPr>
          <w:pgSz w:w="11910" w:h="16840"/>
          <w:pgMar w:header="706" w:footer="1340" w:top="1060" w:bottom="1540" w:left="960" w:right="0"/>
        </w:sectPr>
      </w:pPr>
    </w:p>
    <w:p>
      <w:pPr>
        <w:spacing w:line="240" w:lineRule="auto" w:before="11"/>
        <w:rPr>
          <w:rFonts w:ascii="宋体" w:hAnsi="宋体" w:cs="宋体" w:eastAsia="宋体" w:hint="default"/>
          <w:sz w:val="2"/>
          <w:szCs w:val="2"/>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3305" w:right="0"/>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9"/>
        <w:rPr>
          <w:rFonts w:ascii="宋体" w:hAnsi="宋体" w:cs="宋体" w:eastAsia="宋体" w:hint="default"/>
          <w:b/>
          <w:bCs/>
          <w:sz w:val="23"/>
          <w:szCs w:val="23"/>
        </w:rPr>
      </w:pPr>
    </w:p>
    <w:p>
      <w:pPr>
        <w:pStyle w:val="Heading3"/>
        <w:spacing w:line="530" w:lineRule="atLeast"/>
        <w:ind w:left="653" w:right="1153"/>
        <w:jc w:val="left"/>
      </w:pPr>
      <w:r>
        <w:rPr/>
        <w:t>一、载有公司董事长朱文明先生签名的</w:t>
      </w:r>
      <w:r>
        <w:rPr>
          <w:rFonts w:ascii="Times New Roman" w:hAnsi="Times New Roman" w:cs="Times New Roman" w:eastAsia="Times New Roman" w:hint="default"/>
        </w:rPr>
        <w:t>2012</w:t>
      </w:r>
      <w:r>
        <w:rPr/>
        <w:t>年年度报告。 二、载有公司法定代表人朱文明先生、主管会计工作负责人及会计机构负责人徐仕俊先</w:t>
      </w:r>
    </w:p>
    <w:p>
      <w:pPr>
        <w:pStyle w:val="Heading3"/>
        <w:spacing w:line="312" w:lineRule="exact"/>
        <w:ind w:right="0"/>
        <w:jc w:val="left"/>
      </w:pPr>
      <w:r>
        <w:rPr/>
        <w:t>生签名并盖章的财务报表。</w:t>
      </w:r>
    </w:p>
    <w:p>
      <w:pPr>
        <w:spacing w:line="240" w:lineRule="auto" w:before="7"/>
        <w:rPr>
          <w:rFonts w:ascii="宋体" w:hAnsi="宋体" w:cs="宋体" w:eastAsia="宋体" w:hint="default"/>
          <w:sz w:val="20"/>
          <w:szCs w:val="20"/>
        </w:rPr>
      </w:pPr>
    </w:p>
    <w:p>
      <w:pPr>
        <w:pStyle w:val="Heading3"/>
        <w:spacing w:line="312" w:lineRule="exact"/>
        <w:ind w:right="1154" w:firstLine="480"/>
        <w:jc w:val="left"/>
      </w:pPr>
      <w:r>
        <w:rPr/>
        <w:t>三、载有上海众华沪银会计师事务所有限公司盖章、注册会计师沈蓉女士、郑珮女士签 名并盖章的公司</w:t>
      </w:r>
      <w:r>
        <w:rPr>
          <w:rFonts w:ascii="Times New Roman" w:hAnsi="Times New Roman" w:cs="Times New Roman" w:eastAsia="Times New Roman" w:hint="default"/>
        </w:rPr>
        <w:t>2012</w:t>
      </w:r>
      <w:r>
        <w:rPr/>
        <w:t>年度审计报告原件。</w:t>
      </w:r>
    </w:p>
    <w:p>
      <w:pPr>
        <w:spacing w:line="240" w:lineRule="auto" w:before="5"/>
        <w:rPr>
          <w:rFonts w:ascii="宋体" w:hAnsi="宋体" w:cs="宋体" w:eastAsia="宋体" w:hint="default"/>
          <w:sz w:val="18"/>
          <w:szCs w:val="18"/>
        </w:rPr>
      </w:pPr>
    </w:p>
    <w:p>
      <w:pPr>
        <w:pStyle w:val="Heading3"/>
        <w:spacing w:line="312" w:lineRule="exact"/>
        <w:ind w:right="1154" w:firstLine="480"/>
        <w:jc w:val="left"/>
      </w:pPr>
      <w:r>
        <w:rPr/>
        <w:t>四、报告期内在中国证券监督管理委员会指定报纸上公开披露过的所有公司文件的正本 及公告的原稿。</w:t>
      </w:r>
    </w:p>
    <w:p>
      <w:pPr>
        <w:pStyle w:val="Heading2"/>
        <w:spacing w:line="240" w:lineRule="auto" w:before="209"/>
        <w:ind w:left="655" w:right="0"/>
        <w:jc w:val="left"/>
        <w:rPr>
          <w:b w:val="0"/>
          <w:bCs w:val="0"/>
        </w:rPr>
      </w:pPr>
      <w:r>
        <w:rPr/>
        <w:t>以上文件的原件置备于公司证券部备查。</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9"/>
        <w:rPr>
          <w:rFonts w:ascii="宋体" w:hAnsi="宋体" w:cs="宋体" w:eastAsia="宋体" w:hint="default"/>
          <w:b/>
          <w:bCs/>
          <w:sz w:val="23"/>
          <w:szCs w:val="23"/>
        </w:rPr>
      </w:pPr>
    </w:p>
    <w:p>
      <w:pPr>
        <w:pStyle w:val="Heading3"/>
        <w:spacing w:line="930" w:lineRule="atLeast"/>
        <w:ind w:left="6114" w:right="1692" w:firstLine="60"/>
        <w:jc w:val="left"/>
      </w:pPr>
      <w:r>
        <w:rPr/>
        <w:t>法定代表人： 江苏丰东热技术股份有限公司</w:t>
      </w:r>
    </w:p>
    <w:p>
      <w:pPr>
        <w:spacing w:line="240" w:lineRule="auto" w:before="9"/>
        <w:rPr>
          <w:rFonts w:ascii="宋体" w:hAnsi="宋体" w:cs="宋体" w:eastAsia="宋体" w:hint="default"/>
          <w:sz w:val="23"/>
          <w:szCs w:val="23"/>
        </w:rPr>
      </w:pPr>
    </w:p>
    <w:p>
      <w:pPr>
        <w:pStyle w:val="Heading3"/>
        <w:spacing w:line="240" w:lineRule="auto"/>
        <w:ind w:left="6414" w:right="0"/>
        <w:jc w:val="left"/>
      </w:pPr>
      <w:r>
        <w:rPr/>
        <w:t>二〇一三年二月二十六日</w:t>
      </w:r>
    </w:p>
    <w:sectPr>
      <w:pgSz w:w="11910" w:h="16840"/>
      <w:pgMar w:header="706" w:footer="1340" w:top="1060" w:bottom="1540" w:left="9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9984" type="#_x0000_t75" stroked="false">
          <v:imagedata r:id="rId1" o:title=""/>
        </v:shape>
      </w:pict>
    </w:r>
    <w:r>
      <w:rPr/>
      <w:pict>
        <v:shape style="position:absolute;margin-left:533.099976pt;margin-top:795.637939pt;width:6.5pt;height:11pt;mso-position-horizontal-relative:page;mso-position-vertical-relative:page;z-index:-8599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9312" type="#_x0000_t75" stroked="false">
          <v:imagedata r:id="rId1" o:title=""/>
        </v:shape>
      </w:pict>
    </w:r>
    <w:r>
      <w:rPr/>
      <w:pict>
        <v:shape style="position:absolute;margin-left:527.659973pt;margin-top:781.933899pt;width:13.15pt;height:11pt;mso-position-horizontal-relative:page;mso-position-vertical-relative:page;z-index:-859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9192" type="#_x0000_t75" stroked="false">
          <v:imagedata r:id="rId1" o:title=""/>
        </v:shape>
      </w:pict>
    </w:r>
    <w:r>
      <w:rPr/>
      <w:pict>
        <v:shape style="position:absolute;margin-left:527.659973pt;margin-top:781.933899pt;width:13.15pt;height:11pt;mso-position-horizontal-relative:page;mso-position-vertical-relative:page;z-index:-859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8928" type="#_x0000_t75" stroked="false">
          <v:imagedata r:id="rId1" o:title=""/>
        </v:shape>
      </w:pict>
    </w:r>
    <w:r>
      <w:rPr/>
      <w:pict>
        <v:shape style="position:absolute;margin-left:523.099976pt;margin-top:781.933899pt;width:17.7pt;height:11pt;mso-position-horizontal-relative:page;mso-position-vertical-relative:page;z-index:-858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9936" type="#_x0000_t75" stroked="false">
          <v:imagedata r:id="rId1" o:title=""/>
        </v:shape>
      </w:pict>
    </w:r>
    <w:r>
      <w:rPr/>
      <w:pict>
        <v:shape style="position:absolute;margin-left:527.659973pt;margin-top:781.933899pt;width:13.15pt;height:11pt;mso-position-horizontal-relative:page;mso-position-vertical-relative:page;z-index:-859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8808" type="#_x0000_t75" stroked="false">
          <v:imagedata r:id="rId1" o:title=""/>
        </v:shape>
      </w:pict>
    </w:r>
    <w:r>
      <w:rPr/>
      <w:pict>
        <v:shape style="position:absolute;margin-left:523.099976pt;margin-top:781.933899pt;width:17.7pt;height:11pt;mso-position-horizontal-relative:page;mso-position-vertical-relative:page;z-index:-858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109</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8760" type="#_x0000_t75" stroked="false">
          <v:imagedata r:id="rId1" o:title=""/>
        </v:shape>
      </w:pict>
    </w:r>
    <w:r>
      <w:rPr/>
      <w:pict>
        <v:shape style="position:absolute;margin-left:523.460022pt;margin-top:781.933899pt;width:17.3pt;height:11pt;mso-position-horizontal-relative:page;mso-position-vertical-relative:page;z-index:-858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8640" type="#_x0000_t75" stroked="false">
          <v:imagedata r:id="rId1" o:title=""/>
        </v:shape>
      </w:pict>
    </w:r>
    <w:r>
      <w:rPr/>
      <w:pict>
        <v:shape style="position:absolute;margin-left:523.460022pt;margin-top:781.933899pt;width:17.3pt;height:11pt;mso-position-horizontal-relative:page;mso-position-vertical-relative:page;z-index:-858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114</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8520" type="#_x0000_t75" stroked="false">
          <v:imagedata r:id="rId1" o:title=""/>
        </v:shape>
      </w:pict>
    </w:r>
    <w:r>
      <w:rPr/>
      <w:pict>
        <v:shape style="position:absolute;margin-left:523.460022pt;margin-top:781.933899pt;width:17.3pt;height:11pt;mso-position-horizontal-relative:page;mso-position-vertical-relative:page;z-index:-858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117</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8472" type="#_x0000_t75" stroked="false">
          <v:imagedata r:id="rId1" o:title=""/>
        </v:shape>
      </w:pict>
    </w:r>
    <w:r>
      <w:rPr/>
      <w:pict>
        <v:shape style="position:absolute;margin-left:523.099976pt;margin-top:781.933899pt;width:17.7pt;height:11pt;mso-position-horizontal-relative:page;mso-position-vertical-relative:page;z-index:-858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8352" type="#_x0000_t75" stroked="false">
          <v:imagedata r:id="rId1" o:title=""/>
        </v:shape>
      </w:pict>
    </w:r>
    <w:r>
      <w:rPr/>
      <w:pict>
        <v:shape style="position:absolute;margin-left:523.099976pt;margin-top:781.933899pt;width:17.7pt;height:11pt;mso-position-horizontal-relative:page;mso-position-vertical-relative:page;z-index:-858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124</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9888" type="#_x0000_t75" stroked="false">
          <v:imagedata r:id="rId1" o:title=""/>
        </v:shape>
      </w:pict>
    </w:r>
    <w:r>
      <w:rPr/>
      <w:pict>
        <v:shape style="position:absolute;margin-left:527.659973pt;margin-top:781.933899pt;width:13.15pt;height:11pt;mso-position-horizontal-relative:page;mso-position-vertical-relative:page;z-index:-859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r>
                  <w:rPr>
                    <w:rFonts w:ascii="Times New Roman"/>
                    <w:spacing w:val="1"/>
                    <w:sz w:val="18"/>
                  </w:rPr>
                </w:r>
                <w:r>
                  <w:rPr>
                    <w:rFonts w:ascii="Times New Roman"/>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8184" type="#_x0000_t75" stroked="false">
          <v:imagedata r:id="rId1" o:title=""/>
        </v:shape>
      </w:pict>
    </w:r>
    <w:r>
      <w:rPr/>
      <w:pict>
        <v:shape style="position:absolute;margin-left:523.099976pt;margin-top:781.933899pt;width:17.7pt;height:11pt;mso-position-horizontal-relative:page;mso-position-vertical-relative:page;z-index:-858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135</w:t>
                </w:r>
                <w:r>
                  <w:rPr/>
                  <w:fldChar w:fldCharType="end"/>
                </w:r>
                <w:r>
                  <w:rPr>
                    <w:rFonts w:ascii="Times New Roman"/>
                    <w:spacing w:val="1"/>
                    <w:sz w:val="18"/>
                  </w:rPr>
                </w:r>
                <w:r>
                  <w:rPr>
                    <w:rFonts w:ascii="Times New Roman"/>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8064" type="#_x0000_t75" stroked="false">
          <v:imagedata r:id="rId1" o:title=""/>
        </v:shape>
      </w:pict>
    </w:r>
    <w:r>
      <w:rPr/>
      <w:pict>
        <v:shape style="position:absolute;margin-left:523.099976pt;margin-top:781.933899pt;width:17.7pt;height:11pt;mso-position-horizontal-relative:page;mso-position-vertical-relative:page;z-index:-858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144</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9840" type="#_x0000_t75" stroked="false">
          <v:imagedata r:id="rId1" o:title=""/>
        </v:shape>
      </w:pict>
    </w:r>
    <w:r>
      <w:rPr/>
      <w:pict>
        <v:shape style="position:absolute;margin-left:527.659973pt;margin-top:781.933899pt;width:13.15pt;height:11pt;mso-position-horizontal-relative:page;mso-position-vertical-relative:page;z-index:-859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9720" type="#_x0000_t75" stroked="false">
          <v:imagedata r:id="rId1" o:title=""/>
        </v:shape>
      </w:pict>
    </w:r>
    <w:r>
      <w:rPr/>
      <w:pict>
        <v:shape style="position:absolute;margin-left:527.659973pt;margin-top:781.933899pt;width:13.15pt;height:11pt;mso-position-horizontal-relative:page;mso-position-vertical-relative:page;z-index:-859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9672" type="#_x0000_t75" stroked="false">
          <v:imagedata r:id="rId1" o:title=""/>
        </v:shape>
      </w:pict>
    </w:r>
    <w:r>
      <w:rPr/>
      <w:pict>
        <v:shape style="position:absolute;margin-left:527.659973pt;margin-top:781.933899pt;width:13.15pt;height:11pt;mso-position-horizontal-relative:page;mso-position-vertical-relative:page;z-index:-859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9624" type="#_x0000_t75" stroked="false">
          <v:imagedata r:id="rId1" o:title=""/>
        </v:shape>
      </w:pict>
    </w:r>
    <w:r>
      <w:rPr/>
      <w:pict>
        <v:shape style="position:absolute;margin-left:527.659973pt;margin-top:781.933899pt;width:13.15pt;height:11pt;mso-position-horizontal-relative:page;mso-position-vertical-relative:page;z-index:-859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9576" type="#_x0000_t75" stroked="false">
          <v:imagedata r:id="rId1" o:title=""/>
        </v:shape>
      </w:pict>
    </w:r>
    <w:r>
      <w:rPr/>
      <w:pict>
        <v:shape style="position:absolute;margin-left:527.659973pt;margin-top:781.933899pt;width:13.15pt;height:11pt;mso-position-horizontal-relative:page;mso-position-vertical-relative:page;z-index:-859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4.070007pt;margin-top:36.265610pt;width:195.75pt;height:11.5pt;mso-position-horizontal-relative:page;mso-position-vertical-relative:page;z-index:-8600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649994pt;margin-top:35.299988pt;width:75.600006pt;height:18.699997pt;mso-position-horizontal-relative:page;mso-position-vertical-relative:page;z-index:-858880" type="#_x0000_t75" stroked="false">
          <v:imagedata r:id="rId1" o:title=""/>
        </v:shape>
      </w:pict>
    </w:r>
    <w:r>
      <w:rPr/>
      <w:pict>
        <v:group style="position:absolute;margin-left:55.200001pt;margin-top:55.559982pt;width:484.9pt;height:.1pt;mso-position-horizontal-relative:page;mso-position-vertical-relative:page;z-index:-8588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588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649994pt;margin-top:35.299988pt;width:75.600006pt;height:18.699997pt;mso-position-horizontal-relative:page;mso-position-vertical-relative:page;z-index:-858712" type="#_x0000_t75" stroked="false">
          <v:imagedata r:id="rId1" o:title=""/>
        </v:shape>
      </w:pict>
    </w:r>
    <w:r>
      <w:rPr/>
      <w:pict>
        <v:group style="position:absolute;margin-left:55.200001pt;margin-top:55.559982pt;width:484.9pt;height:.1pt;mso-position-horizontal-relative:page;mso-position-vertical-relative:page;z-index:-8586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58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649994pt;margin-top:35.299988pt;width:75.600006pt;height:18.699997pt;mso-position-horizontal-relative:page;mso-position-vertical-relative:page;z-index:-858592" type="#_x0000_t75" stroked="false">
          <v:imagedata r:id="rId1" o:title=""/>
        </v:shape>
      </w:pict>
    </w:r>
    <w:r>
      <w:rPr/>
      <w:pict>
        <v:group style="position:absolute;margin-left:55.200001pt;margin-top:55.559982pt;width:484.9pt;height:.1pt;mso-position-horizontal-relative:page;mso-position-vertical-relative:page;z-index:-8585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585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649994pt;margin-top:35.299988pt;width:75.600006pt;height:18.699997pt;mso-position-horizontal-relative:page;mso-position-vertical-relative:page;z-index:-858424" type="#_x0000_t75" stroked="false">
          <v:imagedata r:id="rId1" o:title=""/>
        </v:shape>
      </w:pict>
    </w:r>
    <w:r>
      <w:rPr/>
      <w:pict>
        <v:group style="position:absolute;margin-left:55.200001pt;margin-top:55.559982pt;width:484.9pt;height:.1pt;mso-position-horizontal-relative:page;mso-position-vertical-relative:page;z-index:-8584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58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649994pt;margin-top:35.299988pt;width:75.600006pt;height:18.699997pt;mso-position-horizontal-relative:page;mso-position-vertical-relative:page;z-index:-858304" type="#_x0000_t75" stroked="false">
          <v:imagedata r:id="rId1" o:title=""/>
        </v:shape>
      </w:pict>
    </w:r>
    <w:r>
      <w:rPr/>
      <w:pict>
        <v:shape style="position:absolute;margin-left:344.070007pt;margin-top:42.865608pt;width:195.75pt;height:11.5pt;mso-position-horizontal-relative:page;mso-position-vertical-relative:page;z-index:-858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649994pt;margin-top:35.299988pt;width:75.600006pt;height:18.699997pt;mso-position-horizontal-relative:page;mso-position-vertical-relative:page;z-index:-858256" type="#_x0000_t75" stroked="false">
          <v:imagedata r:id="rId1" o:title=""/>
        </v:shape>
      </w:pict>
    </w:r>
    <w:r>
      <w:rPr/>
      <w:pict>
        <v:group style="position:absolute;margin-left:55.200001pt;margin-top:55.559982pt;width:484.9pt;height:.1pt;mso-position-horizontal-relative:page;mso-position-vertical-relative:page;z-index:-8582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582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649994pt;margin-top:35.299988pt;width:75.600006pt;height:18.699997pt;mso-position-horizontal-relative:page;mso-position-vertical-relative:page;z-index:-858136" type="#_x0000_t75" stroked="false">
          <v:imagedata r:id="rId1" o:title=""/>
        </v:shape>
      </w:pict>
    </w:r>
    <w:r>
      <w:rPr/>
      <w:pict>
        <v:group style="position:absolute;margin-left:55.200001pt;margin-top:55.559982pt;width:484.9pt;height:.1pt;mso-position-horizontal-relative:page;mso-position-vertical-relative:page;z-index:-85811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58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649994pt;margin-top:35.299988pt;width:75.600006pt;height:18.699997pt;mso-position-horizontal-relative:page;mso-position-vertical-relative:page;z-index:-859792" type="#_x0000_t75" stroked="false">
          <v:imagedata r:id="rId1" o:title=""/>
        </v:shape>
      </w:pict>
    </w:r>
    <w:r>
      <w:rPr/>
      <w:pict>
        <v:group style="position:absolute;margin-left:55.200001pt;margin-top:55.559982pt;width:484.9pt;height:.1pt;mso-position-horizontal-relative:page;mso-position-vertical-relative:page;z-index:-8597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597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649994pt;margin-top:35.299988pt;width:75.600006pt;height:18.699997pt;mso-position-horizontal-relative:page;mso-position-vertical-relative:page;z-index:-859528" type="#_x0000_t75" stroked="false">
          <v:imagedata r:id="rId1" o:title=""/>
        </v:shape>
      </w:pict>
    </w:r>
    <w:r>
      <w:rPr/>
      <w:pict>
        <v:group style="position:absolute;margin-left:55.200001pt;margin-top:55.559982pt;width:484.9pt;height:.1pt;mso-position-horizontal-relative:page;mso-position-vertical-relative:page;z-index:-85950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594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649994pt;margin-top:35.299988pt;width:75.600006pt;height:18.699997pt;mso-position-horizontal-relative:page;mso-position-vertical-relative:page;z-index:-859456" type="#_x0000_t75" stroked="false">
          <v:imagedata r:id="rId1" o:title=""/>
        </v:shape>
      </w:pict>
    </w:r>
    <w:r>
      <w:rPr/>
      <w:pict>
        <v:group style="position:absolute;margin-left:55.200001pt;margin-top:55.559982pt;width:484.9pt;height:.1pt;mso-position-horizontal-relative:page;mso-position-vertical-relative:page;z-index:-8594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594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649994pt;margin-top:35.299988pt;width:75.600006pt;height:18.699997pt;mso-position-horizontal-relative:page;mso-position-vertical-relative:page;z-index:-859384" type="#_x0000_t75" stroked="false">
          <v:imagedata r:id="rId1" o:title=""/>
        </v:shape>
      </w:pict>
    </w:r>
    <w:r>
      <w:rPr/>
      <w:pict>
        <v:group style="position:absolute;margin-left:55.200001pt;margin-top:55.559982pt;width:484.9pt;height:.1pt;mso-position-horizontal-relative:page;mso-position-vertical-relative:page;z-index:-85936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593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649994pt;margin-top:35.299988pt;width:75.600006pt;height:18.699997pt;mso-position-horizontal-relative:page;mso-position-vertical-relative:page;z-index:-859264" type="#_x0000_t75" stroked="false">
          <v:imagedata r:id="rId1" o:title=""/>
        </v:shape>
      </w:pict>
    </w:r>
    <w:r>
      <w:rPr/>
      <w:pict>
        <v:group style="position:absolute;margin-left:55.200001pt;margin-top:55.559982pt;width:484.9pt;height:.1pt;mso-position-horizontal-relative:page;mso-position-vertical-relative:page;z-index:-8592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59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649994pt;margin-top:35.299988pt;width:75.600006pt;height:18.699997pt;mso-position-horizontal-relative:page;mso-position-vertical-relative:page;z-index:-859144" type="#_x0000_t75" stroked="false">
          <v:imagedata r:id="rId1" o:title=""/>
        </v:shape>
      </w:pict>
    </w:r>
    <w:r>
      <w:rPr/>
      <w:pict>
        <v:group style="position:absolute;margin-left:55.200001pt;margin-top:55.559982pt;width:484.9pt;height:.1pt;mso-position-horizontal-relative:page;mso-position-vertical-relative:page;z-index:-8591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590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649994pt;margin-top:35.299988pt;width:75.600006pt;height:18.699997pt;mso-position-horizontal-relative:page;mso-position-vertical-relative:page;z-index:-859072" type="#_x0000_t75" stroked="false">
          <v:imagedata r:id="rId1" o:title=""/>
        </v:shape>
      </w:pict>
    </w:r>
    <w:r>
      <w:rPr/>
      <w:pict>
        <v:group style="position:absolute;margin-left:55.200001pt;margin-top:55.559982pt;width:484.9pt;height:.1pt;mso-position-horizontal-relative:page;mso-position-vertical-relative:page;z-index:-8590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590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649994pt;margin-top:35.299988pt;width:75.600006pt;height:18.699997pt;mso-position-horizontal-relative:page;mso-position-vertical-relative:page;z-index:-859000" type="#_x0000_t75" stroked="false">
          <v:imagedata r:id="rId1" o:title=""/>
        </v:shape>
      </w:pict>
    </w:r>
    <w:r>
      <w:rPr/>
      <w:pict>
        <v:group style="position:absolute;margin-left:55.200001pt;margin-top:55.559982pt;width:484.9pt;height:.1pt;mso-position-horizontal-relative:page;mso-position-vertical-relative:page;z-index:-85897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589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72"/>
    </w:pPr>
    <w:rPr>
      <w:rFonts w:ascii="宋体" w:hAnsi="宋体" w:eastAsia="宋体"/>
      <w:sz w:val="28"/>
      <w:szCs w:val="28"/>
    </w:rPr>
  </w:style>
  <w:style w:styleId="BodyText" w:type="paragraph">
    <w:name w:val="Body Text"/>
    <w:basedOn w:val="Normal"/>
    <w:uiPriority w:val="1"/>
    <w:qFormat/>
    <w:pPr>
      <w:ind w:left="172"/>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72"/>
      <w:outlineLvl w:val="2"/>
    </w:pPr>
    <w:rPr>
      <w:rFonts w:ascii="宋体" w:hAnsi="宋体" w:eastAsia="宋体"/>
      <w:b/>
      <w:bCs/>
      <w:sz w:val="24"/>
      <w:szCs w:val="24"/>
    </w:rPr>
  </w:style>
  <w:style w:styleId="Heading3" w:type="paragraph">
    <w:name w:val="Heading 3"/>
    <w:basedOn w:val="Normal"/>
    <w:uiPriority w:val="1"/>
    <w:qFormat/>
    <w:pPr>
      <w:ind w:left="172"/>
      <w:outlineLvl w:val="3"/>
    </w:pPr>
    <w:rPr>
      <w:rFonts w:ascii="宋体" w:hAnsi="宋体" w:eastAsia="宋体"/>
      <w:sz w:val="24"/>
      <w:szCs w:val="24"/>
    </w:rPr>
  </w:style>
  <w:style w:styleId="Heading4" w:type="paragraph">
    <w:name w:val="Heading 4"/>
    <w:basedOn w:val="Normal"/>
    <w:uiPriority w:val="1"/>
    <w:qFormat/>
    <w:pPr>
      <w:ind w:left="17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image" Target="media/image12.jpeg"/><Relationship Id="rId18" Type="http://schemas.openxmlformats.org/officeDocument/2006/relationships/footer" Target="footer2.xml"/><Relationship Id="rId19" Type="http://schemas.openxmlformats.org/officeDocument/2006/relationships/hyperlink" Target="http://www.fengdong.com/" TargetMode="External"/><Relationship Id="rId20" Type="http://schemas.openxmlformats.org/officeDocument/2006/relationships/hyperlink" Target="mailto:fengdong@fengdong.com" TargetMode="External"/><Relationship Id="rId21" Type="http://schemas.openxmlformats.org/officeDocument/2006/relationships/hyperlink" Target="http://www.cninfo.com.cn/" TargetMode="Externa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header" Target="header2.xml"/><Relationship Id="rId25" Type="http://schemas.openxmlformats.org/officeDocument/2006/relationships/footer" Target="footer5.xml"/><Relationship Id="rId26" Type="http://schemas.openxmlformats.org/officeDocument/2006/relationships/image" Target="media/image11.png"/><Relationship Id="rId27" Type="http://schemas.openxmlformats.org/officeDocument/2006/relationships/footer" Target="footer6.xml"/><Relationship Id="rId28" Type="http://schemas.openxmlformats.org/officeDocument/2006/relationships/footer" Target="footer7.xml"/><Relationship Id="rId29" Type="http://schemas.openxmlformats.org/officeDocument/2006/relationships/footer" Target="footer8.xml"/><Relationship Id="rId30" Type="http://schemas.openxmlformats.org/officeDocument/2006/relationships/hyperlink" Target="http://www.cninfo.com.cn&#19978;&#30456;&#20851;&#20449;&#24687;&#25259;&#38706;/" TargetMode="External"/><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footer" Target="footer9.xml"/><Relationship Id="rId39" Type="http://schemas.openxmlformats.org/officeDocument/2006/relationships/hyperlink" Target="http://www.cninfo.co/" TargetMode="External"/><Relationship Id="rId40" Type="http://schemas.openxmlformats.org/officeDocument/2006/relationships/header" Target="header3.xml"/><Relationship Id="rId41" Type="http://schemas.openxmlformats.org/officeDocument/2006/relationships/footer" Target="footer10.xml"/><Relationship Id="rId42" Type="http://schemas.openxmlformats.org/officeDocument/2006/relationships/header" Target="header4.xml"/><Relationship Id="rId43" Type="http://schemas.openxmlformats.org/officeDocument/2006/relationships/footer" Target="footer11.xml"/><Relationship Id="rId44" Type="http://schemas.openxmlformats.org/officeDocument/2006/relationships/header" Target="header5.xml"/><Relationship Id="rId45" Type="http://schemas.openxmlformats.org/officeDocument/2006/relationships/footer" Target="footer12.xml"/><Relationship Id="rId46" Type="http://schemas.openxmlformats.org/officeDocument/2006/relationships/footer" Target="footer13.xml"/><Relationship Id="rId47" Type="http://schemas.openxmlformats.org/officeDocument/2006/relationships/header" Target="header6.xml"/><Relationship Id="rId48" Type="http://schemas.openxmlformats.org/officeDocument/2006/relationships/footer" Target="footer14.xml"/><Relationship Id="rId49" Type="http://schemas.openxmlformats.org/officeDocument/2006/relationships/footer" Target="footer15.xml"/><Relationship Id="rId50" Type="http://schemas.openxmlformats.org/officeDocument/2006/relationships/header" Target="header7.xml"/><Relationship Id="rId51" Type="http://schemas.openxmlformats.org/officeDocument/2006/relationships/footer" Target="footer16.xml"/><Relationship Id="rId52" Type="http://schemas.openxmlformats.org/officeDocument/2006/relationships/header" Target="header8.xml"/><Relationship Id="rId53" Type="http://schemas.openxmlformats.org/officeDocument/2006/relationships/footer" Target="footer17.xml"/><Relationship Id="rId54" Type="http://schemas.openxmlformats.org/officeDocument/2006/relationships/header" Target="header9.xml"/><Relationship Id="rId55" Type="http://schemas.openxmlformats.org/officeDocument/2006/relationships/footer" Target="footer18.xml"/><Relationship Id="rId56" Type="http://schemas.openxmlformats.org/officeDocument/2006/relationships/footer" Target="footer19.xml"/><Relationship Id="rId57" Type="http://schemas.openxmlformats.org/officeDocument/2006/relationships/header" Target="header10.xml"/><Relationship Id="rId58" Type="http://schemas.openxmlformats.org/officeDocument/2006/relationships/footer" Target="footer20.xml"/><Relationship Id="rId59" Type="http://schemas.openxmlformats.org/officeDocument/2006/relationships/footer" Target="footer21.xml"/><Relationship Id="rId60" Type="http://schemas.openxmlformats.org/officeDocument/2006/relationships/footer" Target="footer22.xml"/><Relationship Id="rId61" Type="http://schemas.openxmlformats.org/officeDocument/2006/relationships/header" Target="header11.xml"/><Relationship Id="rId62" Type="http://schemas.openxmlformats.org/officeDocument/2006/relationships/footer" Target="footer23.xml"/><Relationship Id="rId63" Type="http://schemas.openxmlformats.org/officeDocument/2006/relationships/footer" Target="footer24.xml"/><Relationship Id="rId64" Type="http://schemas.openxmlformats.org/officeDocument/2006/relationships/header" Target="header12.xml"/><Relationship Id="rId65" Type="http://schemas.openxmlformats.org/officeDocument/2006/relationships/footer" Target="footer25.xml"/><Relationship Id="rId66" Type="http://schemas.openxmlformats.org/officeDocument/2006/relationships/footer" Target="footer26.xml"/><Relationship Id="rId67" Type="http://schemas.openxmlformats.org/officeDocument/2006/relationships/footer" Target="footer27.xml"/><Relationship Id="rId68" Type="http://schemas.openxmlformats.org/officeDocument/2006/relationships/header" Target="header13.xml"/><Relationship Id="rId69" Type="http://schemas.openxmlformats.org/officeDocument/2006/relationships/footer" Target="footer28.xml"/><Relationship Id="rId70" Type="http://schemas.openxmlformats.org/officeDocument/2006/relationships/footer" Target="footer29.xml"/><Relationship Id="rId71" Type="http://schemas.openxmlformats.org/officeDocument/2006/relationships/header" Target="header14.xml"/><Relationship Id="rId72" Type="http://schemas.openxmlformats.org/officeDocument/2006/relationships/footer" Target="footer30.xml"/><Relationship Id="rId73" Type="http://schemas.openxmlformats.org/officeDocument/2006/relationships/header" Target="header15.xml"/><Relationship Id="rId74" Type="http://schemas.openxmlformats.org/officeDocument/2006/relationships/footer" Target="footer31.xml"/><Relationship Id="rId75" Type="http://schemas.openxmlformats.org/officeDocument/2006/relationships/footer" Target="footer32.xml"/><Relationship Id="rId76" Type="http://schemas.openxmlformats.org/officeDocument/2006/relationships/header" Target="header16.xml"/><Relationship Id="rId77" Type="http://schemas.openxmlformats.org/officeDocument/2006/relationships/footer" Target="footer33.xml"/><Relationship Id="rId78" Type="http://schemas.openxmlformats.org/officeDocument/2006/relationships/footer" Target="footer34.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13.xml.rels><?xml version="1.0" encoding="UTF-8" standalone="yes"?>
<Relationships xmlns="http://schemas.openxmlformats.org/package/2006/relationships"><Relationship Id="rId1" Type="http://schemas.openxmlformats.org/officeDocument/2006/relationships/image" Target="media/image11.png"/></Relationships>

</file>

<file path=word/_rels/footer15.xml.rels><?xml version="1.0" encoding="UTF-8" standalone="yes"?>
<Relationships xmlns="http://schemas.openxmlformats.org/package/2006/relationships"><Relationship Id="rId1" Type="http://schemas.openxmlformats.org/officeDocument/2006/relationships/image" Target="media/image11.png"/></Relationships>

</file>

<file path=word/_rels/footer19.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footer21.xml.rels><?xml version="1.0" encoding="UTF-8" standalone="yes"?>
<Relationships xmlns="http://schemas.openxmlformats.org/package/2006/relationships"><Relationship Id="rId1" Type="http://schemas.openxmlformats.org/officeDocument/2006/relationships/image" Target="media/image11.png"/></Relationships>

</file>

<file path=word/_rels/footer22.xml.rels><?xml version="1.0" encoding="UTF-8" standalone="yes"?>
<Relationships xmlns="http://schemas.openxmlformats.org/package/2006/relationships"><Relationship Id="rId1" Type="http://schemas.openxmlformats.org/officeDocument/2006/relationships/image" Target="media/image11.png"/></Relationships>

</file>

<file path=word/_rels/footer24.xml.rels><?xml version="1.0" encoding="UTF-8" standalone="yes"?>
<Relationships xmlns="http://schemas.openxmlformats.org/package/2006/relationships"><Relationship Id="rId1" Type="http://schemas.openxmlformats.org/officeDocument/2006/relationships/image" Target="media/image11.png"/></Relationships>

</file>

<file path=word/_rels/footer26.xml.rels><?xml version="1.0" encoding="UTF-8" standalone="yes"?>
<Relationships xmlns="http://schemas.openxmlformats.org/package/2006/relationships"><Relationship Id="rId1" Type="http://schemas.openxmlformats.org/officeDocument/2006/relationships/image" Target="media/image11.png"/></Relationships>

</file>

<file path=word/_rels/footer27.xml.rels><?xml version="1.0" encoding="UTF-8" standalone="yes"?>
<Relationships xmlns="http://schemas.openxmlformats.org/package/2006/relationships"><Relationship Id="rId1" Type="http://schemas.openxmlformats.org/officeDocument/2006/relationships/image" Target="media/image11.png"/></Relationships>

</file>

<file path=word/_rels/footer29.xml.rels><?xml version="1.0" encoding="UTF-8" standalone="yes"?>
<Relationships xmlns="http://schemas.openxmlformats.org/package/2006/relationships"><Relationship Id="rId1" Type="http://schemas.openxmlformats.org/officeDocument/2006/relationships/image" Target="media/image11.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footer32.xml.rels><?xml version="1.0" encoding="UTF-8" standalone="yes"?>
<Relationships xmlns="http://schemas.openxmlformats.org/package/2006/relationships"><Relationship Id="rId1" Type="http://schemas.openxmlformats.org/officeDocument/2006/relationships/image" Target="media/image11.png"/></Relationships>

</file>

<file path=word/_rels/footer34.xml.rels><?xml version="1.0" encoding="UTF-8" standalone="yes"?>
<Relationships xmlns="http://schemas.openxmlformats.org/package/2006/relationships"><Relationship Id="rId1" Type="http://schemas.openxmlformats.org/officeDocument/2006/relationships/image" Target="media/image11.png"/></Relationships>

</file>

<file path=word/_rels/footer4.xml.rels><?xml version="1.0" encoding="UTF-8" standalone="yes"?>
<Relationships xmlns="http://schemas.openxmlformats.org/package/2006/relationships"><Relationship Id="rId1" Type="http://schemas.openxmlformats.org/officeDocument/2006/relationships/image" Target="media/image11.png"/></Relationships>

</file>

<file path=word/_rels/footer6.xml.rels><?xml version="1.0" encoding="UTF-8" standalone="yes"?>
<Relationships xmlns="http://schemas.openxmlformats.org/package/2006/relationships"><Relationship Id="rId1" Type="http://schemas.openxmlformats.org/officeDocument/2006/relationships/image" Target="media/image11.png"/></Relationships>

</file>

<file path=word/_rels/footer7.xml.rels><?xml version="1.0" encoding="UTF-8" standalone="yes"?>
<Relationships xmlns="http://schemas.openxmlformats.org/package/2006/relationships"><Relationship Id="rId1" Type="http://schemas.openxmlformats.org/officeDocument/2006/relationships/image" Target="media/image11.png"/></Relationships>

</file>

<file path=word/_rels/footer8.xml.rels><?xml version="1.0" encoding="UTF-8" standalone="yes"?>
<Relationships xmlns="http://schemas.openxmlformats.org/package/2006/relationships"><Relationship Id="rId1" Type="http://schemas.openxmlformats.org/officeDocument/2006/relationships/image" Target="media/image11.png"/></Relationships>

</file>

<file path=word/_rels/footer9.xml.rels><?xml version="1.0" encoding="UTF-8" standalone="yes"?>
<Relationships xmlns="http://schemas.openxmlformats.org/package/2006/relationships"><Relationship Id="rId1" Type="http://schemas.openxmlformats.org/officeDocument/2006/relationships/image" Target="media/image11.png"/></Relationships>

</file>

<file path=word/_rels/header10.xml.rels><?xml version="1.0" encoding="UTF-8" standalone="yes"?>
<Relationships xmlns="http://schemas.openxmlformats.org/package/2006/relationships"><Relationship Id="rId1" Type="http://schemas.openxmlformats.org/officeDocument/2006/relationships/image" Target="media/image12.jpeg"/></Relationships>

</file>

<file path=word/_rels/header11.xml.rels><?xml version="1.0" encoding="UTF-8" standalone="yes"?>
<Relationships xmlns="http://schemas.openxmlformats.org/package/2006/relationships"><Relationship Id="rId1" Type="http://schemas.openxmlformats.org/officeDocument/2006/relationships/image" Target="media/image12.jpeg"/></Relationships>

</file>

<file path=word/_rels/header12.xml.rels><?xml version="1.0" encoding="UTF-8" standalone="yes"?>
<Relationships xmlns="http://schemas.openxmlformats.org/package/2006/relationships"><Relationship Id="rId1" Type="http://schemas.openxmlformats.org/officeDocument/2006/relationships/image" Target="media/image12.jpeg"/></Relationships>

</file>

<file path=word/_rels/header13.xml.rels><?xml version="1.0" encoding="UTF-8" standalone="yes"?>
<Relationships xmlns="http://schemas.openxmlformats.org/package/2006/relationships"><Relationship Id="rId1" Type="http://schemas.openxmlformats.org/officeDocument/2006/relationships/image" Target="media/image12.jpeg"/></Relationships>

</file>

<file path=word/_rels/header14.xml.rels><?xml version="1.0" encoding="UTF-8" standalone="yes"?>
<Relationships xmlns="http://schemas.openxmlformats.org/package/2006/relationships"><Relationship Id="rId1" Type="http://schemas.openxmlformats.org/officeDocument/2006/relationships/image" Target="media/image12.jpeg"/></Relationships>

</file>

<file path=word/_rels/header15.xml.rels><?xml version="1.0" encoding="UTF-8" standalone="yes"?>
<Relationships xmlns="http://schemas.openxmlformats.org/package/2006/relationships"><Relationship Id="rId1" Type="http://schemas.openxmlformats.org/officeDocument/2006/relationships/image" Target="media/image12.jpeg"/></Relationships>

</file>

<file path=word/_rels/header16.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_rels/header4.xml.rels><?xml version="1.0" encoding="UTF-8" standalone="yes"?>
<Relationships xmlns="http://schemas.openxmlformats.org/package/2006/relationships"><Relationship Id="rId1" Type="http://schemas.openxmlformats.org/officeDocument/2006/relationships/image" Target="media/image12.jpeg"/></Relationships>

</file>

<file path=word/_rels/header5.xml.rels><?xml version="1.0" encoding="UTF-8" standalone="yes"?>
<Relationships xmlns="http://schemas.openxmlformats.org/package/2006/relationships"><Relationship Id="rId1" Type="http://schemas.openxmlformats.org/officeDocument/2006/relationships/image" Target="media/image12.jpeg"/></Relationships>

</file>

<file path=word/_rels/header6.xml.rels><?xml version="1.0" encoding="UTF-8" standalone="yes"?>
<Relationships xmlns="http://schemas.openxmlformats.org/package/2006/relationships"><Relationship Id="rId1" Type="http://schemas.openxmlformats.org/officeDocument/2006/relationships/image" Target="media/image12.jpeg"/></Relationships>

</file>

<file path=word/_rels/header7.xml.rels><?xml version="1.0" encoding="UTF-8" standalone="yes"?>
<Relationships xmlns="http://schemas.openxmlformats.org/package/2006/relationships"><Relationship Id="rId1" Type="http://schemas.openxmlformats.org/officeDocument/2006/relationships/image" Target="media/image12.jpeg"/></Relationships>

</file>

<file path=word/_rels/header8.xml.rels><?xml version="1.0" encoding="UTF-8" standalone="yes"?>
<Relationships xmlns="http://schemas.openxmlformats.org/package/2006/relationships"><Relationship Id="rId1" Type="http://schemas.openxmlformats.org/officeDocument/2006/relationships/image" Target="media/image12.jpeg"/></Relationships>

</file>

<file path=word/_rels/header9.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2020-05-04T01:12:30Z</dcterms:created>
  <dcterms:modified xsi:type="dcterms:W3CDTF">2020-05-04T01:12:30Z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2013-03-11T00:00:00Z</vt:filetime>
  </property>
  <property fmtid="{D5CDD505-2E9C-101B-9397-08002B2CF9AE}" pid="3" name="Creator">
    <vt:lpwstr>Microsoft® Office Word 2007</vt:lpwstr>
  </property>
  <property fmtid="{D5CDD505-2E9C-101B-9397-08002B2CF9AE}" pid="4" name="LastSaved">
    <vt:filetime>2020-05-03T00:00:00Z</vt:filetime>
  </property>
</Properties>
</file>